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B5F308">
      <w:pPr>
        <w:pStyle w:val="7"/>
        <w:spacing w:before="67"/>
        <w:ind w:left="563" w:right="500" w:firstLine="0"/>
        <w:jc w:val="center"/>
      </w:pPr>
      <w:r>
        <w:t>Казахстанский</w:t>
      </w:r>
      <w:r>
        <w:rPr>
          <w:spacing w:val="-18"/>
        </w:rPr>
        <w:t xml:space="preserve"> </w:t>
      </w:r>
      <w:r>
        <w:t>медицинский</w:t>
      </w:r>
      <w:r>
        <w:rPr>
          <w:spacing w:val="-15"/>
        </w:rPr>
        <w:t xml:space="preserve"> </w:t>
      </w:r>
      <w:r>
        <w:t>университет</w:t>
      </w:r>
      <w:r>
        <w:rPr>
          <w:spacing w:val="-18"/>
        </w:rPr>
        <w:t xml:space="preserve"> </w:t>
      </w:r>
      <w:r>
        <w:rPr>
          <w:spacing w:val="-2"/>
        </w:rPr>
        <w:t>«ВШОЗ»</w:t>
      </w:r>
    </w:p>
    <w:p w14:paraId="233927C4">
      <w:pPr>
        <w:pStyle w:val="7"/>
        <w:ind w:left="0" w:firstLine="0"/>
        <w:jc w:val="left"/>
      </w:pPr>
    </w:p>
    <w:p w14:paraId="62B743F9">
      <w:pPr>
        <w:pStyle w:val="7"/>
        <w:spacing w:before="293"/>
        <w:ind w:left="0" w:firstLine="0"/>
        <w:jc w:val="left"/>
      </w:pPr>
    </w:p>
    <w:p w14:paraId="2BB78305">
      <w:pPr>
        <w:pStyle w:val="7"/>
        <w:tabs>
          <w:tab w:val="left" w:pos="7271"/>
        </w:tabs>
        <w:ind w:left="568" w:firstLine="0"/>
        <w:jc w:val="left"/>
      </w:pPr>
      <w:r>
        <w:rPr>
          <w:spacing w:val="-2"/>
        </w:rPr>
        <w:t>УДК:</w:t>
      </w:r>
      <w:r>
        <w:rPr>
          <w:spacing w:val="29"/>
        </w:rPr>
        <w:t xml:space="preserve"> </w:t>
      </w:r>
      <w:r>
        <w:rPr>
          <w:spacing w:val="-2"/>
        </w:rPr>
        <w:t>616.37-006.6-089.87-06-085.37</w:t>
      </w:r>
      <w:r>
        <w:tab/>
      </w:r>
      <w:r>
        <w:t>На</w:t>
      </w:r>
      <w:r>
        <w:rPr>
          <w:spacing w:val="-5"/>
        </w:rPr>
        <w:t xml:space="preserve"> </w:t>
      </w:r>
      <w:r>
        <w:t>правах</w:t>
      </w:r>
      <w:r>
        <w:rPr>
          <w:spacing w:val="-10"/>
        </w:rPr>
        <w:t xml:space="preserve"> </w:t>
      </w:r>
      <w:r>
        <w:rPr>
          <w:spacing w:val="-2"/>
        </w:rPr>
        <w:t>рукописи</w:t>
      </w:r>
    </w:p>
    <w:p w14:paraId="3A2A2F4F">
      <w:pPr>
        <w:pStyle w:val="7"/>
        <w:ind w:left="0" w:firstLine="0"/>
        <w:jc w:val="left"/>
      </w:pPr>
    </w:p>
    <w:p w14:paraId="7F65B107">
      <w:pPr>
        <w:pStyle w:val="7"/>
        <w:ind w:left="0" w:firstLine="0"/>
        <w:jc w:val="left"/>
      </w:pPr>
    </w:p>
    <w:p w14:paraId="7B4556BF">
      <w:pPr>
        <w:pStyle w:val="7"/>
        <w:ind w:left="0" w:firstLine="0"/>
        <w:jc w:val="left"/>
      </w:pPr>
    </w:p>
    <w:p w14:paraId="2E1DCB4F">
      <w:pPr>
        <w:pStyle w:val="7"/>
        <w:ind w:left="0" w:firstLine="0"/>
        <w:jc w:val="left"/>
      </w:pPr>
    </w:p>
    <w:p w14:paraId="480D5B28">
      <w:pPr>
        <w:pStyle w:val="7"/>
        <w:ind w:left="0" w:firstLine="0"/>
        <w:jc w:val="left"/>
      </w:pPr>
    </w:p>
    <w:p w14:paraId="436EF5FB">
      <w:pPr>
        <w:pStyle w:val="7"/>
        <w:ind w:left="0" w:firstLine="0"/>
        <w:jc w:val="left"/>
      </w:pPr>
    </w:p>
    <w:p w14:paraId="12DF7FF8">
      <w:pPr>
        <w:pStyle w:val="7"/>
        <w:spacing w:before="261"/>
        <w:ind w:left="0" w:firstLine="0"/>
        <w:jc w:val="left"/>
      </w:pPr>
    </w:p>
    <w:p w14:paraId="233D0225">
      <w:pPr>
        <w:pStyle w:val="2"/>
        <w:spacing w:before="0"/>
        <w:ind w:right="2"/>
      </w:pPr>
      <w:r>
        <w:t>ТИЛЕУОВ</w:t>
      </w:r>
      <w:r>
        <w:rPr>
          <w:spacing w:val="-10"/>
        </w:rPr>
        <w:t xml:space="preserve"> </w:t>
      </w:r>
      <w:r>
        <w:t>СЕРИК</w:t>
      </w:r>
      <w:r>
        <w:rPr>
          <w:spacing w:val="-10"/>
        </w:rPr>
        <w:t xml:space="preserve"> </w:t>
      </w:r>
      <w:r>
        <w:rPr>
          <w:spacing w:val="-2"/>
        </w:rPr>
        <w:t>ТУРЕБАЕВИЧ</w:t>
      </w:r>
    </w:p>
    <w:p w14:paraId="76880FFE">
      <w:pPr>
        <w:pStyle w:val="7"/>
        <w:ind w:left="0" w:firstLine="0"/>
        <w:jc w:val="left"/>
        <w:rPr>
          <w:b/>
          <w:lang w:val="kk-KZ"/>
        </w:rPr>
      </w:pPr>
    </w:p>
    <w:p w14:paraId="1C4377FE">
      <w:pPr>
        <w:pStyle w:val="7"/>
        <w:ind w:left="0" w:firstLine="0"/>
        <w:jc w:val="left"/>
        <w:rPr>
          <w:b/>
          <w:lang w:val="kk-KZ"/>
        </w:rPr>
      </w:pPr>
    </w:p>
    <w:p w14:paraId="5CDA7936">
      <w:pPr>
        <w:pStyle w:val="3"/>
        <w:spacing w:line="232" w:lineRule="auto"/>
        <w:ind w:left="0" w:right="3" w:firstLine="0"/>
        <w:jc w:val="center"/>
      </w:pPr>
      <w:r>
        <w:t>Профилактика</w:t>
      </w:r>
      <w:r>
        <w:rPr>
          <w:spacing w:val="-5"/>
        </w:rPr>
        <w:t xml:space="preserve"> </w:t>
      </w:r>
      <w:r>
        <w:t>панкреатических</w:t>
      </w:r>
      <w:r>
        <w:rPr>
          <w:spacing w:val="-13"/>
        </w:rPr>
        <w:t xml:space="preserve"> </w:t>
      </w:r>
      <w:r>
        <w:t>свищей</w:t>
      </w:r>
      <w:r>
        <w:rPr>
          <w:spacing w:val="-11"/>
        </w:rPr>
        <w:t xml:space="preserve"> </w:t>
      </w:r>
      <w:r>
        <w:t>у</w:t>
      </w:r>
      <w:r>
        <w:rPr>
          <w:spacing w:val="-9"/>
        </w:rPr>
        <w:t xml:space="preserve"> </w:t>
      </w:r>
      <w:r>
        <w:t>больных</w:t>
      </w:r>
      <w:r>
        <w:rPr>
          <w:spacing w:val="-13"/>
        </w:rPr>
        <w:t xml:space="preserve"> </w:t>
      </w:r>
      <w:r>
        <w:t>после</w:t>
      </w:r>
      <w:r>
        <w:rPr>
          <w:lang w:val="kk-KZ"/>
        </w:rPr>
        <w:t xml:space="preserve"> </w:t>
      </w:r>
      <w:r>
        <w:t>гастропанкреатодуоденальной резекции</w:t>
      </w:r>
    </w:p>
    <w:p w14:paraId="06D3EE63">
      <w:pPr>
        <w:pStyle w:val="7"/>
        <w:ind w:left="0" w:firstLine="0"/>
        <w:jc w:val="left"/>
        <w:rPr>
          <w:b/>
          <w:lang w:val="kk-KZ"/>
        </w:rPr>
      </w:pPr>
    </w:p>
    <w:p w14:paraId="5EBABCFB">
      <w:pPr>
        <w:pStyle w:val="7"/>
        <w:ind w:left="0" w:firstLine="0"/>
        <w:jc w:val="left"/>
        <w:rPr>
          <w:b/>
          <w:lang w:val="kk-KZ"/>
        </w:rPr>
      </w:pPr>
    </w:p>
    <w:p w14:paraId="0B6D04FD">
      <w:pPr>
        <w:pStyle w:val="7"/>
        <w:spacing w:before="1"/>
        <w:ind w:left="-1" w:firstLine="0"/>
        <w:jc w:val="center"/>
      </w:pPr>
      <w:r>
        <w:t>8D10141</w:t>
      </w:r>
      <w:r>
        <w:rPr>
          <w:spacing w:val="-4"/>
        </w:rPr>
        <w:t xml:space="preserve"> </w:t>
      </w:r>
      <w:r>
        <w:t>–</w:t>
      </w:r>
      <w:r>
        <w:rPr>
          <w:spacing w:val="-4"/>
        </w:rPr>
        <w:t xml:space="preserve"> </w:t>
      </w:r>
      <w:r>
        <w:rPr>
          <w:spacing w:val="-2"/>
        </w:rPr>
        <w:t>Медицина</w:t>
      </w:r>
    </w:p>
    <w:p w14:paraId="519D40DF">
      <w:pPr>
        <w:pStyle w:val="7"/>
        <w:spacing w:before="1"/>
        <w:ind w:left="2441" w:right="2440" w:firstLine="0"/>
        <w:jc w:val="center"/>
        <w:rPr>
          <w:lang w:val="kk-KZ"/>
        </w:rPr>
      </w:pPr>
    </w:p>
    <w:p w14:paraId="0110AFE4">
      <w:pPr>
        <w:pStyle w:val="7"/>
        <w:spacing w:before="1"/>
        <w:ind w:left="2441" w:right="2440" w:firstLine="0"/>
        <w:jc w:val="center"/>
      </w:pPr>
      <w:r>
        <w:t>Диссертация</w:t>
      </w:r>
      <w:r>
        <w:rPr>
          <w:spacing w:val="-14"/>
        </w:rPr>
        <w:t xml:space="preserve"> </w:t>
      </w:r>
      <w:r>
        <w:t>на</w:t>
      </w:r>
      <w:r>
        <w:rPr>
          <w:spacing w:val="-14"/>
        </w:rPr>
        <w:t xml:space="preserve"> </w:t>
      </w:r>
      <w:r>
        <w:t>соискание</w:t>
      </w:r>
      <w:r>
        <w:rPr>
          <w:spacing w:val="-14"/>
        </w:rPr>
        <w:t xml:space="preserve"> </w:t>
      </w:r>
      <w:r>
        <w:t>степени доктора философии (PhD)</w:t>
      </w:r>
    </w:p>
    <w:p w14:paraId="78387233">
      <w:pPr>
        <w:pStyle w:val="7"/>
        <w:ind w:left="0" w:firstLine="0"/>
        <w:jc w:val="left"/>
      </w:pPr>
    </w:p>
    <w:p w14:paraId="28820D75">
      <w:pPr>
        <w:pStyle w:val="7"/>
        <w:ind w:left="0" w:firstLine="0"/>
        <w:jc w:val="left"/>
      </w:pPr>
    </w:p>
    <w:p w14:paraId="204B1B58">
      <w:pPr>
        <w:pStyle w:val="7"/>
        <w:spacing w:before="296"/>
        <w:ind w:left="0" w:firstLine="0"/>
        <w:jc w:val="left"/>
      </w:pPr>
    </w:p>
    <w:p w14:paraId="00AF70D2">
      <w:pPr>
        <w:pStyle w:val="7"/>
        <w:spacing w:line="235" w:lineRule="auto"/>
        <w:ind w:left="4678" w:right="139" w:firstLine="35"/>
      </w:pPr>
      <w:r>
        <w:t>Научные</w:t>
      </w:r>
      <w:r>
        <w:rPr>
          <w:spacing w:val="-18"/>
        </w:rPr>
        <w:t xml:space="preserve"> </w:t>
      </w:r>
      <w:r>
        <w:t xml:space="preserve">консультанты </w:t>
      </w:r>
    </w:p>
    <w:p w14:paraId="3ADBC270">
      <w:pPr>
        <w:pStyle w:val="7"/>
        <w:spacing w:line="235" w:lineRule="auto"/>
        <w:ind w:left="4678" w:right="139" w:firstLine="35"/>
      </w:pPr>
      <w:r>
        <w:t xml:space="preserve">д.м.н., проф. Б.Б. Баймаханов </w:t>
      </w:r>
    </w:p>
    <w:p w14:paraId="58573191">
      <w:pPr>
        <w:pStyle w:val="7"/>
        <w:spacing w:line="235" w:lineRule="auto"/>
        <w:ind w:left="4678" w:right="139" w:firstLine="35"/>
      </w:pPr>
      <w:r>
        <w:t>д.м.н.,</w:t>
      </w:r>
      <w:r>
        <w:rPr>
          <w:spacing w:val="-7"/>
        </w:rPr>
        <w:t xml:space="preserve"> </w:t>
      </w:r>
      <w:r>
        <w:t>проф.</w:t>
      </w:r>
      <w:r>
        <w:rPr>
          <w:spacing w:val="61"/>
        </w:rPr>
        <w:t xml:space="preserve"> </w:t>
      </w:r>
      <w:r>
        <w:t>А.Т.</w:t>
      </w:r>
      <w:r>
        <w:rPr>
          <w:spacing w:val="-2"/>
        </w:rPr>
        <w:t xml:space="preserve"> Джумабеков</w:t>
      </w:r>
      <w:r>
        <w:t xml:space="preserve"> </w:t>
      </w:r>
    </w:p>
    <w:p w14:paraId="7C64D0A3">
      <w:pPr>
        <w:pStyle w:val="7"/>
        <w:spacing w:line="235" w:lineRule="auto"/>
        <w:ind w:left="4678" w:right="139" w:firstLine="35"/>
      </w:pPr>
      <w:r>
        <w:rPr>
          <w:lang w:val="en-US"/>
        </w:rPr>
        <w:t>Phd</w:t>
      </w:r>
      <w:r>
        <w:t>,</w:t>
      </w:r>
      <w:r>
        <w:rPr>
          <w:spacing w:val="-2"/>
        </w:rPr>
        <w:t xml:space="preserve"> </w:t>
      </w:r>
      <w:r>
        <w:t>М.О.</w:t>
      </w:r>
      <w:r>
        <w:rPr>
          <w:spacing w:val="-5"/>
        </w:rPr>
        <w:t xml:space="preserve"> </w:t>
      </w:r>
      <w:r>
        <w:rPr>
          <w:spacing w:val="-2"/>
        </w:rPr>
        <w:t>Досханов</w:t>
      </w:r>
    </w:p>
    <w:p w14:paraId="42A4FCF8">
      <w:pPr>
        <w:pStyle w:val="7"/>
        <w:tabs>
          <w:tab w:val="left" w:pos="5529"/>
        </w:tabs>
        <w:spacing w:before="313" w:line="235" w:lineRule="auto"/>
        <w:ind w:left="4736" w:right="3" w:firstLine="0"/>
        <w:rPr>
          <w:lang w:val="en-US"/>
        </w:rPr>
      </w:pPr>
      <w:r>
        <w:t>Зарубежный</w:t>
      </w:r>
      <w:r>
        <w:rPr>
          <w:spacing w:val="-18"/>
          <w:lang w:val="en-US"/>
        </w:rPr>
        <w:t xml:space="preserve"> </w:t>
      </w:r>
      <w:r>
        <w:t>консультант</w:t>
      </w:r>
      <w:r>
        <w:rPr>
          <w:lang w:val="en-US"/>
        </w:rPr>
        <w:t xml:space="preserve"> Professor,</w:t>
      </w:r>
      <w:r>
        <w:rPr>
          <w:spacing w:val="-7"/>
          <w:lang w:val="en-US"/>
        </w:rPr>
        <w:t xml:space="preserve"> </w:t>
      </w:r>
      <w:r>
        <w:rPr>
          <w:lang w:val="en-US"/>
        </w:rPr>
        <w:t>Remzi</w:t>
      </w:r>
      <w:r>
        <w:rPr>
          <w:spacing w:val="-13"/>
          <w:lang w:val="en-US"/>
        </w:rPr>
        <w:t xml:space="preserve"> </w:t>
      </w:r>
      <w:r>
        <w:rPr>
          <w:lang w:val="en-US"/>
        </w:rPr>
        <w:t>Emiroglu,</w:t>
      </w:r>
      <w:r>
        <w:rPr>
          <w:spacing w:val="-7"/>
          <w:lang w:val="en-US"/>
        </w:rPr>
        <w:t xml:space="preserve"> </w:t>
      </w:r>
      <w:r>
        <w:rPr>
          <w:lang w:val="en-US"/>
        </w:rPr>
        <w:t>Istanbul,</w:t>
      </w:r>
      <w:r>
        <w:rPr>
          <w:spacing w:val="-7"/>
          <w:lang w:val="en-US"/>
        </w:rPr>
        <w:t xml:space="preserve"> </w:t>
      </w:r>
      <w:r>
        <w:rPr>
          <w:lang w:val="en-US"/>
        </w:rPr>
        <w:t>Turkey</w:t>
      </w:r>
      <w:r>
        <w:rPr>
          <w:rFonts w:hint="default"/>
          <w:lang w:val="ru-RU"/>
        </w:rPr>
        <w:t xml:space="preserve">, </w:t>
      </w:r>
      <w:r>
        <w:rPr>
          <w:rFonts w:hint="default"/>
          <w:lang w:val="en-US"/>
        </w:rPr>
        <w:t>Medipol Mega University</w:t>
      </w:r>
      <w:r>
        <w:rPr>
          <w:lang w:val="en-US"/>
        </w:rPr>
        <w:t xml:space="preserve"> </w:t>
      </w:r>
      <w:bookmarkStart w:id="66" w:name="_GoBack"/>
      <w:bookmarkEnd w:id="66"/>
      <w:r>
        <w:rPr>
          <w:lang w:val="en-US"/>
        </w:rPr>
        <w:t>Hospital</w:t>
      </w:r>
    </w:p>
    <w:p w14:paraId="4E898465">
      <w:pPr>
        <w:pStyle w:val="7"/>
        <w:ind w:left="0" w:firstLine="0"/>
        <w:jc w:val="left"/>
        <w:rPr>
          <w:lang w:val="en-US"/>
        </w:rPr>
      </w:pPr>
    </w:p>
    <w:p w14:paraId="0CA8E96A">
      <w:pPr>
        <w:pStyle w:val="7"/>
        <w:spacing w:before="301"/>
        <w:ind w:left="0" w:firstLine="0"/>
        <w:jc w:val="left"/>
        <w:rPr>
          <w:lang w:val="kk-KZ"/>
        </w:rPr>
      </w:pPr>
    </w:p>
    <w:p w14:paraId="2B9D954B">
      <w:pPr>
        <w:pStyle w:val="7"/>
        <w:spacing w:before="301"/>
        <w:ind w:left="0" w:firstLine="0"/>
        <w:jc w:val="left"/>
        <w:rPr>
          <w:lang w:val="kk-KZ"/>
        </w:rPr>
      </w:pPr>
    </w:p>
    <w:p w14:paraId="470F4F5D">
      <w:pPr>
        <w:pStyle w:val="7"/>
        <w:spacing w:before="301"/>
        <w:ind w:left="0" w:firstLine="0"/>
        <w:jc w:val="left"/>
        <w:rPr>
          <w:lang w:val="en-US"/>
        </w:rPr>
      </w:pPr>
    </w:p>
    <w:p w14:paraId="3164840B">
      <w:pPr>
        <w:pStyle w:val="7"/>
        <w:spacing w:line="235" w:lineRule="auto"/>
        <w:ind w:left="3145" w:right="3150" w:firstLine="0"/>
        <w:jc w:val="center"/>
        <w:rPr>
          <w:lang w:val="en-US"/>
        </w:rPr>
      </w:pPr>
      <w:r>
        <w:t>Республика</w:t>
      </w:r>
      <w:r>
        <w:rPr>
          <w:spacing w:val="-18"/>
        </w:rPr>
        <w:t xml:space="preserve"> </w:t>
      </w:r>
      <w:r>
        <w:t>Казахстан Алматы, 20</w:t>
      </w:r>
      <w:r>
        <w:rPr>
          <w:lang w:val="en-US"/>
        </w:rPr>
        <w:t>26</w:t>
      </w:r>
    </w:p>
    <w:p w14:paraId="782A6AFE">
      <w:pPr>
        <w:pStyle w:val="7"/>
        <w:spacing w:line="235" w:lineRule="auto"/>
        <w:jc w:val="center"/>
        <w:sectPr>
          <w:headerReference r:id="rId3" w:type="default"/>
          <w:footerReference r:id="rId4" w:type="default"/>
          <w:type w:val="continuous"/>
          <w:pgSz w:w="11910" w:h="16840"/>
          <w:pgMar w:top="1040" w:right="425" w:bottom="1120" w:left="1559" w:header="0" w:footer="937" w:gutter="0"/>
          <w:pgNumType w:start="1"/>
          <w:cols w:space="720" w:num="1"/>
          <w:titlePg/>
          <w:docGrid w:linePitch="299" w:charSpace="0"/>
        </w:sectPr>
      </w:pPr>
    </w:p>
    <w:p w14:paraId="0E5779AE">
      <w:pPr>
        <w:pStyle w:val="2"/>
        <w:spacing w:before="67"/>
        <w:ind w:right="1"/>
      </w:pPr>
      <w:r>
        <w:rPr>
          <w:spacing w:val="-2"/>
        </w:rPr>
        <w:t>СОДЕРЖАНИЕ</w:t>
      </w:r>
    </w:p>
    <w:p w14:paraId="4CE3AECC">
      <w:pPr>
        <w:pStyle w:val="7"/>
        <w:spacing w:before="84"/>
        <w:ind w:left="0" w:firstLine="0"/>
        <w:jc w:val="left"/>
        <w:rPr>
          <w:b/>
          <w:sz w:val="20"/>
        </w:rPr>
      </w:pPr>
    </w:p>
    <w:tbl>
      <w:tblPr>
        <w:tblStyle w:val="5"/>
        <w:tblW w:w="0" w:type="auto"/>
        <w:tblInd w:w="261" w:type="dxa"/>
        <w:tblLayout w:type="fixed"/>
        <w:tblCellMar>
          <w:top w:w="0" w:type="dxa"/>
          <w:left w:w="0" w:type="dxa"/>
          <w:bottom w:w="0" w:type="dxa"/>
          <w:right w:w="0" w:type="dxa"/>
        </w:tblCellMar>
      </w:tblPr>
      <w:tblGrid>
        <w:gridCol w:w="8504"/>
        <w:gridCol w:w="917"/>
      </w:tblGrid>
      <w:tr w14:paraId="7C0B8329">
        <w:tblPrEx>
          <w:tblCellMar>
            <w:top w:w="0" w:type="dxa"/>
            <w:left w:w="0" w:type="dxa"/>
            <w:bottom w:w="0" w:type="dxa"/>
            <w:right w:w="0" w:type="dxa"/>
          </w:tblCellMar>
        </w:tblPrEx>
        <w:trPr>
          <w:trHeight w:val="326" w:hRule="atLeast"/>
        </w:trPr>
        <w:tc>
          <w:tcPr>
            <w:tcW w:w="8504" w:type="dxa"/>
          </w:tcPr>
          <w:p w14:paraId="55B5B6DA">
            <w:pPr>
              <w:pStyle w:val="11"/>
              <w:spacing w:before="2" w:line="304" w:lineRule="exact"/>
              <w:ind w:left="105"/>
              <w:jc w:val="left"/>
              <w:rPr>
                <w:b/>
                <w:sz w:val="28"/>
              </w:rPr>
            </w:pPr>
            <w:r>
              <w:rPr>
                <w:b/>
                <w:sz w:val="28"/>
              </w:rPr>
              <w:t>НОРМАТИВНЫЕ</w:t>
            </w:r>
            <w:r>
              <w:rPr>
                <w:b/>
                <w:spacing w:val="-16"/>
                <w:sz w:val="28"/>
              </w:rPr>
              <w:t xml:space="preserve"> </w:t>
            </w:r>
            <w:r>
              <w:rPr>
                <w:b/>
                <w:spacing w:val="-2"/>
                <w:sz w:val="28"/>
              </w:rPr>
              <w:t>ССЫЛКИ…………………………………………..</w:t>
            </w:r>
          </w:p>
        </w:tc>
        <w:tc>
          <w:tcPr>
            <w:tcW w:w="917" w:type="dxa"/>
          </w:tcPr>
          <w:p w14:paraId="3734B4DE">
            <w:pPr>
              <w:pStyle w:val="11"/>
              <w:spacing w:line="306" w:lineRule="exact"/>
              <w:ind w:left="15" w:right="5"/>
              <w:rPr>
                <w:sz w:val="28"/>
              </w:rPr>
            </w:pPr>
            <w:r>
              <w:rPr>
                <w:spacing w:val="-10"/>
                <w:sz w:val="28"/>
              </w:rPr>
              <w:t>5</w:t>
            </w:r>
          </w:p>
        </w:tc>
      </w:tr>
      <w:tr w14:paraId="471121BD">
        <w:tblPrEx>
          <w:tblCellMar>
            <w:top w:w="0" w:type="dxa"/>
            <w:left w:w="0" w:type="dxa"/>
            <w:bottom w:w="0" w:type="dxa"/>
            <w:right w:w="0" w:type="dxa"/>
          </w:tblCellMar>
        </w:tblPrEx>
        <w:trPr>
          <w:trHeight w:val="321" w:hRule="atLeast"/>
        </w:trPr>
        <w:tc>
          <w:tcPr>
            <w:tcW w:w="8504" w:type="dxa"/>
          </w:tcPr>
          <w:p w14:paraId="60B3A5EB">
            <w:pPr>
              <w:pStyle w:val="11"/>
              <w:spacing w:line="301" w:lineRule="exact"/>
              <w:ind w:left="105"/>
              <w:jc w:val="left"/>
              <w:rPr>
                <w:b/>
                <w:sz w:val="28"/>
              </w:rPr>
            </w:pPr>
            <w:r>
              <w:rPr>
                <w:b/>
                <w:spacing w:val="-2"/>
                <w:sz w:val="28"/>
              </w:rPr>
              <w:t>ОПРЕДЕЛЕНИЯ…………………………………………………………</w:t>
            </w:r>
          </w:p>
        </w:tc>
        <w:tc>
          <w:tcPr>
            <w:tcW w:w="917" w:type="dxa"/>
          </w:tcPr>
          <w:p w14:paraId="66F1031B">
            <w:pPr>
              <w:pStyle w:val="11"/>
              <w:spacing w:line="301" w:lineRule="exact"/>
              <w:ind w:left="15" w:right="5"/>
              <w:rPr>
                <w:sz w:val="28"/>
              </w:rPr>
            </w:pPr>
            <w:r>
              <w:rPr>
                <w:spacing w:val="-10"/>
                <w:sz w:val="28"/>
              </w:rPr>
              <w:t>6</w:t>
            </w:r>
          </w:p>
        </w:tc>
      </w:tr>
      <w:tr w14:paraId="6444EF36">
        <w:tblPrEx>
          <w:tblCellMar>
            <w:top w:w="0" w:type="dxa"/>
            <w:left w:w="0" w:type="dxa"/>
            <w:bottom w:w="0" w:type="dxa"/>
            <w:right w:w="0" w:type="dxa"/>
          </w:tblCellMar>
        </w:tblPrEx>
        <w:trPr>
          <w:trHeight w:val="321" w:hRule="atLeast"/>
        </w:trPr>
        <w:tc>
          <w:tcPr>
            <w:tcW w:w="8504" w:type="dxa"/>
          </w:tcPr>
          <w:p w14:paraId="77481DF5">
            <w:pPr>
              <w:pStyle w:val="11"/>
              <w:spacing w:line="302" w:lineRule="exact"/>
              <w:ind w:left="105"/>
              <w:jc w:val="left"/>
              <w:rPr>
                <w:b/>
                <w:sz w:val="28"/>
              </w:rPr>
            </w:pPr>
            <w:r>
              <w:rPr>
                <w:b/>
                <w:sz w:val="28"/>
              </w:rPr>
              <w:t>ОБОЗНАЧЕНИЯ</w:t>
            </w:r>
            <w:r>
              <w:rPr>
                <w:b/>
                <w:spacing w:val="-11"/>
                <w:sz w:val="28"/>
              </w:rPr>
              <w:t xml:space="preserve"> </w:t>
            </w:r>
            <w:r>
              <w:rPr>
                <w:b/>
                <w:sz w:val="28"/>
              </w:rPr>
              <w:t>И</w:t>
            </w:r>
            <w:r>
              <w:rPr>
                <w:b/>
                <w:spacing w:val="-11"/>
                <w:sz w:val="28"/>
              </w:rPr>
              <w:t xml:space="preserve"> </w:t>
            </w:r>
            <w:r>
              <w:rPr>
                <w:b/>
                <w:spacing w:val="-2"/>
                <w:sz w:val="28"/>
              </w:rPr>
              <w:t>СОКРАЩЕНИЯ…………………………………</w:t>
            </w:r>
          </w:p>
        </w:tc>
        <w:tc>
          <w:tcPr>
            <w:tcW w:w="917" w:type="dxa"/>
          </w:tcPr>
          <w:p w14:paraId="24B23917">
            <w:pPr>
              <w:pStyle w:val="11"/>
              <w:spacing w:line="302" w:lineRule="exact"/>
              <w:ind w:left="15" w:right="5"/>
              <w:rPr>
                <w:sz w:val="28"/>
              </w:rPr>
            </w:pPr>
            <w:r>
              <w:rPr>
                <w:spacing w:val="-10"/>
                <w:sz w:val="28"/>
              </w:rPr>
              <w:t>8</w:t>
            </w:r>
          </w:p>
        </w:tc>
      </w:tr>
      <w:tr w14:paraId="712020E9">
        <w:tblPrEx>
          <w:tblCellMar>
            <w:top w:w="0" w:type="dxa"/>
            <w:left w:w="0" w:type="dxa"/>
            <w:bottom w:w="0" w:type="dxa"/>
            <w:right w:w="0" w:type="dxa"/>
          </w:tblCellMar>
        </w:tblPrEx>
        <w:trPr>
          <w:trHeight w:val="321" w:hRule="atLeast"/>
        </w:trPr>
        <w:tc>
          <w:tcPr>
            <w:tcW w:w="8504" w:type="dxa"/>
          </w:tcPr>
          <w:p w14:paraId="4399CBE0">
            <w:pPr>
              <w:pStyle w:val="11"/>
              <w:spacing w:line="301" w:lineRule="exact"/>
              <w:ind w:left="105"/>
              <w:jc w:val="left"/>
              <w:rPr>
                <w:b/>
                <w:sz w:val="28"/>
              </w:rPr>
            </w:pPr>
            <w:r>
              <w:rPr>
                <w:b/>
                <w:spacing w:val="-2"/>
                <w:sz w:val="28"/>
              </w:rPr>
              <w:t>ВВЕДЕНИЕ………………………………………………………………</w:t>
            </w:r>
          </w:p>
        </w:tc>
        <w:tc>
          <w:tcPr>
            <w:tcW w:w="917" w:type="dxa"/>
          </w:tcPr>
          <w:p w14:paraId="7E2F215E">
            <w:pPr>
              <w:pStyle w:val="11"/>
              <w:spacing w:line="301" w:lineRule="exact"/>
              <w:ind w:left="15" w:right="1"/>
              <w:rPr>
                <w:sz w:val="28"/>
              </w:rPr>
            </w:pPr>
            <w:r>
              <w:rPr>
                <w:spacing w:val="-5"/>
                <w:sz w:val="28"/>
              </w:rPr>
              <w:t>10</w:t>
            </w:r>
          </w:p>
        </w:tc>
      </w:tr>
      <w:tr w14:paraId="49500DDF">
        <w:tblPrEx>
          <w:tblCellMar>
            <w:top w:w="0" w:type="dxa"/>
            <w:left w:w="0" w:type="dxa"/>
            <w:bottom w:w="0" w:type="dxa"/>
            <w:right w:w="0" w:type="dxa"/>
          </w:tblCellMar>
        </w:tblPrEx>
        <w:trPr>
          <w:trHeight w:val="964" w:hRule="atLeast"/>
        </w:trPr>
        <w:tc>
          <w:tcPr>
            <w:tcW w:w="8504" w:type="dxa"/>
          </w:tcPr>
          <w:p w14:paraId="789B7DF5">
            <w:pPr>
              <w:pStyle w:val="11"/>
              <w:spacing w:line="322" w:lineRule="exact"/>
              <w:ind w:left="105" w:right="98"/>
              <w:jc w:val="both"/>
              <w:rPr>
                <w:b/>
                <w:sz w:val="28"/>
              </w:rPr>
            </w:pPr>
            <w:r>
              <w:rPr>
                <w:b/>
                <w:sz w:val="28"/>
              </w:rPr>
              <w:t>1 СОВРЕМЕННОЕ СОСТОЯНИЕ ПРОБЛЕМЫ ПАНКРЕАТИЧЕСКИХ СВИЩЕЙ ПОСЛЕ ГПДР ПРИ ОПУХОЛЯХ ПЕРИАМПУЛЯРНОЙ ЗОНЫ……………………….</w:t>
            </w:r>
          </w:p>
        </w:tc>
        <w:tc>
          <w:tcPr>
            <w:tcW w:w="917" w:type="dxa"/>
          </w:tcPr>
          <w:p w14:paraId="003C0ED4">
            <w:pPr>
              <w:pStyle w:val="11"/>
              <w:spacing w:line="315" w:lineRule="exact"/>
              <w:ind w:left="15"/>
              <w:rPr>
                <w:spacing w:val="-5"/>
                <w:sz w:val="28"/>
              </w:rPr>
            </w:pPr>
          </w:p>
          <w:p w14:paraId="1B118102">
            <w:pPr>
              <w:pStyle w:val="11"/>
              <w:spacing w:line="315" w:lineRule="exact"/>
              <w:ind w:left="15"/>
              <w:rPr>
                <w:spacing w:val="-5"/>
                <w:sz w:val="28"/>
              </w:rPr>
            </w:pPr>
          </w:p>
          <w:p w14:paraId="098EE0BB">
            <w:pPr>
              <w:pStyle w:val="11"/>
              <w:spacing w:line="315" w:lineRule="exact"/>
              <w:ind w:left="15"/>
              <w:rPr>
                <w:sz w:val="28"/>
              </w:rPr>
            </w:pPr>
            <w:r>
              <w:rPr>
                <w:spacing w:val="-5"/>
                <w:sz w:val="28"/>
              </w:rPr>
              <w:t>16</w:t>
            </w:r>
          </w:p>
        </w:tc>
      </w:tr>
      <w:tr w14:paraId="71D0BD98">
        <w:tblPrEx>
          <w:tblCellMar>
            <w:top w:w="0" w:type="dxa"/>
            <w:left w:w="0" w:type="dxa"/>
            <w:bottom w:w="0" w:type="dxa"/>
            <w:right w:w="0" w:type="dxa"/>
          </w:tblCellMar>
        </w:tblPrEx>
        <w:trPr>
          <w:trHeight w:val="645" w:hRule="atLeast"/>
        </w:trPr>
        <w:tc>
          <w:tcPr>
            <w:tcW w:w="8504" w:type="dxa"/>
          </w:tcPr>
          <w:p w14:paraId="1F30F6BC">
            <w:pPr>
              <w:pStyle w:val="11"/>
              <w:spacing w:line="322" w:lineRule="exact"/>
              <w:ind w:left="105"/>
              <w:jc w:val="left"/>
              <w:rPr>
                <w:sz w:val="28"/>
              </w:rPr>
            </w:pPr>
            <w:r>
              <w:rPr>
                <w:sz w:val="28"/>
              </w:rPr>
              <w:t>1.1</w:t>
            </w:r>
            <w:r>
              <w:rPr>
                <w:spacing w:val="80"/>
                <w:sz w:val="28"/>
              </w:rPr>
              <w:t xml:space="preserve"> </w:t>
            </w:r>
            <w:r>
              <w:rPr>
                <w:sz w:val="28"/>
              </w:rPr>
              <w:t>Эпидемиология</w:t>
            </w:r>
            <w:r>
              <w:rPr>
                <w:spacing w:val="40"/>
                <w:sz w:val="28"/>
              </w:rPr>
              <w:t xml:space="preserve"> </w:t>
            </w:r>
            <w:r>
              <w:rPr>
                <w:sz w:val="28"/>
              </w:rPr>
              <w:t>опухолей</w:t>
            </w:r>
            <w:r>
              <w:rPr>
                <w:spacing w:val="40"/>
                <w:sz w:val="28"/>
              </w:rPr>
              <w:t xml:space="preserve"> </w:t>
            </w:r>
            <w:r>
              <w:rPr>
                <w:sz w:val="28"/>
              </w:rPr>
              <w:t>периампулярной</w:t>
            </w:r>
            <w:r>
              <w:rPr>
                <w:spacing w:val="40"/>
                <w:sz w:val="28"/>
              </w:rPr>
              <w:t xml:space="preserve"> </w:t>
            </w:r>
            <w:r>
              <w:rPr>
                <w:sz w:val="28"/>
              </w:rPr>
              <w:t>зоны</w:t>
            </w:r>
            <w:r>
              <w:rPr>
                <w:spacing w:val="40"/>
                <w:sz w:val="28"/>
              </w:rPr>
              <w:t xml:space="preserve"> </w:t>
            </w:r>
            <w:r>
              <w:rPr>
                <w:sz w:val="28"/>
              </w:rPr>
              <w:t>и</w:t>
            </w:r>
            <w:r>
              <w:rPr>
                <w:spacing w:val="40"/>
                <w:sz w:val="28"/>
              </w:rPr>
              <w:t xml:space="preserve"> </w:t>
            </w:r>
            <w:r>
              <w:rPr>
                <w:sz w:val="28"/>
              </w:rPr>
              <w:t>ГПДР</w:t>
            </w:r>
            <w:r>
              <w:rPr>
                <w:spacing w:val="40"/>
                <w:sz w:val="28"/>
              </w:rPr>
              <w:t xml:space="preserve"> </w:t>
            </w:r>
            <w:r>
              <w:rPr>
                <w:sz w:val="28"/>
              </w:rPr>
              <w:t>как</w:t>
            </w:r>
            <w:r>
              <w:rPr>
                <w:spacing w:val="40"/>
                <w:sz w:val="28"/>
              </w:rPr>
              <w:t xml:space="preserve"> </w:t>
            </w:r>
            <w:r>
              <w:rPr>
                <w:sz w:val="28"/>
              </w:rPr>
              <w:t>стандарт радикального лечения…………………………………………</w:t>
            </w:r>
          </w:p>
        </w:tc>
        <w:tc>
          <w:tcPr>
            <w:tcW w:w="917" w:type="dxa"/>
          </w:tcPr>
          <w:p w14:paraId="34765227">
            <w:pPr>
              <w:pStyle w:val="11"/>
              <w:spacing w:line="318" w:lineRule="exact"/>
              <w:ind w:left="15"/>
              <w:rPr>
                <w:spacing w:val="-5"/>
                <w:sz w:val="28"/>
              </w:rPr>
            </w:pPr>
          </w:p>
          <w:p w14:paraId="3A3A836D">
            <w:pPr>
              <w:pStyle w:val="11"/>
              <w:spacing w:line="318" w:lineRule="exact"/>
              <w:ind w:left="15"/>
              <w:rPr>
                <w:sz w:val="28"/>
              </w:rPr>
            </w:pPr>
            <w:r>
              <w:rPr>
                <w:spacing w:val="-5"/>
                <w:sz w:val="28"/>
              </w:rPr>
              <w:t>16</w:t>
            </w:r>
          </w:p>
        </w:tc>
      </w:tr>
      <w:tr w14:paraId="6CA17DC5">
        <w:tblPrEx>
          <w:tblCellMar>
            <w:top w:w="0" w:type="dxa"/>
            <w:left w:w="0" w:type="dxa"/>
            <w:bottom w:w="0" w:type="dxa"/>
            <w:right w:w="0" w:type="dxa"/>
          </w:tblCellMar>
        </w:tblPrEx>
        <w:trPr>
          <w:trHeight w:val="642" w:hRule="atLeast"/>
        </w:trPr>
        <w:tc>
          <w:tcPr>
            <w:tcW w:w="8504" w:type="dxa"/>
          </w:tcPr>
          <w:p w14:paraId="7006579E">
            <w:pPr>
              <w:pStyle w:val="11"/>
              <w:tabs>
                <w:tab w:val="left" w:pos="672"/>
              </w:tabs>
              <w:spacing w:line="315" w:lineRule="exact"/>
              <w:ind w:left="105"/>
              <w:jc w:val="left"/>
              <w:rPr>
                <w:sz w:val="28"/>
              </w:rPr>
            </w:pPr>
            <w:r>
              <w:rPr>
                <w:spacing w:val="-5"/>
                <w:sz w:val="28"/>
              </w:rPr>
              <w:t>1.2</w:t>
            </w:r>
            <w:r>
              <w:rPr>
                <w:sz w:val="28"/>
              </w:rPr>
              <w:tab/>
            </w:r>
            <w:r>
              <w:rPr>
                <w:sz w:val="28"/>
              </w:rPr>
              <w:t>Панкреатические</w:t>
            </w:r>
            <w:r>
              <w:rPr>
                <w:spacing w:val="-11"/>
                <w:sz w:val="28"/>
              </w:rPr>
              <w:t xml:space="preserve"> </w:t>
            </w:r>
            <w:r>
              <w:rPr>
                <w:sz w:val="28"/>
              </w:rPr>
              <w:t>свищи</w:t>
            </w:r>
            <w:r>
              <w:rPr>
                <w:spacing w:val="-12"/>
                <w:sz w:val="28"/>
              </w:rPr>
              <w:t xml:space="preserve"> </w:t>
            </w:r>
            <w:r>
              <w:rPr>
                <w:sz w:val="28"/>
              </w:rPr>
              <w:t>после</w:t>
            </w:r>
            <w:r>
              <w:rPr>
                <w:spacing w:val="-11"/>
                <w:sz w:val="28"/>
              </w:rPr>
              <w:t xml:space="preserve"> </w:t>
            </w:r>
            <w:r>
              <w:rPr>
                <w:sz w:val="28"/>
              </w:rPr>
              <w:t>ГПДР:</w:t>
            </w:r>
            <w:r>
              <w:rPr>
                <w:spacing w:val="-15"/>
                <w:sz w:val="28"/>
              </w:rPr>
              <w:t xml:space="preserve"> </w:t>
            </w:r>
            <w:r>
              <w:rPr>
                <w:sz w:val="28"/>
              </w:rPr>
              <w:t>классификация,</w:t>
            </w:r>
            <w:r>
              <w:rPr>
                <w:spacing w:val="-9"/>
                <w:sz w:val="28"/>
              </w:rPr>
              <w:t xml:space="preserve"> </w:t>
            </w:r>
            <w:r>
              <w:rPr>
                <w:spacing w:val="-2"/>
                <w:sz w:val="28"/>
              </w:rPr>
              <w:t>факторы</w:t>
            </w:r>
          </w:p>
          <w:p w14:paraId="3E5C3BB7">
            <w:pPr>
              <w:pStyle w:val="11"/>
              <w:ind w:left="105"/>
              <w:jc w:val="left"/>
              <w:rPr>
                <w:sz w:val="28"/>
              </w:rPr>
            </w:pPr>
            <w:r>
              <w:rPr>
                <w:sz w:val="28"/>
              </w:rPr>
              <w:t>риска</w:t>
            </w:r>
            <w:r>
              <w:rPr>
                <w:spacing w:val="-11"/>
                <w:sz w:val="28"/>
              </w:rPr>
              <w:t xml:space="preserve"> </w:t>
            </w:r>
            <w:r>
              <w:rPr>
                <w:sz w:val="28"/>
              </w:rPr>
              <w:t>развития,</w:t>
            </w:r>
            <w:r>
              <w:rPr>
                <w:spacing w:val="-9"/>
                <w:sz w:val="28"/>
              </w:rPr>
              <w:t xml:space="preserve"> </w:t>
            </w:r>
            <w:r>
              <w:rPr>
                <w:sz w:val="28"/>
              </w:rPr>
              <w:t>клиническая</w:t>
            </w:r>
            <w:r>
              <w:rPr>
                <w:spacing w:val="-10"/>
                <w:sz w:val="28"/>
              </w:rPr>
              <w:t xml:space="preserve"> </w:t>
            </w:r>
            <w:r>
              <w:rPr>
                <w:spacing w:val="-2"/>
                <w:sz w:val="28"/>
              </w:rPr>
              <w:t>значимость………………………………..</w:t>
            </w:r>
          </w:p>
        </w:tc>
        <w:tc>
          <w:tcPr>
            <w:tcW w:w="917" w:type="dxa"/>
          </w:tcPr>
          <w:p w14:paraId="736BA3EF">
            <w:pPr>
              <w:pStyle w:val="11"/>
              <w:spacing w:line="315" w:lineRule="exact"/>
              <w:ind w:left="15"/>
              <w:rPr>
                <w:spacing w:val="-5"/>
                <w:sz w:val="28"/>
              </w:rPr>
            </w:pPr>
          </w:p>
          <w:p w14:paraId="037CFA78">
            <w:pPr>
              <w:pStyle w:val="11"/>
              <w:spacing w:line="315" w:lineRule="exact"/>
              <w:ind w:left="15"/>
              <w:rPr>
                <w:sz w:val="28"/>
              </w:rPr>
            </w:pPr>
            <w:r>
              <w:rPr>
                <w:spacing w:val="-5"/>
                <w:sz w:val="28"/>
              </w:rPr>
              <w:t>24</w:t>
            </w:r>
          </w:p>
        </w:tc>
      </w:tr>
      <w:tr w14:paraId="6AEACB30">
        <w:tblPrEx>
          <w:tblCellMar>
            <w:top w:w="0" w:type="dxa"/>
            <w:left w:w="0" w:type="dxa"/>
            <w:bottom w:w="0" w:type="dxa"/>
            <w:right w:w="0" w:type="dxa"/>
          </w:tblCellMar>
        </w:tblPrEx>
        <w:trPr>
          <w:trHeight w:val="643" w:hRule="atLeast"/>
        </w:trPr>
        <w:tc>
          <w:tcPr>
            <w:tcW w:w="8504" w:type="dxa"/>
          </w:tcPr>
          <w:p w14:paraId="0A62E6E8">
            <w:pPr>
              <w:pStyle w:val="11"/>
              <w:tabs>
                <w:tab w:val="left" w:pos="695"/>
                <w:tab w:val="left" w:pos="2674"/>
                <w:tab w:val="left" w:pos="4952"/>
                <w:tab w:val="left" w:pos="6084"/>
                <w:tab w:val="left" w:pos="7000"/>
                <w:tab w:val="left" w:pos="7945"/>
              </w:tabs>
              <w:spacing w:line="315" w:lineRule="exact"/>
              <w:ind w:left="105"/>
              <w:jc w:val="left"/>
              <w:rPr>
                <w:sz w:val="28"/>
              </w:rPr>
            </w:pPr>
            <w:r>
              <w:rPr>
                <w:spacing w:val="-5"/>
                <w:sz w:val="28"/>
              </w:rPr>
              <w:t>1.3</w:t>
            </w:r>
            <w:r>
              <w:rPr>
                <w:sz w:val="28"/>
              </w:rPr>
              <w:tab/>
            </w:r>
            <w:r>
              <w:rPr>
                <w:spacing w:val="-2"/>
                <w:sz w:val="28"/>
              </w:rPr>
              <w:t>Профилактика</w:t>
            </w:r>
            <w:r>
              <w:rPr>
                <w:sz w:val="28"/>
              </w:rPr>
              <w:tab/>
            </w:r>
            <w:r>
              <w:rPr>
                <w:spacing w:val="-2"/>
                <w:sz w:val="28"/>
              </w:rPr>
              <w:t>панкреатических</w:t>
            </w:r>
            <w:r>
              <w:rPr>
                <w:sz w:val="28"/>
              </w:rPr>
              <w:tab/>
            </w:r>
            <w:r>
              <w:rPr>
                <w:spacing w:val="-2"/>
                <w:sz w:val="28"/>
              </w:rPr>
              <w:t>свищей</w:t>
            </w:r>
            <w:r>
              <w:rPr>
                <w:sz w:val="28"/>
              </w:rPr>
              <w:tab/>
            </w:r>
            <w:r>
              <w:rPr>
                <w:spacing w:val="-2"/>
                <w:sz w:val="28"/>
              </w:rPr>
              <w:t>после</w:t>
            </w:r>
            <w:r>
              <w:rPr>
                <w:sz w:val="28"/>
              </w:rPr>
              <w:tab/>
            </w:r>
            <w:r>
              <w:rPr>
                <w:spacing w:val="-4"/>
                <w:sz w:val="28"/>
              </w:rPr>
              <w:t>ГПДР</w:t>
            </w:r>
            <w:r>
              <w:rPr>
                <w:sz w:val="28"/>
              </w:rPr>
              <w:tab/>
            </w:r>
            <w:r>
              <w:rPr>
                <w:spacing w:val="-5"/>
                <w:sz w:val="28"/>
              </w:rPr>
              <w:t>при</w:t>
            </w:r>
          </w:p>
          <w:p w14:paraId="0F40FAF8">
            <w:pPr>
              <w:pStyle w:val="11"/>
              <w:ind w:left="105"/>
              <w:jc w:val="left"/>
              <w:rPr>
                <w:sz w:val="28"/>
              </w:rPr>
            </w:pPr>
            <w:r>
              <w:rPr>
                <w:sz w:val="28"/>
              </w:rPr>
              <w:t>опухолях</w:t>
            </w:r>
            <w:r>
              <w:rPr>
                <w:spacing w:val="-15"/>
                <w:sz w:val="28"/>
              </w:rPr>
              <w:t xml:space="preserve"> </w:t>
            </w:r>
            <w:r>
              <w:rPr>
                <w:sz w:val="28"/>
              </w:rPr>
              <w:t>периампулярной</w:t>
            </w:r>
            <w:r>
              <w:rPr>
                <w:spacing w:val="-12"/>
                <w:sz w:val="28"/>
              </w:rPr>
              <w:t xml:space="preserve"> </w:t>
            </w:r>
            <w:r>
              <w:rPr>
                <w:spacing w:val="-4"/>
                <w:sz w:val="28"/>
              </w:rPr>
              <w:t>зоны…………………………………………</w:t>
            </w:r>
          </w:p>
        </w:tc>
        <w:tc>
          <w:tcPr>
            <w:tcW w:w="917" w:type="dxa"/>
          </w:tcPr>
          <w:p w14:paraId="4AE8C7C5">
            <w:pPr>
              <w:pStyle w:val="11"/>
              <w:spacing w:line="315" w:lineRule="exact"/>
              <w:ind w:left="15"/>
              <w:rPr>
                <w:spacing w:val="-5"/>
                <w:sz w:val="28"/>
              </w:rPr>
            </w:pPr>
          </w:p>
          <w:p w14:paraId="5F44BBF0">
            <w:pPr>
              <w:pStyle w:val="11"/>
              <w:spacing w:line="315" w:lineRule="exact"/>
              <w:ind w:left="15"/>
              <w:rPr>
                <w:sz w:val="28"/>
              </w:rPr>
            </w:pPr>
            <w:r>
              <w:rPr>
                <w:spacing w:val="-5"/>
                <w:sz w:val="28"/>
              </w:rPr>
              <w:t>28</w:t>
            </w:r>
          </w:p>
        </w:tc>
      </w:tr>
      <w:tr w14:paraId="304820C0">
        <w:tblPrEx>
          <w:tblCellMar>
            <w:top w:w="0" w:type="dxa"/>
            <w:left w:w="0" w:type="dxa"/>
            <w:bottom w:w="0" w:type="dxa"/>
            <w:right w:w="0" w:type="dxa"/>
          </w:tblCellMar>
        </w:tblPrEx>
        <w:trPr>
          <w:trHeight w:val="642" w:hRule="atLeast"/>
        </w:trPr>
        <w:tc>
          <w:tcPr>
            <w:tcW w:w="8504" w:type="dxa"/>
          </w:tcPr>
          <w:p w14:paraId="4C81EAF2">
            <w:pPr>
              <w:pStyle w:val="11"/>
              <w:spacing w:line="315" w:lineRule="exact"/>
              <w:ind w:left="105"/>
              <w:jc w:val="left"/>
              <w:rPr>
                <w:sz w:val="28"/>
              </w:rPr>
            </w:pPr>
            <w:r>
              <w:rPr>
                <w:spacing w:val="-2"/>
                <w:sz w:val="28"/>
              </w:rPr>
              <w:t>1.4</w:t>
            </w:r>
            <w:r>
              <w:rPr>
                <w:spacing w:val="-11"/>
                <w:sz w:val="28"/>
              </w:rPr>
              <w:t xml:space="preserve">  </w:t>
            </w:r>
            <w:r>
              <w:rPr>
                <w:spacing w:val="-2"/>
                <w:sz w:val="28"/>
              </w:rPr>
              <w:t>Панкреатоеюноанастомоз</w:t>
            </w:r>
            <w:r>
              <w:rPr>
                <w:spacing w:val="-6"/>
                <w:sz w:val="28"/>
              </w:rPr>
              <w:t xml:space="preserve"> </w:t>
            </w:r>
            <w:r>
              <w:rPr>
                <w:spacing w:val="-2"/>
                <w:sz w:val="28"/>
              </w:rPr>
              <w:t>как</w:t>
            </w:r>
            <w:r>
              <w:rPr>
                <w:spacing w:val="-11"/>
                <w:sz w:val="28"/>
              </w:rPr>
              <w:t xml:space="preserve"> </w:t>
            </w:r>
            <w:r>
              <w:rPr>
                <w:spacing w:val="-2"/>
                <w:sz w:val="28"/>
              </w:rPr>
              <w:t>ключевой</w:t>
            </w:r>
            <w:r>
              <w:rPr>
                <w:spacing w:val="-11"/>
                <w:sz w:val="28"/>
              </w:rPr>
              <w:t xml:space="preserve"> </w:t>
            </w:r>
            <w:r>
              <w:rPr>
                <w:spacing w:val="-2"/>
                <w:sz w:val="28"/>
              </w:rPr>
              <w:t>компонент</w:t>
            </w:r>
            <w:r>
              <w:rPr>
                <w:spacing w:val="-12"/>
                <w:sz w:val="28"/>
              </w:rPr>
              <w:t xml:space="preserve"> </w:t>
            </w:r>
            <w:r>
              <w:rPr>
                <w:spacing w:val="-2"/>
                <w:sz w:val="28"/>
              </w:rPr>
              <w:t>профилактики</w:t>
            </w:r>
          </w:p>
          <w:p w14:paraId="2F1F1F28">
            <w:pPr>
              <w:pStyle w:val="11"/>
              <w:ind w:left="105"/>
              <w:jc w:val="left"/>
              <w:rPr>
                <w:sz w:val="28"/>
              </w:rPr>
            </w:pPr>
            <w:r>
              <w:rPr>
                <w:sz w:val="28"/>
              </w:rPr>
              <w:t>панкреатических</w:t>
            </w:r>
            <w:r>
              <w:rPr>
                <w:spacing w:val="-14"/>
                <w:sz w:val="28"/>
              </w:rPr>
              <w:t xml:space="preserve"> </w:t>
            </w:r>
            <w:r>
              <w:rPr>
                <w:sz w:val="28"/>
              </w:rPr>
              <w:t>свищей</w:t>
            </w:r>
            <w:r>
              <w:rPr>
                <w:spacing w:val="-9"/>
                <w:sz w:val="28"/>
              </w:rPr>
              <w:t xml:space="preserve"> </w:t>
            </w:r>
            <w:r>
              <w:rPr>
                <w:sz w:val="28"/>
              </w:rPr>
              <w:t>после</w:t>
            </w:r>
            <w:r>
              <w:rPr>
                <w:spacing w:val="-9"/>
                <w:sz w:val="28"/>
              </w:rPr>
              <w:t xml:space="preserve"> </w:t>
            </w:r>
            <w:r>
              <w:rPr>
                <w:sz w:val="28"/>
              </w:rPr>
              <w:t>ГПДР:</w:t>
            </w:r>
            <w:r>
              <w:rPr>
                <w:spacing w:val="-14"/>
                <w:sz w:val="28"/>
              </w:rPr>
              <w:t xml:space="preserve"> </w:t>
            </w:r>
            <w:r>
              <w:rPr>
                <w:sz w:val="28"/>
              </w:rPr>
              <w:t>сравнение</w:t>
            </w:r>
            <w:r>
              <w:rPr>
                <w:spacing w:val="-9"/>
                <w:sz w:val="28"/>
              </w:rPr>
              <w:t xml:space="preserve"> </w:t>
            </w:r>
            <w:r>
              <w:rPr>
                <w:spacing w:val="-2"/>
                <w:sz w:val="28"/>
              </w:rPr>
              <w:t>техник……………..</w:t>
            </w:r>
          </w:p>
        </w:tc>
        <w:tc>
          <w:tcPr>
            <w:tcW w:w="917" w:type="dxa"/>
          </w:tcPr>
          <w:p w14:paraId="57FB01D2">
            <w:pPr>
              <w:pStyle w:val="11"/>
              <w:spacing w:line="315" w:lineRule="exact"/>
              <w:ind w:left="15" w:right="1"/>
              <w:rPr>
                <w:spacing w:val="-5"/>
                <w:sz w:val="28"/>
              </w:rPr>
            </w:pPr>
          </w:p>
          <w:p w14:paraId="5381A948">
            <w:pPr>
              <w:pStyle w:val="11"/>
              <w:spacing w:line="315" w:lineRule="exact"/>
              <w:ind w:left="15" w:right="1"/>
              <w:rPr>
                <w:sz w:val="28"/>
              </w:rPr>
            </w:pPr>
            <w:r>
              <w:rPr>
                <w:spacing w:val="-5"/>
                <w:sz w:val="28"/>
              </w:rPr>
              <w:t>30</w:t>
            </w:r>
          </w:p>
        </w:tc>
      </w:tr>
      <w:tr w14:paraId="0248F0DD">
        <w:tblPrEx>
          <w:tblCellMar>
            <w:top w:w="0" w:type="dxa"/>
            <w:left w:w="0" w:type="dxa"/>
            <w:bottom w:w="0" w:type="dxa"/>
            <w:right w:w="0" w:type="dxa"/>
          </w:tblCellMar>
        </w:tblPrEx>
        <w:trPr>
          <w:trHeight w:val="326" w:hRule="atLeast"/>
        </w:trPr>
        <w:tc>
          <w:tcPr>
            <w:tcW w:w="8504" w:type="dxa"/>
          </w:tcPr>
          <w:p w14:paraId="5A1D2750">
            <w:pPr>
              <w:pStyle w:val="11"/>
              <w:spacing w:line="306" w:lineRule="exact"/>
              <w:ind w:left="105"/>
              <w:jc w:val="left"/>
              <w:rPr>
                <w:sz w:val="28"/>
              </w:rPr>
            </w:pPr>
            <w:r>
              <w:rPr>
                <w:sz w:val="28"/>
              </w:rPr>
              <w:t>1.5</w:t>
            </w:r>
            <w:r>
              <w:rPr>
                <w:spacing w:val="-10"/>
                <w:sz w:val="28"/>
              </w:rPr>
              <w:t xml:space="preserve"> </w:t>
            </w:r>
            <w:r>
              <w:rPr>
                <w:sz w:val="28"/>
              </w:rPr>
              <w:t>Нерешённые</w:t>
            </w:r>
            <w:r>
              <w:rPr>
                <w:spacing w:val="-9"/>
                <w:sz w:val="28"/>
              </w:rPr>
              <w:t xml:space="preserve"> </w:t>
            </w:r>
            <w:r>
              <w:rPr>
                <w:sz w:val="28"/>
              </w:rPr>
              <w:t>вопросы</w:t>
            </w:r>
            <w:r>
              <w:rPr>
                <w:spacing w:val="-10"/>
                <w:sz w:val="28"/>
              </w:rPr>
              <w:t xml:space="preserve"> </w:t>
            </w:r>
            <w:r>
              <w:rPr>
                <w:sz w:val="28"/>
              </w:rPr>
              <w:t>и</w:t>
            </w:r>
            <w:r>
              <w:rPr>
                <w:spacing w:val="-10"/>
                <w:sz w:val="28"/>
              </w:rPr>
              <w:t xml:space="preserve"> </w:t>
            </w:r>
            <w:r>
              <w:rPr>
                <w:sz w:val="28"/>
              </w:rPr>
              <w:t>обоснование</w:t>
            </w:r>
            <w:r>
              <w:rPr>
                <w:spacing w:val="-4"/>
                <w:sz w:val="28"/>
              </w:rPr>
              <w:t xml:space="preserve"> </w:t>
            </w:r>
            <w:r>
              <w:rPr>
                <w:sz w:val="28"/>
              </w:rPr>
              <w:t>собственного</w:t>
            </w:r>
            <w:r>
              <w:rPr>
                <w:spacing w:val="-9"/>
                <w:sz w:val="28"/>
              </w:rPr>
              <w:t xml:space="preserve"> </w:t>
            </w:r>
            <w:r>
              <w:rPr>
                <w:spacing w:val="-2"/>
                <w:sz w:val="28"/>
              </w:rPr>
              <w:t>подхода……...</w:t>
            </w:r>
          </w:p>
        </w:tc>
        <w:tc>
          <w:tcPr>
            <w:tcW w:w="917" w:type="dxa"/>
          </w:tcPr>
          <w:p w14:paraId="2B79FF6E">
            <w:pPr>
              <w:pStyle w:val="11"/>
              <w:spacing w:line="306" w:lineRule="exact"/>
              <w:ind w:left="15"/>
              <w:rPr>
                <w:sz w:val="28"/>
              </w:rPr>
            </w:pPr>
            <w:r>
              <w:rPr>
                <w:spacing w:val="-5"/>
                <w:sz w:val="28"/>
              </w:rPr>
              <w:t>32</w:t>
            </w:r>
          </w:p>
        </w:tc>
      </w:tr>
      <w:tr w14:paraId="3358211D">
        <w:tblPrEx>
          <w:tblCellMar>
            <w:top w:w="0" w:type="dxa"/>
            <w:left w:w="0" w:type="dxa"/>
            <w:bottom w:w="0" w:type="dxa"/>
            <w:right w:w="0" w:type="dxa"/>
          </w:tblCellMar>
        </w:tblPrEx>
        <w:trPr>
          <w:trHeight w:val="321" w:hRule="atLeast"/>
        </w:trPr>
        <w:tc>
          <w:tcPr>
            <w:tcW w:w="8504" w:type="dxa"/>
          </w:tcPr>
          <w:p w14:paraId="434CEFDA">
            <w:pPr>
              <w:pStyle w:val="11"/>
              <w:spacing w:line="301" w:lineRule="exact"/>
              <w:ind w:left="105"/>
              <w:jc w:val="left"/>
              <w:rPr>
                <w:b/>
                <w:sz w:val="28"/>
              </w:rPr>
            </w:pPr>
            <w:r>
              <w:rPr>
                <w:b/>
                <w:sz w:val="28"/>
              </w:rPr>
              <w:t>2</w:t>
            </w:r>
            <w:r>
              <w:rPr>
                <w:b/>
                <w:spacing w:val="-6"/>
                <w:sz w:val="28"/>
              </w:rPr>
              <w:t xml:space="preserve"> </w:t>
            </w:r>
            <w:r>
              <w:rPr>
                <w:b/>
                <w:sz w:val="28"/>
              </w:rPr>
              <w:t>МАТЕРИАЛЫ</w:t>
            </w:r>
            <w:r>
              <w:rPr>
                <w:b/>
                <w:spacing w:val="-5"/>
                <w:sz w:val="28"/>
              </w:rPr>
              <w:t xml:space="preserve"> </w:t>
            </w:r>
            <w:r>
              <w:rPr>
                <w:b/>
                <w:sz w:val="28"/>
              </w:rPr>
              <w:t>И</w:t>
            </w:r>
            <w:r>
              <w:rPr>
                <w:b/>
                <w:spacing w:val="-11"/>
                <w:sz w:val="28"/>
              </w:rPr>
              <w:t xml:space="preserve"> </w:t>
            </w:r>
            <w:r>
              <w:rPr>
                <w:b/>
                <w:sz w:val="28"/>
              </w:rPr>
              <w:t>МЕТОДЫ</w:t>
            </w:r>
            <w:r>
              <w:rPr>
                <w:b/>
                <w:spacing w:val="-5"/>
                <w:sz w:val="28"/>
              </w:rPr>
              <w:t xml:space="preserve"> </w:t>
            </w:r>
            <w:r>
              <w:rPr>
                <w:b/>
                <w:spacing w:val="-2"/>
                <w:sz w:val="28"/>
              </w:rPr>
              <w:t>ИССЛЕДОВАНИЯ………………….</w:t>
            </w:r>
          </w:p>
        </w:tc>
        <w:tc>
          <w:tcPr>
            <w:tcW w:w="917" w:type="dxa"/>
          </w:tcPr>
          <w:p w14:paraId="799A666B">
            <w:pPr>
              <w:pStyle w:val="11"/>
              <w:spacing w:line="301" w:lineRule="exact"/>
              <w:ind w:left="15"/>
              <w:rPr>
                <w:sz w:val="28"/>
              </w:rPr>
            </w:pPr>
            <w:r>
              <w:rPr>
                <w:spacing w:val="-5"/>
                <w:sz w:val="28"/>
              </w:rPr>
              <w:t>35</w:t>
            </w:r>
          </w:p>
        </w:tc>
      </w:tr>
      <w:tr w14:paraId="39CDEC09">
        <w:tblPrEx>
          <w:tblCellMar>
            <w:top w:w="0" w:type="dxa"/>
            <w:left w:w="0" w:type="dxa"/>
            <w:bottom w:w="0" w:type="dxa"/>
            <w:right w:w="0" w:type="dxa"/>
          </w:tblCellMar>
        </w:tblPrEx>
        <w:trPr>
          <w:trHeight w:val="321" w:hRule="atLeast"/>
        </w:trPr>
        <w:tc>
          <w:tcPr>
            <w:tcW w:w="8504" w:type="dxa"/>
          </w:tcPr>
          <w:p w14:paraId="56FB3452">
            <w:pPr>
              <w:pStyle w:val="11"/>
              <w:spacing w:line="302" w:lineRule="exact"/>
              <w:ind w:left="105"/>
              <w:jc w:val="left"/>
              <w:rPr>
                <w:sz w:val="28"/>
              </w:rPr>
            </w:pPr>
            <w:r>
              <w:rPr>
                <w:sz w:val="28"/>
              </w:rPr>
              <w:t>2.1</w:t>
            </w:r>
            <w:r>
              <w:rPr>
                <w:spacing w:val="-9"/>
                <w:sz w:val="28"/>
              </w:rPr>
              <w:t xml:space="preserve"> </w:t>
            </w:r>
            <w:r>
              <w:rPr>
                <w:sz w:val="28"/>
              </w:rPr>
              <w:t>Общая</w:t>
            </w:r>
            <w:r>
              <w:rPr>
                <w:spacing w:val="-11"/>
                <w:sz w:val="28"/>
              </w:rPr>
              <w:t xml:space="preserve"> </w:t>
            </w:r>
            <w:r>
              <w:rPr>
                <w:sz w:val="28"/>
              </w:rPr>
              <w:t>характеристика</w:t>
            </w:r>
            <w:r>
              <w:rPr>
                <w:spacing w:val="-8"/>
                <w:sz w:val="28"/>
              </w:rPr>
              <w:t xml:space="preserve"> </w:t>
            </w:r>
            <w:r>
              <w:rPr>
                <w:spacing w:val="-2"/>
                <w:sz w:val="28"/>
              </w:rPr>
              <w:t>исследования………………………………..</w:t>
            </w:r>
          </w:p>
        </w:tc>
        <w:tc>
          <w:tcPr>
            <w:tcW w:w="917" w:type="dxa"/>
          </w:tcPr>
          <w:p w14:paraId="7E12FF02">
            <w:pPr>
              <w:pStyle w:val="11"/>
              <w:spacing w:line="302" w:lineRule="exact"/>
              <w:ind w:left="15"/>
              <w:rPr>
                <w:sz w:val="28"/>
              </w:rPr>
            </w:pPr>
            <w:r>
              <w:rPr>
                <w:spacing w:val="-5"/>
                <w:sz w:val="28"/>
              </w:rPr>
              <w:t>35</w:t>
            </w:r>
          </w:p>
        </w:tc>
      </w:tr>
      <w:tr w14:paraId="70D51C92">
        <w:tblPrEx>
          <w:tblCellMar>
            <w:top w:w="0" w:type="dxa"/>
            <w:left w:w="0" w:type="dxa"/>
            <w:bottom w:w="0" w:type="dxa"/>
            <w:right w:w="0" w:type="dxa"/>
          </w:tblCellMar>
        </w:tblPrEx>
        <w:trPr>
          <w:trHeight w:val="642" w:hRule="atLeast"/>
        </w:trPr>
        <w:tc>
          <w:tcPr>
            <w:tcW w:w="8504" w:type="dxa"/>
          </w:tcPr>
          <w:p w14:paraId="2BE4D5EF">
            <w:pPr>
              <w:pStyle w:val="11"/>
              <w:spacing w:line="315" w:lineRule="exact"/>
              <w:ind w:left="105"/>
              <w:jc w:val="left"/>
              <w:rPr>
                <w:sz w:val="28"/>
              </w:rPr>
            </w:pPr>
            <w:r>
              <w:rPr>
                <w:sz w:val="28"/>
              </w:rPr>
              <w:t>2.1.1</w:t>
            </w:r>
            <w:r>
              <w:rPr>
                <w:spacing w:val="-10"/>
                <w:sz w:val="28"/>
              </w:rPr>
              <w:t xml:space="preserve"> </w:t>
            </w:r>
            <w:r>
              <w:rPr>
                <w:sz w:val="28"/>
              </w:rPr>
              <w:t>Дизайн</w:t>
            </w:r>
            <w:r>
              <w:rPr>
                <w:spacing w:val="-9"/>
                <w:sz w:val="28"/>
              </w:rPr>
              <w:t xml:space="preserve"> </w:t>
            </w:r>
            <w:r>
              <w:rPr>
                <w:sz w:val="28"/>
              </w:rPr>
              <w:t>исследования</w:t>
            </w:r>
            <w:r>
              <w:rPr>
                <w:spacing w:val="-9"/>
                <w:sz w:val="28"/>
              </w:rPr>
              <w:t xml:space="preserve"> </w:t>
            </w:r>
            <w:r>
              <w:rPr>
                <w:sz w:val="28"/>
              </w:rPr>
              <w:t>и</w:t>
            </w:r>
            <w:r>
              <w:rPr>
                <w:spacing w:val="-10"/>
                <w:sz w:val="28"/>
              </w:rPr>
              <w:t xml:space="preserve"> </w:t>
            </w:r>
            <w:r>
              <w:rPr>
                <w:sz w:val="28"/>
              </w:rPr>
              <w:t>характеристика</w:t>
            </w:r>
            <w:r>
              <w:rPr>
                <w:spacing w:val="-8"/>
                <w:sz w:val="28"/>
              </w:rPr>
              <w:t xml:space="preserve"> </w:t>
            </w:r>
            <w:r>
              <w:rPr>
                <w:spacing w:val="-2"/>
                <w:sz w:val="28"/>
              </w:rPr>
              <w:t>клинического</w:t>
            </w:r>
          </w:p>
          <w:p w14:paraId="04F0024D">
            <w:pPr>
              <w:pStyle w:val="11"/>
              <w:ind w:left="105"/>
              <w:jc w:val="left"/>
              <w:rPr>
                <w:sz w:val="28"/>
              </w:rPr>
            </w:pPr>
            <w:r>
              <w:rPr>
                <w:spacing w:val="-2"/>
                <w:sz w:val="28"/>
              </w:rPr>
              <w:t>материала………………………………………………………………….</w:t>
            </w:r>
          </w:p>
        </w:tc>
        <w:tc>
          <w:tcPr>
            <w:tcW w:w="917" w:type="dxa"/>
          </w:tcPr>
          <w:p w14:paraId="0694FA99">
            <w:pPr>
              <w:pStyle w:val="11"/>
              <w:spacing w:line="315" w:lineRule="exact"/>
              <w:ind w:left="15"/>
              <w:rPr>
                <w:spacing w:val="-5"/>
                <w:sz w:val="28"/>
              </w:rPr>
            </w:pPr>
          </w:p>
          <w:p w14:paraId="1C5E8305">
            <w:pPr>
              <w:pStyle w:val="11"/>
              <w:spacing w:line="315" w:lineRule="exact"/>
              <w:ind w:left="15"/>
              <w:rPr>
                <w:sz w:val="28"/>
              </w:rPr>
            </w:pPr>
            <w:r>
              <w:rPr>
                <w:spacing w:val="-5"/>
                <w:sz w:val="28"/>
              </w:rPr>
              <w:t>35</w:t>
            </w:r>
          </w:p>
        </w:tc>
      </w:tr>
      <w:tr w14:paraId="1EF43849">
        <w:tblPrEx>
          <w:tblCellMar>
            <w:top w:w="0" w:type="dxa"/>
            <w:left w:w="0" w:type="dxa"/>
            <w:bottom w:w="0" w:type="dxa"/>
            <w:right w:w="0" w:type="dxa"/>
          </w:tblCellMar>
        </w:tblPrEx>
        <w:trPr>
          <w:trHeight w:val="321" w:hRule="atLeast"/>
        </w:trPr>
        <w:tc>
          <w:tcPr>
            <w:tcW w:w="8504" w:type="dxa"/>
          </w:tcPr>
          <w:p w14:paraId="3AB6115D">
            <w:pPr>
              <w:pStyle w:val="11"/>
              <w:spacing w:line="301" w:lineRule="exact"/>
              <w:ind w:left="105"/>
              <w:jc w:val="left"/>
              <w:rPr>
                <w:sz w:val="28"/>
              </w:rPr>
            </w:pPr>
            <w:r>
              <w:rPr>
                <w:sz w:val="28"/>
              </w:rPr>
              <w:t>2.1.2</w:t>
            </w:r>
            <w:r>
              <w:rPr>
                <w:spacing w:val="-8"/>
                <w:sz w:val="28"/>
              </w:rPr>
              <w:t xml:space="preserve"> </w:t>
            </w:r>
            <w:r>
              <w:rPr>
                <w:sz w:val="28"/>
              </w:rPr>
              <w:t>Критерии</w:t>
            </w:r>
            <w:r>
              <w:rPr>
                <w:spacing w:val="-7"/>
                <w:sz w:val="28"/>
              </w:rPr>
              <w:t xml:space="preserve"> </w:t>
            </w:r>
            <w:r>
              <w:rPr>
                <w:sz w:val="28"/>
              </w:rPr>
              <w:t>включения</w:t>
            </w:r>
            <w:r>
              <w:rPr>
                <w:spacing w:val="-6"/>
                <w:sz w:val="28"/>
              </w:rPr>
              <w:t xml:space="preserve"> </w:t>
            </w:r>
            <w:r>
              <w:rPr>
                <w:sz w:val="28"/>
              </w:rPr>
              <w:t>и</w:t>
            </w:r>
            <w:r>
              <w:rPr>
                <w:spacing w:val="-7"/>
                <w:sz w:val="28"/>
              </w:rPr>
              <w:t xml:space="preserve"> </w:t>
            </w:r>
            <w:r>
              <w:rPr>
                <w:spacing w:val="-2"/>
                <w:sz w:val="28"/>
              </w:rPr>
              <w:t>исключения……………………………….</w:t>
            </w:r>
          </w:p>
        </w:tc>
        <w:tc>
          <w:tcPr>
            <w:tcW w:w="917" w:type="dxa"/>
          </w:tcPr>
          <w:p w14:paraId="75C4EE3B">
            <w:pPr>
              <w:pStyle w:val="11"/>
              <w:spacing w:line="301" w:lineRule="exact"/>
              <w:ind w:left="15"/>
              <w:rPr>
                <w:sz w:val="28"/>
              </w:rPr>
            </w:pPr>
            <w:r>
              <w:rPr>
                <w:spacing w:val="-5"/>
                <w:sz w:val="28"/>
              </w:rPr>
              <w:t>36</w:t>
            </w:r>
          </w:p>
        </w:tc>
      </w:tr>
      <w:tr w14:paraId="1F8AA1C7">
        <w:tblPrEx>
          <w:tblCellMar>
            <w:top w:w="0" w:type="dxa"/>
            <w:left w:w="0" w:type="dxa"/>
            <w:bottom w:w="0" w:type="dxa"/>
            <w:right w:w="0" w:type="dxa"/>
          </w:tblCellMar>
        </w:tblPrEx>
        <w:trPr>
          <w:trHeight w:val="321" w:hRule="atLeast"/>
        </w:trPr>
        <w:tc>
          <w:tcPr>
            <w:tcW w:w="8504" w:type="dxa"/>
          </w:tcPr>
          <w:p w14:paraId="1A1FFCE6">
            <w:pPr>
              <w:pStyle w:val="11"/>
              <w:spacing w:line="301" w:lineRule="exact"/>
              <w:ind w:left="105"/>
              <w:jc w:val="left"/>
              <w:rPr>
                <w:sz w:val="28"/>
              </w:rPr>
            </w:pPr>
            <w:r>
              <w:rPr>
                <w:sz w:val="28"/>
              </w:rPr>
              <w:t>2.2</w:t>
            </w:r>
            <w:r>
              <w:rPr>
                <w:spacing w:val="-5"/>
                <w:sz w:val="28"/>
              </w:rPr>
              <w:t xml:space="preserve"> </w:t>
            </w:r>
            <w:r>
              <w:rPr>
                <w:sz w:val="28"/>
              </w:rPr>
              <w:t>Методы</w:t>
            </w:r>
            <w:r>
              <w:rPr>
                <w:spacing w:val="-4"/>
                <w:sz w:val="28"/>
              </w:rPr>
              <w:t xml:space="preserve"> </w:t>
            </w:r>
            <w:r>
              <w:rPr>
                <w:spacing w:val="-2"/>
                <w:sz w:val="28"/>
              </w:rPr>
              <w:t>исследования…………………………………………………</w:t>
            </w:r>
          </w:p>
        </w:tc>
        <w:tc>
          <w:tcPr>
            <w:tcW w:w="917" w:type="dxa"/>
          </w:tcPr>
          <w:p w14:paraId="5835B5C1">
            <w:pPr>
              <w:pStyle w:val="11"/>
              <w:spacing w:line="301" w:lineRule="exact"/>
              <w:ind w:left="15"/>
              <w:rPr>
                <w:sz w:val="28"/>
              </w:rPr>
            </w:pPr>
            <w:r>
              <w:rPr>
                <w:spacing w:val="-5"/>
                <w:sz w:val="28"/>
              </w:rPr>
              <w:t>37</w:t>
            </w:r>
          </w:p>
        </w:tc>
      </w:tr>
      <w:tr w14:paraId="7524A6F4">
        <w:tblPrEx>
          <w:tblCellMar>
            <w:top w:w="0" w:type="dxa"/>
            <w:left w:w="0" w:type="dxa"/>
            <w:bottom w:w="0" w:type="dxa"/>
            <w:right w:w="0" w:type="dxa"/>
          </w:tblCellMar>
        </w:tblPrEx>
        <w:trPr>
          <w:trHeight w:val="326" w:hRule="atLeast"/>
        </w:trPr>
        <w:tc>
          <w:tcPr>
            <w:tcW w:w="8504" w:type="dxa"/>
          </w:tcPr>
          <w:p w14:paraId="246D2204">
            <w:pPr>
              <w:pStyle w:val="11"/>
              <w:spacing w:line="306" w:lineRule="exact"/>
              <w:ind w:left="105"/>
              <w:jc w:val="left"/>
              <w:rPr>
                <w:sz w:val="28"/>
              </w:rPr>
            </w:pPr>
            <w:r>
              <w:rPr>
                <w:sz w:val="28"/>
              </w:rPr>
              <w:t>2.2.1</w:t>
            </w:r>
            <w:r>
              <w:rPr>
                <w:spacing w:val="-8"/>
                <w:sz w:val="28"/>
              </w:rPr>
              <w:t xml:space="preserve"> </w:t>
            </w:r>
            <w:r>
              <w:rPr>
                <w:sz w:val="28"/>
              </w:rPr>
              <w:t>Статистический</w:t>
            </w:r>
            <w:r>
              <w:rPr>
                <w:spacing w:val="-8"/>
                <w:sz w:val="28"/>
              </w:rPr>
              <w:t xml:space="preserve"> </w:t>
            </w:r>
            <w:r>
              <w:rPr>
                <w:sz w:val="28"/>
              </w:rPr>
              <w:t>анализ</w:t>
            </w:r>
            <w:r>
              <w:rPr>
                <w:spacing w:val="-7"/>
                <w:sz w:val="28"/>
              </w:rPr>
              <w:t xml:space="preserve"> </w:t>
            </w:r>
            <w:r>
              <w:rPr>
                <w:sz w:val="28"/>
              </w:rPr>
              <w:t>ГПДР</w:t>
            </w:r>
            <w:r>
              <w:rPr>
                <w:spacing w:val="-9"/>
                <w:sz w:val="28"/>
              </w:rPr>
              <w:t xml:space="preserve"> </w:t>
            </w:r>
            <w:r>
              <w:rPr>
                <w:sz w:val="28"/>
              </w:rPr>
              <w:t>в</w:t>
            </w:r>
            <w:r>
              <w:rPr>
                <w:spacing w:val="-9"/>
                <w:sz w:val="28"/>
              </w:rPr>
              <w:t xml:space="preserve"> </w:t>
            </w:r>
            <w:r>
              <w:rPr>
                <w:spacing w:val="-2"/>
                <w:sz w:val="28"/>
              </w:rPr>
              <w:t>Казахстане………………………</w:t>
            </w:r>
          </w:p>
        </w:tc>
        <w:tc>
          <w:tcPr>
            <w:tcW w:w="917" w:type="dxa"/>
          </w:tcPr>
          <w:p w14:paraId="09BEBB50">
            <w:pPr>
              <w:pStyle w:val="11"/>
              <w:spacing w:line="306" w:lineRule="exact"/>
              <w:ind w:left="15"/>
              <w:rPr>
                <w:sz w:val="28"/>
              </w:rPr>
            </w:pPr>
            <w:r>
              <w:rPr>
                <w:spacing w:val="-5"/>
                <w:sz w:val="28"/>
              </w:rPr>
              <w:t>37</w:t>
            </w:r>
          </w:p>
        </w:tc>
      </w:tr>
      <w:tr w14:paraId="79CC0D3D">
        <w:tblPrEx>
          <w:tblCellMar>
            <w:top w:w="0" w:type="dxa"/>
            <w:left w:w="0" w:type="dxa"/>
            <w:bottom w:w="0" w:type="dxa"/>
            <w:right w:w="0" w:type="dxa"/>
          </w:tblCellMar>
        </w:tblPrEx>
        <w:trPr>
          <w:trHeight w:val="321" w:hRule="atLeast"/>
        </w:trPr>
        <w:tc>
          <w:tcPr>
            <w:tcW w:w="8504" w:type="dxa"/>
          </w:tcPr>
          <w:p w14:paraId="1A25D601">
            <w:pPr>
              <w:pStyle w:val="11"/>
              <w:spacing w:line="301" w:lineRule="exact"/>
              <w:ind w:left="105"/>
              <w:jc w:val="left"/>
              <w:rPr>
                <w:sz w:val="28"/>
              </w:rPr>
            </w:pPr>
            <w:r>
              <w:rPr>
                <w:sz w:val="28"/>
              </w:rPr>
              <w:t>2.2.2</w:t>
            </w:r>
            <w:r>
              <w:rPr>
                <w:spacing w:val="-11"/>
                <w:sz w:val="28"/>
              </w:rPr>
              <w:t xml:space="preserve"> </w:t>
            </w:r>
            <w:r>
              <w:rPr>
                <w:sz w:val="28"/>
              </w:rPr>
              <w:t>Анализ</w:t>
            </w:r>
            <w:r>
              <w:rPr>
                <w:spacing w:val="-10"/>
                <w:sz w:val="28"/>
              </w:rPr>
              <w:t xml:space="preserve"> </w:t>
            </w:r>
            <w:r>
              <w:rPr>
                <w:sz w:val="28"/>
              </w:rPr>
              <w:t>частоты</w:t>
            </w:r>
            <w:r>
              <w:rPr>
                <w:spacing w:val="-10"/>
                <w:sz w:val="28"/>
              </w:rPr>
              <w:t xml:space="preserve"> </w:t>
            </w:r>
            <w:r>
              <w:rPr>
                <w:sz w:val="28"/>
              </w:rPr>
              <w:t>развития</w:t>
            </w:r>
            <w:r>
              <w:rPr>
                <w:spacing w:val="-10"/>
                <w:sz w:val="28"/>
              </w:rPr>
              <w:t xml:space="preserve"> </w:t>
            </w:r>
            <w:r>
              <w:rPr>
                <w:sz w:val="28"/>
              </w:rPr>
              <w:t>панкреатических</w:t>
            </w:r>
            <w:r>
              <w:rPr>
                <w:spacing w:val="-13"/>
                <w:sz w:val="28"/>
              </w:rPr>
              <w:t xml:space="preserve"> </w:t>
            </w:r>
            <w:r>
              <w:rPr>
                <w:spacing w:val="-2"/>
                <w:sz w:val="28"/>
              </w:rPr>
              <w:t>свищей………………</w:t>
            </w:r>
          </w:p>
        </w:tc>
        <w:tc>
          <w:tcPr>
            <w:tcW w:w="917" w:type="dxa"/>
          </w:tcPr>
          <w:p w14:paraId="388FA57A">
            <w:pPr>
              <w:pStyle w:val="11"/>
              <w:spacing w:line="301" w:lineRule="exact"/>
              <w:ind w:left="15"/>
              <w:rPr>
                <w:sz w:val="28"/>
              </w:rPr>
            </w:pPr>
            <w:r>
              <w:rPr>
                <w:spacing w:val="-5"/>
                <w:sz w:val="28"/>
              </w:rPr>
              <w:t>37</w:t>
            </w:r>
          </w:p>
        </w:tc>
      </w:tr>
      <w:tr w14:paraId="5862C340">
        <w:tblPrEx>
          <w:tblCellMar>
            <w:top w:w="0" w:type="dxa"/>
            <w:left w:w="0" w:type="dxa"/>
            <w:bottom w:w="0" w:type="dxa"/>
            <w:right w:w="0" w:type="dxa"/>
          </w:tblCellMar>
        </w:tblPrEx>
        <w:trPr>
          <w:trHeight w:val="321" w:hRule="atLeast"/>
        </w:trPr>
        <w:tc>
          <w:tcPr>
            <w:tcW w:w="8504" w:type="dxa"/>
          </w:tcPr>
          <w:p w14:paraId="2424C7C9">
            <w:pPr>
              <w:pStyle w:val="11"/>
              <w:spacing w:line="301" w:lineRule="exact"/>
              <w:ind w:left="105"/>
              <w:jc w:val="left"/>
              <w:rPr>
                <w:sz w:val="28"/>
              </w:rPr>
            </w:pPr>
            <w:r>
              <w:rPr>
                <w:sz w:val="28"/>
              </w:rPr>
              <w:t>2.2.3</w:t>
            </w:r>
            <w:r>
              <w:rPr>
                <w:spacing w:val="55"/>
                <w:sz w:val="28"/>
              </w:rPr>
              <w:t xml:space="preserve"> </w:t>
            </w:r>
            <w:r>
              <w:rPr>
                <w:sz w:val="28"/>
              </w:rPr>
              <w:t>Выявление</w:t>
            </w:r>
            <w:r>
              <w:rPr>
                <w:spacing w:val="-6"/>
                <w:sz w:val="28"/>
              </w:rPr>
              <w:t xml:space="preserve"> </w:t>
            </w:r>
            <w:r>
              <w:rPr>
                <w:sz w:val="28"/>
              </w:rPr>
              <w:t>факторов</w:t>
            </w:r>
            <w:r>
              <w:rPr>
                <w:spacing w:val="-9"/>
                <w:sz w:val="28"/>
              </w:rPr>
              <w:t xml:space="preserve"> </w:t>
            </w:r>
            <w:r>
              <w:rPr>
                <w:sz w:val="28"/>
              </w:rPr>
              <w:t>риска</w:t>
            </w:r>
            <w:r>
              <w:rPr>
                <w:spacing w:val="-6"/>
                <w:sz w:val="28"/>
              </w:rPr>
              <w:t xml:space="preserve"> </w:t>
            </w:r>
            <w:r>
              <w:rPr>
                <w:sz w:val="28"/>
              </w:rPr>
              <w:t>формирования</w:t>
            </w:r>
            <w:r>
              <w:rPr>
                <w:spacing w:val="-7"/>
                <w:sz w:val="28"/>
              </w:rPr>
              <w:t xml:space="preserve"> </w:t>
            </w:r>
            <w:r>
              <w:rPr>
                <w:spacing w:val="-2"/>
                <w:sz w:val="28"/>
              </w:rPr>
              <w:t>свищей……………...</w:t>
            </w:r>
          </w:p>
        </w:tc>
        <w:tc>
          <w:tcPr>
            <w:tcW w:w="917" w:type="dxa"/>
          </w:tcPr>
          <w:p w14:paraId="32112FC7">
            <w:pPr>
              <w:pStyle w:val="11"/>
              <w:spacing w:line="301" w:lineRule="exact"/>
              <w:ind w:left="15"/>
              <w:rPr>
                <w:sz w:val="28"/>
              </w:rPr>
            </w:pPr>
            <w:r>
              <w:rPr>
                <w:spacing w:val="-5"/>
                <w:sz w:val="28"/>
              </w:rPr>
              <w:t>37</w:t>
            </w:r>
          </w:p>
        </w:tc>
      </w:tr>
      <w:tr w14:paraId="0BD8C26B">
        <w:tblPrEx>
          <w:tblCellMar>
            <w:top w:w="0" w:type="dxa"/>
            <w:left w:w="0" w:type="dxa"/>
            <w:bottom w:w="0" w:type="dxa"/>
            <w:right w:w="0" w:type="dxa"/>
          </w:tblCellMar>
        </w:tblPrEx>
        <w:trPr>
          <w:trHeight w:val="321" w:hRule="atLeast"/>
        </w:trPr>
        <w:tc>
          <w:tcPr>
            <w:tcW w:w="8504" w:type="dxa"/>
          </w:tcPr>
          <w:p w14:paraId="5FE965E9">
            <w:pPr>
              <w:pStyle w:val="11"/>
              <w:spacing w:line="301" w:lineRule="exact"/>
              <w:ind w:left="105"/>
              <w:jc w:val="left"/>
              <w:rPr>
                <w:sz w:val="28"/>
              </w:rPr>
            </w:pPr>
            <w:r>
              <w:rPr>
                <w:sz w:val="28"/>
              </w:rPr>
              <w:t>2.2.4</w:t>
            </w:r>
            <w:r>
              <w:rPr>
                <w:spacing w:val="-12"/>
                <w:sz w:val="28"/>
              </w:rPr>
              <w:t xml:space="preserve"> </w:t>
            </w:r>
            <w:r>
              <w:rPr>
                <w:sz w:val="28"/>
              </w:rPr>
              <w:t>Разработка</w:t>
            </w:r>
            <w:r>
              <w:rPr>
                <w:spacing w:val="-11"/>
                <w:sz w:val="28"/>
              </w:rPr>
              <w:t xml:space="preserve"> </w:t>
            </w:r>
            <w:r>
              <w:rPr>
                <w:sz w:val="28"/>
              </w:rPr>
              <w:t>модифицированного</w:t>
            </w:r>
            <w:r>
              <w:rPr>
                <w:spacing w:val="-12"/>
                <w:sz w:val="28"/>
              </w:rPr>
              <w:t xml:space="preserve"> </w:t>
            </w:r>
            <w:r>
              <w:rPr>
                <w:sz w:val="28"/>
              </w:rPr>
              <w:t>метода</w:t>
            </w:r>
            <w:r>
              <w:rPr>
                <w:spacing w:val="-10"/>
                <w:sz w:val="28"/>
              </w:rPr>
              <w:t xml:space="preserve"> </w:t>
            </w:r>
            <w:r>
              <w:rPr>
                <w:spacing w:val="-2"/>
                <w:sz w:val="28"/>
              </w:rPr>
              <w:t>профилактики………….</w:t>
            </w:r>
          </w:p>
        </w:tc>
        <w:tc>
          <w:tcPr>
            <w:tcW w:w="917" w:type="dxa"/>
          </w:tcPr>
          <w:p w14:paraId="17F7788F">
            <w:pPr>
              <w:pStyle w:val="11"/>
              <w:spacing w:line="301" w:lineRule="exact"/>
              <w:ind w:left="15"/>
              <w:rPr>
                <w:sz w:val="28"/>
              </w:rPr>
            </w:pPr>
            <w:r>
              <w:rPr>
                <w:spacing w:val="-5"/>
                <w:sz w:val="28"/>
              </w:rPr>
              <w:t>38</w:t>
            </w:r>
          </w:p>
        </w:tc>
      </w:tr>
      <w:tr w14:paraId="5EE29B0F">
        <w:tblPrEx>
          <w:tblCellMar>
            <w:top w:w="0" w:type="dxa"/>
            <w:left w:w="0" w:type="dxa"/>
            <w:bottom w:w="0" w:type="dxa"/>
            <w:right w:w="0" w:type="dxa"/>
          </w:tblCellMar>
        </w:tblPrEx>
        <w:trPr>
          <w:trHeight w:val="321" w:hRule="atLeast"/>
        </w:trPr>
        <w:tc>
          <w:tcPr>
            <w:tcW w:w="8504" w:type="dxa"/>
          </w:tcPr>
          <w:p w14:paraId="15A74CC1">
            <w:pPr>
              <w:pStyle w:val="11"/>
              <w:spacing w:line="301" w:lineRule="exact"/>
              <w:ind w:left="105"/>
              <w:jc w:val="left"/>
              <w:rPr>
                <w:sz w:val="28"/>
              </w:rPr>
            </w:pPr>
            <w:r>
              <w:rPr>
                <w:sz w:val="28"/>
              </w:rPr>
              <w:t>2.2.5</w:t>
            </w:r>
            <w:r>
              <w:rPr>
                <w:spacing w:val="-11"/>
                <w:sz w:val="28"/>
              </w:rPr>
              <w:t xml:space="preserve"> </w:t>
            </w:r>
            <w:r>
              <w:rPr>
                <w:sz w:val="28"/>
              </w:rPr>
              <w:t>Сравнительный</w:t>
            </w:r>
            <w:r>
              <w:rPr>
                <w:spacing w:val="-10"/>
                <w:sz w:val="28"/>
              </w:rPr>
              <w:t xml:space="preserve"> </w:t>
            </w:r>
            <w:r>
              <w:rPr>
                <w:sz w:val="28"/>
              </w:rPr>
              <w:t>анализ</w:t>
            </w:r>
            <w:r>
              <w:rPr>
                <w:spacing w:val="-7"/>
                <w:sz w:val="28"/>
              </w:rPr>
              <w:t xml:space="preserve"> </w:t>
            </w:r>
            <w:r>
              <w:rPr>
                <w:sz w:val="28"/>
              </w:rPr>
              <w:t>методов</w:t>
            </w:r>
            <w:r>
              <w:rPr>
                <w:spacing w:val="-12"/>
                <w:sz w:val="28"/>
              </w:rPr>
              <w:t xml:space="preserve"> </w:t>
            </w:r>
            <w:r>
              <w:rPr>
                <w:sz w:val="28"/>
              </w:rPr>
              <w:t>формирования</w:t>
            </w:r>
            <w:r>
              <w:rPr>
                <w:spacing w:val="-9"/>
                <w:sz w:val="28"/>
              </w:rPr>
              <w:t xml:space="preserve"> </w:t>
            </w:r>
            <w:r>
              <w:rPr>
                <w:spacing w:val="-2"/>
                <w:sz w:val="28"/>
              </w:rPr>
              <w:t>анастомоза……..</w:t>
            </w:r>
          </w:p>
        </w:tc>
        <w:tc>
          <w:tcPr>
            <w:tcW w:w="917" w:type="dxa"/>
          </w:tcPr>
          <w:p w14:paraId="4E383F56">
            <w:pPr>
              <w:pStyle w:val="11"/>
              <w:spacing w:line="301" w:lineRule="exact"/>
              <w:ind w:left="15"/>
              <w:rPr>
                <w:sz w:val="28"/>
              </w:rPr>
            </w:pPr>
            <w:r>
              <w:rPr>
                <w:spacing w:val="-5"/>
                <w:sz w:val="28"/>
              </w:rPr>
              <w:t>38</w:t>
            </w:r>
          </w:p>
        </w:tc>
      </w:tr>
      <w:tr w14:paraId="4E00C66D">
        <w:tblPrEx>
          <w:tblCellMar>
            <w:top w:w="0" w:type="dxa"/>
            <w:left w:w="0" w:type="dxa"/>
            <w:bottom w:w="0" w:type="dxa"/>
            <w:right w:w="0" w:type="dxa"/>
          </w:tblCellMar>
        </w:tblPrEx>
        <w:trPr>
          <w:trHeight w:val="321" w:hRule="atLeast"/>
        </w:trPr>
        <w:tc>
          <w:tcPr>
            <w:tcW w:w="8504" w:type="dxa"/>
          </w:tcPr>
          <w:p w14:paraId="36637FF7">
            <w:pPr>
              <w:pStyle w:val="11"/>
              <w:spacing w:line="302" w:lineRule="exact"/>
              <w:ind w:left="105"/>
              <w:jc w:val="left"/>
              <w:rPr>
                <w:sz w:val="28"/>
              </w:rPr>
            </w:pPr>
            <w:r>
              <w:rPr>
                <w:sz w:val="28"/>
              </w:rPr>
              <w:t>2.2.6</w:t>
            </w:r>
            <w:r>
              <w:rPr>
                <w:spacing w:val="-11"/>
                <w:sz w:val="28"/>
              </w:rPr>
              <w:t xml:space="preserve"> </w:t>
            </w:r>
            <w:r>
              <w:rPr>
                <w:sz w:val="28"/>
              </w:rPr>
              <w:t>Разработка</w:t>
            </w:r>
            <w:r>
              <w:rPr>
                <w:spacing w:val="-10"/>
                <w:sz w:val="28"/>
              </w:rPr>
              <w:t xml:space="preserve"> </w:t>
            </w:r>
            <w:r>
              <w:rPr>
                <w:sz w:val="28"/>
              </w:rPr>
              <w:t>алгоритма</w:t>
            </w:r>
            <w:r>
              <w:rPr>
                <w:spacing w:val="-9"/>
                <w:sz w:val="28"/>
              </w:rPr>
              <w:t xml:space="preserve"> </w:t>
            </w:r>
            <w:r>
              <w:rPr>
                <w:sz w:val="28"/>
              </w:rPr>
              <w:t>хирургической</w:t>
            </w:r>
            <w:r>
              <w:rPr>
                <w:spacing w:val="-11"/>
                <w:sz w:val="28"/>
              </w:rPr>
              <w:t xml:space="preserve"> </w:t>
            </w:r>
            <w:r>
              <w:rPr>
                <w:spacing w:val="-2"/>
                <w:sz w:val="28"/>
              </w:rPr>
              <w:t>тактики……………………</w:t>
            </w:r>
          </w:p>
        </w:tc>
        <w:tc>
          <w:tcPr>
            <w:tcW w:w="917" w:type="dxa"/>
          </w:tcPr>
          <w:p w14:paraId="223107B1">
            <w:pPr>
              <w:pStyle w:val="11"/>
              <w:spacing w:line="302" w:lineRule="exact"/>
              <w:ind w:left="15"/>
              <w:rPr>
                <w:sz w:val="28"/>
              </w:rPr>
            </w:pPr>
            <w:r>
              <w:rPr>
                <w:spacing w:val="-5"/>
                <w:sz w:val="28"/>
              </w:rPr>
              <w:t>39</w:t>
            </w:r>
          </w:p>
        </w:tc>
      </w:tr>
      <w:tr w14:paraId="42806FF3">
        <w:tblPrEx>
          <w:tblCellMar>
            <w:top w:w="0" w:type="dxa"/>
            <w:left w:w="0" w:type="dxa"/>
            <w:bottom w:w="0" w:type="dxa"/>
            <w:right w:w="0" w:type="dxa"/>
          </w:tblCellMar>
        </w:tblPrEx>
        <w:trPr>
          <w:trHeight w:val="325" w:hRule="atLeast"/>
        </w:trPr>
        <w:tc>
          <w:tcPr>
            <w:tcW w:w="8504" w:type="dxa"/>
          </w:tcPr>
          <w:p w14:paraId="0EC9151F">
            <w:pPr>
              <w:pStyle w:val="11"/>
              <w:spacing w:line="306" w:lineRule="exact"/>
              <w:ind w:left="105"/>
              <w:jc w:val="left"/>
              <w:rPr>
                <w:sz w:val="28"/>
              </w:rPr>
            </w:pPr>
            <w:r>
              <w:rPr>
                <w:sz w:val="28"/>
              </w:rPr>
              <w:t>2.2.7</w:t>
            </w:r>
            <w:r>
              <w:rPr>
                <w:spacing w:val="60"/>
                <w:sz w:val="28"/>
              </w:rPr>
              <w:t xml:space="preserve"> </w:t>
            </w:r>
            <w:r>
              <w:rPr>
                <w:sz w:val="28"/>
              </w:rPr>
              <w:t>Инвагинационный</w:t>
            </w:r>
            <w:r>
              <w:rPr>
                <w:spacing w:val="-17"/>
                <w:sz w:val="28"/>
              </w:rPr>
              <w:t xml:space="preserve"> </w:t>
            </w:r>
            <w:r>
              <w:rPr>
                <w:sz w:val="28"/>
              </w:rPr>
              <w:t>ПЕА</w:t>
            </w:r>
            <w:r>
              <w:rPr>
                <w:spacing w:val="-17"/>
                <w:sz w:val="28"/>
              </w:rPr>
              <w:t xml:space="preserve"> </w:t>
            </w:r>
            <w:r>
              <w:rPr>
                <w:sz w:val="28"/>
              </w:rPr>
              <w:t>как</w:t>
            </w:r>
            <w:r>
              <w:rPr>
                <w:spacing w:val="-18"/>
                <w:sz w:val="28"/>
              </w:rPr>
              <w:t xml:space="preserve"> </w:t>
            </w:r>
            <w:r>
              <w:rPr>
                <w:sz w:val="28"/>
              </w:rPr>
              <w:t>резервная</w:t>
            </w:r>
            <w:r>
              <w:rPr>
                <w:spacing w:val="-17"/>
                <w:sz w:val="28"/>
              </w:rPr>
              <w:t xml:space="preserve"> </w:t>
            </w:r>
            <w:r>
              <w:rPr>
                <w:sz w:val="28"/>
              </w:rPr>
              <w:t>методика</w:t>
            </w:r>
            <w:r>
              <w:rPr>
                <w:spacing w:val="-18"/>
                <w:sz w:val="28"/>
              </w:rPr>
              <w:t xml:space="preserve"> </w:t>
            </w:r>
            <w:r>
              <w:rPr>
                <w:spacing w:val="-2"/>
                <w:sz w:val="28"/>
              </w:rPr>
              <w:t>реконструкции</w:t>
            </w:r>
          </w:p>
        </w:tc>
        <w:tc>
          <w:tcPr>
            <w:tcW w:w="917" w:type="dxa"/>
          </w:tcPr>
          <w:p w14:paraId="533C11B7">
            <w:pPr>
              <w:pStyle w:val="11"/>
              <w:spacing w:line="306" w:lineRule="exact"/>
              <w:ind w:left="15"/>
              <w:rPr>
                <w:sz w:val="28"/>
              </w:rPr>
            </w:pPr>
            <w:r>
              <w:rPr>
                <w:spacing w:val="-5"/>
                <w:sz w:val="28"/>
              </w:rPr>
              <w:t>39</w:t>
            </w:r>
          </w:p>
        </w:tc>
      </w:tr>
      <w:tr w14:paraId="3CB92D21">
        <w:tblPrEx>
          <w:tblCellMar>
            <w:top w:w="0" w:type="dxa"/>
            <w:left w:w="0" w:type="dxa"/>
            <w:bottom w:w="0" w:type="dxa"/>
            <w:right w:w="0" w:type="dxa"/>
          </w:tblCellMar>
        </w:tblPrEx>
        <w:trPr>
          <w:trHeight w:val="642" w:hRule="atLeast"/>
        </w:trPr>
        <w:tc>
          <w:tcPr>
            <w:tcW w:w="8504" w:type="dxa"/>
          </w:tcPr>
          <w:p w14:paraId="54538848">
            <w:pPr>
              <w:pStyle w:val="11"/>
              <w:tabs>
                <w:tab w:val="left" w:pos="973"/>
                <w:tab w:val="left" w:pos="2239"/>
                <w:tab w:val="left" w:pos="3540"/>
                <w:tab w:val="left" w:pos="5602"/>
                <w:tab w:val="left" w:pos="6058"/>
              </w:tabs>
              <w:spacing w:line="315" w:lineRule="exact"/>
              <w:ind w:left="105"/>
              <w:jc w:val="left"/>
              <w:rPr>
                <w:sz w:val="28"/>
              </w:rPr>
            </w:pPr>
            <w:r>
              <w:rPr>
                <w:spacing w:val="-2"/>
                <w:sz w:val="28"/>
              </w:rPr>
              <w:t>2.2.8</w:t>
            </w:r>
            <w:r>
              <w:rPr>
                <w:sz w:val="28"/>
              </w:rPr>
              <w:tab/>
            </w:r>
            <w:r>
              <w:rPr>
                <w:spacing w:val="-2"/>
                <w:sz w:val="28"/>
              </w:rPr>
              <w:t>Методы</w:t>
            </w:r>
            <w:r>
              <w:rPr>
                <w:sz w:val="28"/>
              </w:rPr>
              <w:tab/>
            </w:r>
            <w:r>
              <w:rPr>
                <w:spacing w:val="-2"/>
                <w:sz w:val="28"/>
              </w:rPr>
              <w:t>клинико</w:t>
            </w:r>
            <w:r>
              <w:rPr>
                <w:sz w:val="28"/>
              </w:rPr>
              <w:tab/>
            </w:r>
            <w:r>
              <w:rPr>
                <w:spacing w:val="-2"/>
                <w:sz w:val="28"/>
              </w:rPr>
              <w:t>лабораторного</w:t>
            </w:r>
            <w:r>
              <w:rPr>
                <w:sz w:val="28"/>
              </w:rPr>
              <w:tab/>
            </w:r>
            <w:r>
              <w:rPr>
                <w:spacing w:val="-10"/>
                <w:sz w:val="28"/>
              </w:rPr>
              <w:t>и</w:t>
            </w:r>
            <w:r>
              <w:rPr>
                <w:sz w:val="28"/>
              </w:rPr>
              <w:tab/>
            </w:r>
            <w:r>
              <w:rPr>
                <w:spacing w:val="-2"/>
                <w:sz w:val="28"/>
              </w:rPr>
              <w:t>инструментального</w:t>
            </w:r>
          </w:p>
          <w:p w14:paraId="23A0052E">
            <w:pPr>
              <w:pStyle w:val="11"/>
              <w:ind w:left="105"/>
              <w:jc w:val="left"/>
              <w:rPr>
                <w:sz w:val="28"/>
              </w:rPr>
            </w:pPr>
            <w:r>
              <w:rPr>
                <w:spacing w:val="-2"/>
                <w:sz w:val="28"/>
              </w:rPr>
              <w:t>обследования………………………………………………………………</w:t>
            </w:r>
          </w:p>
        </w:tc>
        <w:tc>
          <w:tcPr>
            <w:tcW w:w="917" w:type="dxa"/>
          </w:tcPr>
          <w:p w14:paraId="4CF37314">
            <w:pPr>
              <w:pStyle w:val="11"/>
              <w:spacing w:line="315" w:lineRule="exact"/>
              <w:ind w:left="15"/>
              <w:rPr>
                <w:spacing w:val="-5"/>
                <w:sz w:val="28"/>
              </w:rPr>
            </w:pPr>
          </w:p>
          <w:p w14:paraId="3292970A">
            <w:pPr>
              <w:pStyle w:val="11"/>
              <w:spacing w:line="315" w:lineRule="exact"/>
              <w:ind w:left="15"/>
              <w:rPr>
                <w:sz w:val="28"/>
              </w:rPr>
            </w:pPr>
            <w:r>
              <w:rPr>
                <w:spacing w:val="-5"/>
                <w:sz w:val="28"/>
              </w:rPr>
              <w:t>40</w:t>
            </w:r>
          </w:p>
        </w:tc>
      </w:tr>
      <w:tr w14:paraId="5F4E1617">
        <w:tblPrEx>
          <w:tblCellMar>
            <w:top w:w="0" w:type="dxa"/>
            <w:left w:w="0" w:type="dxa"/>
            <w:bottom w:w="0" w:type="dxa"/>
            <w:right w:w="0" w:type="dxa"/>
          </w:tblCellMar>
        </w:tblPrEx>
        <w:trPr>
          <w:trHeight w:val="321" w:hRule="atLeast"/>
        </w:trPr>
        <w:tc>
          <w:tcPr>
            <w:tcW w:w="8504" w:type="dxa"/>
          </w:tcPr>
          <w:p w14:paraId="2705244E">
            <w:pPr>
              <w:pStyle w:val="11"/>
              <w:spacing w:line="301" w:lineRule="exact"/>
              <w:ind w:left="105"/>
              <w:jc w:val="left"/>
              <w:rPr>
                <w:sz w:val="28"/>
              </w:rPr>
            </w:pPr>
            <w:r>
              <w:rPr>
                <w:sz w:val="28"/>
              </w:rPr>
              <w:t>2.2.9</w:t>
            </w:r>
            <w:r>
              <w:rPr>
                <w:spacing w:val="-12"/>
                <w:sz w:val="28"/>
              </w:rPr>
              <w:t xml:space="preserve"> </w:t>
            </w:r>
            <w:r>
              <w:rPr>
                <w:sz w:val="28"/>
              </w:rPr>
              <w:t>Статистическая</w:t>
            </w:r>
            <w:r>
              <w:rPr>
                <w:spacing w:val="-7"/>
                <w:sz w:val="28"/>
              </w:rPr>
              <w:t xml:space="preserve"> </w:t>
            </w:r>
            <w:r>
              <w:rPr>
                <w:sz w:val="28"/>
              </w:rPr>
              <w:t>обработка</w:t>
            </w:r>
            <w:r>
              <w:rPr>
                <w:spacing w:val="-11"/>
                <w:sz w:val="28"/>
              </w:rPr>
              <w:t xml:space="preserve"> </w:t>
            </w:r>
            <w:r>
              <w:rPr>
                <w:spacing w:val="-2"/>
                <w:sz w:val="28"/>
              </w:rPr>
              <w:t>данных…………………………………</w:t>
            </w:r>
          </w:p>
        </w:tc>
        <w:tc>
          <w:tcPr>
            <w:tcW w:w="917" w:type="dxa"/>
          </w:tcPr>
          <w:p w14:paraId="0B4E8B99">
            <w:pPr>
              <w:pStyle w:val="11"/>
              <w:spacing w:line="301" w:lineRule="exact"/>
              <w:ind w:left="15"/>
              <w:rPr>
                <w:sz w:val="28"/>
              </w:rPr>
            </w:pPr>
            <w:r>
              <w:rPr>
                <w:spacing w:val="-5"/>
                <w:sz w:val="28"/>
              </w:rPr>
              <w:t>41</w:t>
            </w:r>
          </w:p>
        </w:tc>
      </w:tr>
      <w:tr w14:paraId="2576E8ED">
        <w:tblPrEx>
          <w:tblCellMar>
            <w:top w:w="0" w:type="dxa"/>
            <w:left w:w="0" w:type="dxa"/>
            <w:bottom w:w="0" w:type="dxa"/>
            <w:right w:w="0" w:type="dxa"/>
          </w:tblCellMar>
        </w:tblPrEx>
        <w:trPr>
          <w:trHeight w:val="321" w:hRule="atLeast"/>
        </w:trPr>
        <w:tc>
          <w:tcPr>
            <w:tcW w:w="8504" w:type="dxa"/>
          </w:tcPr>
          <w:p w14:paraId="51B26252">
            <w:pPr>
              <w:pStyle w:val="11"/>
              <w:spacing w:line="302" w:lineRule="exact"/>
              <w:ind w:left="105"/>
              <w:jc w:val="left"/>
              <w:rPr>
                <w:sz w:val="28"/>
              </w:rPr>
            </w:pPr>
            <w:r>
              <w:rPr>
                <w:sz w:val="28"/>
              </w:rPr>
              <w:t>2.2.10</w:t>
            </w:r>
            <w:r>
              <w:rPr>
                <w:spacing w:val="-11"/>
                <w:sz w:val="28"/>
              </w:rPr>
              <w:t xml:space="preserve"> </w:t>
            </w:r>
            <w:r>
              <w:rPr>
                <w:sz w:val="28"/>
              </w:rPr>
              <w:t>Этические</w:t>
            </w:r>
            <w:r>
              <w:rPr>
                <w:spacing w:val="-9"/>
                <w:sz w:val="28"/>
              </w:rPr>
              <w:t xml:space="preserve"> </w:t>
            </w:r>
            <w:r>
              <w:rPr>
                <w:spacing w:val="-2"/>
                <w:sz w:val="28"/>
              </w:rPr>
              <w:t>аспекты…………………………………………………</w:t>
            </w:r>
          </w:p>
        </w:tc>
        <w:tc>
          <w:tcPr>
            <w:tcW w:w="917" w:type="dxa"/>
          </w:tcPr>
          <w:p w14:paraId="4372C831">
            <w:pPr>
              <w:pStyle w:val="11"/>
              <w:spacing w:line="302" w:lineRule="exact"/>
              <w:ind w:left="15"/>
              <w:rPr>
                <w:sz w:val="28"/>
              </w:rPr>
            </w:pPr>
            <w:r>
              <w:rPr>
                <w:spacing w:val="-5"/>
                <w:sz w:val="28"/>
              </w:rPr>
              <w:t>42</w:t>
            </w:r>
          </w:p>
        </w:tc>
      </w:tr>
      <w:tr w14:paraId="1E83852C">
        <w:tblPrEx>
          <w:tblCellMar>
            <w:top w:w="0" w:type="dxa"/>
            <w:left w:w="0" w:type="dxa"/>
            <w:bottom w:w="0" w:type="dxa"/>
            <w:right w:w="0" w:type="dxa"/>
          </w:tblCellMar>
        </w:tblPrEx>
        <w:trPr>
          <w:trHeight w:val="321" w:hRule="atLeast"/>
        </w:trPr>
        <w:tc>
          <w:tcPr>
            <w:tcW w:w="8504" w:type="dxa"/>
          </w:tcPr>
          <w:p w14:paraId="5DD29FDE">
            <w:pPr>
              <w:pStyle w:val="11"/>
              <w:spacing w:line="301" w:lineRule="exact"/>
              <w:ind w:left="105"/>
              <w:jc w:val="left"/>
              <w:rPr>
                <w:b/>
                <w:sz w:val="28"/>
              </w:rPr>
            </w:pPr>
            <w:r>
              <w:rPr>
                <w:b/>
                <w:sz w:val="28"/>
              </w:rPr>
              <w:t>3</w:t>
            </w:r>
            <w:r>
              <w:rPr>
                <w:b/>
                <w:spacing w:val="-8"/>
                <w:sz w:val="28"/>
              </w:rPr>
              <w:t xml:space="preserve"> </w:t>
            </w:r>
            <w:r>
              <w:rPr>
                <w:b/>
                <w:sz w:val="28"/>
              </w:rPr>
              <w:t>РЕЗУЛЬТАТЫ</w:t>
            </w:r>
            <w:r>
              <w:rPr>
                <w:b/>
                <w:spacing w:val="-4"/>
                <w:sz w:val="28"/>
              </w:rPr>
              <w:t xml:space="preserve"> </w:t>
            </w:r>
            <w:r>
              <w:rPr>
                <w:b/>
                <w:spacing w:val="-2"/>
                <w:sz w:val="28"/>
              </w:rPr>
              <w:t>ИССЛЕДОВАНИЯ…………………………………</w:t>
            </w:r>
          </w:p>
        </w:tc>
        <w:tc>
          <w:tcPr>
            <w:tcW w:w="917" w:type="dxa"/>
          </w:tcPr>
          <w:p w14:paraId="744BE455">
            <w:pPr>
              <w:pStyle w:val="11"/>
              <w:spacing w:line="301" w:lineRule="exact"/>
              <w:ind w:left="15"/>
              <w:rPr>
                <w:sz w:val="28"/>
              </w:rPr>
            </w:pPr>
            <w:r>
              <w:rPr>
                <w:spacing w:val="-5"/>
                <w:sz w:val="28"/>
              </w:rPr>
              <w:t>47</w:t>
            </w:r>
          </w:p>
        </w:tc>
      </w:tr>
      <w:tr w14:paraId="35772353">
        <w:tblPrEx>
          <w:tblCellMar>
            <w:top w:w="0" w:type="dxa"/>
            <w:left w:w="0" w:type="dxa"/>
            <w:bottom w:w="0" w:type="dxa"/>
            <w:right w:w="0" w:type="dxa"/>
          </w:tblCellMar>
        </w:tblPrEx>
        <w:trPr>
          <w:trHeight w:val="647" w:hRule="atLeast"/>
        </w:trPr>
        <w:tc>
          <w:tcPr>
            <w:tcW w:w="8504" w:type="dxa"/>
          </w:tcPr>
          <w:p w14:paraId="369898DD">
            <w:pPr>
              <w:pStyle w:val="11"/>
              <w:spacing w:line="315" w:lineRule="exact"/>
              <w:ind w:left="105"/>
              <w:jc w:val="left"/>
              <w:rPr>
                <w:sz w:val="28"/>
              </w:rPr>
            </w:pPr>
            <w:r>
              <w:rPr>
                <w:sz w:val="28"/>
              </w:rPr>
              <w:t>3.1</w:t>
            </w:r>
            <w:r>
              <w:rPr>
                <w:spacing w:val="67"/>
                <w:w w:val="150"/>
                <w:sz w:val="28"/>
              </w:rPr>
              <w:t xml:space="preserve"> </w:t>
            </w:r>
            <w:r>
              <w:rPr>
                <w:sz w:val="28"/>
              </w:rPr>
              <w:t>Эпидемиологические</w:t>
            </w:r>
            <w:r>
              <w:rPr>
                <w:spacing w:val="68"/>
                <w:w w:val="150"/>
                <w:sz w:val="28"/>
              </w:rPr>
              <w:t xml:space="preserve"> </w:t>
            </w:r>
            <w:r>
              <w:rPr>
                <w:sz w:val="28"/>
              </w:rPr>
              <w:t>особенности</w:t>
            </w:r>
            <w:r>
              <w:rPr>
                <w:spacing w:val="73"/>
                <w:w w:val="150"/>
                <w:sz w:val="28"/>
              </w:rPr>
              <w:t xml:space="preserve"> </w:t>
            </w:r>
            <w:r>
              <w:rPr>
                <w:sz w:val="28"/>
              </w:rPr>
              <w:t>опухолей</w:t>
            </w:r>
            <w:r>
              <w:rPr>
                <w:spacing w:val="67"/>
                <w:w w:val="150"/>
                <w:sz w:val="28"/>
              </w:rPr>
              <w:t xml:space="preserve"> </w:t>
            </w:r>
            <w:r>
              <w:rPr>
                <w:spacing w:val="-2"/>
                <w:sz w:val="28"/>
              </w:rPr>
              <w:t>периампулярной</w:t>
            </w:r>
          </w:p>
          <w:p w14:paraId="172D32C0">
            <w:pPr>
              <w:pStyle w:val="11"/>
              <w:spacing w:line="313" w:lineRule="exact"/>
              <w:ind w:left="105"/>
              <w:jc w:val="left"/>
              <w:rPr>
                <w:sz w:val="28"/>
              </w:rPr>
            </w:pPr>
            <w:r>
              <w:rPr>
                <w:sz w:val="28"/>
              </w:rPr>
              <w:t>зоны</w:t>
            </w:r>
            <w:r>
              <w:rPr>
                <w:spacing w:val="-5"/>
                <w:sz w:val="28"/>
              </w:rPr>
              <w:t xml:space="preserve"> </w:t>
            </w:r>
            <w:r>
              <w:rPr>
                <w:sz w:val="28"/>
              </w:rPr>
              <w:t>и</w:t>
            </w:r>
            <w:r>
              <w:rPr>
                <w:spacing w:val="-6"/>
                <w:sz w:val="28"/>
              </w:rPr>
              <w:t xml:space="preserve"> </w:t>
            </w:r>
            <w:r>
              <w:rPr>
                <w:sz w:val="28"/>
              </w:rPr>
              <w:t>объёмы</w:t>
            </w:r>
            <w:r>
              <w:rPr>
                <w:spacing w:val="-6"/>
                <w:sz w:val="28"/>
              </w:rPr>
              <w:t xml:space="preserve"> </w:t>
            </w:r>
            <w:r>
              <w:rPr>
                <w:sz w:val="28"/>
              </w:rPr>
              <w:t>выполнения</w:t>
            </w:r>
            <w:r>
              <w:rPr>
                <w:spacing w:val="-5"/>
                <w:sz w:val="28"/>
              </w:rPr>
              <w:t xml:space="preserve"> </w:t>
            </w:r>
            <w:r>
              <w:rPr>
                <w:sz w:val="28"/>
              </w:rPr>
              <w:t>ГПДР</w:t>
            </w:r>
            <w:r>
              <w:rPr>
                <w:spacing w:val="-6"/>
                <w:sz w:val="28"/>
              </w:rPr>
              <w:t xml:space="preserve"> </w:t>
            </w:r>
            <w:r>
              <w:rPr>
                <w:sz w:val="28"/>
              </w:rPr>
              <w:t>в</w:t>
            </w:r>
            <w:r>
              <w:rPr>
                <w:spacing w:val="-7"/>
                <w:sz w:val="28"/>
              </w:rPr>
              <w:t xml:space="preserve"> </w:t>
            </w:r>
            <w:r>
              <w:rPr>
                <w:sz w:val="28"/>
              </w:rPr>
              <w:t>Республике</w:t>
            </w:r>
            <w:r>
              <w:rPr>
                <w:spacing w:val="-5"/>
                <w:sz w:val="28"/>
              </w:rPr>
              <w:t xml:space="preserve"> </w:t>
            </w:r>
            <w:r>
              <w:rPr>
                <w:spacing w:val="-2"/>
                <w:sz w:val="28"/>
              </w:rPr>
              <w:t>Казахстан…………..</w:t>
            </w:r>
          </w:p>
        </w:tc>
        <w:tc>
          <w:tcPr>
            <w:tcW w:w="917" w:type="dxa"/>
          </w:tcPr>
          <w:p w14:paraId="3C00A8C5">
            <w:pPr>
              <w:pStyle w:val="11"/>
              <w:spacing w:line="315" w:lineRule="exact"/>
              <w:ind w:left="15"/>
              <w:rPr>
                <w:spacing w:val="-5"/>
                <w:sz w:val="28"/>
              </w:rPr>
            </w:pPr>
          </w:p>
          <w:p w14:paraId="0057702D">
            <w:pPr>
              <w:pStyle w:val="11"/>
              <w:spacing w:line="315" w:lineRule="exact"/>
              <w:ind w:left="15"/>
              <w:rPr>
                <w:sz w:val="28"/>
              </w:rPr>
            </w:pPr>
            <w:r>
              <w:rPr>
                <w:spacing w:val="-5"/>
                <w:sz w:val="28"/>
              </w:rPr>
              <w:t>47</w:t>
            </w:r>
          </w:p>
        </w:tc>
      </w:tr>
      <w:tr w14:paraId="0B209A7C">
        <w:tblPrEx>
          <w:tblCellMar>
            <w:top w:w="0" w:type="dxa"/>
            <w:left w:w="0" w:type="dxa"/>
            <w:bottom w:w="0" w:type="dxa"/>
            <w:right w:w="0" w:type="dxa"/>
          </w:tblCellMar>
        </w:tblPrEx>
        <w:trPr>
          <w:trHeight w:val="643" w:hRule="atLeast"/>
        </w:trPr>
        <w:tc>
          <w:tcPr>
            <w:tcW w:w="8504" w:type="dxa"/>
          </w:tcPr>
          <w:p w14:paraId="3692EABD">
            <w:pPr>
              <w:pStyle w:val="11"/>
              <w:tabs>
                <w:tab w:val="left" w:pos="1098"/>
                <w:tab w:val="left" w:pos="3152"/>
                <w:tab w:val="left" w:pos="4777"/>
                <w:tab w:val="left" w:pos="7084"/>
              </w:tabs>
              <w:spacing w:line="315" w:lineRule="exact"/>
              <w:ind w:left="105"/>
              <w:jc w:val="left"/>
              <w:rPr>
                <w:sz w:val="28"/>
              </w:rPr>
            </w:pPr>
            <w:r>
              <w:rPr>
                <w:spacing w:val="-2"/>
                <w:sz w:val="28"/>
              </w:rPr>
              <w:t>3.1.1</w:t>
            </w:r>
            <w:r>
              <w:rPr>
                <w:sz w:val="28"/>
              </w:rPr>
              <w:tab/>
            </w:r>
            <w:r>
              <w:rPr>
                <w:spacing w:val="-2"/>
                <w:sz w:val="28"/>
              </w:rPr>
              <w:t>Региональная</w:t>
            </w:r>
            <w:r>
              <w:rPr>
                <w:sz w:val="28"/>
              </w:rPr>
              <w:tab/>
            </w:r>
            <w:r>
              <w:rPr>
                <w:spacing w:val="-2"/>
                <w:sz w:val="28"/>
              </w:rPr>
              <w:t>структура</w:t>
            </w:r>
            <w:r>
              <w:rPr>
                <w:sz w:val="28"/>
              </w:rPr>
              <w:tab/>
            </w:r>
            <w:r>
              <w:rPr>
                <w:spacing w:val="-2"/>
                <w:sz w:val="28"/>
              </w:rPr>
              <w:t>заболеваемости</w:t>
            </w:r>
            <w:r>
              <w:rPr>
                <w:sz w:val="28"/>
              </w:rPr>
              <w:tab/>
            </w:r>
            <w:r>
              <w:rPr>
                <w:spacing w:val="-2"/>
                <w:sz w:val="28"/>
              </w:rPr>
              <w:t>опухолями</w:t>
            </w:r>
          </w:p>
          <w:p w14:paraId="3D4436BE">
            <w:pPr>
              <w:pStyle w:val="11"/>
              <w:spacing w:line="309" w:lineRule="exact"/>
              <w:ind w:left="105"/>
              <w:jc w:val="left"/>
              <w:rPr>
                <w:sz w:val="28"/>
              </w:rPr>
            </w:pPr>
            <w:r>
              <w:rPr>
                <w:sz w:val="28"/>
              </w:rPr>
              <w:t>периампулярной</w:t>
            </w:r>
            <w:r>
              <w:rPr>
                <w:spacing w:val="-10"/>
                <w:sz w:val="28"/>
              </w:rPr>
              <w:t xml:space="preserve"> </w:t>
            </w:r>
            <w:r>
              <w:rPr>
                <w:sz w:val="28"/>
              </w:rPr>
              <w:t>зоны</w:t>
            </w:r>
            <w:r>
              <w:rPr>
                <w:spacing w:val="-10"/>
                <w:sz w:val="28"/>
              </w:rPr>
              <w:t xml:space="preserve"> </w:t>
            </w:r>
            <w:r>
              <w:rPr>
                <w:sz w:val="28"/>
              </w:rPr>
              <w:t>в</w:t>
            </w:r>
            <w:r>
              <w:rPr>
                <w:spacing w:val="-10"/>
                <w:sz w:val="28"/>
              </w:rPr>
              <w:t xml:space="preserve"> </w:t>
            </w:r>
            <w:r>
              <w:rPr>
                <w:sz w:val="28"/>
              </w:rPr>
              <w:t>Республике</w:t>
            </w:r>
            <w:r>
              <w:rPr>
                <w:spacing w:val="-9"/>
                <w:sz w:val="28"/>
              </w:rPr>
              <w:t xml:space="preserve"> </w:t>
            </w:r>
            <w:r>
              <w:rPr>
                <w:spacing w:val="-2"/>
                <w:sz w:val="28"/>
              </w:rPr>
              <w:t>Казахстан………………………..</w:t>
            </w:r>
          </w:p>
        </w:tc>
        <w:tc>
          <w:tcPr>
            <w:tcW w:w="917" w:type="dxa"/>
          </w:tcPr>
          <w:p w14:paraId="7CF4E7F1">
            <w:pPr>
              <w:pStyle w:val="11"/>
              <w:spacing w:line="315" w:lineRule="exact"/>
              <w:ind w:left="15"/>
              <w:rPr>
                <w:spacing w:val="-5"/>
                <w:sz w:val="28"/>
              </w:rPr>
            </w:pPr>
          </w:p>
          <w:p w14:paraId="5A730F58">
            <w:pPr>
              <w:pStyle w:val="11"/>
              <w:spacing w:line="315" w:lineRule="exact"/>
              <w:ind w:left="15"/>
              <w:rPr>
                <w:sz w:val="28"/>
              </w:rPr>
            </w:pPr>
            <w:r>
              <w:rPr>
                <w:spacing w:val="-5"/>
                <w:sz w:val="28"/>
              </w:rPr>
              <w:t>47</w:t>
            </w:r>
          </w:p>
        </w:tc>
      </w:tr>
      <w:tr w14:paraId="563F6D7B">
        <w:tblPrEx>
          <w:tblCellMar>
            <w:top w:w="0" w:type="dxa"/>
            <w:left w:w="0" w:type="dxa"/>
            <w:bottom w:w="0" w:type="dxa"/>
            <w:right w:w="0" w:type="dxa"/>
          </w:tblCellMar>
        </w:tblPrEx>
        <w:trPr>
          <w:trHeight w:val="642" w:hRule="atLeast"/>
        </w:trPr>
        <w:tc>
          <w:tcPr>
            <w:tcW w:w="8504" w:type="dxa"/>
          </w:tcPr>
          <w:p w14:paraId="7CD32FA8">
            <w:pPr>
              <w:pStyle w:val="11"/>
              <w:spacing w:line="315" w:lineRule="exact"/>
              <w:ind w:left="105"/>
              <w:jc w:val="left"/>
              <w:rPr>
                <w:sz w:val="28"/>
              </w:rPr>
            </w:pPr>
            <w:r>
              <w:rPr>
                <w:sz w:val="28"/>
              </w:rPr>
              <w:t>3.1.2</w:t>
            </w:r>
            <w:r>
              <w:rPr>
                <w:spacing w:val="44"/>
                <w:sz w:val="28"/>
              </w:rPr>
              <w:t xml:space="preserve"> </w:t>
            </w:r>
            <w:r>
              <w:rPr>
                <w:sz w:val="28"/>
              </w:rPr>
              <w:t>Результаты</w:t>
            </w:r>
            <w:r>
              <w:rPr>
                <w:spacing w:val="45"/>
                <w:sz w:val="28"/>
              </w:rPr>
              <w:t xml:space="preserve"> </w:t>
            </w:r>
            <w:r>
              <w:rPr>
                <w:sz w:val="28"/>
              </w:rPr>
              <w:t>изучения</w:t>
            </w:r>
            <w:r>
              <w:rPr>
                <w:spacing w:val="45"/>
                <w:sz w:val="28"/>
              </w:rPr>
              <w:t xml:space="preserve"> </w:t>
            </w:r>
            <w:r>
              <w:rPr>
                <w:sz w:val="28"/>
              </w:rPr>
              <w:t>объёма</w:t>
            </w:r>
            <w:r>
              <w:rPr>
                <w:spacing w:val="46"/>
                <w:sz w:val="28"/>
              </w:rPr>
              <w:t xml:space="preserve"> </w:t>
            </w:r>
            <w:r>
              <w:rPr>
                <w:sz w:val="28"/>
              </w:rPr>
              <w:t>выполнения</w:t>
            </w:r>
            <w:r>
              <w:rPr>
                <w:spacing w:val="45"/>
                <w:sz w:val="28"/>
              </w:rPr>
              <w:t xml:space="preserve"> </w:t>
            </w:r>
            <w:r>
              <w:rPr>
                <w:sz w:val="28"/>
              </w:rPr>
              <w:t>ГПДР</w:t>
            </w:r>
            <w:r>
              <w:rPr>
                <w:spacing w:val="44"/>
                <w:sz w:val="28"/>
              </w:rPr>
              <w:t xml:space="preserve"> </w:t>
            </w:r>
            <w:r>
              <w:rPr>
                <w:sz w:val="28"/>
              </w:rPr>
              <w:t>по</w:t>
            </w:r>
            <w:r>
              <w:rPr>
                <w:spacing w:val="44"/>
                <w:sz w:val="28"/>
              </w:rPr>
              <w:t xml:space="preserve"> </w:t>
            </w:r>
            <w:r>
              <w:rPr>
                <w:spacing w:val="-2"/>
                <w:sz w:val="28"/>
              </w:rPr>
              <w:t>регионам</w:t>
            </w:r>
          </w:p>
          <w:p w14:paraId="4CD82B1A">
            <w:pPr>
              <w:pStyle w:val="11"/>
              <w:ind w:left="105"/>
              <w:jc w:val="left"/>
              <w:rPr>
                <w:sz w:val="28"/>
              </w:rPr>
            </w:pPr>
            <w:r>
              <w:rPr>
                <w:spacing w:val="-2"/>
                <w:sz w:val="28"/>
              </w:rPr>
              <w:t>Республики</w:t>
            </w:r>
            <w:r>
              <w:rPr>
                <w:spacing w:val="1"/>
                <w:sz w:val="28"/>
              </w:rPr>
              <w:t xml:space="preserve"> </w:t>
            </w:r>
            <w:r>
              <w:rPr>
                <w:spacing w:val="-2"/>
                <w:sz w:val="28"/>
              </w:rPr>
              <w:t>Казахстан……………………………………………………</w:t>
            </w:r>
          </w:p>
        </w:tc>
        <w:tc>
          <w:tcPr>
            <w:tcW w:w="917" w:type="dxa"/>
          </w:tcPr>
          <w:p w14:paraId="1BFA7404">
            <w:pPr>
              <w:pStyle w:val="11"/>
              <w:spacing w:line="315" w:lineRule="exact"/>
              <w:ind w:left="15" w:right="1"/>
              <w:rPr>
                <w:spacing w:val="-5"/>
                <w:sz w:val="28"/>
              </w:rPr>
            </w:pPr>
          </w:p>
          <w:p w14:paraId="724182AF">
            <w:pPr>
              <w:pStyle w:val="11"/>
              <w:spacing w:line="315" w:lineRule="exact"/>
              <w:ind w:left="15" w:right="1"/>
              <w:rPr>
                <w:sz w:val="28"/>
              </w:rPr>
            </w:pPr>
            <w:r>
              <w:rPr>
                <w:spacing w:val="-5"/>
                <w:sz w:val="28"/>
              </w:rPr>
              <w:t>52</w:t>
            </w:r>
          </w:p>
        </w:tc>
      </w:tr>
      <w:tr w14:paraId="4C780B55">
        <w:tblPrEx>
          <w:tblCellMar>
            <w:top w:w="0" w:type="dxa"/>
            <w:left w:w="0" w:type="dxa"/>
            <w:bottom w:w="0" w:type="dxa"/>
            <w:right w:w="0" w:type="dxa"/>
          </w:tblCellMar>
        </w:tblPrEx>
        <w:trPr>
          <w:trHeight w:val="642" w:hRule="atLeast"/>
        </w:trPr>
        <w:tc>
          <w:tcPr>
            <w:tcW w:w="8504" w:type="dxa"/>
          </w:tcPr>
          <w:p w14:paraId="5A57F5E7">
            <w:pPr>
              <w:pStyle w:val="11"/>
              <w:spacing w:line="315" w:lineRule="exact"/>
              <w:ind w:left="105"/>
              <w:jc w:val="left"/>
              <w:rPr>
                <w:sz w:val="28"/>
              </w:rPr>
            </w:pPr>
            <w:r>
              <w:rPr>
                <w:sz w:val="28"/>
              </w:rPr>
              <w:t>3.1.3</w:t>
            </w:r>
            <w:r>
              <w:rPr>
                <w:spacing w:val="6"/>
                <w:sz w:val="28"/>
              </w:rPr>
              <w:t xml:space="preserve"> </w:t>
            </w:r>
            <w:r>
              <w:rPr>
                <w:sz w:val="28"/>
              </w:rPr>
              <w:t>Общая</w:t>
            </w:r>
            <w:r>
              <w:rPr>
                <w:spacing w:val="8"/>
                <w:sz w:val="28"/>
              </w:rPr>
              <w:t xml:space="preserve"> </w:t>
            </w:r>
            <w:r>
              <w:rPr>
                <w:sz w:val="28"/>
              </w:rPr>
              <w:t>клинико-интраоперационная</w:t>
            </w:r>
            <w:r>
              <w:rPr>
                <w:spacing w:val="8"/>
                <w:sz w:val="28"/>
              </w:rPr>
              <w:t xml:space="preserve"> </w:t>
            </w:r>
            <w:r>
              <w:rPr>
                <w:sz w:val="28"/>
              </w:rPr>
              <w:t>характеристика</w:t>
            </w:r>
            <w:r>
              <w:rPr>
                <w:spacing w:val="7"/>
                <w:sz w:val="28"/>
              </w:rPr>
              <w:t xml:space="preserve"> </w:t>
            </w:r>
            <w:r>
              <w:rPr>
                <w:spacing w:val="-2"/>
                <w:sz w:val="28"/>
              </w:rPr>
              <w:t>пациентов</w:t>
            </w:r>
          </w:p>
          <w:p w14:paraId="7B81802C">
            <w:pPr>
              <w:pStyle w:val="11"/>
              <w:ind w:left="105"/>
              <w:jc w:val="left"/>
              <w:rPr>
                <w:sz w:val="28"/>
              </w:rPr>
            </w:pPr>
            <w:r>
              <w:rPr>
                <w:sz w:val="28"/>
              </w:rPr>
              <w:t>с</w:t>
            </w:r>
            <w:r>
              <w:rPr>
                <w:spacing w:val="-6"/>
                <w:sz w:val="28"/>
              </w:rPr>
              <w:t xml:space="preserve"> </w:t>
            </w:r>
            <w:r>
              <w:rPr>
                <w:sz w:val="28"/>
              </w:rPr>
              <w:t>разделением</w:t>
            </w:r>
            <w:r>
              <w:rPr>
                <w:spacing w:val="-5"/>
                <w:sz w:val="28"/>
              </w:rPr>
              <w:t xml:space="preserve"> </w:t>
            </w:r>
            <w:r>
              <w:rPr>
                <w:sz w:val="28"/>
              </w:rPr>
              <w:t>по</w:t>
            </w:r>
            <w:r>
              <w:rPr>
                <w:spacing w:val="-7"/>
                <w:sz w:val="28"/>
              </w:rPr>
              <w:t xml:space="preserve"> </w:t>
            </w:r>
            <w:r>
              <w:rPr>
                <w:sz w:val="28"/>
              </w:rPr>
              <w:t>национальным</w:t>
            </w:r>
            <w:r>
              <w:rPr>
                <w:spacing w:val="-2"/>
                <w:sz w:val="28"/>
              </w:rPr>
              <w:t xml:space="preserve"> </w:t>
            </w:r>
            <w:r>
              <w:rPr>
                <w:sz w:val="28"/>
              </w:rPr>
              <w:t>центрам</w:t>
            </w:r>
            <w:r>
              <w:rPr>
                <w:spacing w:val="-5"/>
                <w:sz w:val="28"/>
              </w:rPr>
              <w:t xml:space="preserve"> </w:t>
            </w:r>
            <w:r>
              <w:rPr>
                <w:sz w:val="28"/>
              </w:rPr>
              <w:t>гг.</w:t>
            </w:r>
            <w:r>
              <w:rPr>
                <w:spacing w:val="-8"/>
                <w:sz w:val="28"/>
              </w:rPr>
              <w:t xml:space="preserve"> </w:t>
            </w:r>
            <w:r>
              <w:rPr>
                <w:sz w:val="28"/>
              </w:rPr>
              <w:t>Алматы</w:t>
            </w:r>
            <w:r>
              <w:rPr>
                <w:spacing w:val="-7"/>
                <w:sz w:val="28"/>
              </w:rPr>
              <w:t xml:space="preserve"> </w:t>
            </w:r>
            <w:r>
              <w:rPr>
                <w:sz w:val="28"/>
              </w:rPr>
              <w:t>и</w:t>
            </w:r>
            <w:r>
              <w:rPr>
                <w:spacing w:val="-2"/>
                <w:sz w:val="28"/>
              </w:rPr>
              <w:t xml:space="preserve"> Астана………</w:t>
            </w:r>
          </w:p>
        </w:tc>
        <w:tc>
          <w:tcPr>
            <w:tcW w:w="917" w:type="dxa"/>
          </w:tcPr>
          <w:p w14:paraId="321F0F59">
            <w:pPr>
              <w:pStyle w:val="11"/>
              <w:spacing w:line="315" w:lineRule="exact"/>
              <w:ind w:left="15"/>
              <w:rPr>
                <w:spacing w:val="-5"/>
                <w:sz w:val="28"/>
              </w:rPr>
            </w:pPr>
          </w:p>
          <w:p w14:paraId="6C9C8A71">
            <w:pPr>
              <w:pStyle w:val="11"/>
              <w:spacing w:line="315" w:lineRule="exact"/>
              <w:ind w:left="15"/>
              <w:rPr>
                <w:sz w:val="28"/>
              </w:rPr>
            </w:pPr>
            <w:r>
              <w:rPr>
                <w:spacing w:val="-5"/>
                <w:sz w:val="28"/>
              </w:rPr>
              <w:t>57</w:t>
            </w:r>
          </w:p>
        </w:tc>
      </w:tr>
    </w:tbl>
    <w:p w14:paraId="3457A681">
      <w:pPr>
        <w:pStyle w:val="11"/>
        <w:spacing w:line="315" w:lineRule="exact"/>
        <w:rPr>
          <w:sz w:val="28"/>
        </w:rPr>
        <w:sectPr>
          <w:pgSz w:w="11910" w:h="16840"/>
          <w:pgMar w:top="1040" w:right="425" w:bottom="1160" w:left="1559" w:header="0" w:footer="937" w:gutter="0"/>
          <w:cols w:space="720" w:num="1"/>
        </w:sectPr>
      </w:pPr>
    </w:p>
    <w:tbl>
      <w:tblPr>
        <w:tblStyle w:val="5"/>
        <w:tblW w:w="0" w:type="auto"/>
        <w:tblInd w:w="261" w:type="dxa"/>
        <w:tblLayout w:type="fixed"/>
        <w:tblCellMar>
          <w:top w:w="0" w:type="dxa"/>
          <w:left w:w="0" w:type="dxa"/>
          <w:bottom w:w="0" w:type="dxa"/>
          <w:right w:w="0" w:type="dxa"/>
        </w:tblCellMar>
      </w:tblPr>
      <w:tblGrid>
        <w:gridCol w:w="8504"/>
        <w:gridCol w:w="917"/>
      </w:tblGrid>
      <w:tr w14:paraId="78EF3B63">
        <w:tblPrEx>
          <w:tblCellMar>
            <w:top w:w="0" w:type="dxa"/>
            <w:left w:w="0" w:type="dxa"/>
            <w:bottom w:w="0" w:type="dxa"/>
            <w:right w:w="0" w:type="dxa"/>
          </w:tblCellMar>
        </w:tblPrEx>
        <w:trPr>
          <w:trHeight w:val="642" w:hRule="atLeast"/>
        </w:trPr>
        <w:tc>
          <w:tcPr>
            <w:tcW w:w="8504" w:type="dxa"/>
          </w:tcPr>
          <w:p w14:paraId="219B688C">
            <w:pPr>
              <w:pStyle w:val="11"/>
              <w:tabs>
                <w:tab w:val="left" w:pos="667"/>
                <w:tab w:val="left" w:pos="2221"/>
                <w:tab w:val="left" w:pos="4576"/>
                <w:tab w:val="left" w:pos="5708"/>
                <w:tab w:val="left" w:pos="6625"/>
                <w:tab w:val="left" w:pos="7272"/>
              </w:tabs>
              <w:spacing w:line="315" w:lineRule="exact"/>
              <w:ind w:left="105"/>
              <w:jc w:val="left"/>
              <w:rPr>
                <w:sz w:val="28"/>
              </w:rPr>
            </w:pPr>
            <w:r>
              <w:rPr>
                <w:spacing w:val="-5"/>
                <w:sz w:val="28"/>
              </w:rPr>
              <w:t>3.2</w:t>
            </w:r>
            <w:r>
              <w:rPr>
                <w:sz w:val="28"/>
              </w:rPr>
              <w:tab/>
            </w:r>
            <w:r>
              <w:rPr>
                <w:spacing w:val="-2"/>
                <w:sz w:val="28"/>
              </w:rPr>
              <w:t>Результаты</w:t>
            </w:r>
            <w:r>
              <w:rPr>
                <w:sz w:val="28"/>
              </w:rPr>
              <w:tab/>
            </w:r>
            <w:r>
              <w:rPr>
                <w:spacing w:val="-2"/>
                <w:sz w:val="28"/>
              </w:rPr>
              <w:t>ретроспективного</w:t>
            </w:r>
            <w:r>
              <w:rPr>
                <w:sz w:val="28"/>
              </w:rPr>
              <w:tab/>
            </w:r>
            <w:r>
              <w:rPr>
                <w:spacing w:val="-2"/>
                <w:sz w:val="28"/>
              </w:rPr>
              <w:t>анализа</w:t>
            </w:r>
            <w:r>
              <w:rPr>
                <w:sz w:val="28"/>
              </w:rPr>
              <w:tab/>
            </w:r>
            <w:r>
              <w:rPr>
                <w:spacing w:val="-4"/>
                <w:sz w:val="28"/>
              </w:rPr>
              <w:t>ГПДР</w:t>
            </w:r>
            <w:r>
              <w:rPr>
                <w:sz w:val="28"/>
              </w:rPr>
              <w:tab/>
            </w:r>
            <w:r>
              <w:rPr>
                <w:spacing w:val="-5"/>
                <w:sz w:val="28"/>
              </w:rPr>
              <w:t>при</w:t>
            </w:r>
            <w:r>
              <w:rPr>
                <w:sz w:val="28"/>
              </w:rPr>
              <w:tab/>
            </w:r>
            <w:r>
              <w:rPr>
                <w:spacing w:val="-2"/>
                <w:sz w:val="28"/>
              </w:rPr>
              <w:t>опухолях</w:t>
            </w:r>
          </w:p>
          <w:p w14:paraId="620699D9">
            <w:pPr>
              <w:pStyle w:val="11"/>
              <w:ind w:left="105"/>
              <w:jc w:val="left"/>
              <w:rPr>
                <w:sz w:val="28"/>
              </w:rPr>
            </w:pPr>
            <w:r>
              <w:rPr>
                <w:spacing w:val="-2"/>
                <w:sz w:val="28"/>
              </w:rPr>
              <w:t>периампулярной</w:t>
            </w:r>
            <w:r>
              <w:rPr>
                <w:spacing w:val="6"/>
                <w:sz w:val="28"/>
              </w:rPr>
              <w:t xml:space="preserve"> </w:t>
            </w:r>
            <w:r>
              <w:rPr>
                <w:spacing w:val="-4"/>
                <w:sz w:val="28"/>
              </w:rPr>
              <w:t>зоны…………………………………………………….</w:t>
            </w:r>
          </w:p>
        </w:tc>
        <w:tc>
          <w:tcPr>
            <w:tcW w:w="917" w:type="dxa"/>
          </w:tcPr>
          <w:p w14:paraId="3249159D">
            <w:pPr>
              <w:pStyle w:val="11"/>
              <w:spacing w:line="315" w:lineRule="exact"/>
              <w:ind w:left="15"/>
              <w:rPr>
                <w:spacing w:val="-5"/>
                <w:sz w:val="28"/>
              </w:rPr>
            </w:pPr>
          </w:p>
          <w:p w14:paraId="38CF0493">
            <w:pPr>
              <w:pStyle w:val="11"/>
              <w:spacing w:line="315" w:lineRule="exact"/>
              <w:ind w:left="15"/>
              <w:rPr>
                <w:sz w:val="28"/>
              </w:rPr>
            </w:pPr>
            <w:r>
              <w:rPr>
                <w:spacing w:val="-5"/>
                <w:sz w:val="28"/>
              </w:rPr>
              <w:t>60</w:t>
            </w:r>
          </w:p>
        </w:tc>
      </w:tr>
      <w:tr w14:paraId="3D4903E7">
        <w:tblPrEx>
          <w:tblCellMar>
            <w:top w:w="0" w:type="dxa"/>
            <w:left w:w="0" w:type="dxa"/>
            <w:bottom w:w="0" w:type="dxa"/>
            <w:right w:w="0" w:type="dxa"/>
          </w:tblCellMar>
        </w:tblPrEx>
        <w:trPr>
          <w:trHeight w:val="647" w:hRule="atLeast"/>
        </w:trPr>
        <w:tc>
          <w:tcPr>
            <w:tcW w:w="8504" w:type="dxa"/>
          </w:tcPr>
          <w:p w14:paraId="0CC649D1">
            <w:pPr>
              <w:pStyle w:val="11"/>
              <w:tabs>
                <w:tab w:val="left" w:pos="959"/>
                <w:tab w:val="left" w:pos="2067"/>
                <w:tab w:val="left" w:pos="5594"/>
                <w:tab w:val="left" w:pos="8237"/>
              </w:tabs>
              <w:spacing w:line="322" w:lineRule="exact"/>
              <w:ind w:left="105" w:right="105"/>
              <w:jc w:val="left"/>
              <w:rPr>
                <w:sz w:val="28"/>
              </w:rPr>
            </w:pPr>
            <w:r>
              <w:rPr>
                <w:spacing w:val="-2"/>
                <w:sz w:val="28"/>
              </w:rPr>
              <w:t>3.2.1</w:t>
            </w:r>
            <w:r>
              <w:rPr>
                <w:sz w:val="28"/>
              </w:rPr>
              <w:tab/>
            </w:r>
            <w:r>
              <w:rPr>
                <w:spacing w:val="-2"/>
                <w:sz w:val="28"/>
              </w:rPr>
              <w:t>Общая</w:t>
            </w:r>
            <w:r>
              <w:rPr>
                <w:sz w:val="28"/>
              </w:rPr>
              <w:tab/>
            </w:r>
            <w:r>
              <w:rPr>
                <w:spacing w:val="-2"/>
                <w:sz w:val="28"/>
              </w:rPr>
              <w:t>клинико-демографическая,</w:t>
            </w:r>
            <w:r>
              <w:rPr>
                <w:sz w:val="28"/>
              </w:rPr>
              <w:tab/>
            </w:r>
            <w:r>
              <w:rPr>
                <w:spacing w:val="-2"/>
                <w:sz w:val="28"/>
              </w:rPr>
              <w:t>интраоперационная</w:t>
            </w:r>
            <w:r>
              <w:rPr>
                <w:sz w:val="28"/>
              </w:rPr>
              <w:tab/>
            </w:r>
            <w:r>
              <w:rPr>
                <w:spacing w:val="-10"/>
                <w:sz w:val="28"/>
              </w:rPr>
              <w:t xml:space="preserve">и </w:t>
            </w:r>
            <w:r>
              <w:rPr>
                <w:sz w:val="28"/>
              </w:rPr>
              <w:t>послеоперационная характеристика пациентов……………………….</w:t>
            </w:r>
          </w:p>
        </w:tc>
        <w:tc>
          <w:tcPr>
            <w:tcW w:w="917" w:type="dxa"/>
          </w:tcPr>
          <w:p w14:paraId="2E0A8C5A">
            <w:pPr>
              <w:pStyle w:val="11"/>
              <w:spacing w:line="320" w:lineRule="exact"/>
              <w:ind w:left="15"/>
              <w:rPr>
                <w:spacing w:val="-5"/>
                <w:sz w:val="28"/>
              </w:rPr>
            </w:pPr>
          </w:p>
          <w:p w14:paraId="65B71FBA">
            <w:pPr>
              <w:pStyle w:val="11"/>
              <w:spacing w:line="320" w:lineRule="exact"/>
              <w:ind w:left="15"/>
              <w:rPr>
                <w:sz w:val="28"/>
              </w:rPr>
            </w:pPr>
            <w:r>
              <w:rPr>
                <w:spacing w:val="-5"/>
                <w:sz w:val="28"/>
              </w:rPr>
              <w:t>60</w:t>
            </w:r>
          </w:p>
        </w:tc>
      </w:tr>
      <w:tr w14:paraId="57B10DF2">
        <w:tblPrEx>
          <w:tblCellMar>
            <w:top w:w="0" w:type="dxa"/>
            <w:left w:w="0" w:type="dxa"/>
            <w:bottom w:w="0" w:type="dxa"/>
            <w:right w:w="0" w:type="dxa"/>
          </w:tblCellMar>
        </w:tblPrEx>
        <w:trPr>
          <w:trHeight w:val="965" w:hRule="atLeast"/>
        </w:trPr>
        <w:tc>
          <w:tcPr>
            <w:tcW w:w="8504" w:type="dxa"/>
          </w:tcPr>
          <w:p w14:paraId="35278CE3">
            <w:pPr>
              <w:pStyle w:val="11"/>
              <w:spacing w:line="240" w:lineRule="auto"/>
              <w:ind w:left="105"/>
              <w:jc w:val="left"/>
              <w:rPr>
                <w:sz w:val="28"/>
              </w:rPr>
            </w:pPr>
            <w:r>
              <w:rPr>
                <w:sz w:val="28"/>
              </w:rPr>
              <w:t>3.2.2 Структура послеоперационных осложнений у пациентов после ГПДР</w:t>
            </w:r>
            <w:r>
              <w:rPr>
                <w:spacing w:val="53"/>
                <w:sz w:val="28"/>
              </w:rPr>
              <w:t xml:space="preserve"> </w:t>
            </w:r>
            <w:r>
              <w:rPr>
                <w:sz w:val="28"/>
              </w:rPr>
              <w:t>с</w:t>
            </w:r>
            <w:r>
              <w:rPr>
                <w:spacing w:val="55"/>
                <w:sz w:val="28"/>
              </w:rPr>
              <w:t xml:space="preserve"> </w:t>
            </w:r>
            <w:r>
              <w:rPr>
                <w:sz w:val="28"/>
              </w:rPr>
              <w:t>учётом</w:t>
            </w:r>
            <w:r>
              <w:rPr>
                <w:spacing w:val="55"/>
                <w:sz w:val="28"/>
              </w:rPr>
              <w:t xml:space="preserve"> </w:t>
            </w:r>
            <w:r>
              <w:rPr>
                <w:sz w:val="28"/>
              </w:rPr>
              <w:t>консистенции</w:t>
            </w:r>
            <w:r>
              <w:rPr>
                <w:spacing w:val="53"/>
                <w:sz w:val="28"/>
              </w:rPr>
              <w:t xml:space="preserve"> </w:t>
            </w:r>
            <w:r>
              <w:rPr>
                <w:sz w:val="28"/>
              </w:rPr>
              <w:t>поджелудочной</w:t>
            </w:r>
            <w:r>
              <w:rPr>
                <w:spacing w:val="53"/>
                <w:sz w:val="28"/>
              </w:rPr>
              <w:t xml:space="preserve"> </w:t>
            </w:r>
            <w:r>
              <w:rPr>
                <w:sz w:val="28"/>
              </w:rPr>
              <w:t>железы</w:t>
            </w:r>
            <w:r>
              <w:rPr>
                <w:spacing w:val="54"/>
                <w:sz w:val="28"/>
              </w:rPr>
              <w:t xml:space="preserve"> </w:t>
            </w:r>
            <w:r>
              <w:rPr>
                <w:sz w:val="28"/>
              </w:rPr>
              <w:t>и</w:t>
            </w:r>
            <w:r>
              <w:rPr>
                <w:spacing w:val="50"/>
                <w:sz w:val="28"/>
              </w:rPr>
              <w:t xml:space="preserve"> </w:t>
            </w:r>
            <w:r>
              <w:rPr>
                <w:spacing w:val="-2"/>
                <w:sz w:val="28"/>
              </w:rPr>
              <w:t>диаметра</w:t>
            </w:r>
          </w:p>
          <w:p w14:paraId="49549D62">
            <w:pPr>
              <w:pStyle w:val="11"/>
              <w:ind w:left="105"/>
              <w:jc w:val="left"/>
              <w:rPr>
                <w:sz w:val="28"/>
              </w:rPr>
            </w:pPr>
            <w:r>
              <w:rPr>
                <w:spacing w:val="-2"/>
                <w:sz w:val="28"/>
              </w:rPr>
              <w:t>панкреатического</w:t>
            </w:r>
            <w:r>
              <w:rPr>
                <w:spacing w:val="8"/>
                <w:sz w:val="28"/>
              </w:rPr>
              <w:t xml:space="preserve"> </w:t>
            </w:r>
            <w:r>
              <w:rPr>
                <w:spacing w:val="-2"/>
                <w:sz w:val="28"/>
              </w:rPr>
              <w:t>протока……………………………………………….</w:t>
            </w:r>
          </w:p>
        </w:tc>
        <w:tc>
          <w:tcPr>
            <w:tcW w:w="917" w:type="dxa"/>
          </w:tcPr>
          <w:p w14:paraId="4E2685ED">
            <w:pPr>
              <w:pStyle w:val="11"/>
              <w:spacing w:line="315" w:lineRule="exact"/>
              <w:ind w:left="15" w:right="1"/>
              <w:rPr>
                <w:spacing w:val="-5"/>
                <w:sz w:val="28"/>
              </w:rPr>
            </w:pPr>
          </w:p>
          <w:p w14:paraId="36ECC052">
            <w:pPr>
              <w:pStyle w:val="11"/>
              <w:spacing w:line="315" w:lineRule="exact"/>
              <w:ind w:left="15" w:right="1"/>
              <w:rPr>
                <w:spacing w:val="-5"/>
                <w:sz w:val="28"/>
              </w:rPr>
            </w:pPr>
          </w:p>
          <w:p w14:paraId="339AE0DB">
            <w:pPr>
              <w:pStyle w:val="11"/>
              <w:spacing w:line="315" w:lineRule="exact"/>
              <w:ind w:left="15" w:right="1"/>
              <w:rPr>
                <w:sz w:val="28"/>
              </w:rPr>
            </w:pPr>
            <w:r>
              <w:rPr>
                <w:spacing w:val="-5"/>
                <w:sz w:val="28"/>
              </w:rPr>
              <w:t>65</w:t>
            </w:r>
          </w:p>
        </w:tc>
      </w:tr>
      <w:tr w14:paraId="538B4D54">
        <w:tblPrEx>
          <w:tblCellMar>
            <w:top w:w="0" w:type="dxa"/>
            <w:left w:w="0" w:type="dxa"/>
            <w:bottom w:w="0" w:type="dxa"/>
            <w:right w:w="0" w:type="dxa"/>
          </w:tblCellMar>
        </w:tblPrEx>
        <w:trPr>
          <w:trHeight w:val="642" w:hRule="atLeast"/>
        </w:trPr>
        <w:tc>
          <w:tcPr>
            <w:tcW w:w="8504" w:type="dxa"/>
          </w:tcPr>
          <w:p w14:paraId="3E70D554">
            <w:pPr>
              <w:pStyle w:val="11"/>
              <w:tabs>
                <w:tab w:val="left" w:pos="821"/>
                <w:tab w:val="left" w:pos="2322"/>
                <w:tab w:val="left" w:pos="4878"/>
                <w:tab w:val="left" w:pos="6984"/>
              </w:tabs>
              <w:spacing w:line="315" w:lineRule="exact"/>
              <w:ind w:left="105"/>
              <w:jc w:val="left"/>
              <w:rPr>
                <w:sz w:val="28"/>
              </w:rPr>
            </w:pPr>
            <w:r>
              <w:rPr>
                <w:spacing w:val="-5"/>
                <w:sz w:val="28"/>
              </w:rPr>
              <w:t>3.3</w:t>
            </w:r>
            <w:r>
              <w:rPr>
                <w:sz w:val="28"/>
              </w:rPr>
              <w:tab/>
            </w:r>
            <w:r>
              <w:rPr>
                <w:spacing w:val="-2"/>
                <w:sz w:val="28"/>
              </w:rPr>
              <w:t>Факторы,</w:t>
            </w:r>
            <w:r>
              <w:rPr>
                <w:sz w:val="28"/>
              </w:rPr>
              <w:tab/>
            </w:r>
            <w:r>
              <w:rPr>
                <w:spacing w:val="-2"/>
                <w:sz w:val="28"/>
              </w:rPr>
              <w:t>обусловливающие</w:t>
            </w:r>
            <w:r>
              <w:rPr>
                <w:sz w:val="28"/>
              </w:rPr>
              <w:tab/>
            </w:r>
            <w:r>
              <w:rPr>
                <w:spacing w:val="-2"/>
                <w:sz w:val="28"/>
              </w:rPr>
              <w:t>формирование</w:t>
            </w:r>
            <w:r>
              <w:rPr>
                <w:sz w:val="28"/>
              </w:rPr>
              <w:tab/>
            </w:r>
            <w:r>
              <w:rPr>
                <w:spacing w:val="-2"/>
                <w:sz w:val="28"/>
              </w:rPr>
              <w:t>клинически</w:t>
            </w:r>
          </w:p>
          <w:p w14:paraId="09B4DE3F">
            <w:pPr>
              <w:pStyle w:val="11"/>
              <w:ind w:left="105"/>
              <w:jc w:val="left"/>
              <w:rPr>
                <w:sz w:val="28"/>
              </w:rPr>
            </w:pPr>
            <w:r>
              <w:rPr>
                <w:spacing w:val="-2"/>
                <w:sz w:val="28"/>
              </w:rPr>
              <w:t>значимого</w:t>
            </w:r>
            <w:r>
              <w:rPr>
                <w:spacing w:val="6"/>
                <w:sz w:val="28"/>
              </w:rPr>
              <w:t xml:space="preserve"> </w:t>
            </w:r>
            <w:r>
              <w:rPr>
                <w:spacing w:val="-2"/>
                <w:sz w:val="28"/>
              </w:rPr>
              <w:t>панкреатического</w:t>
            </w:r>
            <w:r>
              <w:rPr>
                <w:spacing w:val="7"/>
                <w:sz w:val="28"/>
              </w:rPr>
              <w:t xml:space="preserve"> </w:t>
            </w:r>
            <w:r>
              <w:rPr>
                <w:spacing w:val="-4"/>
                <w:sz w:val="28"/>
              </w:rPr>
              <w:t>свища……………………………………..</w:t>
            </w:r>
          </w:p>
        </w:tc>
        <w:tc>
          <w:tcPr>
            <w:tcW w:w="917" w:type="dxa"/>
          </w:tcPr>
          <w:p w14:paraId="7ABECB7C">
            <w:pPr>
              <w:pStyle w:val="11"/>
              <w:spacing w:line="315" w:lineRule="exact"/>
              <w:ind w:left="15" w:right="1"/>
              <w:rPr>
                <w:spacing w:val="-5"/>
                <w:sz w:val="28"/>
              </w:rPr>
            </w:pPr>
          </w:p>
          <w:p w14:paraId="04914185">
            <w:pPr>
              <w:pStyle w:val="11"/>
              <w:spacing w:line="315" w:lineRule="exact"/>
              <w:ind w:left="15" w:right="1"/>
              <w:rPr>
                <w:sz w:val="28"/>
              </w:rPr>
            </w:pPr>
            <w:r>
              <w:rPr>
                <w:spacing w:val="-5"/>
                <w:sz w:val="28"/>
              </w:rPr>
              <w:t>72</w:t>
            </w:r>
          </w:p>
        </w:tc>
      </w:tr>
      <w:tr w14:paraId="0DDADECB">
        <w:tblPrEx>
          <w:tblCellMar>
            <w:top w:w="0" w:type="dxa"/>
            <w:left w:w="0" w:type="dxa"/>
            <w:bottom w:w="0" w:type="dxa"/>
            <w:right w:w="0" w:type="dxa"/>
          </w:tblCellMar>
        </w:tblPrEx>
        <w:trPr>
          <w:trHeight w:val="647" w:hRule="atLeast"/>
        </w:trPr>
        <w:tc>
          <w:tcPr>
            <w:tcW w:w="8504" w:type="dxa"/>
          </w:tcPr>
          <w:p w14:paraId="22226A55">
            <w:pPr>
              <w:pStyle w:val="11"/>
              <w:spacing w:line="315" w:lineRule="exact"/>
              <w:ind w:left="105"/>
              <w:jc w:val="left"/>
              <w:rPr>
                <w:sz w:val="28"/>
              </w:rPr>
            </w:pPr>
            <w:r>
              <w:rPr>
                <w:sz w:val="28"/>
              </w:rPr>
              <w:t>3.3.1</w:t>
            </w:r>
            <w:r>
              <w:rPr>
                <w:spacing w:val="54"/>
                <w:sz w:val="28"/>
              </w:rPr>
              <w:t xml:space="preserve"> </w:t>
            </w:r>
            <w:r>
              <w:rPr>
                <w:sz w:val="28"/>
              </w:rPr>
              <w:t>Однофакторный</w:t>
            </w:r>
            <w:r>
              <w:rPr>
                <w:spacing w:val="55"/>
                <w:sz w:val="28"/>
              </w:rPr>
              <w:t xml:space="preserve"> </w:t>
            </w:r>
            <w:r>
              <w:rPr>
                <w:sz w:val="28"/>
              </w:rPr>
              <w:t>анализ</w:t>
            </w:r>
            <w:r>
              <w:rPr>
                <w:spacing w:val="55"/>
                <w:sz w:val="28"/>
              </w:rPr>
              <w:t xml:space="preserve"> </w:t>
            </w:r>
            <w:r>
              <w:rPr>
                <w:sz w:val="28"/>
              </w:rPr>
              <w:t>клинико-анатомических</w:t>
            </w:r>
            <w:r>
              <w:rPr>
                <w:spacing w:val="51"/>
                <w:sz w:val="28"/>
              </w:rPr>
              <w:t xml:space="preserve"> </w:t>
            </w:r>
            <w:r>
              <w:rPr>
                <w:spacing w:val="-2"/>
                <w:sz w:val="28"/>
              </w:rPr>
              <w:t>предикторов</w:t>
            </w:r>
          </w:p>
          <w:p w14:paraId="1D55F80D">
            <w:pPr>
              <w:pStyle w:val="11"/>
              <w:spacing w:line="313" w:lineRule="exact"/>
              <w:ind w:left="105"/>
              <w:jc w:val="left"/>
              <w:rPr>
                <w:sz w:val="28"/>
              </w:rPr>
            </w:pPr>
            <w:r>
              <w:rPr>
                <w:sz w:val="28"/>
              </w:rPr>
              <w:t>клинически</w:t>
            </w:r>
            <w:r>
              <w:rPr>
                <w:spacing w:val="-13"/>
                <w:sz w:val="28"/>
              </w:rPr>
              <w:t xml:space="preserve"> </w:t>
            </w:r>
            <w:r>
              <w:rPr>
                <w:sz w:val="28"/>
              </w:rPr>
              <w:t>значимого</w:t>
            </w:r>
            <w:r>
              <w:rPr>
                <w:spacing w:val="-13"/>
                <w:sz w:val="28"/>
              </w:rPr>
              <w:t xml:space="preserve"> </w:t>
            </w:r>
            <w:r>
              <w:rPr>
                <w:sz w:val="28"/>
              </w:rPr>
              <w:t>панкреатического</w:t>
            </w:r>
            <w:r>
              <w:rPr>
                <w:spacing w:val="-13"/>
                <w:sz w:val="28"/>
              </w:rPr>
              <w:t xml:space="preserve"> </w:t>
            </w:r>
            <w:r>
              <w:rPr>
                <w:spacing w:val="-2"/>
                <w:sz w:val="28"/>
              </w:rPr>
              <w:t>свища……………………….</w:t>
            </w:r>
          </w:p>
        </w:tc>
        <w:tc>
          <w:tcPr>
            <w:tcW w:w="917" w:type="dxa"/>
          </w:tcPr>
          <w:p w14:paraId="0619D4E8">
            <w:pPr>
              <w:pStyle w:val="11"/>
              <w:spacing w:line="315" w:lineRule="exact"/>
              <w:ind w:left="15" w:right="1"/>
              <w:rPr>
                <w:spacing w:val="-5"/>
                <w:sz w:val="28"/>
              </w:rPr>
            </w:pPr>
          </w:p>
          <w:p w14:paraId="28097504">
            <w:pPr>
              <w:pStyle w:val="11"/>
              <w:spacing w:line="315" w:lineRule="exact"/>
              <w:ind w:left="15" w:right="1"/>
              <w:rPr>
                <w:sz w:val="28"/>
              </w:rPr>
            </w:pPr>
            <w:r>
              <w:rPr>
                <w:spacing w:val="-5"/>
                <w:sz w:val="28"/>
              </w:rPr>
              <w:t>72</w:t>
            </w:r>
          </w:p>
        </w:tc>
      </w:tr>
      <w:tr w14:paraId="67CF1029">
        <w:tblPrEx>
          <w:tblCellMar>
            <w:top w:w="0" w:type="dxa"/>
            <w:left w:w="0" w:type="dxa"/>
            <w:bottom w:w="0" w:type="dxa"/>
            <w:right w:w="0" w:type="dxa"/>
          </w:tblCellMar>
        </w:tblPrEx>
        <w:trPr>
          <w:trHeight w:val="642" w:hRule="atLeast"/>
        </w:trPr>
        <w:tc>
          <w:tcPr>
            <w:tcW w:w="8504" w:type="dxa"/>
          </w:tcPr>
          <w:p w14:paraId="20A1B809">
            <w:pPr>
              <w:pStyle w:val="11"/>
              <w:spacing w:line="315" w:lineRule="exact"/>
              <w:ind w:left="105"/>
              <w:jc w:val="left"/>
              <w:rPr>
                <w:sz w:val="28"/>
              </w:rPr>
            </w:pPr>
            <w:r>
              <w:rPr>
                <w:sz w:val="28"/>
              </w:rPr>
              <w:t>3.3.2</w:t>
            </w:r>
            <w:r>
              <w:rPr>
                <w:spacing w:val="6"/>
                <w:sz w:val="28"/>
              </w:rPr>
              <w:t xml:space="preserve"> </w:t>
            </w:r>
            <w:r>
              <w:rPr>
                <w:sz w:val="28"/>
              </w:rPr>
              <w:t>ROC-анализ</w:t>
            </w:r>
            <w:r>
              <w:rPr>
                <w:spacing w:val="7"/>
                <w:sz w:val="28"/>
              </w:rPr>
              <w:t xml:space="preserve"> </w:t>
            </w:r>
            <w:r>
              <w:rPr>
                <w:sz w:val="28"/>
              </w:rPr>
              <w:t>количественных</w:t>
            </w:r>
            <w:r>
              <w:rPr>
                <w:spacing w:val="3"/>
                <w:sz w:val="28"/>
              </w:rPr>
              <w:t xml:space="preserve"> </w:t>
            </w:r>
            <w:r>
              <w:rPr>
                <w:sz w:val="28"/>
              </w:rPr>
              <w:t>показателей</w:t>
            </w:r>
            <w:r>
              <w:rPr>
                <w:spacing w:val="6"/>
                <w:sz w:val="28"/>
              </w:rPr>
              <w:t xml:space="preserve"> </w:t>
            </w:r>
            <w:r>
              <w:rPr>
                <w:sz w:val="28"/>
              </w:rPr>
              <w:t>риска</w:t>
            </w:r>
            <w:r>
              <w:rPr>
                <w:spacing w:val="6"/>
                <w:sz w:val="28"/>
              </w:rPr>
              <w:t xml:space="preserve"> </w:t>
            </w:r>
            <w:r>
              <w:rPr>
                <w:spacing w:val="-2"/>
                <w:sz w:val="28"/>
              </w:rPr>
              <w:t>формирования</w:t>
            </w:r>
          </w:p>
          <w:p w14:paraId="771E0423">
            <w:pPr>
              <w:pStyle w:val="11"/>
              <w:ind w:left="105"/>
              <w:jc w:val="left"/>
              <w:rPr>
                <w:sz w:val="28"/>
              </w:rPr>
            </w:pPr>
            <w:r>
              <w:rPr>
                <w:sz w:val="28"/>
              </w:rPr>
              <w:t>клинически</w:t>
            </w:r>
            <w:r>
              <w:rPr>
                <w:spacing w:val="-13"/>
                <w:sz w:val="28"/>
              </w:rPr>
              <w:t xml:space="preserve"> </w:t>
            </w:r>
            <w:r>
              <w:rPr>
                <w:sz w:val="28"/>
              </w:rPr>
              <w:t>значимого</w:t>
            </w:r>
            <w:r>
              <w:rPr>
                <w:spacing w:val="-13"/>
                <w:sz w:val="28"/>
              </w:rPr>
              <w:t xml:space="preserve"> </w:t>
            </w:r>
            <w:r>
              <w:rPr>
                <w:sz w:val="28"/>
              </w:rPr>
              <w:t>панкреатического</w:t>
            </w:r>
            <w:r>
              <w:rPr>
                <w:spacing w:val="-13"/>
                <w:sz w:val="28"/>
              </w:rPr>
              <w:t xml:space="preserve"> </w:t>
            </w:r>
            <w:r>
              <w:rPr>
                <w:spacing w:val="-2"/>
                <w:sz w:val="28"/>
              </w:rPr>
              <w:t>свища……………………….</w:t>
            </w:r>
          </w:p>
        </w:tc>
        <w:tc>
          <w:tcPr>
            <w:tcW w:w="917" w:type="dxa"/>
          </w:tcPr>
          <w:p w14:paraId="5591AEDF">
            <w:pPr>
              <w:pStyle w:val="11"/>
              <w:spacing w:line="315" w:lineRule="exact"/>
              <w:ind w:left="15" w:right="1"/>
              <w:rPr>
                <w:spacing w:val="-5"/>
                <w:sz w:val="28"/>
              </w:rPr>
            </w:pPr>
          </w:p>
          <w:p w14:paraId="50EE7A1A">
            <w:pPr>
              <w:pStyle w:val="11"/>
              <w:spacing w:line="315" w:lineRule="exact"/>
              <w:ind w:left="15" w:right="1"/>
              <w:rPr>
                <w:sz w:val="28"/>
              </w:rPr>
            </w:pPr>
            <w:r>
              <w:rPr>
                <w:spacing w:val="-5"/>
                <w:sz w:val="28"/>
              </w:rPr>
              <w:t>73</w:t>
            </w:r>
          </w:p>
        </w:tc>
      </w:tr>
      <w:tr w14:paraId="7DCCC621">
        <w:tblPrEx>
          <w:tblCellMar>
            <w:top w:w="0" w:type="dxa"/>
            <w:left w:w="0" w:type="dxa"/>
            <w:bottom w:w="0" w:type="dxa"/>
            <w:right w:w="0" w:type="dxa"/>
          </w:tblCellMar>
        </w:tblPrEx>
        <w:trPr>
          <w:trHeight w:val="965" w:hRule="atLeast"/>
        </w:trPr>
        <w:tc>
          <w:tcPr>
            <w:tcW w:w="8504" w:type="dxa"/>
          </w:tcPr>
          <w:p w14:paraId="0DABD122">
            <w:pPr>
              <w:pStyle w:val="11"/>
              <w:tabs>
                <w:tab w:val="left" w:pos="1007"/>
                <w:tab w:val="left" w:pos="3334"/>
                <w:tab w:val="left" w:pos="5440"/>
                <w:tab w:val="left" w:pos="7593"/>
              </w:tabs>
              <w:spacing w:line="315" w:lineRule="exact"/>
              <w:ind w:left="105"/>
              <w:jc w:val="left"/>
              <w:rPr>
                <w:sz w:val="28"/>
              </w:rPr>
            </w:pPr>
            <w:r>
              <w:rPr>
                <w:spacing w:val="-2"/>
                <w:sz w:val="28"/>
              </w:rPr>
              <w:t>3.3.3</w:t>
            </w:r>
            <w:r>
              <w:rPr>
                <w:sz w:val="28"/>
              </w:rPr>
              <w:tab/>
            </w:r>
            <w:r>
              <w:rPr>
                <w:spacing w:val="-2"/>
                <w:sz w:val="28"/>
              </w:rPr>
              <w:t>Множественный</w:t>
            </w:r>
            <w:r>
              <w:rPr>
                <w:sz w:val="28"/>
              </w:rPr>
              <w:tab/>
            </w:r>
            <w:r>
              <w:rPr>
                <w:spacing w:val="-2"/>
                <w:sz w:val="28"/>
              </w:rPr>
              <w:t>логистический</w:t>
            </w:r>
            <w:r>
              <w:rPr>
                <w:sz w:val="28"/>
              </w:rPr>
              <w:tab/>
            </w:r>
            <w:r>
              <w:rPr>
                <w:spacing w:val="-2"/>
                <w:sz w:val="28"/>
              </w:rPr>
              <w:t>регрессионный</w:t>
            </w:r>
            <w:r>
              <w:rPr>
                <w:sz w:val="28"/>
              </w:rPr>
              <w:tab/>
            </w:r>
            <w:r>
              <w:rPr>
                <w:spacing w:val="-2"/>
                <w:sz w:val="28"/>
              </w:rPr>
              <w:t>анализ</w:t>
            </w:r>
          </w:p>
          <w:p w14:paraId="1382CFD5">
            <w:pPr>
              <w:pStyle w:val="11"/>
              <w:spacing w:line="322" w:lineRule="exact"/>
              <w:ind w:left="105"/>
              <w:jc w:val="left"/>
              <w:rPr>
                <w:sz w:val="28"/>
              </w:rPr>
            </w:pPr>
            <w:r>
              <w:rPr>
                <w:sz w:val="28"/>
              </w:rPr>
              <w:t xml:space="preserve">независимых предикторов клинически значимого панкреатического </w:t>
            </w:r>
            <w:r>
              <w:rPr>
                <w:spacing w:val="-2"/>
                <w:sz w:val="28"/>
              </w:rPr>
              <w:t>свища………………………………………………………………………</w:t>
            </w:r>
          </w:p>
        </w:tc>
        <w:tc>
          <w:tcPr>
            <w:tcW w:w="917" w:type="dxa"/>
          </w:tcPr>
          <w:p w14:paraId="1C6BE6FD">
            <w:pPr>
              <w:pStyle w:val="11"/>
              <w:spacing w:line="315" w:lineRule="exact"/>
              <w:ind w:left="15" w:right="1"/>
              <w:rPr>
                <w:spacing w:val="-5"/>
                <w:sz w:val="28"/>
              </w:rPr>
            </w:pPr>
          </w:p>
          <w:p w14:paraId="72892BC2">
            <w:pPr>
              <w:pStyle w:val="11"/>
              <w:spacing w:line="315" w:lineRule="exact"/>
              <w:ind w:left="15" w:right="1"/>
              <w:rPr>
                <w:spacing w:val="-5"/>
                <w:sz w:val="28"/>
              </w:rPr>
            </w:pPr>
          </w:p>
          <w:p w14:paraId="1360A5FE">
            <w:pPr>
              <w:pStyle w:val="11"/>
              <w:spacing w:line="315" w:lineRule="exact"/>
              <w:ind w:left="15" w:right="1"/>
              <w:rPr>
                <w:sz w:val="28"/>
              </w:rPr>
            </w:pPr>
            <w:r>
              <w:rPr>
                <w:spacing w:val="-5"/>
                <w:sz w:val="28"/>
              </w:rPr>
              <w:t>78</w:t>
            </w:r>
          </w:p>
        </w:tc>
      </w:tr>
      <w:tr w14:paraId="66618D74">
        <w:tblPrEx>
          <w:tblCellMar>
            <w:top w:w="0" w:type="dxa"/>
            <w:left w:w="0" w:type="dxa"/>
            <w:bottom w:w="0" w:type="dxa"/>
            <w:right w:w="0" w:type="dxa"/>
          </w:tblCellMar>
        </w:tblPrEx>
        <w:trPr>
          <w:trHeight w:val="642" w:hRule="atLeast"/>
        </w:trPr>
        <w:tc>
          <w:tcPr>
            <w:tcW w:w="8504" w:type="dxa"/>
          </w:tcPr>
          <w:p w14:paraId="33D9DD6B">
            <w:pPr>
              <w:pStyle w:val="11"/>
              <w:tabs>
                <w:tab w:val="left" w:pos="925"/>
                <w:tab w:val="left" w:pos="3171"/>
                <w:tab w:val="left" w:pos="4888"/>
                <w:tab w:val="left" w:pos="6249"/>
              </w:tabs>
              <w:spacing w:line="315" w:lineRule="exact"/>
              <w:ind w:left="105"/>
              <w:jc w:val="left"/>
              <w:rPr>
                <w:sz w:val="28"/>
              </w:rPr>
            </w:pPr>
            <w:r>
              <w:rPr>
                <w:spacing w:val="-2"/>
                <w:sz w:val="28"/>
              </w:rPr>
              <w:t>3.3.4</w:t>
            </w:r>
            <w:r>
              <w:rPr>
                <w:sz w:val="28"/>
              </w:rPr>
              <w:tab/>
            </w:r>
            <w:r>
              <w:rPr>
                <w:spacing w:val="-2"/>
                <w:sz w:val="28"/>
              </w:rPr>
              <w:t>Корреляционная</w:t>
            </w:r>
            <w:r>
              <w:rPr>
                <w:sz w:val="28"/>
              </w:rPr>
              <w:tab/>
            </w:r>
            <w:r>
              <w:rPr>
                <w:spacing w:val="-2"/>
                <w:sz w:val="28"/>
              </w:rPr>
              <w:t>взаимосвязь</w:t>
            </w:r>
            <w:r>
              <w:rPr>
                <w:sz w:val="28"/>
              </w:rPr>
              <w:tab/>
            </w:r>
            <w:r>
              <w:rPr>
                <w:spacing w:val="-2"/>
                <w:sz w:val="28"/>
              </w:rPr>
              <w:t>диаметра</w:t>
            </w:r>
            <w:r>
              <w:rPr>
                <w:sz w:val="28"/>
              </w:rPr>
              <w:tab/>
            </w:r>
            <w:r>
              <w:rPr>
                <w:spacing w:val="-2"/>
                <w:sz w:val="28"/>
              </w:rPr>
              <w:t>панкреатического</w:t>
            </w:r>
          </w:p>
          <w:p w14:paraId="48102E68">
            <w:pPr>
              <w:pStyle w:val="11"/>
              <w:ind w:left="105"/>
              <w:jc w:val="left"/>
              <w:rPr>
                <w:sz w:val="28"/>
              </w:rPr>
            </w:pPr>
            <w:r>
              <w:rPr>
                <w:sz w:val="28"/>
              </w:rPr>
              <w:t>протока</w:t>
            </w:r>
            <w:r>
              <w:rPr>
                <w:spacing w:val="-9"/>
                <w:sz w:val="28"/>
              </w:rPr>
              <w:t xml:space="preserve"> </w:t>
            </w:r>
            <w:r>
              <w:rPr>
                <w:sz w:val="28"/>
              </w:rPr>
              <w:t>и</w:t>
            </w:r>
            <w:r>
              <w:rPr>
                <w:spacing w:val="-9"/>
                <w:sz w:val="28"/>
              </w:rPr>
              <w:t xml:space="preserve"> </w:t>
            </w:r>
            <w:r>
              <w:rPr>
                <w:sz w:val="28"/>
              </w:rPr>
              <w:t>амилазной</w:t>
            </w:r>
            <w:r>
              <w:rPr>
                <w:spacing w:val="-9"/>
                <w:sz w:val="28"/>
              </w:rPr>
              <w:t xml:space="preserve"> </w:t>
            </w:r>
            <w:r>
              <w:rPr>
                <w:sz w:val="28"/>
              </w:rPr>
              <w:t>активности</w:t>
            </w:r>
            <w:r>
              <w:rPr>
                <w:spacing w:val="-10"/>
                <w:sz w:val="28"/>
              </w:rPr>
              <w:t xml:space="preserve"> </w:t>
            </w:r>
            <w:r>
              <w:rPr>
                <w:sz w:val="28"/>
              </w:rPr>
              <w:t>дренажного</w:t>
            </w:r>
            <w:r>
              <w:rPr>
                <w:spacing w:val="-9"/>
                <w:sz w:val="28"/>
              </w:rPr>
              <w:t xml:space="preserve"> </w:t>
            </w:r>
            <w:r>
              <w:rPr>
                <w:spacing w:val="-2"/>
                <w:sz w:val="28"/>
              </w:rPr>
              <w:t>содержимого………….</w:t>
            </w:r>
          </w:p>
        </w:tc>
        <w:tc>
          <w:tcPr>
            <w:tcW w:w="917" w:type="dxa"/>
          </w:tcPr>
          <w:p w14:paraId="2FD13222">
            <w:pPr>
              <w:pStyle w:val="11"/>
              <w:spacing w:line="315" w:lineRule="exact"/>
              <w:ind w:left="15" w:right="1"/>
              <w:rPr>
                <w:spacing w:val="-5"/>
                <w:sz w:val="28"/>
              </w:rPr>
            </w:pPr>
          </w:p>
          <w:p w14:paraId="077D20D7">
            <w:pPr>
              <w:pStyle w:val="11"/>
              <w:spacing w:line="315" w:lineRule="exact"/>
              <w:ind w:left="15" w:right="1"/>
              <w:rPr>
                <w:sz w:val="28"/>
              </w:rPr>
            </w:pPr>
            <w:r>
              <w:rPr>
                <w:spacing w:val="-5"/>
                <w:sz w:val="28"/>
              </w:rPr>
              <w:t>80</w:t>
            </w:r>
          </w:p>
        </w:tc>
      </w:tr>
      <w:tr w14:paraId="0E6E229C">
        <w:tblPrEx>
          <w:tblCellMar>
            <w:top w:w="0" w:type="dxa"/>
            <w:left w:w="0" w:type="dxa"/>
            <w:bottom w:w="0" w:type="dxa"/>
            <w:right w:w="0" w:type="dxa"/>
          </w:tblCellMar>
        </w:tblPrEx>
        <w:trPr>
          <w:trHeight w:val="647" w:hRule="atLeast"/>
        </w:trPr>
        <w:tc>
          <w:tcPr>
            <w:tcW w:w="8504" w:type="dxa"/>
          </w:tcPr>
          <w:p w14:paraId="477C8191">
            <w:pPr>
              <w:pStyle w:val="11"/>
              <w:spacing w:line="315" w:lineRule="exact"/>
              <w:ind w:left="105"/>
              <w:jc w:val="left"/>
              <w:rPr>
                <w:sz w:val="28"/>
              </w:rPr>
            </w:pPr>
            <w:r>
              <w:rPr>
                <w:sz w:val="28"/>
              </w:rPr>
              <w:t>3.4</w:t>
            </w:r>
            <w:r>
              <w:rPr>
                <w:spacing w:val="6"/>
                <w:sz w:val="28"/>
              </w:rPr>
              <w:t xml:space="preserve"> </w:t>
            </w:r>
            <w:r>
              <w:rPr>
                <w:sz w:val="28"/>
              </w:rPr>
              <w:t>Разработка</w:t>
            </w:r>
            <w:r>
              <w:rPr>
                <w:spacing w:val="7"/>
                <w:sz w:val="28"/>
              </w:rPr>
              <w:t xml:space="preserve"> </w:t>
            </w:r>
            <w:r>
              <w:rPr>
                <w:sz w:val="28"/>
              </w:rPr>
              <w:t>и</w:t>
            </w:r>
            <w:r>
              <w:rPr>
                <w:spacing w:val="6"/>
                <w:sz w:val="28"/>
              </w:rPr>
              <w:t xml:space="preserve"> </w:t>
            </w:r>
            <w:r>
              <w:rPr>
                <w:sz w:val="28"/>
              </w:rPr>
              <w:t>внедрение</w:t>
            </w:r>
            <w:r>
              <w:rPr>
                <w:spacing w:val="6"/>
                <w:sz w:val="28"/>
              </w:rPr>
              <w:t xml:space="preserve"> </w:t>
            </w:r>
            <w:r>
              <w:rPr>
                <w:sz w:val="28"/>
              </w:rPr>
              <w:t>методов</w:t>
            </w:r>
            <w:r>
              <w:rPr>
                <w:spacing w:val="5"/>
                <w:sz w:val="28"/>
              </w:rPr>
              <w:t xml:space="preserve"> </w:t>
            </w:r>
            <w:r>
              <w:rPr>
                <w:sz w:val="28"/>
              </w:rPr>
              <w:t>профилактики</w:t>
            </w:r>
            <w:r>
              <w:rPr>
                <w:spacing w:val="6"/>
                <w:sz w:val="28"/>
              </w:rPr>
              <w:t xml:space="preserve"> </w:t>
            </w:r>
            <w:r>
              <w:rPr>
                <w:spacing w:val="-2"/>
                <w:sz w:val="28"/>
              </w:rPr>
              <w:t>панкреатических</w:t>
            </w:r>
          </w:p>
          <w:p w14:paraId="0E837D22">
            <w:pPr>
              <w:pStyle w:val="11"/>
              <w:spacing w:line="313" w:lineRule="exact"/>
              <w:ind w:left="105"/>
              <w:jc w:val="left"/>
              <w:rPr>
                <w:sz w:val="28"/>
              </w:rPr>
            </w:pPr>
            <w:r>
              <w:rPr>
                <w:sz w:val="28"/>
              </w:rPr>
              <w:t>свищей</w:t>
            </w:r>
            <w:r>
              <w:rPr>
                <w:spacing w:val="-6"/>
                <w:sz w:val="28"/>
              </w:rPr>
              <w:t xml:space="preserve"> </w:t>
            </w:r>
            <w:r>
              <w:rPr>
                <w:sz w:val="28"/>
              </w:rPr>
              <w:t>и</w:t>
            </w:r>
            <w:r>
              <w:rPr>
                <w:spacing w:val="-6"/>
                <w:sz w:val="28"/>
              </w:rPr>
              <w:t xml:space="preserve"> </w:t>
            </w:r>
            <w:r>
              <w:rPr>
                <w:sz w:val="28"/>
              </w:rPr>
              <w:t>связанных</w:t>
            </w:r>
            <w:r>
              <w:rPr>
                <w:spacing w:val="-10"/>
                <w:sz w:val="28"/>
              </w:rPr>
              <w:t xml:space="preserve"> </w:t>
            </w:r>
            <w:r>
              <w:rPr>
                <w:sz w:val="28"/>
              </w:rPr>
              <w:t>осложнений</w:t>
            </w:r>
            <w:r>
              <w:rPr>
                <w:spacing w:val="-6"/>
                <w:sz w:val="28"/>
              </w:rPr>
              <w:t xml:space="preserve"> </w:t>
            </w:r>
            <w:r>
              <w:rPr>
                <w:sz w:val="28"/>
              </w:rPr>
              <w:t>после</w:t>
            </w:r>
            <w:r>
              <w:rPr>
                <w:spacing w:val="-5"/>
                <w:sz w:val="28"/>
              </w:rPr>
              <w:t xml:space="preserve"> </w:t>
            </w:r>
            <w:r>
              <w:rPr>
                <w:spacing w:val="-4"/>
                <w:sz w:val="28"/>
              </w:rPr>
              <w:t>ГПДР………………………….</w:t>
            </w:r>
          </w:p>
        </w:tc>
        <w:tc>
          <w:tcPr>
            <w:tcW w:w="917" w:type="dxa"/>
          </w:tcPr>
          <w:p w14:paraId="65643294">
            <w:pPr>
              <w:pStyle w:val="11"/>
              <w:spacing w:line="315" w:lineRule="exact"/>
              <w:ind w:left="15"/>
              <w:rPr>
                <w:spacing w:val="-5"/>
                <w:sz w:val="28"/>
              </w:rPr>
            </w:pPr>
          </w:p>
          <w:p w14:paraId="4FF53E91">
            <w:pPr>
              <w:pStyle w:val="11"/>
              <w:spacing w:line="315" w:lineRule="exact"/>
              <w:ind w:left="15"/>
              <w:rPr>
                <w:sz w:val="28"/>
              </w:rPr>
            </w:pPr>
            <w:r>
              <w:rPr>
                <w:spacing w:val="-5"/>
                <w:sz w:val="28"/>
              </w:rPr>
              <w:t>83</w:t>
            </w:r>
          </w:p>
        </w:tc>
      </w:tr>
      <w:tr w14:paraId="299FAB1B">
        <w:tblPrEx>
          <w:tblCellMar>
            <w:top w:w="0" w:type="dxa"/>
            <w:left w:w="0" w:type="dxa"/>
            <w:bottom w:w="0" w:type="dxa"/>
            <w:right w:w="0" w:type="dxa"/>
          </w:tblCellMar>
        </w:tblPrEx>
        <w:trPr>
          <w:trHeight w:val="642" w:hRule="atLeast"/>
        </w:trPr>
        <w:tc>
          <w:tcPr>
            <w:tcW w:w="8504" w:type="dxa"/>
          </w:tcPr>
          <w:p w14:paraId="32327DA9">
            <w:pPr>
              <w:pStyle w:val="11"/>
              <w:spacing w:line="315" w:lineRule="exact"/>
              <w:ind w:left="105"/>
              <w:jc w:val="left"/>
              <w:rPr>
                <w:sz w:val="28"/>
              </w:rPr>
            </w:pPr>
            <w:r>
              <w:rPr>
                <w:spacing w:val="-2"/>
                <w:sz w:val="28"/>
              </w:rPr>
              <w:t>3.4.1</w:t>
            </w:r>
            <w:r>
              <w:rPr>
                <w:spacing w:val="-7"/>
                <w:sz w:val="28"/>
              </w:rPr>
              <w:t xml:space="preserve"> </w:t>
            </w:r>
            <w:r>
              <w:rPr>
                <w:spacing w:val="-2"/>
                <w:sz w:val="28"/>
              </w:rPr>
              <w:t>Обоснование</w:t>
            </w:r>
            <w:r>
              <w:rPr>
                <w:spacing w:val="-5"/>
                <w:sz w:val="28"/>
              </w:rPr>
              <w:t xml:space="preserve"> </w:t>
            </w:r>
            <w:r>
              <w:rPr>
                <w:spacing w:val="-2"/>
                <w:sz w:val="28"/>
              </w:rPr>
              <w:t>необходимости</w:t>
            </w:r>
            <w:r>
              <w:rPr>
                <w:spacing w:val="-7"/>
                <w:sz w:val="28"/>
              </w:rPr>
              <w:t xml:space="preserve"> </w:t>
            </w:r>
            <w:r>
              <w:rPr>
                <w:spacing w:val="-2"/>
                <w:sz w:val="28"/>
              </w:rPr>
              <w:t>разработки</w:t>
            </w:r>
            <w:r>
              <w:rPr>
                <w:spacing w:val="-7"/>
                <w:sz w:val="28"/>
              </w:rPr>
              <w:t xml:space="preserve"> </w:t>
            </w:r>
            <w:r>
              <w:rPr>
                <w:spacing w:val="-2"/>
                <w:sz w:val="28"/>
              </w:rPr>
              <w:t>методов</w:t>
            </w:r>
            <w:r>
              <w:rPr>
                <w:spacing w:val="-8"/>
                <w:sz w:val="28"/>
              </w:rPr>
              <w:t xml:space="preserve"> </w:t>
            </w:r>
            <w:r>
              <w:rPr>
                <w:spacing w:val="-2"/>
                <w:sz w:val="28"/>
              </w:rPr>
              <w:t>профилактики</w:t>
            </w:r>
          </w:p>
          <w:p w14:paraId="560B7EB4">
            <w:pPr>
              <w:pStyle w:val="11"/>
              <w:ind w:left="105"/>
              <w:jc w:val="left"/>
              <w:rPr>
                <w:sz w:val="28"/>
              </w:rPr>
            </w:pPr>
            <w:r>
              <w:rPr>
                <w:sz w:val="28"/>
              </w:rPr>
              <w:t>панкреатических</w:t>
            </w:r>
            <w:r>
              <w:rPr>
                <w:spacing w:val="-12"/>
                <w:sz w:val="28"/>
              </w:rPr>
              <w:t xml:space="preserve"> </w:t>
            </w:r>
            <w:r>
              <w:rPr>
                <w:sz w:val="28"/>
              </w:rPr>
              <w:t>свищей</w:t>
            </w:r>
            <w:r>
              <w:rPr>
                <w:spacing w:val="-6"/>
                <w:sz w:val="28"/>
              </w:rPr>
              <w:t xml:space="preserve"> </w:t>
            </w:r>
            <w:r>
              <w:rPr>
                <w:sz w:val="28"/>
              </w:rPr>
              <w:t>и</w:t>
            </w:r>
            <w:r>
              <w:rPr>
                <w:spacing w:val="-8"/>
                <w:sz w:val="28"/>
              </w:rPr>
              <w:t xml:space="preserve"> </w:t>
            </w:r>
            <w:r>
              <w:rPr>
                <w:sz w:val="28"/>
              </w:rPr>
              <w:t>связанных</w:t>
            </w:r>
            <w:r>
              <w:rPr>
                <w:spacing w:val="-12"/>
                <w:sz w:val="28"/>
              </w:rPr>
              <w:t xml:space="preserve"> </w:t>
            </w:r>
            <w:r>
              <w:rPr>
                <w:sz w:val="28"/>
              </w:rPr>
              <w:t>осложнений</w:t>
            </w:r>
            <w:r>
              <w:rPr>
                <w:spacing w:val="-9"/>
                <w:sz w:val="28"/>
              </w:rPr>
              <w:t xml:space="preserve"> </w:t>
            </w:r>
            <w:r>
              <w:rPr>
                <w:sz w:val="28"/>
              </w:rPr>
              <w:t>после</w:t>
            </w:r>
            <w:r>
              <w:rPr>
                <w:spacing w:val="-7"/>
                <w:sz w:val="28"/>
              </w:rPr>
              <w:t xml:space="preserve"> </w:t>
            </w:r>
            <w:r>
              <w:rPr>
                <w:spacing w:val="-4"/>
                <w:sz w:val="28"/>
              </w:rPr>
              <w:t>ГПДР………</w:t>
            </w:r>
          </w:p>
        </w:tc>
        <w:tc>
          <w:tcPr>
            <w:tcW w:w="917" w:type="dxa"/>
          </w:tcPr>
          <w:p w14:paraId="1208B615">
            <w:pPr>
              <w:pStyle w:val="11"/>
              <w:spacing w:line="315" w:lineRule="exact"/>
              <w:ind w:left="15"/>
              <w:rPr>
                <w:spacing w:val="-5"/>
                <w:sz w:val="28"/>
              </w:rPr>
            </w:pPr>
          </w:p>
          <w:p w14:paraId="733DEC50">
            <w:pPr>
              <w:pStyle w:val="11"/>
              <w:spacing w:line="315" w:lineRule="exact"/>
              <w:ind w:left="15"/>
              <w:rPr>
                <w:sz w:val="28"/>
              </w:rPr>
            </w:pPr>
            <w:r>
              <w:rPr>
                <w:spacing w:val="-5"/>
                <w:sz w:val="28"/>
              </w:rPr>
              <w:t>83</w:t>
            </w:r>
          </w:p>
        </w:tc>
      </w:tr>
      <w:tr w14:paraId="58CF8629">
        <w:tblPrEx>
          <w:tblCellMar>
            <w:top w:w="0" w:type="dxa"/>
            <w:left w:w="0" w:type="dxa"/>
            <w:bottom w:w="0" w:type="dxa"/>
            <w:right w:w="0" w:type="dxa"/>
          </w:tblCellMar>
        </w:tblPrEx>
        <w:trPr>
          <w:trHeight w:val="642" w:hRule="atLeast"/>
        </w:trPr>
        <w:tc>
          <w:tcPr>
            <w:tcW w:w="8504" w:type="dxa"/>
          </w:tcPr>
          <w:p w14:paraId="6D73EFF7">
            <w:pPr>
              <w:pStyle w:val="11"/>
              <w:tabs>
                <w:tab w:val="left" w:pos="1017"/>
                <w:tab w:val="left" w:pos="2882"/>
                <w:tab w:val="left" w:pos="4341"/>
                <w:tab w:val="left" w:pos="7051"/>
              </w:tabs>
              <w:spacing w:line="315" w:lineRule="exact"/>
              <w:ind w:left="105"/>
              <w:jc w:val="left"/>
              <w:rPr>
                <w:sz w:val="28"/>
              </w:rPr>
            </w:pPr>
            <w:r>
              <w:rPr>
                <w:spacing w:val="-2"/>
                <w:sz w:val="28"/>
              </w:rPr>
              <w:t>3.4.2</w:t>
            </w:r>
            <w:r>
              <w:rPr>
                <w:sz w:val="28"/>
              </w:rPr>
              <w:tab/>
            </w:r>
            <w:r>
              <w:rPr>
                <w:spacing w:val="-2"/>
                <w:sz w:val="28"/>
              </w:rPr>
              <w:t>Техническое</w:t>
            </w:r>
            <w:r>
              <w:rPr>
                <w:sz w:val="28"/>
              </w:rPr>
              <w:tab/>
            </w:r>
            <w:r>
              <w:rPr>
                <w:spacing w:val="-2"/>
                <w:sz w:val="28"/>
              </w:rPr>
              <w:t>описание</w:t>
            </w:r>
            <w:r>
              <w:rPr>
                <w:sz w:val="28"/>
              </w:rPr>
              <w:tab/>
            </w:r>
            <w:r>
              <w:rPr>
                <w:spacing w:val="-2"/>
                <w:sz w:val="28"/>
              </w:rPr>
              <w:t>модифицированной</w:t>
            </w:r>
            <w:r>
              <w:rPr>
                <w:sz w:val="28"/>
              </w:rPr>
              <w:tab/>
            </w:r>
            <w:r>
              <w:rPr>
                <w:spacing w:val="-2"/>
                <w:sz w:val="28"/>
              </w:rPr>
              <w:t>протоково-</w:t>
            </w:r>
          </w:p>
          <w:p w14:paraId="13C9C9AC">
            <w:pPr>
              <w:pStyle w:val="11"/>
              <w:ind w:left="105"/>
              <w:jc w:val="left"/>
              <w:rPr>
                <w:sz w:val="28"/>
              </w:rPr>
            </w:pPr>
            <w:r>
              <w:rPr>
                <w:sz w:val="28"/>
              </w:rPr>
              <w:t>слизистой</w:t>
            </w:r>
            <w:r>
              <w:rPr>
                <w:spacing w:val="-14"/>
                <w:sz w:val="28"/>
              </w:rPr>
              <w:t xml:space="preserve"> </w:t>
            </w:r>
            <w:r>
              <w:rPr>
                <w:sz w:val="28"/>
              </w:rPr>
              <w:t>панкреатоеюноанастомоза</w:t>
            </w:r>
            <w:r>
              <w:rPr>
                <w:spacing w:val="-13"/>
                <w:sz w:val="28"/>
              </w:rPr>
              <w:t xml:space="preserve"> </w:t>
            </w:r>
            <w:r>
              <w:rPr>
                <w:sz w:val="28"/>
              </w:rPr>
              <w:t>(ННЦХ</w:t>
            </w:r>
            <w:r>
              <w:rPr>
                <w:spacing w:val="-13"/>
                <w:sz w:val="28"/>
              </w:rPr>
              <w:t xml:space="preserve"> </w:t>
            </w:r>
            <w:r>
              <w:rPr>
                <w:sz w:val="28"/>
              </w:rPr>
              <w:t>имени</w:t>
            </w:r>
            <w:r>
              <w:rPr>
                <w:spacing w:val="-9"/>
                <w:sz w:val="28"/>
              </w:rPr>
              <w:t xml:space="preserve"> </w:t>
            </w:r>
            <w:r>
              <w:rPr>
                <w:sz w:val="28"/>
              </w:rPr>
              <w:t>А.Н.</w:t>
            </w:r>
            <w:r>
              <w:rPr>
                <w:spacing w:val="-6"/>
                <w:sz w:val="28"/>
              </w:rPr>
              <w:t xml:space="preserve"> </w:t>
            </w:r>
            <w:r>
              <w:rPr>
                <w:spacing w:val="-2"/>
                <w:sz w:val="28"/>
              </w:rPr>
              <w:t>Сызганова)</w:t>
            </w:r>
          </w:p>
        </w:tc>
        <w:tc>
          <w:tcPr>
            <w:tcW w:w="917" w:type="dxa"/>
          </w:tcPr>
          <w:p w14:paraId="3F4A9789">
            <w:pPr>
              <w:pStyle w:val="11"/>
              <w:spacing w:line="315" w:lineRule="exact"/>
              <w:ind w:left="15"/>
              <w:rPr>
                <w:spacing w:val="-5"/>
                <w:sz w:val="28"/>
              </w:rPr>
            </w:pPr>
          </w:p>
          <w:p w14:paraId="2BA44A9F">
            <w:pPr>
              <w:pStyle w:val="11"/>
              <w:spacing w:line="315" w:lineRule="exact"/>
              <w:ind w:left="15"/>
              <w:rPr>
                <w:sz w:val="28"/>
              </w:rPr>
            </w:pPr>
            <w:r>
              <w:rPr>
                <w:spacing w:val="-5"/>
                <w:sz w:val="28"/>
              </w:rPr>
              <w:t>84</w:t>
            </w:r>
          </w:p>
        </w:tc>
      </w:tr>
      <w:tr w14:paraId="1550105E">
        <w:tblPrEx>
          <w:tblCellMar>
            <w:top w:w="0" w:type="dxa"/>
            <w:left w:w="0" w:type="dxa"/>
            <w:bottom w:w="0" w:type="dxa"/>
            <w:right w:w="0" w:type="dxa"/>
          </w:tblCellMar>
        </w:tblPrEx>
        <w:trPr>
          <w:trHeight w:val="643" w:hRule="atLeast"/>
        </w:trPr>
        <w:tc>
          <w:tcPr>
            <w:tcW w:w="8504" w:type="dxa"/>
          </w:tcPr>
          <w:p w14:paraId="2C5AA8EA">
            <w:pPr>
              <w:pStyle w:val="11"/>
              <w:spacing w:line="315" w:lineRule="exact"/>
              <w:ind w:left="105"/>
              <w:jc w:val="left"/>
              <w:rPr>
                <w:sz w:val="28"/>
              </w:rPr>
            </w:pPr>
            <w:r>
              <w:rPr>
                <w:sz w:val="28"/>
              </w:rPr>
              <w:t>3.4.3</w:t>
            </w:r>
            <w:r>
              <w:rPr>
                <w:spacing w:val="74"/>
                <w:sz w:val="28"/>
              </w:rPr>
              <w:t xml:space="preserve"> </w:t>
            </w:r>
            <w:r>
              <w:rPr>
                <w:sz w:val="28"/>
              </w:rPr>
              <w:t>Усовершенствование</w:t>
            </w:r>
            <w:r>
              <w:rPr>
                <w:spacing w:val="76"/>
                <w:sz w:val="28"/>
              </w:rPr>
              <w:t xml:space="preserve"> </w:t>
            </w:r>
            <w:r>
              <w:rPr>
                <w:sz w:val="28"/>
              </w:rPr>
              <w:t>техники</w:t>
            </w:r>
            <w:r>
              <w:rPr>
                <w:spacing w:val="75"/>
                <w:sz w:val="28"/>
              </w:rPr>
              <w:t xml:space="preserve"> </w:t>
            </w:r>
            <w:r>
              <w:rPr>
                <w:sz w:val="28"/>
              </w:rPr>
              <w:t>панкреатоеюноанастомоза</w:t>
            </w:r>
            <w:r>
              <w:rPr>
                <w:spacing w:val="76"/>
                <w:sz w:val="28"/>
              </w:rPr>
              <w:t xml:space="preserve"> </w:t>
            </w:r>
            <w:r>
              <w:rPr>
                <w:spacing w:val="-5"/>
                <w:sz w:val="28"/>
              </w:rPr>
              <w:t>как</w:t>
            </w:r>
          </w:p>
          <w:p w14:paraId="2D0EE091">
            <w:pPr>
              <w:pStyle w:val="11"/>
              <w:ind w:left="105"/>
              <w:jc w:val="left"/>
              <w:rPr>
                <w:sz w:val="28"/>
              </w:rPr>
            </w:pPr>
            <w:r>
              <w:rPr>
                <w:sz w:val="28"/>
              </w:rPr>
              <w:t>ключевого</w:t>
            </w:r>
            <w:r>
              <w:rPr>
                <w:spacing w:val="-13"/>
                <w:sz w:val="28"/>
              </w:rPr>
              <w:t xml:space="preserve"> </w:t>
            </w:r>
            <w:r>
              <w:rPr>
                <w:sz w:val="28"/>
              </w:rPr>
              <w:t>этапа</w:t>
            </w:r>
            <w:r>
              <w:rPr>
                <w:spacing w:val="-12"/>
                <w:sz w:val="28"/>
              </w:rPr>
              <w:t xml:space="preserve"> </w:t>
            </w:r>
            <w:r>
              <w:rPr>
                <w:sz w:val="28"/>
              </w:rPr>
              <w:t>профилактики</w:t>
            </w:r>
            <w:r>
              <w:rPr>
                <w:spacing w:val="-12"/>
                <w:sz w:val="28"/>
              </w:rPr>
              <w:t xml:space="preserve"> </w:t>
            </w:r>
            <w:r>
              <w:rPr>
                <w:sz w:val="28"/>
              </w:rPr>
              <w:t>панкреатических</w:t>
            </w:r>
            <w:r>
              <w:rPr>
                <w:spacing w:val="-16"/>
                <w:sz w:val="28"/>
              </w:rPr>
              <w:t xml:space="preserve"> </w:t>
            </w:r>
            <w:r>
              <w:rPr>
                <w:spacing w:val="-2"/>
                <w:sz w:val="28"/>
              </w:rPr>
              <w:t>свищей……………..</w:t>
            </w:r>
          </w:p>
        </w:tc>
        <w:tc>
          <w:tcPr>
            <w:tcW w:w="917" w:type="dxa"/>
          </w:tcPr>
          <w:p w14:paraId="2EC9E010">
            <w:pPr>
              <w:pStyle w:val="11"/>
              <w:spacing w:line="315" w:lineRule="exact"/>
              <w:ind w:left="15"/>
              <w:rPr>
                <w:spacing w:val="-5"/>
                <w:sz w:val="28"/>
              </w:rPr>
            </w:pPr>
          </w:p>
          <w:p w14:paraId="11A580EF">
            <w:pPr>
              <w:pStyle w:val="11"/>
              <w:spacing w:line="315" w:lineRule="exact"/>
              <w:ind w:left="15"/>
              <w:rPr>
                <w:sz w:val="28"/>
              </w:rPr>
            </w:pPr>
            <w:r>
              <w:rPr>
                <w:spacing w:val="-5"/>
                <w:sz w:val="28"/>
              </w:rPr>
              <w:t>89</w:t>
            </w:r>
          </w:p>
        </w:tc>
      </w:tr>
      <w:tr w14:paraId="442FDCA2">
        <w:tblPrEx>
          <w:tblCellMar>
            <w:top w:w="0" w:type="dxa"/>
            <w:left w:w="0" w:type="dxa"/>
            <w:bottom w:w="0" w:type="dxa"/>
            <w:right w:w="0" w:type="dxa"/>
          </w:tblCellMar>
        </w:tblPrEx>
        <w:trPr>
          <w:trHeight w:val="969" w:hRule="atLeast"/>
        </w:trPr>
        <w:tc>
          <w:tcPr>
            <w:tcW w:w="8504" w:type="dxa"/>
          </w:tcPr>
          <w:p w14:paraId="3B909AD3">
            <w:pPr>
              <w:pStyle w:val="11"/>
              <w:tabs>
                <w:tab w:val="left" w:pos="757"/>
                <w:tab w:val="left" w:pos="2706"/>
                <w:tab w:val="left" w:pos="4183"/>
                <w:tab w:val="left" w:pos="5579"/>
                <w:tab w:val="left" w:pos="5968"/>
              </w:tabs>
              <w:spacing w:line="240" w:lineRule="auto"/>
              <w:ind w:left="105" w:right="95"/>
              <w:jc w:val="left"/>
              <w:rPr>
                <w:sz w:val="28"/>
              </w:rPr>
            </w:pPr>
            <w:r>
              <w:rPr>
                <w:sz w:val="28"/>
              </w:rPr>
              <w:t xml:space="preserve">3.4.4 Метод двойного дренирования зоны панкреатоеюноанастомоза </w:t>
            </w:r>
            <w:r>
              <w:rPr>
                <w:spacing w:val="-5"/>
                <w:sz w:val="28"/>
              </w:rPr>
              <w:t>для</w:t>
            </w:r>
            <w:r>
              <w:rPr>
                <w:sz w:val="28"/>
              </w:rPr>
              <w:tab/>
            </w:r>
            <w:r>
              <w:rPr>
                <w:spacing w:val="-2"/>
                <w:sz w:val="28"/>
              </w:rPr>
              <w:t>профилактики</w:t>
            </w:r>
            <w:r>
              <w:rPr>
                <w:sz w:val="28"/>
              </w:rPr>
              <w:tab/>
            </w:r>
            <w:r>
              <w:rPr>
                <w:spacing w:val="-2"/>
                <w:sz w:val="28"/>
              </w:rPr>
              <w:t>скопления</w:t>
            </w:r>
            <w:r>
              <w:rPr>
                <w:sz w:val="28"/>
              </w:rPr>
              <w:tab/>
            </w:r>
            <w:r>
              <w:rPr>
                <w:spacing w:val="-2"/>
                <w:sz w:val="28"/>
              </w:rPr>
              <w:t>жидкости</w:t>
            </w:r>
            <w:r>
              <w:rPr>
                <w:sz w:val="28"/>
              </w:rPr>
              <w:tab/>
            </w:r>
            <w:r>
              <w:rPr>
                <w:spacing w:val="-10"/>
                <w:sz w:val="28"/>
              </w:rPr>
              <w:t>и</w:t>
            </w:r>
            <w:r>
              <w:rPr>
                <w:sz w:val="28"/>
              </w:rPr>
              <w:tab/>
            </w:r>
            <w:r>
              <w:rPr>
                <w:spacing w:val="-2"/>
                <w:sz w:val="28"/>
              </w:rPr>
              <w:t>гнойно-септических</w:t>
            </w:r>
          </w:p>
          <w:p w14:paraId="35905EBB">
            <w:pPr>
              <w:pStyle w:val="11"/>
              <w:ind w:left="105"/>
              <w:jc w:val="left"/>
              <w:rPr>
                <w:sz w:val="28"/>
              </w:rPr>
            </w:pPr>
            <w:r>
              <w:rPr>
                <w:sz w:val="28"/>
              </w:rPr>
              <w:t>осложнений</w:t>
            </w:r>
            <w:r>
              <w:rPr>
                <w:spacing w:val="-11"/>
                <w:sz w:val="28"/>
              </w:rPr>
              <w:t xml:space="preserve"> </w:t>
            </w:r>
            <w:r>
              <w:rPr>
                <w:sz w:val="28"/>
              </w:rPr>
              <w:t>после</w:t>
            </w:r>
            <w:r>
              <w:rPr>
                <w:spacing w:val="-10"/>
                <w:sz w:val="28"/>
              </w:rPr>
              <w:t xml:space="preserve"> </w:t>
            </w:r>
            <w:r>
              <w:rPr>
                <w:spacing w:val="-4"/>
                <w:sz w:val="28"/>
              </w:rPr>
              <w:t>ГПДР…………………………………………………..</w:t>
            </w:r>
          </w:p>
        </w:tc>
        <w:tc>
          <w:tcPr>
            <w:tcW w:w="917" w:type="dxa"/>
          </w:tcPr>
          <w:p w14:paraId="7E8EE9BF">
            <w:pPr>
              <w:pStyle w:val="11"/>
              <w:spacing w:line="315" w:lineRule="exact"/>
              <w:ind w:left="15" w:right="1"/>
              <w:rPr>
                <w:spacing w:val="-5"/>
                <w:sz w:val="28"/>
              </w:rPr>
            </w:pPr>
          </w:p>
          <w:p w14:paraId="4BAA3EF8">
            <w:pPr>
              <w:pStyle w:val="11"/>
              <w:spacing w:line="315" w:lineRule="exact"/>
              <w:ind w:left="15" w:right="1"/>
              <w:rPr>
                <w:spacing w:val="-5"/>
                <w:sz w:val="28"/>
              </w:rPr>
            </w:pPr>
          </w:p>
          <w:p w14:paraId="5D3E903A">
            <w:pPr>
              <w:pStyle w:val="11"/>
              <w:spacing w:line="315" w:lineRule="exact"/>
              <w:ind w:left="15" w:right="1"/>
              <w:rPr>
                <w:sz w:val="28"/>
              </w:rPr>
            </w:pPr>
            <w:r>
              <w:rPr>
                <w:spacing w:val="-5"/>
                <w:sz w:val="28"/>
              </w:rPr>
              <w:t>91</w:t>
            </w:r>
          </w:p>
        </w:tc>
      </w:tr>
      <w:tr w14:paraId="16FD9D6F">
        <w:tblPrEx>
          <w:tblCellMar>
            <w:top w:w="0" w:type="dxa"/>
            <w:left w:w="0" w:type="dxa"/>
            <w:bottom w:w="0" w:type="dxa"/>
            <w:right w:w="0" w:type="dxa"/>
          </w:tblCellMar>
        </w:tblPrEx>
        <w:trPr>
          <w:trHeight w:val="643" w:hRule="atLeast"/>
        </w:trPr>
        <w:tc>
          <w:tcPr>
            <w:tcW w:w="8504" w:type="dxa"/>
          </w:tcPr>
          <w:p w14:paraId="7B300B57">
            <w:pPr>
              <w:pStyle w:val="11"/>
              <w:spacing w:line="315" w:lineRule="exact"/>
              <w:ind w:left="105"/>
              <w:jc w:val="left"/>
              <w:rPr>
                <w:sz w:val="28"/>
              </w:rPr>
            </w:pPr>
            <w:r>
              <w:rPr>
                <w:sz w:val="28"/>
              </w:rPr>
              <w:t>3.4.5</w:t>
            </w:r>
            <w:r>
              <w:rPr>
                <w:spacing w:val="4"/>
                <w:sz w:val="28"/>
              </w:rPr>
              <w:t xml:space="preserve"> </w:t>
            </w:r>
            <w:r>
              <w:rPr>
                <w:sz w:val="28"/>
              </w:rPr>
              <w:t>Окутывание</w:t>
            </w:r>
            <w:r>
              <w:rPr>
                <w:spacing w:val="4"/>
                <w:sz w:val="28"/>
              </w:rPr>
              <w:t xml:space="preserve"> </w:t>
            </w:r>
            <w:r>
              <w:rPr>
                <w:sz w:val="28"/>
              </w:rPr>
              <w:t>культи</w:t>
            </w:r>
            <w:r>
              <w:rPr>
                <w:spacing w:val="3"/>
                <w:sz w:val="28"/>
              </w:rPr>
              <w:t xml:space="preserve"> </w:t>
            </w:r>
            <w:r>
              <w:rPr>
                <w:sz w:val="28"/>
              </w:rPr>
              <w:t>гастродуоденальной</w:t>
            </w:r>
            <w:r>
              <w:rPr>
                <w:spacing w:val="3"/>
                <w:sz w:val="28"/>
              </w:rPr>
              <w:t xml:space="preserve"> </w:t>
            </w:r>
            <w:r>
              <w:rPr>
                <w:sz w:val="28"/>
              </w:rPr>
              <w:t>и</w:t>
            </w:r>
            <w:r>
              <w:rPr>
                <w:spacing w:val="3"/>
                <w:sz w:val="28"/>
              </w:rPr>
              <w:t xml:space="preserve"> </w:t>
            </w:r>
            <w:r>
              <w:rPr>
                <w:sz w:val="28"/>
              </w:rPr>
              <w:t>печёночной</w:t>
            </w:r>
            <w:r>
              <w:rPr>
                <w:spacing w:val="3"/>
                <w:sz w:val="28"/>
              </w:rPr>
              <w:t xml:space="preserve"> </w:t>
            </w:r>
            <w:r>
              <w:rPr>
                <w:spacing w:val="-2"/>
                <w:sz w:val="28"/>
              </w:rPr>
              <w:t>артерии</w:t>
            </w:r>
          </w:p>
          <w:p w14:paraId="7D2FF64C">
            <w:pPr>
              <w:pStyle w:val="11"/>
              <w:ind w:left="105"/>
              <w:jc w:val="left"/>
              <w:rPr>
                <w:sz w:val="28"/>
              </w:rPr>
            </w:pPr>
            <w:r>
              <w:rPr>
                <w:sz w:val="28"/>
              </w:rPr>
              <w:t>круглой</w:t>
            </w:r>
            <w:r>
              <w:rPr>
                <w:spacing w:val="-17"/>
                <w:sz w:val="28"/>
              </w:rPr>
              <w:t xml:space="preserve"> </w:t>
            </w:r>
            <w:r>
              <w:rPr>
                <w:sz w:val="28"/>
              </w:rPr>
              <w:t>связкой</w:t>
            </w:r>
            <w:r>
              <w:rPr>
                <w:spacing w:val="-17"/>
                <w:sz w:val="28"/>
              </w:rPr>
              <w:t xml:space="preserve"> </w:t>
            </w:r>
            <w:r>
              <w:rPr>
                <w:sz w:val="28"/>
              </w:rPr>
              <w:t>печени</w:t>
            </w:r>
            <w:r>
              <w:rPr>
                <w:spacing w:val="-16"/>
                <w:sz w:val="28"/>
              </w:rPr>
              <w:t xml:space="preserve"> </w:t>
            </w:r>
            <w:r>
              <w:rPr>
                <w:sz w:val="28"/>
              </w:rPr>
              <w:t>для</w:t>
            </w:r>
            <w:r>
              <w:rPr>
                <w:spacing w:val="-15"/>
                <w:sz w:val="28"/>
              </w:rPr>
              <w:t xml:space="preserve"> </w:t>
            </w:r>
            <w:r>
              <w:rPr>
                <w:sz w:val="28"/>
              </w:rPr>
              <w:t>профилактики</w:t>
            </w:r>
            <w:r>
              <w:rPr>
                <w:spacing w:val="-17"/>
                <w:sz w:val="28"/>
              </w:rPr>
              <w:t xml:space="preserve"> </w:t>
            </w:r>
            <w:r>
              <w:rPr>
                <w:sz w:val="28"/>
              </w:rPr>
              <w:t>аррозивных</w:t>
            </w:r>
            <w:r>
              <w:rPr>
                <w:spacing w:val="-16"/>
                <w:sz w:val="28"/>
              </w:rPr>
              <w:t xml:space="preserve"> </w:t>
            </w:r>
            <w:r>
              <w:rPr>
                <w:spacing w:val="-2"/>
                <w:sz w:val="28"/>
              </w:rPr>
              <w:t>кровотечений</w:t>
            </w:r>
          </w:p>
        </w:tc>
        <w:tc>
          <w:tcPr>
            <w:tcW w:w="917" w:type="dxa"/>
          </w:tcPr>
          <w:p w14:paraId="3408BED1">
            <w:pPr>
              <w:pStyle w:val="11"/>
              <w:spacing w:line="315" w:lineRule="exact"/>
              <w:ind w:left="15"/>
              <w:rPr>
                <w:spacing w:val="-5"/>
                <w:sz w:val="28"/>
              </w:rPr>
            </w:pPr>
          </w:p>
          <w:p w14:paraId="4E8D1F7B">
            <w:pPr>
              <w:pStyle w:val="11"/>
              <w:spacing w:line="315" w:lineRule="exact"/>
              <w:ind w:left="15"/>
              <w:rPr>
                <w:sz w:val="28"/>
              </w:rPr>
            </w:pPr>
            <w:r>
              <w:rPr>
                <w:spacing w:val="-5"/>
                <w:sz w:val="28"/>
              </w:rPr>
              <w:t>96</w:t>
            </w:r>
          </w:p>
        </w:tc>
      </w:tr>
      <w:tr w14:paraId="4B18FEB3">
        <w:tblPrEx>
          <w:tblCellMar>
            <w:top w:w="0" w:type="dxa"/>
            <w:left w:w="0" w:type="dxa"/>
            <w:bottom w:w="0" w:type="dxa"/>
            <w:right w:w="0" w:type="dxa"/>
          </w:tblCellMar>
        </w:tblPrEx>
        <w:trPr>
          <w:trHeight w:val="642" w:hRule="atLeast"/>
        </w:trPr>
        <w:tc>
          <w:tcPr>
            <w:tcW w:w="8504" w:type="dxa"/>
          </w:tcPr>
          <w:p w14:paraId="1A8D6672">
            <w:pPr>
              <w:pStyle w:val="11"/>
              <w:spacing w:line="315" w:lineRule="exact"/>
              <w:ind w:left="105"/>
              <w:jc w:val="left"/>
              <w:rPr>
                <w:sz w:val="28"/>
              </w:rPr>
            </w:pPr>
            <w:r>
              <w:rPr>
                <w:sz w:val="28"/>
              </w:rPr>
              <w:t>3.5</w:t>
            </w:r>
            <w:r>
              <w:rPr>
                <w:spacing w:val="70"/>
                <w:w w:val="150"/>
                <w:sz w:val="28"/>
              </w:rPr>
              <w:t xml:space="preserve"> </w:t>
            </w:r>
            <w:r>
              <w:rPr>
                <w:sz w:val="28"/>
              </w:rPr>
              <w:t>Результаты</w:t>
            </w:r>
            <w:r>
              <w:rPr>
                <w:spacing w:val="72"/>
                <w:w w:val="150"/>
                <w:sz w:val="28"/>
              </w:rPr>
              <w:t xml:space="preserve"> </w:t>
            </w:r>
            <w:r>
              <w:rPr>
                <w:sz w:val="28"/>
              </w:rPr>
              <w:t>применения</w:t>
            </w:r>
            <w:r>
              <w:rPr>
                <w:spacing w:val="72"/>
                <w:w w:val="150"/>
                <w:sz w:val="28"/>
              </w:rPr>
              <w:t xml:space="preserve"> </w:t>
            </w:r>
            <w:r>
              <w:rPr>
                <w:sz w:val="28"/>
              </w:rPr>
              <w:t>стандартного</w:t>
            </w:r>
            <w:r>
              <w:rPr>
                <w:spacing w:val="71"/>
                <w:w w:val="150"/>
                <w:sz w:val="28"/>
              </w:rPr>
              <w:t xml:space="preserve"> </w:t>
            </w:r>
            <w:r>
              <w:rPr>
                <w:sz w:val="28"/>
              </w:rPr>
              <w:t>и</w:t>
            </w:r>
            <w:r>
              <w:rPr>
                <w:spacing w:val="71"/>
                <w:w w:val="150"/>
                <w:sz w:val="28"/>
              </w:rPr>
              <w:t xml:space="preserve"> </w:t>
            </w:r>
            <w:r>
              <w:rPr>
                <w:spacing w:val="-2"/>
                <w:sz w:val="28"/>
              </w:rPr>
              <w:t>модифицированного</w:t>
            </w:r>
          </w:p>
          <w:p w14:paraId="3D9FE2F4">
            <w:pPr>
              <w:pStyle w:val="11"/>
              <w:ind w:left="105"/>
              <w:jc w:val="left"/>
              <w:rPr>
                <w:sz w:val="28"/>
              </w:rPr>
            </w:pPr>
            <w:r>
              <w:rPr>
                <w:sz w:val="28"/>
              </w:rPr>
              <w:t>панкреатоеюноанастомоза</w:t>
            </w:r>
            <w:r>
              <w:rPr>
                <w:spacing w:val="-16"/>
                <w:sz w:val="28"/>
              </w:rPr>
              <w:t xml:space="preserve"> </w:t>
            </w:r>
            <w:r>
              <w:rPr>
                <w:sz w:val="28"/>
              </w:rPr>
              <w:t>после</w:t>
            </w:r>
            <w:r>
              <w:rPr>
                <w:spacing w:val="-16"/>
                <w:sz w:val="28"/>
              </w:rPr>
              <w:t xml:space="preserve"> </w:t>
            </w:r>
            <w:r>
              <w:rPr>
                <w:spacing w:val="-4"/>
                <w:sz w:val="28"/>
              </w:rPr>
              <w:t>ГПДР…………………………………</w:t>
            </w:r>
          </w:p>
        </w:tc>
        <w:tc>
          <w:tcPr>
            <w:tcW w:w="917" w:type="dxa"/>
          </w:tcPr>
          <w:p w14:paraId="39D285AE">
            <w:pPr>
              <w:pStyle w:val="11"/>
              <w:spacing w:line="315" w:lineRule="exact"/>
              <w:ind w:left="15" w:right="5"/>
              <w:rPr>
                <w:spacing w:val="-5"/>
                <w:sz w:val="28"/>
              </w:rPr>
            </w:pPr>
          </w:p>
          <w:p w14:paraId="5C5F3249">
            <w:pPr>
              <w:pStyle w:val="11"/>
              <w:spacing w:line="315" w:lineRule="exact"/>
              <w:ind w:left="15" w:right="5"/>
              <w:rPr>
                <w:sz w:val="28"/>
              </w:rPr>
            </w:pPr>
            <w:r>
              <w:rPr>
                <w:spacing w:val="-5"/>
                <w:sz w:val="28"/>
              </w:rPr>
              <w:t>104</w:t>
            </w:r>
          </w:p>
        </w:tc>
      </w:tr>
      <w:tr w14:paraId="64C93A8B">
        <w:tblPrEx>
          <w:tblCellMar>
            <w:top w:w="0" w:type="dxa"/>
            <w:left w:w="0" w:type="dxa"/>
            <w:bottom w:w="0" w:type="dxa"/>
            <w:right w:w="0" w:type="dxa"/>
          </w:tblCellMar>
        </w:tblPrEx>
        <w:trPr>
          <w:trHeight w:val="964" w:hRule="atLeast"/>
        </w:trPr>
        <w:tc>
          <w:tcPr>
            <w:tcW w:w="8504" w:type="dxa"/>
          </w:tcPr>
          <w:p w14:paraId="18EFED40">
            <w:pPr>
              <w:pStyle w:val="11"/>
              <w:tabs>
                <w:tab w:val="left" w:pos="984"/>
                <w:tab w:val="left" w:pos="2688"/>
                <w:tab w:val="left" w:pos="5028"/>
                <w:tab w:val="left" w:pos="5926"/>
              </w:tabs>
              <w:spacing w:line="240" w:lineRule="auto"/>
              <w:ind w:left="105" w:right="104"/>
              <w:jc w:val="left"/>
              <w:rPr>
                <w:sz w:val="28"/>
              </w:rPr>
            </w:pPr>
            <w:r>
              <w:rPr>
                <w:sz w:val="28"/>
              </w:rPr>
              <w:t xml:space="preserve">3.5.1 Общая клинико-интраоперационная характеристика пациентов </w:t>
            </w:r>
            <w:r>
              <w:rPr>
                <w:spacing w:val="-10"/>
                <w:sz w:val="28"/>
              </w:rPr>
              <w:t>в</w:t>
            </w:r>
            <w:r>
              <w:rPr>
                <w:sz w:val="28"/>
              </w:rPr>
              <w:tab/>
            </w:r>
            <w:r>
              <w:rPr>
                <w:spacing w:val="-2"/>
                <w:sz w:val="28"/>
              </w:rPr>
              <w:t>группах</w:t>
            </w:r>
            <w:r>
              <w:rPr>
                <w:sz w:val="28"/>
              </w:rPr>
              <w:tab/>
            </w:r>
            <w:r>
              <w:rPr>
                <w:spacing w:val="-2"/>
                <w:sz w:val="28"/>
              </w:rPr>
              <w:t>стандартного</w:t>
            </w:r>
            <w:r>
              <w:rPr>
                <w:sz w:val="28"/>
              </w:rPr>
              <w:tab/>
            </w:r>
            <w:r>
              <w:rPr>
                <w:spacing w:val="-10"/>
                <w:sz w:val="28"/>
              </w:rPr>
              <w:t>и</w:t>
            </w:r>
            <w:r>
              <w:rPr>
                <w:sz w:val="28"/>
              </w:rPr>
              <w:tab/>
            </w:r>
            <w:r>
              <w:rPr>
                <w:spacing w:val="-2"/>
                <w:sz w:val="28"/>
              </w:rPr>
              <w:t>модифицированного</w:t>
            </w:r>
          </w:p>
          <w:p w14:paraId="476D6A05">
            <w:pPr>
              <w:pStyle w:val="11"/>
              <w:ind w:left="105"/>
              <w:jc w:val="left"/>
              <w:rPr>
                <w:sz w:val="28"/>
              </w:rPr>
            </w:pPr>
            <w:r>
              <w:rPr>
                <w:spacing w:val="-2"/>
                <w:sz w:val="28"/>
              </w:rPr>
              <w:t>Панкреатоеюноанастомоза……………………………………………….</w:t>
            </w:r>
          </w:p>
        </w:tc>
        <w:tc>
          <w:tcPr>
            <w:tcW w:w="917" w:type="dxa"/>
          </w:tcPr>
          <w:p w14:paraId="4B891D61">
            <w:pPr>
              <w:pStyle w:val="11"/>
              <w:spacing w:line="315" w:lineRule="exact"/>
              <w:ind w:left="15" w:right="5"/>
              <w:rPr>
                <w:spacing w:val="-5"/>
                <w:sz w:val="28"/>
              </w:rPr>
            </w:pPr>
          </w:p>
          <w:p w14:paraId="6638EABA">
            <w:pPr>
              <w:pStyle w:val="11"/>
              <w:spacing w:line="315" w:lineRule="exact"/>
              <w:ind w:left="15" w:right="5"/>
              <w:rPr>
                <w:spacing w:val="-5"/>
                <w:sz w:val="28"/>
              </w:rPr>
            </w:pPr>
          </w:p>
          <w:p w14:paraId="3091CF44">
            <w:pPr>
              <w:pStyle w:val="11"/>
              <w:spacing w:line="315" w:lineRule="exact"/>
              <w:ind w:left="15" w:right="5"/>
              <w:rPr>
                <w:sz w:val="28"/>
              </w:rPr>
            </w:pPr>
            <w:r>
              <w:rPr>
                <w:spacing w:val="-5"/>
                <w:sz w:val="28"/>
              </w:rPr>
              <w:t>104</w:t>
            </w:r>
          </w:p>
        </w:tc>
      </w:tr>
      <w:tr w14:paraId="445B8E6E">
        <w:tblPrEx>
          <w:tblCellMar>
            <w:top w:w="0" w:type="dxa"/>
            <w:left w:w="0" w:type="dxa"/>
            <w:bottom w:w="0" w:type="dxa"/>
            <w:right w:w="0" w:type="dxa"/>
          </w:tblCellMar>
        </w:tblPrEx>
        <w:trPr>
          <w:trHeight w:val="647" w:hRule="atLeast"/>
        </w:trPr>
        <w:tc>
          <w:tcPr>
            <w:tcW w:w="8504" w:type="dxa"/>
          </w:tcPr>
          <w:p w14:paraId="16D7D458">
            <w:pPr>
              <w:pStyle w:val="11"/>
              <w:spacing w:line="315" w:lineRule="exact"/>
              <w:ind w:left="105"/>
              <w:jc w:val="left"/>
              <w:rPr>
                <w:sz w:val="28"/>
              </w:rPr>
            </w:pPr>
            <w:r>
              <w:rPr>
                <w:sz w:val="28"/>
              </w:rPr>
              <w:t>3.5.2</w:t>
            </w:r>
            <w:r>
              <w:rPr>
                <w:spacing w:val="53"/>
                <w:sz w:val="28"/>
              </w:rPr>
              <w:t xml:space="preserve"> </w:t>
            </w:r>
            <w:r>
              <w:rPr>
                <w:sz w:val="28"/>
              </w:rPr>
              <w:t>Частота</w:t>
            </w:r>
            <w:r>
              <w:rPr>
                <w:spacing w:val="54"/>
                <w:sz w:val="28"/>
              </w:rPr>
              <w:t xml:space="preserve"> </w:t>
            </w:r>
            <w:r>
              <w:rPr>
                <w:sz w:val="28"/>
              </w:rPr>
              <w:t>и</w:t>
            </w:r>
            <w:r>
              <w:rPr>
                <w:spacing w:val="52"/>
                <w:sz w:val="28"/>
              </w:rPr>
              <w:t xml:space="preserve"> </w:t>
            </w:r>
            <w:r>
              <w:rPr>
                <w:sz w:val="28"/>
              </w:rPr>
              <w:t>структура</w:t>
            </w:r>
            <w:r>
              <w:rPr>
                <w:spacing w:val="54"/>
                <w:sz w:val="28"/>
              </w:rPr>
              <w:t xml:space="preserve"> </w:t>
            </w:r>
            <w:r>
              <w:rPr>
                <w:sz w:val="28"/>
              </w:rPr>
              <w:t>панкреатического</w:t>
            </w:r>
            <w:r>
              <w:rPr>
                <w:spacing w:val="53"/>
                <w:sz w:val="28"/>
              </w:rPr>
              <w:t xml:space="preserve"> </w:t>
            </w:r>
            <w:r>
              <w:rPr>
                <w:sz w:val="28"/>
              </w:rPr>
              <w:t>свища</w:t>
            </w:r>
            <w:r>
              <w:rPr>
                <w:spacing w:val="54"/>
                <w:sz w:val="28"/>
              </w:rPr>
              <w:t xml:space="preserve"> </w:t>
            </w:r>
            <w:r>
              <w:rPr>
                <w:sz w:val="28"/>
              </w:rPr>
              <w:t>после</w:t>
            </w:r>
            <w:r>
              <w:rPr>
                <w:spacing w:val="49"/>
                <w:sz w:val="28"/>
              </w:rPr>
              <w:t xml:space="preserve"> </w:t>
            </w:r>
            <w:r>
              <w:rPr>
                <w:sz w:val="28"/>
              </w:rPr>
              <w:t>ГПДР</w:t>
            </w:r>
            <w:r>
              <w:rPr>
                <w:spacing w:val="52"/>
                <w:sz w:val="28"/>
              </w:rPr>
              <w:t xml:space="preserve"> </w:t>
            </w:r>
            <w:r>
              <w:rPr>
                <w:spacing w:val="-10"/>
                <w:sz w:val="28"/>
              </w:rPr>
              <w:t>в</w:t>
            </w:r>
          </w:p>
          <w:p w14:paraId="70F9F262">
            <w:pPr>
              <w:pStyle w:val="11"/>
              <w:spacing w:before="4"/>
              <w:ind w:left="105"/>
              <w:jc w:val="left"/>
              <w:rPr>
                <w:sz w:val="28"/>
              </w:rPr>
            </w:pPr>
            <w:r>
              <w:rPr>
                <w:sz w:val="28"/>
              </w:rPr>
              <w:t>зависимости</w:t>
            </w:r>
            <w:r>
              <w:rPr>
                <w:spacing w:val="-8"/>
                <w:sz w:val="28"/>
              </w:rPr>
              <w:t xml:space="preserve"> </w:t>
            </w:r>
            <w:r>
              <w:rPr>
                <w:sz w:val="28"/>
              </w:rPr>
              <w:t>от</w:t>
            </w:r>
            <w:r>
              <w:rPr>
                <w:spacing w:val="-7"/>
                <w:sz w:val="28"/>
              </w:rPr>
              <w:t xml:space="preserve"> </w:t>
            </w:r>
            <w:r>
              <w:rPr>
                <w:sz w:val="28"/>
              </w:rPr>
              <w:t>типа</w:t>
            </w:r>
            <w:r>
              <w:rPr>
                <w:spacing w:val="-7"/>
                <w:sz w:val="28"/>
              </w:rPr>
              <w:t xml:space="preserve"> </w:t>
            </w:r>
            <w:r>
              <w:rPr>
                <w:spacing w:val="-2"/>
                <w:sz w:val="28"/>
              </w:rPr>
              <w:t>панкреатоеюноанастомоза………………………..</w:t>
            </w:r>
          </w:p>
        </w:tc>
        <w:tc>
          <w:tcPr>
            <w:tcW w:w="917" w:type="dxa"/>
          </w:tcPr>
          <w:p w14:paraId="3FD47F34">
            <w:pPr>
              <w:pStyle w:val="11"/>
              <w:spacing w:line="315" w:lineRule="exact"/>
              <w:ind w:left="15" w:right="5"/>
              <w:rPr>
                <w:spacing w:val="-5"/>
                <w:sz w:val="28"/>
              </w:rPr>
            </w:pPr>
          </w:p>
          <w:p w14:paraId="5620D36B">
            <w:pPr>
              <w:pStyle w:val="11"/>
              <w:spacing w:line="315" w:lineRule="exact"/>
              <w:ind w:left="15" w:right="5"/>
              <w:rPr>
                <w:sz w:val="28"/>
              </w:rPr>
            </w:pPr>
            <w:r>
              <w:rPr>
                <w:spacing w:val="-5"/>
                <w:sz w:val="28"/>
              </w:rPr>
              <w:t>107</w:t>
            </w:r>
          </w:p>
        </w:tc>
      </w:tr>
      <w:tr w14:paraId="1650A4C1">
        <w:tblPrEx>
          <w:tblCellMar>
            <w:top w:w="0" w:type="dxa"/>
            <w:left w:w="0" w:type="dxa"/>
            <w:bottom w:w="0" w:type="dxa"/>
            <w:right w:w="0" w:type="dxa"/>
          </w:tblCellMar>
        </w:tblPrEx>
        <w:trPr>
          <w:trHeight w:val="965" w:hRule="atLeast"/>
        </w:trPr>
        <w:tc>
          <w:tcPr>
            <w:tcW w:w="8504" w:type="dxa"/>
          </w:tcPr>
          <w:p w14:paraId="0773F4A5">
            <w:pPr>
              <w:pStyle w:val="11"/>
              <w:tabs>
                <w:tab w:val="left" w:pos="868"/>
                <w:tab w:val="left" w:pos="2858"/>
                <w:tab w:val="left" w:pos="3956"/>
                <w:tab w:val="left" w:pos="8235"/>
              </w:tabs>
              <w:spacing w:line="240" w:lineRule="auto"/>
              <w:ind w:left="105" w:right="107"/>
              <w:jc w:val="left"/>
              <w:rPr>
                <w:sz w:val="28"/>
              </w:rPr>
            </w:pPr>
            <w:r>
              <w:rPr>
                <w:spacing w:val="-2"/>
                <w:sz w:val="28"/>
              </w:rPr>
              <w:t>3.5.3</w:t>
            </w:r>
            <w:r>
              <w:rPr>
                <w:sz w:val="28"/>
              </w:rPr>
              <w:tab/>
            </w:r>
            <w:r>
              <w:rPr>
                <w:spacing w:val="-2"/>
                <w:sz w:val="28"/>
              </w:rPr>
              <w:t>Сравнительная</w:t>
            </w:r>
            <w:r>
              <w:rPr>
                <w:sz w:val="28"/>
              </w:rPr>
              <w:tab/>
            </w:r>
            <w:r>
              <w:rPr>
                <w:spacing w:val="-2"/>
                <w:sz w:val="28"/>
              </w:rPr>
              <w:t>частота</w:t>
            </w:r>
            <w:r>
              <w:rPr>
                <w:sz w:val="28"/>
              </w:rPr>
              <w:tab/>
            </w:r>
            <w:r>
              <w:rPr>
                <w:sz w:val="28"/>
              </w:rPr>
              <w:t>послеоперационных</w:t>
            </w:r>
            <w:r>
              <w:rPr>
                <w:spacing w:val="80"/>
                <w:sz w:val="28"/>
              </w:rPr>
              <w:t xml:space="preserve"> </w:t>
            </w:r>
            <w:r>
              <w:rPr>
                <w:sz w:val="28"/>
              </w:rPr>
              <w:t>осложнений</w:t>
            </w:r>
            <w:r>
              <w:rPr>
                <w:sz w:val="28"/>
              </w:rPr>
              <w:tab/>
            </w:r>
            <w:r>
              <w:rPr>
                <w:spacing w:val="-10"/>
                <w:sz w:val="28"/>
              </w:rPr>
              <w:t xml:space="preserve">и </w:t>
            </w:r>
            <w:r>
              <w:rPr>
                <w:sz w:val="28"/>
              </w:rPr>
              <w:t>госпитальной</w:t>
            </w:r>
            <w:r>
              <w:rPr>
                <w:spacing w:val="57"/>
                <w:sz w:val="28"/>
              </w:rPr>
              <w:t xml:space="preserve"> </w:t>
            </w:r>
            <w:r>
              <w:rPr>
                <w:sz w:val="28"/>
              </w:rPr>
              <w:t>летальности</w:t>
            </w:r>
            <w:r>
              <w:rPr>
                <w:spacing w:val="58"/>
                <w:sz w:val="28"/>
              </w:rPr>
              <w:t xml:space="preserve"> </w:t>
            </w:r>
            <w:r>
              <w:rPr>
                <w:sz w:val="28"/>
              </w:rPr>
              <w:t>при</w:t>
            </w:r>
            <w:r>
              <w:rPr>
                <w:spacing w:val="58"/>
                <w:sz w:val="28"/>
              </w:rPr>
              <w:t xml:space="preserve"> </w:t>
            </w:r>
            <w:r>
              <w:rPr>
                <w:sz w:val="28"/>
              </w:rPr>
              <w:t>стандартном</w:t>
            </w:r>
            <w:r>
              <w:rPr>
                <w:spacing w:val="59"/>
                <w:sz w:val="28"/>
              </w:rPr>
              <w:t xml:space="preserve"> </w:t>
            </w:r>
            <w:r>
              <w:rPr>
                <w:sz w:val="28"/>
              </w:rPr>
              <w:t>и</w:t>
            </w:r>
            <w:r>
              <w:rPr>
                <w:spacing w:val="57"/>
                <w:sz w:val="28"/>
              </w:rPr>
              <w:t xml:space="preserve"> </w:t>
            </w:r>
            <w:r>
              <w:rPr>
                <w:spacing w:val="-2"/>
                <w:sz w:val="28"/>
              </w:rPr>
              <w:t>модифицированном</w:t>
            </w:r>
          </w:p>
          <w:p w14:paraId="067D19E3">
            <w:pPr>
              <w:pStyle w:val="11"/>
              <w:ind w:left="105"/>
              <w:jc w:val="left"/>
              <w:rPr>
                <w:sz w:val="28"/>
              </w:rPr>
            </w:pPr>
            <w:r>
              <w:rPr>
                <w:spacing w:val="-2"/>
                <w:sz w:val="28"/>
              </w:rPr>
              <w:t>панкреатоеюноанастомозе………………………………………………..</w:t>
            </w:r>
          </w:p>
        </w:tc>
        <w:tc>
          <w:tcPr>
            <w:tcW w:w="917" w:type="dxa"/>
          </w:tcPr>
          <w:p w14:paraId="0856D8EF">
            <w:pPr>
              <w:pStyle w:val="11"/>
              <w:spacing w:line="315" w:lineRule="exact"/>
              <w:ind w:left="15" w:right="5"/>
              <w:rPr>
                <w:spacing w:val="-5"/>
                <w:sz w:val="28"/>
              </w:rPr>
            </w:pPr>
          </w:p>
          <w:p w14:paraId="06CCF689">
            <w:pPr>
              <w:pStyle w:val="11"/>
              <w:spacing w:line="315" w:lineRule="exact"/>
              <w:ind w:left="15" w:right="5"/>
              <w:rPr>
                <w:spacing w:val="-5"/>
                <w:sz w:val="28"/>
              </w:rPr>
            </w:pPr>
          </w:p>
          <w:p w14:paraId="001A919B">
            <w:pPr>
              <w:pStyle w:val="11"/>
              <w:spacing w:line="315" w:lineRule="exact"/>
              <w:ind w:left="15" w:right="5"/>
              <w:rPr>
                <w:sz w:val="28"/>
              </w:rPr>
            </w:pPr>
            <w:r>
              <w:rPr>
                <w:spacing w:val="-5"/>
                <w:sz w:val="28"/>
              </w:rPr>
              <w:t>112</w:t>
            </w:r>
          </w:p>
        </w:tc>
      </w:tr>
      <w:tr w14:paraId="06604D13">
        <w:tblPrEx>
          <w:tblCellMar>
            <w:top w:w="0" w:type="dxa"/>
            <w:left w:w="0" w:type="dxa"/>
            <w:bottom w:w="0" w:type="dxa"/>
            <w:right w:w="0" w:type="dxa"/>
          </w:tblCellMar>
        </w:tblPrEx>
        <w:trPr>
          <w:trHeight w:val="642" w:hRule="atLeast"/>
        </w:trPr>
        <w:tc>
          <w:tcPr>
            <w:tcW w:w="8504" w:type="dxa"/>
          </w:tcPr>
          <w:p w14:paraId="2ECD317E">
            <w:pPr>
              <w:pStyle w:val="11"/>
              <w:spacing w:line="315" w:lineRule="exact"/>
              <w:ind w:left="105"/>
              <w:jc w:val="left"/>
              <w:rPr>
                <w:sz w:val="28"/>
              </w:rPr>
            </w:pPr>
            <w:r>
              <w:rPr>
                <w:sz w:val="28"/>
              </w:rPr>
              <w:t>3.5.4</w:t>
            </w:r>
            <w:r>
              <w:rPr>
                <w:spacing w:val="75"/>
                <w:w w:val="150"/>
                <w:sz w:val="28"/>
              </w:rPr>
              <w:t xml:space="preserve"> </w:t>
            </w:r>
            <w:r>
              <w:rPr>
                <w:sz w:val="28"/>
              </w:rPr>
              <w:t>Влияние</w:t>
            </w:r>
            <w:r>
              <w:rPr>
                <w:spacing w:val="76"/>
                <w:w w:val="150"/>
                <w:sz w:val="28"/>
              </w:rPr>
              <w:t xml:space="preserve"> </w:t>
            </w:r>
            <w:r>
              <w:rPr>
                <w:sz w:val="28"/>
              </w:rPr>
              <w:t>модифицированного</w:t>
            </w:r>
            <w:r>
              <w:rPr>
                <w:spacing w:val="76"/>
                <w:w w:val="150"/>
                <w:sz w:val="28"/>
              </w:rPr>
              <w:t xml:space="preserve"> </w:t>
            </w:r>
            <w:r>
              <w:rPr>
                <w:sz w:val="28"/>
              </w:rPr>
              <w:t>панкреатоеюноанастомоза</w:t>
            </w:r>
            <w:r>
              <w:rPr>
                <w:spacing w:val="76"/>
                <w:w w:val="150"/>
                <w:sz w:val="28"/>
              </w:rPr>
              <w:t xml:space="preserve"> </w:t>
            </w:r>
            <w:r>
              <w:rPr>
                <w:spacing w:val="-5"/>
                <w:sz w:val="28"/>
              </w:rPr>
              <w:t>на</w:t>
            </w:r>
          </w:p>
          <w:p w14:paraId="10F08B85">
            <w:pPr>
              <w:pStyle w:val="11"/>
              <w:ind w:left="105"/>
              <w:jc w:val="left"/>
              <w:rPr>
                <w:sz w:val="28"/>
              </w:rPr>
            </w:pPr>
            <w:r>
              <w:rPr>
                <w:sz w:val="28"/>
              </w:rPr>
              <w:t>риск</w:t>
            </w:r>
            <w:r>
              <w:rPr>
                <w:spacing w:val="-11"/>
                <w:sz w:val="28"/>
              </w:rPr>
              <w:t xml:space="preserve"> </w:t>
            </w:r>
            <w:r>
              <w:rPr>
                <w:sz w:val="28"/>
              </w:rPr>
              <w:t>развития</w:t>
            </w:r>
            <w:r>
              <w:rPr>
                <w:spacing w:val="-10"/>
                <w:sz w:val="28"/>
              </w:rPr>
              <w:t xml:space="preserve"> </w:t>
            </w:r>
            <w:r>
              <w:rPr>
                <w:sz w:val="28"/>
              </w:rPr>
              <w:t>клинически</w:t>
            </w:r>
            <w:r>
              <w:rPr>
                <w:spacing w:val="-11"/>
                <w:sz w:val="28"/>
              </w:rPr>
              <w:t xml:space="preserve"> </w:t>
            </w:r>
            <w:r>
              <w:rPr>
                <w:sz w:val="28"/>
              </w:rPr>
              <w:t>значимого</w:t>
            </w:r>
            <w:r>
              <w:rPr>
                <w:spacing w:val="-11"/>
                <w:sz w:val="28"/>
              </w:rPr>
              <w:t xml:space="preserve"> </w:t>
            </w:r>
            <w:r>
              <w:rPr>
                <w:sz w:val="28"/>
              </w:rPr>
              <w:t>панкреатического</w:t>
            </w:r>
            <w:r>
              <w:rPr>
                <w:spacing w:val="-10"/>
                <w:sz w:val="28"/>
              </w:rPr>
              <w:t xml:space="preserve"> </w:t>
            </w:r>
            <w:r>
              <w:rPr>
                <w:spacing w:val="-2"/>
                <w:sz w:val="28"/>
              </w:rPr>
              <w:t>свища………</w:t>
            </w:r>
          </w:p>
        </w:tc>
        <w:tc>
          <w:tcPr>
            <w:tcW w:w="917" w:type="dxa"/>
          </w:tcPr>
          <w:p w14:paraId="772523B6">
            <w:pPr>
              <w:pStyle w:val="11"/>
              <w:spacing w:line="315" w:lineRule="exact"/>
              <w:ind w:left="15" w:right="5"/>
              <w:rPr>
                <w:spacing w:val="-5"/>
                <w:sz w:val="28"/>
              </w:rPr>
            </w:pPr>
          </w:p>
          <w:p w14:paraId="66D7F85F">
            <w:pPr>
              <w:pStyle w:val="11"/>
              <w:spacing w:line="315" w:lineRule="exact"/>
              <w:ind w:left="15" w:right="5"/>
              <w:rPr>
                <w:sz w:val="28"/>
              </w:rPr>
            </w:pPr>
            <w:r>
              <w:rPr>
                <w:spacing w:val="-5"/>
                <w:sz w:val="28"/>
              </w:rPr>
              <w:t>113</w:t>
            </w:r>
          </w:p>
        </w:tc>
      </w:tr>
    </w:tbl>
    <w:p w14:paraId="37798F58">
      <w:pPr>
        <w:pStyle w:val="11"/>
        <w:spacing w:line="315" w:lineRule="exact"/>
        <w:rPr>
          <w:sz w:val="28"/>
        </w:rPr>
        <w:sectPr>
          <w:type w:val="continuous"/>
          <w:pgSz w:w="11910" w:h="16840"/>
          <w:pgMar w:top="1100" w:right="425" w:bottom="1200" w:left="1559" w:header="0" w:footer="937" w:gutter="0"/>
          <w:cols w:space="720" w:num="1"/>
        </w:sectPr>
      </w:pPr>
    </w:p>
    <w:tbl>
      <w:tblPr>
        <w:tblStyle w:val="5"/>
        <w:tblW w:w="0" w:type="auto"/>
        <w:tblInd w:w="261" w:type="dxa"/>
        <w:tblLayout w:type="fixed"/>
        <w:tblCellMar>
          <w:top w:w="0" w:type="dxa"/>
          <w:left w:w="0" w:type="dxa"/>
          <w:bottom w:w="0" w:type="dxa"/>
          <w:right w:w="0" w:type="dxa"/>
        </w:tblCellMar>
      </w:tblPr>
      <w:tblGrid>
        <w:gridCol w:w="8504"/>
        <w:gridCol w:w="917"/>
      </w:tblGrid>
      <w:tr w14:paraId="5CDE6E5C">
        <w:tblPrEx>
          <w:tblCellMar>
            <w:top w:w="0" w:type="dxa"/>
            <w:left w:w="0" w:type="dxa"/>
            <w:bottom w:w="0" w:type="dxa"/>
            <w:right w:w="0" w:type="dxa"/>
          </w:tblCellMar>
        </w:tblPrEx>
        <w:trPr>
          <w:trHeight w:val="642" w:hRule="atLeast"/>
        </w:trPr>
        <w:tc>
          <w:tcPr>
            <w:tcW w:w="8504" w:type="dxa"/>
          </w:tcPr>
          <w:p w14:paraId="4D7CFAB6">
            <w:pPr>
              <w:pStyle w:val="11"/>
              <w:tabs>
                <w:tab w:val="left" w:pos="1516"/>
                <w:tab w:val="left" w:pos="3235"/>
                <w:tab w:val="left" w:pos="5922"/>
              </w:tabs>
              <w:spacing w:line="315" w:lineRule="exact"/>
              <w:ind w:left="105"/>
              <w:jc w:val="left"/>
              <w:rPr>
                <w:sz w:val="28"/>
              </w:rPr>
            </w:pPr>
            <w:r>
              <w:rPr>
                <w:spacing w:val="-2"/>
                <w:sz w:val="28"/>
              </w:rPr>
              <w:t>3.5.5</w:t>
            </w:r>
            <w:r>
              <w:rPr>
                <w:sz w:val="28"/>
              </w:rPr>
              <w:tab/>
            </w:r>
            <w:r>
              <w:rPr>
                <w:spacing w:val="-2"/>
                <w:sz w:val="28"/>
              </w:rPr>
              <w:t>Анализ</w:t>
            </w:r>
            <w:r>
              <w:rPr>
                <w:sz w:val="28"/>
              </w:rPr>
              <w:tab/>
            </w:r>
            <w:r>
              <w:rPr>
                <w:spacing w:val="-2"/>
                <w:sz w:val="28"/>
              </w:rPr>
              <w:t>эффективности</w:t>
            </w:r>
            <w:r>
              <w:rPr>
                <w:sz w:val="28"/>
              </w:rPr>
              <w:tab/>
            </w:r>
            <w:r>
              <w:rPr>
                <w:spacing w:val="-2"/>
                <w:sz w:val="28"/>
              </w:rPr>
              <w:t>модифицированного</w:t>
            </w:r>
          </w:p>
          <w:p w14:paraId="4EAAE67E">
            <w:pPr>
              <w:pStyle w:val="11"/>
              <w:ind w:left="105"/>
              <w:jc w:val="left"/>
              <w:rPr>
                <w:sz w:val="28"/>
              </w:rPr>
            </w:pPr>
            <w:r>
              <w:rPr>
                <w:sz w:val="28"/>
              </w:rPr>
              <w:t>панкреатоеюноанастомоза</w:t>
            </w:r>
            <w:r>
              <w:rPr>
                <w:spacing w:val="-9"/>
                <w:sz w:val="28"/>
              </w:rPr>
              <w:t xml:space="preserve"> </w:t>
            </w:r>
            <w:r>
              <w:rPr>
                <w:sz w:val="28"/>
              </w:rPr>
              <w:t>у</w:t>
            </w:r>
            <w:r>
              <w:rPr>
                <w:spacing w:val="-14"/>
                <w:sz w:val="28"/>
              </w:rPr>
              <w:t xml:space="preserve"> </w:t>
            </w:r>
            <w:r>
              <w:rPr>
                <w:sz w:val="28"/>
              </w:rPr>
              <w:t>пациентов</w:t>
            </w:r>
            <w:r>
              <w:rPr>
                <w:spacing w:val="-11"/>
                <w:sz w:val="28"/>
              </w:rPr>
              <w:t xml:space="preserve"> </w:t>
            </w:r>
            <w:r>
              <w:rPr>
                <w:sz w:val="28"/>
              </w:rPr>
              <w:t>группы</w:t>
            </w:r>
            <w:r>
              <w:rPr>
                <w:spacing w:val="-10"/>
                <w:sz w:val="28"/>
              </w:rPr>
              <w:t xml:space="preserve"> </w:t>
            </w:r>
            <w:r>
              <w:rPr>
                <w:sz w:val="28"/>
              </w:rPr>
              <w:t>высокого</w:t>
            </w:r>
            <w:r>
              <w:rPr>
                <w:spacing w:val="-10"/>
                <w:sz w:val="28"/>
              </w:rPr>
              <w:t xml:space="preserve"> </w:t>
            </w:r>
            <w:r>
              <w:rPr>
                <w:spacing w:val="-2"/>
                <w:sz w:val="28"/>
              </w:rPr>
              <w:t>риска………</w:t>
            </w:r>
          </w:p>
        </w:tc>
        <w:tc>
          <w:tcPr>
            <w:tcW w:w="917" w:type="dxa"/>
          </w:tcPr>
          <w:p w14:paraId="0D594977">
            <w:pPr>
              <w:pStyle w:val="11"/>
              <w:spacing w:line="315" w:lineRule="exact"/>
              <w:ind w:left="15" w:right="5"/>
              <w:rPr>
                <w:spacing w:val="-5"/>
                <w:sz w:val="28"/>
              </w:rPr>
            </w:pPr>
          </w:p>
          <w:p w14:paraId="35641DF7">
            <w:pPr>
              <w:pStyle w:val="11"/>
              <w:spacing w:line="315" w:lineRule="exact"/>
              <w:ind w:left="15" w:right="5"/>
              <w:rPr>
                <w:sz w:val="28"/>
              </w:rPr>
            </w:pPr>
            <w:r>
              <w:rPr>
                <w:spacing w:val="-5"/>
                <w:sz w:val="28"/>
              </w:rPr>
              <w:t>114</w:t>
            </w:r>
          </w:p>
        </w:tc>
      </w:tr>
      <w:tr w14:paraId="69C24844">
        <w:tblPrEx>
          <w:tblCellMar>
            <w:top w:w="0" w:type="dxa"/>
            <w:left w:w="0" w:type="dxa"/>
            <w:bottom w:w="0" w:type="dxa"/>
            <w:right w:w="0" w:type="dxa"/>
          </w:tblCellMar>
        </w:tblPrEx>
        <w:trPr>
          <w:trHeight w:val="647" w:hRule="atLeast"/>
        </w:trPr>
        <w:tc>
          <w:tcPr>
            <w:tcW w:w="8504" w:type="dxa"/>
          </w:tcPr>
          <w:p w14:paraId="5C3CB342">
            <w:pPr>
              <w:pStyle w:val="11"/>
              <w:tabs>
                <w:tab w:val="left" w:pos="887"/>
                <w:tab w:val="left" w:pos="2897"/>
                <w:tab w:val="left" w:pos="3938"/>
                <w:tab w:val="left" w:pos="5434"/>
                <w:tab w:val="left" w:pos="6633"/>
              </w:tabs>
              <w:spacing w:line="322" w:lineRule="exact"/>
              <w:ind w:left="105" w:right="109"/>
              <w:jc w:val="left"/>
              <w:rPr>
                <w:sz w:val="28"/>
              </w:rPr>
            </w:pPr>
            <w:r>
              <w:rPr>
                <w:spacing w:val="-2"/>
                <w:sz w:val="28"/>
              </w:rPr>
              <w:t>3.5.6</w:t>
            </w:r>
            <w:r>
              <w:rPr>
                <w:sz w:val="28"/>
              </w:rPr>
              <w:tab/>
            </w:r>
            <w:r>
              <w:rPr>
                <w:spacing w:val="-2"/>
                <w:sz w:val="28"/>
              </w:rPr>
              <w:t>Сравнительная</w:t>
            </w:r>
            <w:r>
              <w:rPr>
                <w:sz w:val="28"/>
              </w:rPr>
              <w:tab/>
            </w:r>
            <w:r>
              <w:rPr>
                <w:spacing w:val="-2"/>
                <w:sz w:val="28"/>
              </w:rPr>
              <w:t>оценка</w:t>
            </w:r>
            <w:r>
              <w:rPr>
                <w:sz w:val="28"/>
              </w:rPr>
              <w:tab/>
            </w:r>
            <w:r>
              <w:rPr>
                <w:spacing w:val="-2"/>
                <w:sz w:val="28"/>
              </w:rPr>
              <w:t>различных</w:t>
            </w:r>
            <w:r>
              <w:rPr>
                <w:sz w:val="28"/>
              </w:rPr>
              <w:tab/>
            </w:r>
            <w:r>
              <w:rPr>
                <w:spacing w:val="-2"/>
                <w:sz w:val="28"/>
              </w:rPr>
              <w:t>методов</w:t>
            </w:r>
            <w:r>
              <w:rPr>
                <w:sz w:val="28"/>
              </w:rPr>
              <w:tab/>
            </w:r>
            <w:r>
              <w:rPr>
                <w:spacing w:val="-2"/>
                <w:sz w:val="28"/>
              </w:rPr>
              <w:t xml:space="preserve">формирования </w:t>
            </w:r>
            <w:r>
              <w:rPr>
                <w:sz w:val="28"/>
              </w:rPr>
              <w:t>панкреатоеюноанастомоза при ГПДР…………………………………..</w:t>
            </w:r>
          </w:p>
        </w:tc>
        <w:tc>
          <w:tcPr>
            <w:tcW w:w="917" w:type="dxa"/>
          </w:tcPr>
          <w:p w14:paraId="1FB5E423">
            <w:pPr>
              <w:pStyle w:val="11"/>
              <w:spacing w:line="320" w:lineRule="exact"/>
              <w:ind w:left="15" w:right="5"/>
              <w:rPr>
                <w:spacing w:val="-5"/>
                <w:sz w:val="28"/>
              </w:rPr>
            </w:pPr>
          </w:p>
          <w:p w14:paraId="1FFDE18B">
            <w:pPr>
              <w:pStyle w:val="11"/>
              <w:spacing w:line="320" w:lineRule="exact"/>
              <w:ind w:left="15" w:right="5"/>
              <w:rPr>
                <w:sz w:val="28"/>
              </w:rPr>
            </w:pPr>
            <w:r>
              <w:rPr>
                <w:spacing w:val="-5"/>
                <w:sz w:val="28"/>
              </w:rPr>
              <w:t>121</w:t>
            </w:r>
          </w:p>
        </w:tc>
      </w:tr>
      <w:tr w14:paraId="7CAE2B67">
        <w:tblPrEx>
          <w:tblCellMar>
            <w:top w:w="0" w:type="dxa"/>
            <w:left w:w="0" w:type="dxa"/>
            <w:bottom w:w="0" w:type="dxa"/>
            <w:right w:w="0" w:type="dxa"/>
          </w:tblCellMar>
        </w:tblPrEx>
        <w:trPr>
          <w:trHeight w:val="643" w:hRule="atLeast"/>
        </w:trPr>
        <w:tc>
          <w:tcPr>
            <w:tcW w:w="8504" w:type="dxa"/>
          </w:tcPr>
          <w:p w14:paraId="5D5B5070">
            <w:pPr>
              <w:pStyle w:val="11"/>
              <w:spacing w:line="315" w:lineRule="exact"/>
              <w:ind w:left="105"/>
              <w:jc w:val="left"/>
              <w:rPr>
                <w:sz w:val="28"/>
              </w:rPr>
            </w:pPr>
            <w:r>
              <w:rPr>
                <w:sz w:val="28"/>
              </w:rPr>
              <w:t>3.6</w:t>
            </w:r>
            <w:r>
              <w:rPr>
                <w:spacing w:val="51"/>
                <w:w w:val="150"/>
                <w:sz w:val="28"/>
              </w:rPr>
              <w:t xml:space="preserve"> </w:t>
            </w:r>
            <w:r>
              <w:rPr>
                <w:sz w:val="28"/>
              </w:rPr>
              <w:t>Алгоритм</w:t>
            </w:r>
            <w:r>
              <w:rPr>
                <w:spacing w:val="52"/>
                <w:w w:val="150"/>
                <w:sz w:val="28"/>
              </w:rPr>
              <w:t xml:space="preserve"> </w:t>
            </w:r>
            <w:r>
              <w:rPr>
                <w:sz w:val="28"/>
              </w:rPr>
              <w:t>профилактики</w:t>
            </w:r>
            <w:r>
              <w:rPr>
                <w:spacing w:val="51"/>
                <w:w w:val="150"/>
                <w:sz w:val="28"/>
              </w:rPr>
              <w:t xml:space="preserve"> </w:t>
            </w:r>
            <w:r>
              <w:rPr>
                <w:sz w:val="28"/>
              </w:rPr>
              <w:t>и</w:t>
            </w:r>
            <w:r>
              <w:rPr>
                <w:spacing w:val="55"/>
                <w:w w:val="150"/>
                <w:sz w:val="28"/>
              </w:rPr>
              <w:t xml:space="preserve"> </w:t>
            </w:r>
            <w:r>
              <w:rPr>
                <w:sz w:val="28"/>
              </w:rPr>
              <w:t>лечения</w:t>
            </w:r>
            <w:r>
              <w:rPr>
                <w:spacing w:val="53"/>
                <w:w w:val="150"/>
                <w:sz w:val="28"/>
              </w:rPr>
              <w:t xml:space="preserve"> </w:t>
            </w:r>
            <w:r>
              <w:rPr>
                <w:sz w:val="28"/>
              </w:rPr>
              <w:t>панкреатических</w:t>
            </w:r>
            <w:r>
              <w:rPr>
                <w:spacing w:val="47"/>
                <w:w w:val="150"/>
                <w:sz w:val="28"/>
              </w:rPr>
              <w:t xml:space="preserve"> </w:t>
            </w:r>
            <w:r>
              <w:rPr>
                <w:spacing w:val="-2"/>
                <w:sz w:val="28"/>
              </w:rPr>
              <w:t>свищей</w:t>
            </w:r>
          </w:p>
          <w:p w14:paraId="1329BC92">
            <w:pPr>
              <w:pStyle w:val="11"/>
              <w:ind w:left="105"/>
              <w:jc w:val="left"/>
              <w:rPr>
                <w:sz w:val="28"/>
              </w:rPr>
            </w:pPr>
            <w:r>
              <w:rPr>
                <w:sz w:val="28"/>
              </w:rPr>
              <w:t>после</w:t>
            </w:r>
            <w:r>
              <w:rPr>
                <w:spacing w:val="-7"/>
                <w:sz w:val="28"/>
              </w:rPr>
              <w:t xml:space="preserve"> </w:t>
            </w:r>
            <w:r>
              <w:rPr>
                <w:sz w:val="28"/>
              </w:rPr>
              <w:t>ГПДР</w:t>
            </w:r>
            <w:r>
              <w:rPr>
                <w:spacing w:val="-9"/>
                <w:sz w:val="28"/>
              </w:rPr>
              <w:t xml:space="preserve"> </w:t>
            </w:r>
            <w:r>
              <w:rPr>
                <w:sz w:val="28"/>
              </w:rPr>
              <w:t>при</w:t>
            </w:r>
            <w:r>
              <w:rPr>
                <w:spacing w:val="-7"/>
                <w:sz w:val="28"/>
              </w:rPr>
              <w:t xml:space="preserve"> </w:t>
            </w:r>
            <w:r>
              <w:rPr>
                <w:sz w:val="28"/>
              </w:rPr>
              <w:t>опухолях</w:t>
            </w:r>
            <w:r>
              <w:rPr>
                <w:spacing w:val="-11"/>
                <w:sz w:val="28"/>
              </w:rPr>
              <w:t xml:space="preserve"> </w:t>
            </w:r>
            <w:r>
              <w:rPr>
                <w:sz w:val="28"/>
              </w:rPr>
              <w:t>периампулярной</w:t>
            </w:r>
            <w:r>
              <w:rPr>
                <w:spacing w:val="-8"/>
                <w:sz w:val="28"/>
              </w:rPr>
              <w:t xml:space="preserve"> </w:t>
            </w:r>
            <w:r>
              <w:rPr>
                <w:spacing w:val="-4"/>
                <w:sz w:val="28"/>
              </w:rPr>
              <w:t>зоны………………………</w:t>
            </w:r>
          </w:p>
        </w:tc>
        <w:tc>
          <w:tcPr>
            <w:tcW w:w="917" w:type="dxa"/>
          </w:tcPr>
          <w:p w14:paraId="4333E563">
            <w:pPr>
              <w:pStyle w:val="11"/>
              <w:spacing w:line="315" w:lineRule="exact"/>
              <w:ind w:left="15" w:right="5"/>
              <w:rPr>
                <w:spacing w:val="-5"/>
                <w:sz w:val="28"/>
              </w:rPr>
            </w:pPr>
          </w:p>
          <w:p w14:paraId="38F3D138">
            <w:pPr>
              <w:pStyle w:val="11"/>
              <w:spacing w:line="315" w:lineRule="exact"/>
              <w:ind w:left="15" w:right="5"/>
              <w:rPr>
                <w:sz w:val="28"/>
              </w:rPr>
            </w:pPr>
            <w:r>
              <w:rPr>
                <w:spacing w:val="-5"/>
                <w:sz w:val="28"/>
              </w:rPr>
              <w:t>123</w:t>
            </w:r>
          </w:p>
        </w:tc>
      </w:tr>
      <w:tr w14:paraId="2CF59C00">
        <w:tblPrEx>
          <w:tblCellMar>
            <w:top w:w="0" w:type="dxa"/>
            <w:left w:w="0" w:type="dxa"/>
            <w:bottom w:w="0" w:type="dxa"/>
            <w:right w:w="0" w:type="dxa"/>
          </w:tblCellMar>
        </w:tblPrEx>
        <w:trPr>
          <w:trHeight w:val="321" w:hRule="atLeast"/>
        </w:trPr>
        <w:tc>
          <w:tcPr>
            <w:tcW w:w="8504" w:type="dxa"/>
          </w:tcPr>
          <w:p w14:paraId="40C41B5C">
            <w:pPr>
              <w:pStyle w:val="11"/>
              <w:spacing w:line="301" w:lineRule="exact"/>
              <w:ind w:left="105"/>
              <w:jc w:val="left"/>
              <w:rPr>
                <w:b/>
                <w:sz w:val="28"/>
              </w:rPr>
            </w:pPr>
            <w:r>
              <w:rPr>
                <w:b/>
                <w:spacing w:val="-2"/>
                <w:sz w:val="28"/>
              </w:rPr>
              <w:t>ЗАКЛЮЧЕНИЕ………………………………………………………….</w:t>
            </w:r>
          </w:p>
        </w:tc>
        <w:tc>
          <w:tcPr>
            <w:tcW w:w="917" w:type="dxa"/>
          </w:tcPr>
          <w:p w14:paraId="3E5A6586">
            <w:pPr>
              <w:pStyle w:val="11"/>
              <w:spacing w:line="301" w:lineRule="exact"/>
              <w:ind w:left="15" w:right="5"/>
              <w:rPr>
                <w:sz w:val="28"/>
              </w:rPr>
            </w:pPr>
            <w:r>
              <w:rPr>
                <w:spacing w:val="-5"/>
                <w:sz w:val="28"/>
              </w:rPr>
              <w:t>133</w:t>
            </w:r>
          </w:p>
        </w:tc>
      </w:tr>
      <w:tr w14:paraId="373587AB">
        <w:tblPrEx>
          <w:tblCellMar>
            <w:top w:w="0" w:type="dxa"/>
            <w:left w:w="0" w:type="dxa"/>
            <w:bottom w:w="0" w:type="dxa"/>
            <w:right w:w="0" w:type="dxa"/>
          </w:tblCellMar>
        </w:tblPrEx>
        <w:trPr>
          <w:trHeight w:val="321" w:hRule="atLeast"/>
        </w:trPr>
        <w:tc>
          <w:tcPr>
            <w:tcW w:w="8504" w:type="dxa"/>
          </w:tcPr>
          <w:p w14:paraId="656E6911">
            <w:pPr>
              <w:pStyle w:val="11"/>
              <w:spacing w:before="2" w:line="304" w:lineRule="exact"/>
              <w:ind w:left="105"/>
              <w:jc w:val="left"/>
              <w:rPr>
                <w:b/>
                <w:sz w:val="28"/>
              </w:rPr>
            </w:pPr>
            <w:r>
              <w:rPr>
                <w:b/>
                <w:sz w:val="28"/>
              </w:rPr>
              <w:t>СПИСОК</w:t>
            </w:r>
            <w:r>
              <w:rPr>
                <w:b/>
                <w:spacing w:val="-15"/>
                <w:sz w:val="28"/>
              </w:rPr>
              <w:t xml:space="preserve"> </w:t>
            </w:r>
            <w:r>
              <w:rPr>
                <w:b/>
                <w:sz w:val="28"/>
              </w:rPr>
              <w:t>ИСПОЛЬЗОВАННЫХ</w:t>
            </w:r>
            <w:r>
              <w:rPr>
                <w:b/>
                <w:spacing w:val="-14"/>
                <w:sz w:val="28"/>
              </w:rPr>
              <w:t xml:space="preserve"> </w:t>
            </w:r>
            <w:r>
              <w:rPr>
                <w:b/>
                <w:spacing w:val="-2"/>
                <w:sz w:val="28"/>
              </w:rPr>
              <w:t>ИСТОЧНИКОВ…………………</w:t>
            </w:r>
          </w:p>
        </w:tc>
        <w:tc>
          <w:tcPr>
            <w:tcW w:w="917" w:type="dxa"/>
          </w:tcPr>
          <w:p w14:paraId="57C18C70">
            <w:pPr>
              <w:pStyle w:val="11"/>
              <w:spacing w:line="306" w:lineRule="exact"/>
              <w:ind w:left="15" w:right="5"/>
              <w:rPr>
                <w:sz w:val="28"/>
              </w:rPr>
            </w:pPr>
            <w:r>
              <w:rPr>
                <w:spacing w:val="-5"/>
                <w:sz w:val="28"/>
              </w:rPr>
              <w:t>137</w:t>
            </w:r>
          </w:p>
        </w:tc>
      </w:tr>
      <w:tr w14:paraId="64B564F9">
        <w:tblPrEx>
          <w:tblCellMar>
            <w:top w:w="0" w:type="dxa"/>
            <w:left w:w="0" w:type="dxa"/>
            <w:bottom w:w="0" w:type="dxa"/>
            <w:right w:w="0" w:type="dxa"/>
          </w:tblCellMar>
        </w:tblPrEx>
        <w:trPr>
          <w:trHeight w:val="321" w:hRule="atLeast"/>
        </w:trPr>
        <w:tc>
          <w:tcPr>
            <w:tcW w:w="8504" w:type="dxa"/>
          </w:tcPr>
          <w:p w14:paraId="1BA282F1">
            <w:pPr>
              <w:pStyle w:val="11"/>
              <w:spacing w:line="301" w:lineRule="exact"/>
              <w:ind w:left="105"/>
              <w:jc w:val="left"/>
              <w:rPr>
                <w:sz w:val="28"/>
              </w:rPr>
            </w:pPr>
            <w:r>
              <w:rPr>
                <w:b/>
                <w:sz w:val="28"/>
              </w:rPr>
              <w:t>ПРИЛОЖЕНИЕ</w:t>
            </w:r>
            <w:r>
              <w:rPr>
                <w:b/>
                <w:spacing w:val="-8"/>
                <w:sz w:val="28"/>
              </w:rPr>
              <w:t xml:space="preserve"> </w:t>
            </w:r>
            <w:r>
              <w:rPr>
                <w:b/>
                <w:sz w:val="28"/>
              </w:rPr>
              <w:t>А</w:t>
            </w:r>
            <w:r>
              <w:rPr>
                <w:b/>
                <w:spacing w:val="-6"/>
                <w:sz w:val="28"/>
              </w:rPr>
              <w:t xml:space="preserve"> </w:t>
            </w:r>
            <w:r>
              <w:rPr>
                <w:b/>
                <w:sz w:val="28"/>
              </w:rPr>
              <w:t>–</w:t>
            </w:r>
            <w:r>
              <w:rPr>
                <w:b/>
                <w:spacing w:val="-4"/>
                <w:sz w:val="28"/>
              </w:rPr>
              <w:t xml:space="preserve"> </w:t>
            </w:r>
            <w:r>
              <w:rPr>
                <w:sz w:val="28"/>
              </w:rPr>
              <w:t>Патент</w:t>
            </w:r>
            <w:r>
              <w:rPr>
                <w:spacing w:val="-7"/>
                <w:sz w:val="28"/>
              </w:rPr>
              <w:t xml:space="preserve"> </w:t>
            </w:r>
            <w:r>
              <w:rPr>
                <w:spacing w:val="-5"/>
                <w:sz w:val="28"/>
              </w:rPr>
              <w:t>РК…………………………………………</w:t>
            </w:r>
          </w:p>
        </w:tc>
        <w:tc>
          <w:tcPr>
            <w:tcW w:w="917" w:type="dxa"/>
          </w:tcPr>
          <w:p w14:paraId="44860688">
            <w:pPr>
              <w:pStyle w:val="11"/>
              <w:spacing w:line="301" w:lineRule="exact"/>
              <w:ind w:left="15" w:right="6"/>
              <w:rPr>
                <w:sz w:val="28"/>
              </w:rPr>
            </w:pPr>
            <w:r>
              <w:rPr>
                <w:spacing w:val="-5"/>
                <w:sz w:val="28"/>
              </w:rPr>
              <w:t>151</w:t>
            </w:r>
          </w:p>
        </w:tc>
      </w:tr>
      <w:tr w14:paraId="7EE0A645">
        <w:tblPrEx>
          <w:tblCellMar>
            <w:top w:w="0" w:type="dxa"/>
            <w:left w:w="0" w:type="dxa"/>
            <w:bottom w:w="0" w:type="dxa"/>
            <w:right w:w="0" w:type="dxa"/>
          </w:tblCellMar>
        </w:tblPrEx>
        <w:trPr>
          <w:trHeight w:val="326" w:hRule="atLeast"/>
        </w:trPr>
        <w:tc>
          <w:tcPr>
            <w:tcW w:w="8504" w:type="dxa"/>
          </w:tcPr>
          <w:p w14:paraId="1DEF8EEF">
            <w:pPr>
              <w:pStyle w:val="11"/>
              <w:spacing w:line="301" w:lineRule="exact"/>
              <w:ind w:left="105"/>
              <w:jc w:val="left"/>
              <w:rPr>
                <w:sz w:val="28"/>
              </w:rPr>
            </w:pPr>
            <w:r>
              <w:rPr>
                <w:b/>
                <w:sz w:val="28"/>
              </w:rPr>
              <w:t>ПРИЛОЖЕНИЕ</w:t>
            </w:r>
            <w:r>
              <w:rPr>
                <w:b/>
                <w:spacing w:val="-4"/>
                <w:sz w:val="28"/>
              </w:rPr>
              <w:t xml:space="preserve"> </w:t>
            </w:r>
            <w:r>
              <w:rPr>
                <w:b/>
                <w:sz w:val="28"/>
              </w:rPr>
              <w:t>Б</w:t>
            </w:r>
            <w:r>
              <w:rPr>
                <w:b/>
                <w:spacing w:val="-8"/>
                <w:sz w:val="28"/>
              </w:rPr>
              <w:t xml:space="preserve"> </w:t>
            </w:r>
            <w:r>
              <w:rPr>
                <w:b/>
                <w:sz w:val="28"/>
              </w:rPr>
              <w:t>–</w:t>
            </w:r>
            <w:r>
              <w:rPr>
                <w:b/>
                <w:spacing w:val="-9"/>
                <w:sz w:val="28"/>
              </w:rPr>
              <w:t xml:space="preserve"> </w:t>
            </w:r>
            <w:r>
              <w:rPr>
                <w:sz w:val="28"/>
              </w:rPr>
              <w:t>Свидетельство</w:t>
            </w:r>
            <w:r>
              <w:rPr>
                <w:spacing w:val="-9"/>
                <w:sz w:val="28"/>
              </w:rPr>
              <w:t xml:space="preserve"> </w:t>
            </w:r>
            <w:r>
              <w:rPr>
                <w:sz w:val="28"/>
              </w:rPr>
              <w:t>на</w:t>
            </w:r>
            <w:r>
              <w:rPr>
                <w:spacing w:val="-6"/>
                <w:sz w:val="28"/>
              </w:rPr>
              <w:t xml:space="preserve"> </w:t>
            </w:r>
            <w:r>
              <w:rPr>
                <w:sz w:val="28"/>
              </w:rPr>
              <w:t>авторское</w:t>
            </w:r>
            <w:r>
              <w:rPr>
                <w:spacing w:val="-8"/>
                <w:sz w:val="28"/>
              </w:rPr>
              <w:t xml:space="preserve"> </w:t>
            </w:r>
            <w:r>
              <w:rPr>
                <w:spacing w:val="-2"/>
                <w:sz w:val="28"/>
              </w:rPr>
              <w:t>право……………..</w:t>
            </w:r>
          </w:p>
        </w:tc>
        <w:tc>
          <w:tcPr>
            <w:tcW w:w="917" w:type="dxa"/>
          </w:tcPr>
          <w:p w14:paraId="0A4B1E93">
            <w:pPr>
              <w:pStyle w:val="11"/>
              <w:spacing w:line="301" w:lineRule="exact"/>
              <w:ind w:left="15" w:right="5"/>
              <w:rPr>
                <w:sz w:val="28"/>
              </w:rPr>
            </w:pPr>
            <w:r>
              <w:rPr>
                <w:spacing w:val="-5"/>
                <w:sz w:val="28"/>
              </w:rPr>
              <w:t>152</w:t>
            </w:r>
          </w:p>
        </w:tc>
      </w:tr>
      <w:tr w14:paraId="612F7655">
        <w:tblPrEx>
          <w:tblCellMar>
            <w:top w:w="0" w:type="dxa"/>
            <w:left w:w="0" w:type="dxa"/>
            <w:bottom w:w="0" w:type="dxa"/>
            <w:right w:w="0" w:type="dxa"/>
          </w:tblCellMar>
        </w:tblPrEx>
        <w:trPr>
          <w:trHeight w:val="321" w:hRule="atLeast"/>
        </w:trPr>
        <w:tc>
          <w:tcPr>
            <w:tcW w:w="8504" w:type="dxa"/>
          </w:tcPr>
          <w:p w14:paraId="0B57A01A">
            <w:pPr>
              <w:pStyle w:val="11"/>
              <w:spacing w:line="301" w:lineRule="exact"/>
              <w:ind w:left="105"/>
              <w:jc w:val="left"/>
              <w:rPr>
                <w:sz w:val="28"/>
              </w:rPr>
            </w:pPr>
            <w:r>
              <w:rPr>
                <w:b/>
                <w:sz w:val="28"/>
              </w:rPr>
              <w:t>ПРИЛОЖЕНИЕ</w:t>
            </w:r>
            <w:r>
              <w:rPr>
                <w:b/>
                <w:spacing w:val="-8"/>
                <w:sz w:val="28"/>
              </w:rPr>
              <w:t xml:space="preserve"> </w:t>
            </w:r>
            <w:r>
              <w:rPr>
                <w:b/>
                <w:sz w:val="28"/>
              </w:rPr>
              <w:t>В</w:t>
            </w:r>
            <w:r>
              <w:rPr>
                <w:b/>
                <w:spacing w:val="-5"/>
                <w:sz w:val="28"/>
              </w:rPr>
              <w:t xml:space="preserve"> </w:t>
            </w:r>
            <w:r>
              <w:rPr>
                <w:b/>
                <w:sz w:val="28"/>
              </w:rPr>
              <w:t>–</w:t>
            </w:r>
            <w:r>
              <w:rPr>
                <w:b/>
                <w:spacing w:val="-8"/>
                <w:sz w:val="28"/>
              </w:rPr>
              <w:t xml:space="preserve"> </w:t>
            </w:r>
            <w:r>
              <w:rPr>
                <w:sz w:val="28"/>
              </w:rPr>
              <w:t>Свидетельство</w:t>
            </w:r>
            <w:r>
              <w:rPr>
                <w:spacing w:val="-8"/>
                <w:sz w:val="28"/>
              </w:rPr>
              <w:t xml:space="preserve"> </w:t>
            </w:r>
            <w:r>
              <w:rPr>
                <w:sz w:val="28"/>
              </w:rPr>
              <w:t>на</w:t>
            </w:r>
            <w:r>
              <w:rPr>
                <w:spacing w:val="-8"/>
                <w:sz w:val="28"/>
              </w:rPr>
              <w:t xml:space="preserve"> </w:t>
            </w:r>
            <w:r>
              <w:rPr>
                <w:sz w:val="28"/>
              </w:rPr>
              <w:t>авторское</w:t>
            </w:r>
            <w:r>
              <w:rPr>
                <w:spacing w:val="-7"/>
                <w:sz w:val="28"/>
              </w:rPr>
              <w:t xml:space="preserve"> </w:t>
            </w:r>
            <w:r>
              <w:rPr>
                <w:spacing w:val="-2"/>
                <w:sz w:val="28"/>
              </w:rPr>
              <w:t>право……………..</w:t>
            </w:r>
          </w:p>
        </w:tc>
        <w:tc>
          <w:tcPr>
            <w:tcW w:w="917" w:type="dxa"/>
          </w:tcPr>
          <w:p w14:paraId="3BA5C2D0">
            <w:pPr>
              <w:pStyle w:val="11"/>
              <w:spacing w:line="301" w:lineRule="exact"/>
              <w:ind w:left="15" w:right="5"/>
              <w:rPr>
                <w:sz w:val="28"/>
              </w:rPr>
            </w:pPr>
            <w:r>
              <w:rPr>
                <w:spacing w:val="-5"/>
                <w:sz w:val="28"/>
              </w:rPr>
              <w:t>153</w:t>
            </w:r>
          </w:p>
        </w:tc>
      </w:tr>
      <w:tr w14:paraId="1E764814">
        <w:tblPrEx>
          <w:tblCellMar>
            <w:top w:w="0" w:type="dxa"/>
            <w:left w:w="0" w:type="dxa"/>
            <w:bottom w:w="0" w:type="dxa"/>
            <w:right w:w="0" w:type="dxa"/>
          </w:tblCellMar>
        </w:tblPrEx>
        <w:trPr>
          <w:trHeight w:val="321" w:hRule="atLeast"/>
        </w:trPr>
        <w:tc>
          <w:tcPr>
            <w:tcW w:w="8504" w:type="dxa"/>
          </w:tcPr>
          <w:p w14:paraId="74DB93BC">
            <w:pPr>
              <w:pStyle w:val="11"/>
              <w:spacing w:line="301" w:lineRule="exact"/>
              <w:ind w:left="105"/>
              <w:jc w:val="left"/>
              <w:rPr>
                <w:sz w:val="28"/>
              </w:rPr>
            </w:pPr>
            <w:r>
              <w:rPr>
                <w:b/>
                <w:sz w:val="28"/>
              </w:rPr>
              <w:t>ПРИЛОЖЕНИЕ</w:t>
            </w:r>
            <w:r>
              <w:rPr>
                <w:b/>
                <w:spacing w:val="-8"/>
                <w:sz w:val="28"/>
              </w:rPr>
              <w:t xml:space="preserve"> </w:t>
            </w:r>
            <w:r>
              <w:rPr>
                <w:b/>
                <w:sz w:val="28"/>
              </w:rPr>
              <w:t>Г</w:t>
            </w:r>
            <w:r>
              <w:rPr>
                <w:b/>
                <w:spacing w:val="-6"/>
                <w:sz w:val="28"/>
              </w:rPr>
              <w:t xml:space="preserve"> </w:t>
            </w:r>
            <w:r>
              <w:rPr>
                <w:b/>
                <w:sz w:val="28"/>
              </w:rPr>
              <w:t>–</w:t>
            </w:r>
            <w:r>
              <w:rPr>
                <w:b/>
                <w:spacing w:val="-8"/>
                <w:sz w:val="28"/>
              </w:rPr>
              <w:t xml:space="preserve"> </w:t>
            </w:r>
            <w:r>
              <w:rPr>
                <w:sz w:val="28"/>
              </w:rPr>
              <w:t>Свидетельство</w:t>
            </w:r>
            <w:r>
              <w:rPr>
                <w:spacing w:val="-9"/>
                <w:sz w:val="28"/>
              </w:rPr>
              <w:t xml:space="preserve"> </w:t>
            </w:r>
            <w:r>
              <w:rPr>
                <w:sz w:val="28"/>
              </w:rPr>
              <w:t>на</w:t>
            </w:r>
            <w:r>
              <w:rPr>
                <w:spacing w:val="-7"/>
                <w:sz w:val="28"/>
              </w:rPr>
              <w:t xml:space="preserve"> </w:t>
            </w:r>
            <w:r>
              <w:rPr>
                <w:sz w:val="28"/>
              </w:rPr>
              <w:t>авторское</w:t>
            </w:r>
            <w:r>
              <w:rPr>
                <w:spacing w:val="-8"/>
                <w:sz w:val="28"/>
              </w:rPr>
              <w:t xml:space="preserve"> </w:t>
            </w:r>
            <w:r>
              <w:rPr>
                <w:spacing w:val="-2"/>
                <w:sz w:val="28"/>
              </w:rPr>
              <w:t>право……………..</w:t>
            </w:r>
          </w:p>
        </w:tc>
        <w:tc>
          <w:tcPr>
            <w:tcW w:w="917" w:type="dxa"/>
          </w:tcPr>
          <w:p w14:paraId="26BF92FA">
            <w:pPr>
              <w:pStyle w:val="11"/>
              <w:spacing w:line="301" w:lineRule="exact"/>
              <w:ind w:left="15" w:right="5"/>
              <w:rPr>
                <w:sz w:val="28"/>
              </w:rPr>
            </w:pPr>
            <w:r>
              <w:rPr>
                <w:spacing w:val="-5"/>
                <w:sz w:val="28"/>
              </w:rPr>
              <w:t>154</w:t>
            </w:r>
          </w:p>
        </w:tc>
      </w:tr>
      <w:tr w14:paraId="58AE569D">
        <w:tblPrEx>
          <w:tblCellMar>
            <w:top w:w="0" w:type="dxa"/>
            <w:left w:w="0" w:type="dxa"/>
            <w:bottom w:w="0" w:type="dxa"/>
            <w:right w:w="0" w:type="dxa"/>
          </w:tblCellMar>
        </w:tblPrEx>
        <w:trPr>
          <w:trHeight w:val="321" w:hRule="atLeast"/>
        </w:trPr>
        <w:tc>
          <w:tcPr>
            <w:tcW w:w="8504" w:type="dxa"/>
          </w:tcPr>
          <w:p w14:paraId="3AB7F724">
            <w:pPr>
              <w:pStyle w:val="11"/>
              <w:spacing w:line="302" w:lineRule="exact"/>
              <w:ind w:left="105"/>
              <w:jc w:val="left"/>
              <w:rPr>
                <w:sz w:val="28"/>
              </w:rPr>
            </w:pPr>
            <w:r>
              <w:rPr>
                <w:b/>
                <w:sz w:val="28"/>
              </w:rPr>
              <w:t>ПРИЛОЖЕНИЕ</w:t>
            </w:r>
            <w:r>
              <w:rPr>
                <w:b/>
                <w:spacing w:val="-8"/>
                <w:sz w:val="28"/>
              </w:rPr>
              <w:t xml:space="preserve"> </w:t>
            </w:r>
            <w:r>
              <w:rPr>
                <w:b/>
                <w:sz w:val="28"/>
              </w:rPr>
              <w:t>Д</w:t>
            </w:r>
            <w:r>
              <w:rPr>
                <w:b/>
                <w:spacing w:val="-6"/>
                <w:sz w:val="28"/>
              </w:rPr>
              <w:t xml:space="preserve"> </w:t>
            </w:r>
            <w:r>
              <w:rPr>
                <w:b/>
                <w:sz w:val="28"/>
              </w:rPr>
              <w:t>–</w:t>
            </w:r>
            <w:r>
              <w:rPr>
                <w:b/>
                <w:spacing w:val="-8"/>
                <w:sz w:val="28"/>
              </w:rPr>
              <w:t xml:space="preserve"> </w:t>
            </w:r>
            <w:r>
              <w:rPr>
                <w:sz w:val="28"/>
              </w:rPr>
              <w:t>Свидетельство</w:t>
            </w:r>
            <w:r>
              <w:rPr>
                <w:spacing w:val="-9"/>
                <w:sz w:val="28"/>
              </w:rPr>
              <w:t xml:space="preserve"> </w:t>
            </w:r>
            <w:r>
              <w:rPr>
                <w:sz w:val="28"/>
              </w:rPr>
              <w:t>на</w:t>
            </w:r>
            <w:r>
              <w:rPr>
                <w:spacing w:val="-7"/>
                <w:sz w:val="28"/>
              </w:rPr>
              <w:t xml:space="preserve"> </w:t>
            </w:r>
            <w:r>
              <w:rPr>
                <w:sz w:val="28"/>
              </w:rPr>
              <w:t>авторское</w:t>
            </w:r>
            <w:r>
              <w:rPr>
                <w:spacing w:val="-8"/>
                <w:sz w:val="28"/>
              </w:rPr>
              <w:t xml:space="preserve"> </w:t>
            </w:r>
            <w:r>
              <w:rPr>
                <w:spacing w:val="-2"/>
                <w:sz w:val="28"/>
              </w:rPr>
              <w:t>право……………..</w:t>
            </w:r>
          </w:p>
        </w:tc>
        <w:tc>
          <w:tcPr>
            <w:tcW w:w="917" w:type="dxa"/>
          </w:tcPr>
          <w:p w14:paraId="3E90EBAE">
            <w:pPr>
              <w:pStyle w:val="11"/>
              <w:spacing w:line="302" w:lineRule="exact"/>
              <w:ind w:left="15" w:right="5"/>
              <w:rPr>
                <w:sz w:val="28"/>
              </w:rPr>
            </w:pPr>
            <w:r>
              <w:rPr>
                <w:spacing w:val="-5"/>
                <w:sz w:val="28"/>
              </w:rPr>
              <w:t>155</w:t>
            </w:r>
          </w:p>
        </w:tc>
      </w:tr>
      <w:tr w14:paraId="58BE0C71">
        <w:tblPrEx>
          <w:tblCellMar>
            <w:top w:w="0" w:type="dxa"/>
            <w:left w:w="0" w:type="dxa"/>
            <w:bottom w:w="0" w:type="dxa"/>
            <w:right w:w="0" w:type="dxa"/>
          </w:tblCellMar>
        </w:tblPrEx>
        <w:trPr>
          <w:trHeight w:val="321" w:hRule="atLeast"/>
        </w:trPr>
        <w:tc>
          <w:tcPr>
            <w:tcW w:w="8504" w:type="dxa"/>
          </w:tcPr>
          <w:p w14:paraId="333DAE29">
            <w:pPr>
              <w:pStyle w:val="11"/>
              <w:spacing w:line="306" w:lineRule="exact"/>
              <w:ind w:left="105"/>
              <w:jc w:val="left"/>
              <w:rPr>
                <w:sz w:val="28"/>
              </w:rPr>
            </w:pPr>
            <w:r>
              <w:rPr>
                <w:b/>
                <w:sz w:val="28"/>
              </w:rPr>
              <w:t>ПРИЛОЖЕНИЕ Ж</w:t>
            </w:r>
            <w:r>
              <w:rPr>
                <w:b/>
                <w:spacing w:val="-5"/>
                <w:sz w:val="28"/>
              </w:rPr>
              <w:t xml:space="preserve"> </w:t>
            </w:r>
            <w:r>
              <w:rPr>
                <w:b/>
                <w:sz w:val="28"/>
              </w:rPr>
              <w:t>-</w:t>
            </w:r>
            <w:r>
              <w:rPr>
                <w:b/>
                <w:spacing w:val="59"/>
                <w:sz w:val="28"/>
              </w:rPr>
              <w:t xml:space="preserve"> </w:t>
            </w:r>
            <w:r>
              <w:rPr>
                <w:sz w:val="28"/>
              </w:rPr>
              <w:t>Акт</w:t>
            </w:r>
            <w:r>
              <w:rPr>
                <w:spacing w:val="-6"/>
                <w:sz w:val="28"/>
              </w:rPr>
              <w:t xml:space="preserve"> </w:t>
            </w:r>
            <w:r>
              <w:rPr>
                <w:spacing w:val="-2"/>
                <w:sz w:val="28"/>
              </w:rPr>
              <w:t>внедрения…………………………………...</w:t>
            </w:r>
          </w:p>
        </w:tc>
        <w:tc>
          <w:tcPr>
            <w:tcW w:w="917" w:type="dxa"/>
          </w:tcPr>
          <w:p w14:paraId="604F2EAA">
            <w:pPr>
              <w:pStyle w:val="11"/>
              <w:spacing w:line="306" w:lineRule="exact"/>
              <w:ind w:left="15" w:right="5"/>
              <w:rPr>
                <w:sz w:val="28"/>
              </w:rPr>
            </w:pPr>
            <w:r>
              <w:rPr>
                <w:spacing w:val="-5"/>
                <w:sz w:val="28"/>
              </w:rPr>
              <w:t>156</w:t>
            </w:r>
          </w:p>
        </w:tc>
      </w:tr>
      <w:tr w14:paraId="1BD1DB4C">
        <w:tblPrEx>
          <w:tblCellMar>
            <w:top w:w="0" w:type="dxa"/>
            <w:left w:w="0" w:type="dxa"/>
            <w:bottom w:w="0" w:type="dxa"/>
            <w:right w:w="0" w:type="dxa"/>
          </w:tblCellMar>
        </w:tblPrEx>
        <w:trPr>
          <w:trHeight w:val="321" w:hRule="atLeast"/>
        </w:trPr>
        <w:tc>
          <w:tcPr>
            <w:tcW w:w="8504" w:type="dxa"/>
          </w:tcPr>
          <w:p w14:paraId="0DF03F58">
            <w:pPr>
              <w:pStyle w:val="11"/>
              <w:spacing w:line="306" w:lineRule="exact"/>
              <w:ind w:left="105"/>
              <w:jc w:val="left"/>
              <w:rPr>
                <w:sz w:val="28"/>
              </w:rPr>
            </w:pPr>
          </w:p>
        </w:tc>
        <w:tc>
          <w:tcPr>
            <w:tcW w:w="917" w:type="dxa"/>
          </w:tcPr>
          <w:p w14:paraId="54BAC2D9">
            <w:pPr>
              <w:pStyle w:val="11"/>
              <w:spacing w:line="306" w:lineRule="exact"/>
              <w:ind w:left="15" w:right="5"/>
              <w:rPr>
                <w:sz w:val="28"/>
              </w:rPr>
            </w:pPr>
          </w:p>
        </w:tc>
      </w:tr>
      <w:tr w14:paraId="6BBFCE0E">
        <w:tblPrEx>
          <w:tblCellMar>
            <w:top w:w="0" w:type="dxa"/>
            <w:left w:w="0" w:type="dxa"/>
            <w:bottom w:w="0" w:type="dxa"/>
            <w:right w:w="0" w:type="dxa"/>
          </w:tblCellMar>
        </w:tblPrEx>
        <w:trPr>
          <w:trHeight w:val="326" w:hRule="atLeast"/>
        </w:trPr>
        <w:tc>
          <w:tcPr>
            <w:tcW w:w="8504" w:type="dxa"/>
          </w:tcPr>
          <w:p w14:paraId="5CD6ABA1">
            <w:pPr>
              <w:pStyle w:val="11"/>
              <w:spacing w:line="306" w:lineRule="exact"/>
              <w:ind w:left="105"/>
              <w:jc w:val="left"/>
              <w:rPr>
                <w:sz w:val="28"/>
              </w:rPr>
            </w:pPr>
          </w:p>
        </w:tc>
        <w:tc>
          <w:tcPr>
            <w:tcW w:w="917" w:type="dxa"/>
          </w:tcPr>
          <w:p w14:paraId="32832218">
            <w:pPr>
              <w:pStyle w:val="11"/>
              <w:spacing w:line="306" w:lineRule="exact"/>
              <w:ind w:left="15" w:right="5"/>
              <w:rPr>
                <w:sz w:val="28"/>
              </w:rPr>
            </w:pPr>
          </w:p>
        </w:tc>
      </w:tr>
    </w:tbl>
    <w:p w14:paraId="3850D909">
      <w:pPr>
        <w:pStyle w:val="11"/>
        <w:spacing w:line="306" w:lineRule="exact"/>
        <w:rPr>
          <w:sz w:val="28"/>
        </w:rPr>
        <w:sectPr>
          <w:type w:val="continuous"/>
          <w:pgSz w:w="11910" w:h="16840"/>
          <w:pgMar w:top="1100" w:right="425" w:bottom="1200" w:left="1559" w:header="0" w:footer="937" w:gutter="0"/>
          <w:cols w:space="720" w:num="1"/>
        </w:sectPr>
      </w:pPr>
    </w:p>
    <w:p w14:paraId="10A3021E">
      <w:pPr>
        <w:tabs>
          <w:tab w:val="left" w:pos="5954"/>
        </w:tabs>
        <w:spacing w:before="76"/>
        <w:ind w:right="6"/>
        <w:jc w:val="center"/>
        <w:rPr>
          <w:b/>
          <w:sz w:val="28"/>
        </w:rPr>
      </w:pPr>
      <w:r>
        <w:rPr>
          <w:b/>
          <w:sz w:val="28"/>
        </w:rPr>
        <w:t>НОРМАТИВНЫЕ</w:t>
      </w:r>
      <w:r>
        <w:rPr>
          <w:b/>
          <w:spacing w:val="-16"/>
          <w:sz w:val="28"/>
        </w:rPr>
        <w:t xml:space="preserve"> </w:t>
      </w:r>
      <w:r>
        <w:rPr>
          <w:b/>
          <w:spacing w:val="-2"/>
          <w:sz w:val="28"/>
        </w:rPr>
        <w:t>ССЫЛКИ</w:t>
      </w:r>
    </w:p>
    <w:p w14:paraId="0B3427C3">
      <w:pPr>
        <w:pStyle w:val="7"/>
        <w:ind w:left="707" w:firstLine="0"/>
        <w:rPr>
          <w:lang w:val="kk-KZ"/>
        </w:rPr>
      </w:pPr>
    </w:p>
    <w:p w14:paraId="5894F630">
      <w:pPr>
        <w:pStyle w:val="7"/>
        <w:ind w:left="707" w:firstLine="0"/>
      </w:pPr>
      <w:r>
        <w:t>В</w:t>
      </w:r>
      <w:r>
        <w:rPr>
          <w:spacing w:val="-13"/>
        </w:rPr>
        <w:t xml:space="preserve"> </w:t>
      </w:r>
      <w:r>
        <w:t>настоящей</w:t>
      </w:r>
      <w:r>
        <w:rPr>
          <w:spacing w:val="-9"/>
        </w:rPr>
        <w:t xml:space="preserve"> </w:t>
      </w:r>
      <w:r>
        <w:t>диссертации</w:t>
      </w:r>
      <w:r>
        <w:rPr>
          <w:spacing w:val="-10"/>
        </w:rPr>
        <w:t xml:space="preserve"> </w:t>
      </w:r>
      <w:r>
        <w:t>использованы</w:t>
      </w:r>
      <w:r>
        <w:rPr>
          <w:spacing w:val="-6"/>
        </w:rPr>
        <w:t xml:space="preserve"> </w:t>
      </w:r>
      <w:r>
        <w:t>ссылки</w:t>
      </w:r>
      <w:r>
        <w:rPr>
          <w:spacing w:val="-10"/>
        </w:rPr>
        <w:t xml:space="preserve"> </w:t>
      </w:r>
      <w:r>
        <w:t>на</w:t>
      </w:r>
      <w:r>
        <w:rPr>
          <w:spacing w:val="-9"/>
        </w:rPr>
        <w:t xml:space="preserve"> </w:t>
      </w:r>
      <w:r>
        <w:t>следующие</w:t>
      </w:r>
      <w:r>
        <w:rPr>
          <w:spacing w:val="-9"/>
        </w:rPr>
        <w:t xml:space="preserve"> </w:t>
      </w:r>
      <w:r>
        <w:rPr>
          <w:spacing w:val="-2"/>
        </w:rPr>
        <w:t>стандарты:</w:t>
      </w:r>
    </w:p>
    <w:p w14:paraId="65B57F9A">
      <w:pPr>
        <w:pStyle w:val="7"/>
        <w:ind w:left="0" w:right="3" w:firstLine="706"/>
      </w:pPr>
      <w:r>
        <w:rPr>
          <w:b/>
        </w:rPr>
        <w:t xml:space="preserve">Этические стандарты в медицинских исследованиях: </w:t>
      </w:r>
      <w:r>
        <w:t>Хельсинская декларация и другие международные документы, регулирующие этические аспекты проведения клинических исследований. Она была разработана Всемирной медицинской ассоциацией (WMА) в 1964 году и пересматривалась несколько раз, с последней редакцией в 2013 году.</w:t>
      </w:r>
    </w:p>
    <w:p w14:paraId="7EED33EC">
      <w:pPr>
        <w:ind w:right="3" w:firstLine="566"/>
        <w:jc w:val="both"/>
        <w:rPr>
          <w:sz w:val="28"/>
        </w:rPr>
      </w:pPr>
      <w:r>
        <w:rPr>
          <w:b/>
          <w:sz w:val="28"/>
        </w:rPr>
        <w:t xml:space="preserve">Национальные законы и регуляции Республики Казахстан в области здравоохранения: </w:t>
      </w:r>
      <w:r>
        <w:rPr>
          <w:sz w:val="28"/>
        </w:rPr>
        <w:t>законодательные акты, регламентирующие медицинские исследования - Кодекс Республики Казахстан от 7 июля 2020 года № 360-VI «О здоровье народа и системе здравоохранения».</w:t>
      </w:r>
    </w:p>
    <w:p w14:paraId="6CEDE409">
      <w:pPr>
        <w:ind w:right="3" w:firstLine="566"/>
        <w:jc w:val="both"/>
        <w:rPr>
          <w:sz w:val="28"/>
        </w:rPr>
      </w:pPr>
      <w:r>
        <w:rPr>
          <w:b/>
          <w:sz w:val="28"/>
        </w:rPr>
        <w:t xml:space="preserve">Клинический протокол диагностики и лечения «Рак поджелудочной железы». </w:t>
      </w:r>
      <w:r>
        <w:rPr>
          <w:sz w:val="28"/>
        </w:rPr>
        <w:t>Протокол № 198. Одобрен Объединённой комиссией по качеству медицинских</w:t>
      </w:r>
      <w:r>
        <w:rPr>
          <w:spacing w:val="-11"/>
          <w:sz w:val="28"/>
        </w:rPr>
        <w:t xml:space="preserve"> </w:t>
      </w:r>
      <w:r>
        <w:rPr>
          <w:sz w:val="28"/>
        </w:rPr>
        <w:t>услуг</w:t>
      </w:r>
      <w:r>
        <w:rPr>
          <w:spacing w:val="-6"/>
          <w:sz w:val="28"/>
        </w:rPr>
        <w:t xml:space="preserve"> </w:t>
      </w:r>
      <w:r>
        <w:rPr>
          <w:sz w:val="28"/>
        </w:rPr>
        <w:t>Министерства</w:t>
      </w:r>
      <w:r>
        <w:rPr>
          <w:spacing w:val="-6"/>
          <w:sz w:val="28"/>
        </w:rPr>
        <w:t xml:space="preserve"> </w:t>
      </w:r>
      <w:r>
        <w:rPr>
          <w:sz w:val="28"/>
        </w:rPr>
        <w:t>здравоохранения</w:t>
      </w:r>
      <w:r>
        <w:rPr>
          <w:spacing w:val="-6"/>
          <w:sz w:val="28"/>
        </w:rPr>
        <w:t xml:space="preserve"> </w:t>
      </w:r>
      <w:r>
        <w:rPr>
          <w:sz w:val="28"/>
        </w:rPr>
        <w:t>Республики</w:t>
      </w:r>
      <w:r>
        <w:rPr>
          <w:spacing w:val="-8"/>
          <w:sz w:val="28"/>
        </w:rPr>
        <w:t xml:space="preserve"> </w:t>
      </w:r>
      <w:r>
        <w:rPr>
          <w:sz w:val="28"/>
        </w:rPr>
        <w:t>Казахстан</w:t>
      </w:r>
      <w:r>
        <w:rPr>
          <w:spacing w:val="-7"/>
          <w:sz w:val="28"/>
        </w:rPr>
        <w:t xml:space="preserve"> </w:t>
      </w:r>
      <w:r>
        <w:rPr>
          <w:sz w:val="28"/>
        </w:rPr>
        <w:t>от</w:t>
      </w:r>
      <w:r>
        <w:rPr>
          <w:spacing w:val="-8"/>
          <w:sz w:val="28"/>
        </w:rPr>
        <w:t xml:space="preserve"> </w:t>
      </w:r>
      <w:r>
        <w:rPr>
          <w:sz w:val="28"/>
        </w:rPr>
        <w:t>14 декабря 2023 г.</w:t>
      </w:r>
    </w:p>
    <w:p w14:paraId="7D521E7C">
      <w:pPr>
        <w:pStyle w:val="7"/>
        <w:ind w:left="0" w:right="3"/>
      </w:pPr>
      <w:r>
        <w:t xml:space="preserve">Приказ Министра здравоохранения Республики Казахстан от </w:t>
      </w:r>
      <w:r>
        <w:rPr>
          <w:b/>
        </w:rPr>
        <w:t xml:space="preserve">15 декабря 2020 года № ҚР ДСМ-276/2020 </w:t>
      </w:r>
      <w:r>
        <w:t xml:space="preserve">«Об утверждении клинического протокола диагностики и лечения опухолей поджелудочной железы и периампулярной </w:t>
      </w:r>
      <w:r>
        <w:rPr>
          <w:spacing w:val="-2"/>
        </w:rPr>
        <w:t>зоны».</w:t>
      </w:r>
    </w:p>
    <w:p w14:paraId="52686691">
      <w:pPr>
        <w:ind w:right="3" w:firstLine="566"/>
        <w:jc w:val="both"/>
        <w:rPr>
          <w:sz w:val="28"/>
        </w:rPr>
      </w:pPr>
      <w:r>
        <w:rPr>
          <w:sz w:val="28"/>
        </w:rPr>
        <w:t xml:space="preserve">Приказ Министра здравоохранения Республики Казахстан от </w:t>
      </w:r>
      <w:r>
        <w:rPr>
          <w:b/>
          <w:sz w:val="28"/>
        </w:rPr>
        <w:t xml:space="preserve">23 декабря 2021 года № ҚР ДСМ-149/2021 </w:t>
      </w:r>
      <w:r>
        <w:rPr>
          <w:sz w:val="28"/>
        </w:rPr>
        <w:t>«Об утверждении правил оказания онкологической помощи населению».</w:t>
      </w:r>
    </w:p>
    <w:p w14:paraId="0A33BBB2">
      <w:pPr>
        <w:ind w:right="3" w:firstLine="566"/>
        <w:jc w:val="both"/>
        <w:rPr>
          <w:sz w:val="28"/>
        </w:rPr>
      </w:pPr>
      <w:r>
        <w:rPr>
          <w:sz w:val="28"/>
        </w:rPr>
        <w:t xml:space="preserve">Приказ Министра здравоохранения Республики Казахстан от </w:t>
      </w:r>
      <w:r>
        <w:rPr>
          <w:b/>
          <w:sz w:val="28"/>
        </w:rPr>
        <w:t xml:space="preserve">25 октября 2021 года № ҚР ДСМ-115/2021 </w:t>
      </w:r>
      <w:r>
        <w:rPr>
          <w:sz w:val="28"/>
        </w:rPr>
        <w:t>«Об утверждении правил оказания хирургической помощи населению».</w:t>
      </w:r>
    </w:p>
    <w:p w14:paraId="7DB4482B">
      <w:pPr>
        <w:spacing w:line="242" w:lineRule="auto"/>
        <w:jc w:val="both"/>
        <w:rPr>
          <w:sz w:val="28"/>
        </w:rPr>
        <w:sectPr>
          <w:pgSz w:w="11910" w:h="16840"/>
          <w:pgMar w:top="1134" w:right="567" w:bottom="1134" w:left="1701" w:header="0" w:footer="936" w:gutter="0"/>
          <w:cols w:space="720" w:num="1"/>
        </w:sectPr>
      </w:pPr>
    </w:p>
    <w:p w14:paraId="084195C8">
      <w:pPr>
        <w:pStyle w:val="2"/>
        <w:spacing w:before="0"/>
        <w:ind w:right="2"/>
        <w:rPr>
          <w:spacing w:val="-2"/>
          <w:lang w:val="kk-KZ"/>
        </w:rPr>
      </w:pPr>
      <w:r>
        <w:rPr>
          <w:spacing w:val="-2"/>
        </w:rPr>
        <w:t>ОПРЕДЕЛЕНИЯ</w:t>
      </w:r>
    </w:p>
    <w:p w14:paraId="3EF76247">
      <w:pPr>
        <w:pStyle w:val="2"/>
        <w:spacing w:before="0"/>
        <w:ind w:right="2"/>
        <w:rPr>
          <w:lang w:val="kk-KZ"/>
        </w:rPr>
      </w:pPr>
    </w:p>
    <w:p w14:paraId="607CA451">
      <w:pPr>
        <w:pStyle w:val="7"/>
        <w:ind w:left="0" w:right="3" w:firstLine="706"/>
      </w:pPr>
      <w:r>
        <w:rPr>
          <w:b/>
        </w:rPr>
        <w:t xml:space="preserve">Заболеваемость (incidence) </w:t>
      </w:r>
      <w:r>
        <w:t xml:space="preserve">— эпидемиологический показатель, отражающий число новых случаев заболевания, зарегистрированных в популяции за определённый период времени, обычно выражается на 100 000 населения [World Health Organization (WHO. International epidemiological </w:t>
      </w:r>
      <w:r>
        <w:rPr>
          <w:spacing w:val="-2"/>
        </w:rPr>
        <w:t>definitions].</w:t>
      </w:r>
    </w:p>
    <w:p w14:paraId="28B893AA">
      <w:pPr>
        <w:pStyle w:val="7"/>
        <w:ind w:left="0" w:right="3" w:firstLine="706"/>
      </w:pPr>
      <w:r>
        <w:rPr>
          <w:b/>
        </w:rPr>
        <w:t>Смертность</w:t>
      </w:r>
      <w:r>
        <w:rPr>
          <w:b/>
          <w:spacing w:val="-6"/>
        </w:rPr>
        <w:t xml:space="preserve"> </w:t>
      </w:r>
      <w:r>
        <w:rPr>
          <w:b/>
        </w:rPr>
        <w:t>(mortality</w:t>
      </w:r>
      <w:r>
        <w:rPr>
          <w:b/>
          <w:spacing w:val="-5"/>
        </w:rPr>
        <w:t xml:space="preserve"> </w:t>
      </w:r>
      <w:r>
        <w:rPr>
          <w:b/>
        </w:rPr>
        <w:t>rate)</w:t>
      </w:r>
      <w:r>
        <w:rPr>
          <w:b/>
          <w:spacing w:val="-3"/>
        </w:rPr>
        <w:t xml:space="preserve"> </w:t>
      </w:r>
      <w:r>
        <w:t>—</w:t>
      </w:r>
      <w:r>
        <w:rPr>
          <w:spacing w:val="-4"/>
        </w:rPr>
        <w:t xml:space="preserve"> </w:t>
      </w:r>
      <w:r>
        <w:t>демографический</w:t>
      </w:r>
      <w:r>
        <w:rPr>
          <w:spacing w:val="-5"/>
        </w:rPr>
        <w:t xml:space="preserve"> </w:t>
      </w:r>
      <w:r>
        <w:t>показатель,</w:t>
      </w:r>
      <w:r>
        <w:rPr>
          <w:spacing w:val="-2"/>
        </w:rPr>
        <w:t xml:space="preserve"> </w:t>
      </w:r>
      <w:r>
        <w:t>отражающий отношение числа умерших за определённый период к средней численности населения, выражается на 1 000 или 100 000 населения [World Health Organization; United Nations (Demographic Yearbook methodology].</w:t>
      </w:r>
    </w:p>
    <w:p w14:paraId="4C05AB3C">
      <w:pPr>
        <w:pStyle w:val="7"/>
        <w:spacing w:line="235" w:lineRule="auto"/>
        <w:ind w:left="0" w:right="3"/>
      </w:pPr>
      <w:r>
        <w:rPr>
          <w:b/>
        </w:rPr>
        <w:t xml:space="preserve">Качество медицинской помощи (quality of care) </w:t>
      </w:r>
      <w:r>
        <w:t>— степень, в которой медицинские услуги повышают вероятность желаемых исходов здоровья и соответствуют современным профессиональным знаниям [World Health Organization</w:t>
      </w:r>
      <w:r>
        <w:rPr>
          <w:spacing w:val="-4"/>
        </w:rPr>
        <w:t xml:space="preserve"> </w:t>
      </w:r>
      <w:r>
        <w:t>(Quality</w:t>
      </w:r>
      <w:r>
        <w:rPr>
          <w:spacing w:val="-10"/>
        </w:rPr>
        <w:t xml:space="preserve"> </w:t>
      </w:r>
      <w:r>
        <w:t>of</w:t>
      </w:r>
      <w:r>
        <w:rPr>
          <w:spacing w:val="-12"/>
        </w:rPr>
        <w:t xml:space="preserve"> </w:t>
      </w:r>
      <w:r>
        <w:t>care</w:t>
      </w:r>
      <w:r>
        <w:rPr>
          <w:spacing w:val="-1"/>
        </w:rPr>
        <w:t xml:space="preserve"> </w:t>
      </w:r>
      <w:r>
        <w:t>framework);</w:t>
      </w:r>
      <w:r>
        <w:rPr>
          <w:spacing w:val="-2"/>
        </w:rPr>
        <w:t xml:space="preserve"> </w:t>
      </w:r>
      <w:r>
        <w:t>Institute</w:t>
      </w:r>
      <w:r>
        <w:rPr>
          <w:spacing w:val="-4"/>
        </w:rPr>
        <w:t xml:space="preserve"> </w:t>
      </w:r>
      <w:r>
        <w:t>of</w:t>
      </w:r>
      <w:r>
        <w:rPr>
          <w:spacing w:val="-13"/>
        </w:rPr>
        <w:t xml:space="preserve"> </w:t>
      </w:r>
      <w:r>
        <w:t>Medicine</w:t>
      </w:r>
      <w:r>
        <w:rPr>
          <w:spacing w:val="-4"/>
        </w:rPr>
        <w:t xml:space="preserve"> </w:t>
      </w:r>
      <w:r>
        <w:t>(Crossing</w:t>
      </w:r>
      <w:r>
        <w:rPr>
          <w:spacing w:val="-11"/>
        </w:rPr>
        <w:t xml:space="preserve"> </w:t>
      </w:r>
      <w:r>
        <w:t>the</w:t>
      </w:r>
      <w:r>
        <w:rPr>
          <w:spacing w:val="-5"/>
        </w:rPr>
        <w:t xml:space="preserve"> </w:t>
      </w:r>
      <w:r>
        <w:t>Quality Chasm, 2001)].</w:t>
      </w:r>
    </w:p>
    <w:p w14:paraId="10870BC5">
      <w:pPr>
        <w:pStyle w:val="7"/>
        <w:spacing w:line="235" w:lineRule="auto"/>
        <w:ind w:left="0" w:right="3" w:firstLine="706"/>
      </w:pPr>
      <w:r>
        <w:rPr>
          <w:b/>
        </w:rPr>
        <w:t xml:space="preserve">Качество жизни (quality of life) </w:t>
      </w:r>
      <w:r>
        <w:t>— восприятие индивидом своего положения в жизни в контексте культуры и системы ценностей, в которых он живёт, и в связи с его целями, ожиданиями и стандартами [World Health Organization (WHOQOL definition)].</w:t>
      </w:r>
    </w:p>
    <w:p w14:paraId="27DB386B">
      <w:pPr>
        <w:pStyle w:val="7"/>
        <w:spacing w:line="235" w:lineRule="auto"/>
        <w:ind w:left="0" w:right="3" w:firstLine="706"/>
      </w:pPr>
      <w:r>
        <w:rPr>
          <w:b/>
        </w:rPr>
        <w:t xml:space="preserve">Профилактика заболеваний </w:t>
      </w:r>
      <w:r>
        <w:t>— комплекс медицинских и социальных мероприятий, направленных на предупреждение возникновения заболеваний, снижение риска их развития и предупреждение осложнений [World Health Organization (Primary, secondary, tertiary prevention framework)].</w:t>
      </w:r>
    </w:p>
    <w:p w14:paraId="20102F06">
      <w:pPr>
        <w:pStyle w:val="7"/>
        <w:spacing w:line="235" w:lineRule="auto"/>
        <w:ind w:left="0" w:right="3" w:firstLine="706"/>
      </w:pPr>
      <w:r>
        <w:rPr>
          <w:b/>
        </w:rPr>
        <w:t xml:space="preserve">Система здравоохранения </w:t>
      </w:r>
      <w:r>
        <w:t>— совокупность организаций, учреждений и ресурсов, основной целью которых является улучшение здоровья населения [World Health Organization (Health systems framework)].</w:t>
      </w:r>
    </w:p>
    <w:p w14:paraId="26CC7CD5">
      <w:pPr>
        <w:pStyle w:val="7"/>
        <w:tabs>
          <w:tab w:val="left" w:pos="3686"/>
        </w:tabs>
        <w:spacing w:line="235" w:lineRule="auto"/>
        <w:ind w:left="0" w:right="3" w:firstLine="706"/>
      </w:pPr>
      <w:r>
        <w:rPr>
          <w:b/>
        </w:rPr>
        <w:t xml:space="preserve">Организация здравоохранения </w:t>
      </w:r>
      <w:r>
        <w:t>— деятельность по планированию, координации и управлению медицинской помощью в рамках системы здравоохранения</w:t>
      </w:r>
      <w:r>
        <w:rPr>
          <w:spacing w:val="11"/>
        </w:rPr>
        <w:t xml:space="preserve"> </w:t>
      </w:r>
      <w:r>
        <w:t>[Кодекс</w:t>
      </w:r>
      <w:r>
        <w:rPr>
          <w:spacing w:val="10"/>
        </w:rPr>
        <w:t xml:space="preserve"> </w:t>
      </w:r>
      <w:r>
        <w:t>Республики</w:t>
      </w:r>
      <w:r>
        <w:rPr>
          <w:spacing w:val="8"/>
        </w:rPr>
        <w:t xml:space="preserve"> </w:t>
      </w:r>
      <w:r>
        <w:t>Казахстан</w:t>
      </w:r>
      <w:r>
        <w:rPr>
          <w:spacing w:val="8"/>
        </w:rPr>
        <w:t xml:space="preserve"> </w:t>
      </w:r>
      <w:r>
        <w:t>от</w:t>
      </w:r>
      <w:r>
        <w:rPr>
          <w:spacing w:val="8"/>
        </w:rPr>
        <w:t xml:space="preserve"> </w:t>
      </w:r>
      <w:r>
        <w:t>7</w:t>
      </w:r>
      <w:r>
        <w:rPr>
          <w:spacing w:val="9"/>
        </w:rPr>
        <w:t xml:space="preserve"> </w:t>
      </w:r>
      <w:r>
        <w:t>июля</w:t>
      </w:r>
      <w:r>
        <w:rPr>
          <w:spacing w:val="10"/>
        </w:rPr>
        <w:t xml:space="preserve"> </w:t>
      </w:r>
      <w:r>
        <w:t>2020</w:t>
      </w:r>
      <w:r>
        <w:rPr>
          <w:spacing w:val="9"/>
        </w:rPr>
        <w:t xml:space="preserve"> </w:t>
      </w:r>
      <w:r>
        <w:t>года</w:t>
      </w:r>
      <w:r>
        <w:rPr>
          <w:spacing w:val="9"/>
        </w:rPr>
        <w:t xml:space="preserve"> </w:t>
      </w:r>
      <w:r>
        <w:t>№</w:t>
      </w:r>
      <w:r>
        <w:rPr>
          <w:spacing w:val="8"/>
        </w:rPr>
        <w:t xml:space="preserve"> </w:t>
      </w:r>
      <w:r>
        <w:t>360-</w:t>
      </w:r>
      <w:r>
        <w:rPr>
          <w:spacing w:val="-7"/>
        </w:rPr>
        <w:t>VI</w:t>
      </w:r>
      <w:r>
        <w:rPr>
          <w:lang w:val="kk-KZ"/>
        </w:rPr>
        <w:t xml:space="preserve"> </w:t>
      </w:r>
      <w:r>
        <w:t>«О</w:t>
      </w:r>
      <w:r>
        <w:rPr>
          <w:spacing w:val="-6"/>
        </w:rPr>
        <w:t xml:space="preserve"> </w:t>
      </w:r>
      <w:r>
        <w:t>здоровье</w:t>
      </w:r>
      <w:r>
        <w:rPr>
          <w:spacing w:val="-5"/>
        </w:rPr>
        <w:t xml:space="preserve"> </w:t>
      </w:r>
      <w:r>
        <w:t>народа</w:t>
      </w:r>
      <w:r>
        <w:rPr>
          <w:spacing w:val="-5"/>
        </w:rPr>
        <w:t xml:space="preserve"> </w:t>
      </w:r>
      <w:r>
        <w:t>и</w:t>
      </w:r>
      <w:r>
        <w:rPr>
          <w:spacing w:val="-6"/>
        </w:rPr>
        <w:t xml:space="preserve"> </w:t>
      </w:r>
      <w:r>
        <w:t xml:space="preserve">системе </w:t>
      </w:r>
      <w:r>
        <w:rPr>
          <w:spacing w:val="-2"/>
        </w:rPr>
        <w:t>здравоохранения»].</w:t>
      </w:r>
    </w:p>
    <w:p w14:paraId="0DDDB187">
      <w:pPr>
        <w:pStyle w:val="7"/>
        <w:ind w:left="0" w:right="3" w:firstLine="706"/>
      </w:pPr>
      <w:r>
        <w:rPr>
          <w:b/>
        </w:rPr>
        <w:t xml:space="preserve">Рак поджелудочной железы </w:t>
      </w:r>
      <w:r>
        <w:t>— злокачественная опухоль эпителиального происхождения, преимущественно протоковая аденокарцинома, характеризующаяся</w:t>
      </w:r>
      <w:r>
        <w:rPr>
          <w:spacing w:val="-2"/>
        </w:rPr>
        <w:t xml:space="preserve"> </w:t>
      </w:r>
      <w:r>
        <w:t>агрессивным</w:t>
      </w:r>
      <w:r>
        <w:rPr>
          <w:spacing w:val="-2"/>
        </w:rPr>
        <w:t xml:space="preserve"> </w:t>
      </w:r>
      <w:r>
        <w:t>течением</w:t>
      </w:r>
      <w:r>
        <w:rPr>
          <w:spacing w:val="-2"/>
        </w:rPr>
        <w:t xml:space="preserve"> </w:t>
      </w:r>
      <w:r>
        <w:t>и</w:t>
      </w:r>
      <w:r>
        <w:rPr>
          <w:spacing w:val="-4"/>
        </w:rPr>
        <w:t xml:space="preserve"> </w:t>
      </w:r>
      <w:r>
        <w:t>ранним</w:t>
      </w:r>
      <w:r>
        <w:rPr>
          <w:spacing w:val="-3"/>
        </w:rPr>
        <w:t xml:space="preserve"> </w:t>
      </w:r>
      <w:r>
        <w:t>метастазированием</w:t>
      </w:r>
      <w:r>
        <w:rPr>
          <w:spacing w:val="-2"/>
        </w:rPr>
        <w:t xml:space="preserve"> </w:t>
      </w:r>
      <w:r>
        <w:t xml:space="preserve">[World Health Organization (WHO Classification of Tumours of the Digestive System, 5th </w:t>
      </w:r>
      <w:r>
        <w:rPr>
          <w:spacing w:val="-2"/>
        </w:rPr>
        <w:t>edition)].</w:t>
      </w:r>
    </w:p>
    <w:p w14:paraId="0CF039B9">
      <w:pPr>
        <w:pStyle w:val="7"/>
        <w:ind w:left="0" w:right="3" w:firstLine="709"/>
      </w:pPr>
      <w:r>
        <w:rPr>
          <w:b/>
        </w:rPr>
        <w:t xml:space="preserve">Панкреатический свищ (postoperative pancreatic fistula, POPF) </w:t>
      </w:r>
      <w:r>
        <w:t>— состояние, при котором происходит утечка панкреатического секрета после резекции поджелудочной железы, диагностируемая при повышении уровня амилазы в дренажной жидкости более чем в 3 раза относительно верхней границы нормы сыворотки крови после 3-х суток [International Study Group of Pancreatic Surgery (ISGPS, 2016 update)].</w:t>
      </w:r>
    </w:p>
    <w:p w14:paraId="76E33217">
      <w:pPr>
        <w:ind w:right="3" w:firstLine="566"/>
        <w:jc w:val="both"/>
        <w:rPr>
          <w:sz w:val="28"/>
        </w:rPr>
      </w:pPr>
      <w:r>
        <w:rPr>
          <w:b/>
          <w:sz w:val="28"/>
        </w:rPr>
        <w:t xml:space="preserve">Гастропанкреатодуоденальная резекция (ГПДР) </w:t>
      </w:r>
      <w:r>
        <w:rPr>
          <w:sz w:val="28"/>
        </w:rPr>
        <w:t>— радикальное хирургическое вмешательство, включающее удаление головки поджелудочной</w:t>
      </w:r>
    </w:p>
    <w:p w14:paraId="05058BED">
      <w:pPr>
        <w:jc w:val="both"/>
        <w:rPr>
          <w:sz w:val="28"/>
        </w:rPr>
        <w:sectPr>
          <w:pgSz w:w="11910" w:h="16840"/>
          <w:pgMar w:top="1134" w:right="567" w:bottom="1134" w:left="1701" w:header="0" w:footer="936" w:gutter="0"/>
          <w:cols w:space="720" w:num="1"/>
        </w:sectPr>
      </w:pPr>
    </w:p>
    <w:p w14:paraId="40D5C868">
      <w:pPr>
        <w:pStyle w:val="7"/>
        <w:spacing w:before="67"/>
        <w:ind w:right="136" w:firstLine="0"/>
        <w:rPr>
          <w:sz w:val="22"/>
        </w:rPr>
      </w:pPr>
      <w:r>
        <w:t>железы, двенадцатиперстной кишки, дистального отдела желудка (при классическом варианте) с последующей реконструкцией пищеварительного тракта; применяется при опухолях периампулярной зоны [National Comprehensive</w:t>
      </w:r>
      <w:r>
        <w:rPr>
          <w:spacing w:val="-18"/>
        </w:rPr>
        <w:t xml:space="preserve"> </w:t>
      </w:r>
      <w:r>
        <w:t>Cancer</w:t>
      </w:r>
      <w:r>
        <w:rPr>
          <w:spacing w:val="-17"/>
        </w:rPr>
        <w:t xml:space="preserve"> </w:t>
      </w:r>
      <w:r>
        <w:t>Network</w:t>
      </w:r>
      <w:r>
        <w:rPr>
          <w:spacing w:val="-18"/>
        </w:rPr>
        <w:t xml:space="preserve"> </w:t>
      </w:r>
      <w:r>
        <w:t>(NCCN</w:t>
      </w:r>
      <w:r>
        <w:rPr>
          <w:spacing w:val="-17"/>
        </w:rPr>
        <w:t xml:space="preserve"> </w:t>
      </w:r>
      <w:r>
        <w:t>Guidelines</w:t>
      </w:r>
      <w:r>
        <w:rPr>
          <w:spacing w:val="-18"/>
        </w:rPr>
        <w:t xml:space="preserve"> </w:t>
      </w:r>
      <w:r>
        <w:t>—</w:t>
      </w:r>
      <w:r>
        <w:rPr>
          <w:spacing w:val="-17"/>
        </w:rPr>
        <w:t xml:space="preserve"> </w:t>
      </w:r>
      <w:r>
        <w:t>Pancreatic</w:t>
      </w:r>
      <w:r>
        <w:rPr>
          <w:spacing w:val="-16"/>
        </w:rPr>
        <w:t xml:space="preserve"> </w:t>
      </w:r>
      <w:r>
        <w:rPr>
          <w:spacing w:val="-2"/>
        </w:rPr>
        <w:t>Adenocarcinoma)]</w:t>
      </w:r>
      <w:r>
        <w:rPr>
          <w:spacing w:val="-2"/>
          <w:sz w:val="22"/>
        </w:rPr>
        <w:t>.</w:t>
      </w:r>
    </w:p>
    <w:p w14:paraId="6476184B">
      <w:pPr>
        <w:pStyle w:val="7"/>
        <w:rPr>
          <w:sz w:val="22"/>
        </w:rPr>
        <w:sectPr>
          <w:pgSz w:w="11910" w:h="16840"/>
          <w:pgMar w:top="1040" w:right="425" w:bottom="1200" w:left="1559" w:header="0" w:footer="937" w:gutter="0"/>
          <w:cols w:space="720" w:num="1"/>
        </w:sectPr>
      </w:pPr>
    </w:p>
    <w:p w14:paraId="218EDF46">
      <w:pPr>
        <w:pStyle w:val="2"/>
        <w:spacing w:before="67"/>
        <w:ind w:left="707"/>
      </w:pPr>
      <w:r>
        <w:t>ОБОЗНАЧЕНИЯ</w:t>
      </w:r>
      <w:r>
        <w:rPr>
          <w:spacing w:val="-11"/>
        </w:rPr>
        <w:t xml:space="preserve"> </w:t>
      </w:r>
      <w:r>
        <w:t>И</w:t>
      </w:r>
      <w:r>
        <w:rPr>
          <w:spacing w:val="-11"/>
        </w:rPr>
        <w:t xml:space="preserve"> </w:t>
      </w:r>
      <w:r>
        <w:rPr>
          <w:spacing w:val="-2"/>
        </w:rPr>
        <w:t>СОКРАЩЕНИЯ</w:t>
      </w:r>
    </w:p>
    <w:p w14:paraId="011834BC">
      <w:pPr>
        <w:pStyle w:val="7"/>
        <w:spacing w:before="90" w:after="1"/>
        <w:ind w:left="0" w:firstLine="0"/>
        <w:jc w:val="left"/>
        <w:rPr>
          <w:b/>
          <w:sz w:val="20"/>
        </w:rPr>
      </w:pPr>
    </w:p>
    <w:tbl>
      <w:tblPr>
        <w:tblStyle w:val="5"/>
        <w:tblW w:w="0" w:type="auto"/>
        <w:tblInd w:w="314" w:type="dxa"/>
        <w:tblLayout w:type="fixed"/>
        <w:tblCellMar>
          <w:top w:w="0" w:type="dxa"/>
          <w:left w:w="0" w:type="dxa"/>
          <w:bottom w:w="0" w:type="dxa"/>
          <w:right w:w="0" w:type="dxa"/>
        </w:tblCellMar>
      </w:tblPr>
      <w:tblGrid>
        <w:gridCol w:w="1529"/>
        <w:gridCol w:w="7754"/>
      </w:tblGrid>
      <w:tr w14:paraId="10B2FCDE">
        <w:tblPrEx>
          <w:tblCellMar>
            <w:top w:w="0" w:type="dxa"/>
            <w:left w:w="0" w:type="dxa"/>
            <w:bottom w:w="0" w:type="dxa"/>
            <w:right w:w="0" w:type="dxa"/>
          </w:tblCellMar>
        </w:tblPrEx>
        <w:trPr>
          <w:trHeight w:val="312" w:hRule="atLeast"/>
        </w:trPr>
        <w:tc>
          <w:tcPr>
            <w:tcW w:w="1529" w:type="dxa"/>
          </w:tcPr>
          <w:p w14:paraId="18ABBB89">
            <w:pPr>
              <w:pStyle w:val="11"/>
              <w:spacing w:line="293" w:lineRule="exact"/>
              <w:ind w:left="50"/>
              <w:jc w:val="left"/>
              <w:rPr>
                <w:sz w:val="28"/>
              </w:rPr>
            </w:pPr>
            <w:r>
              <w:rPr>
                <w:spacing w:val="-5"/>
                <w:sz w:val="28"/>
              </w:rPr>
              <w:t>ААД</w:t>
            </w:r>
          </w:p>
        </w:tc>
        <w:tc>
          <w:tcPr>
            <w:tcW w:w="7754" w:type="dxa"/>
          </w:tcPr>
          <w:p w14:paraId="0F4622D5">
            <w:pPr>
              <w:pStyle w:val="11"/>
              <w:spacing w:line="293" w:lineRule="exact"/>
              <w:ind w:left="508"/>
              <w:jc w:val="left"/>
              <w:rPr>
                <w:sz w:val="28"/>
              </w:rPr>
            </w:pPr>
            <w:r>
              <w:rPr>
                <w:sz w:val="28"/>
              </w:rPr>
              <w:t>Амилазная</w:t>
            </w:r>
            <w:r>
              <w:rPr>
                <w:spacing w:val="-9"/>
                <w:sz w:val="28"/>
              </w:rPr>
              <w:t xml:space="preserve"> </w:t>
            </w:r>
            <w:r>
              <w:rPr>
                <w:sz w:val="28"/>
              </w:rPr>
              <w:t>активность</w:t>
            </w:r>
            <w:r>
              <w:rPr>
                <w:spacing w:val="-13"/>
                <w:sz w:val="28"/>
              </w:rPr>
              <w:t xml:space="preserve"> </w:t>
            </w:r>
            <w:r>
              <w:rPr>
                <w:spacing w:val="-2"/>
                <w:sz w:val="28"/>
              </w:rPr>
              <w:t>дренажа</w:t>
            </w:r>
          </w:p>
        </w:tc>
      </w:tr>
      <w:tr w14:paraId="4D0AF2C3">
        <w:tblPrEx>
          <w:tblCellMar>
            <w:top w:w="0" w:type="dxa"/>
            <w:left w:w="0" w:type="dxa"/>
            <w:bottom w:w="0" w:type="dxa"/>
            <w:right w:w="0" w:type="dxa"/>
          </w:tblCellMar>
        </w:tblPrEx>
        <w:trPr>
          <w:trHeight w:val="314" w:hRule="atLeast"/>
        </w:trPr>
        <w:tc>
          <w:tcPr>
            <w:tcW w:w="1529" w:type="dxa"/>
          </w:tcPr>
          <w:p w14:paraId="3D9B8450">
            <w:pPr>
              <w:pStyle w:val="11"/>
              <w:spacing w:line="295" w:lineRule="exact"/>
              <w:ind w:left="50"/>
              <w:jc w:val="left"/>
              <w:rPr>
                <w:sz w:val="28"/>
              </w:rPr>
            </w:pPr>
            <w:r>
              <w:rPr>
                <w:spacing w:val="-5"/>
                <w:sz w:val="28"/>
              </w:rPr>
              <w:t>БДС</w:t>
            </w:r>
          </w:p>
        </w:tc>
        <w:tc>
          <w:tcPr>
            <w:tcW w:w="7754" w:type="dxa"/>
          </w:tcPr>
          <w:p w14:paraId="122FC0FA">
            <w:pPr>
              <w:pStyle w:val="11"/>
              <w:spacing w:line="295" w:lineRule="exact"/>
              <w:ind w:left="508"/>
              <w:jc w:val="left"/>
              <w:rPr>
                <w:sz w:val="28"/>
              </w:rPr>
            </w:pPr>
            <w:r>
              <w:rPr>
                <w:sz w:val="28"/>
              </w:rPr>
              <w:t>Большой</w:t>
            </w:r>
            <w:r>
              <w:rPr>
                <w:spacing w:val="-15"/>
                <w:sz w:val="28"/>
              </w:rPr>
              <w:t xml:space="preserve"> </w:t>
            </w:r>
            <w:r>
              <w:rPr>
                <w:sz w:val="28"/>
              </w:rPr>
              <w:t>дуоденальный</w:t>
            </w:r>
            <w:r>
              <w:rPr>
                <w:spacing w:val="-14"/>
                <w:sz w:val="28"/>
              </w:rPr>
              <w:t xml:space="preserve"> </w:t>
            </w:r>
            <w:r>
              <w:rPr>
                <w:spacing w:val="-2"/>
                <w:sz w:val="28"/>
              </w:rPr>
              <w:t>сосочек</w:t>
            </w:r>
          </w:p>
        </w:tc>
      </w:tr>
      <w:tr w14:paraId="7FC295FE">
        <w:tblPrEx>
          <w:tblCellMar>
            <w:top w:w="0" w:type="dxa"/>
            <w:left w:w="0" w:type="dxa"/>
            <w:bottom w:w="0" w:type="dxa"/>
            <w:right w:w="0" w:type="dxa"/>
          </w:tblCellMar>
        </w:tblPrEx>
        <w:trPr>
          <w:trHeight w:val="314" w:hRule="atLeast"/>
        </w:trPr>
        <w:tc>
          <w:tcPr>
            <w:tcW w:w="1529" w:type="dxa"/>
          </w:tcPr>
          <w:p w14:paraId="381008AB">
            <w:pPr>
              <w:pStyle w:val="11"/>
              <w:spacing w:line="295" w:lineRule="exact"/>
              <w:ind w:left="50"/>
              <w:jc w:val="left"/>
              <w:rPr>
                <w:sz w:val="28"/>
              </w:rPr>
            </w:pPr>
            <w:r>
              <w:rPr>
                <w:spacing w:val="-5"/>
                <w:sz w:val="28"/>
              </w:rPr>
              <w:t>ГДА</w:t>
            </w:r>
          </w:p>
        </w:tc>
        <w:tc>
          <w:tcPr>
            <w:tcW w:w="7754" w:type="dxa"/>
          </w:tcPr>
          <w:p w14:paraId="5A295C30">
            <w:pPr>
              <w:pStyle w:val="11"/>
              <w:spacing w:line="295" w:lineRule="exact"/>
              <w:ind w:left="508"/>
              <w:jc w:val="left"/>
              <w:rPr>
                <w:sz w:val="28"/>
              </w:rPr>
            </w:pPr>
            <w:r>
              <w:rPr>
                <w:spacing w:val="-2"/>
                <w:sz w:val="28"/>
              </w:rPr>
              <w:t>Гастродуоденальная</w:t>
            </w:r>
            <w:r>
              <w:rPr>
                <w:spacing w:val="13"/>
                <w:sz w:val="28"/>
              </w:rPr>
              <w:t xml:space="preserve"> </w:t>
            </w:r>
            <w:r>
              <w:rPr>
                <w:spacing w:val="-2"/>
                <w:sz w:val="28"/>
              </w:rPr>
              <w:t>артерия</w:t>
            </w:r>
          </w:p>
        </w:tc>
      </w:tr>
      <w:tr w14:paraId="2DE67B1F">
        <w:tblPrEx>
          <w:tblCellMar>
            <w:top w:w="0" w:type="dxa"/>
            <w:left w:w="0" w:type="dxa"/>
            <w:bottom w:w="0" w:type="dxa"/>
            <w:right w:w="0" w:type="dxa"/>
          </w:tblCellMar>
        </w:tblPrEx>
        <w:trPr>
          <w:trHeight w:val="316" w:hRule="atLeast"/>
        </w:trPr>
        <w:tc>
          <w:tcPr>
            <w:tcW w:w="1529" w:type="dxa"/>
          </w:tcPr>
          <w:p w14:paraId="67013B70">
            <w:pPr>
              <w:pStyle w:val="11"/>
              <w:spacing w:line="297" w:lineRule="exact"/>
              <w:ind w:left="50"/>
              <w:jc w:val="left"/>
              <w:rPr>
                <w:sz w:val="28"/>
              </w:rPr>
            </w:pPr>
            <w:r>
              <w:rPr>
                <w:spacing w:val="-5"/>
                <w:sz w:val="28"/>
              </w:rPr>
              <w:t>ГЕА</w:t>
            </w:r>
          </w:p>
        </w:tc>
        <w:tc>
          <w:tcPr>
            <w:tcW w:w="7754" w:type="dxa"/>
          </w:tcPr>
          <w:p w14:paraId="355235CB">
            <w:pPr>
              <w:pStyle w:val="11"/>
              <w:spacing w:line="297" w:lineRule="exact"/>
              <w:ind w:left="508"/>
              <w:jc w:val="left"/>
              <w:rPr>
                <w:sz w:val="28"/>
              </w:rPr>
            </w:pPr>
            <w:r>
              <w:rPr>
                <w:spacing w:val="-2"/>
                <w:sz w:val="28"/>
              </w:rPr>
              <w:t>Гепатикоеюноанастомоз</w:t>
            </w:r>
          </w:p>
        </w:tc>
      </w:tr>
      <w:tr w14:paraId="51D91D81">
        <w:tblPrEx>
          <w:tblCellMar>
            <w:top w:w="0" w:type="dxa"/>
            <w:left w:w="0" w:type="dxa"/>
            <w:bottom w:w="0" w:type="dxa"/>
            <w:right w:w="0" w:type="dxa"/>
          </w:tblCellMar>
        </w:tblPrEx>
        <w:trPr>
          <w:trHeight w:val="319" w:hRule="atLeast"/>
        </w:trPr>
        <w:tc>
          <w:tcPr>
            <w:tcW w:w="1529" w:type="dxa"/>
          </w:tcPr>
          <w:p w14:paraId="7E0E2DF3">
            <w:pPr>
              <w:pStyle w:val="11"/>
              <w:spacing w:line="299" w:lineRule="exact"/>
              <w:ind w:left="50"/>
              <w:jc w:val="left"/>
              <w:rPr>
                <w:sz w:val="28"/>
              </w:rPr>
            </w:pPr>
            <w:r>
              <w:rPr>
                <w:spacing w:val="-4"/>
                <w:sz w:val="28"/>
              </w:rPr>
              <w:t>ГПДР</w:t>
            </w:r>
          </w:p>
        </w:tc>
        <w:tc>
          <w:tcPr>
            <w:tcW w:w="7754" w:type="dxa"/>
          </w:tcPr>
          <w:p w14:paraId="0105AD61">
            <w:pPr>
              <w:pStyle w:val="11"/>
              <w:spacing w:line="299" w:lineRule="exact"/>
              <w:ind w:left="508"/>
              <w:jc w:val="left"/>
              <w:rPr>
                <w:sz w:val="28"/>
              </w:rPr>
            </w:pPr>
            <w:r>
              <w:rPr>
                <w:spacing w:val="-2"/>
                <w:sz w:val="28"/>
              </w:rPr>
              <w:t>Гастропанкреатодуоденальная</w:t>
            </w:r>
            <w:r>
              <w:rPr>
                <w:spacing w:val="20"/>
                <w:sz w:val="28"/>
              </w:rPr>
              <w:t xml:space="preserve"> </w:t>
            </w:r>
            <w:r>
              <w:rPr>
                <w:spacing w:val="-2"/>
                <w:sz w:val="28"/>
              </w:rPr>
              <w:t>резекция</w:t>
            </w:r>
          </w:p>
        </w:tc>
      </w:tr>
      <w:tr w14:paraId="5AEF0179">
        <w:tblPrEx>
          <w:tblCellMar>
            <w:top w:w="0" w:type="dxa"/>
            <w:left w:w="0" w:type="dxa"/>
            <w:bottom w:w="0" w:type="dxa"/>
            <w:right w:w="0" w:type="dxa"/>
          </w:tblCellMar>
        </w:tblPrEx>
        <w:trPr>
          <w:trHeight w:val="321" w:hRule="atLeast"/>
        </w:trPr>
        <w:tc>
          <w:tcPr>
            <w:tcW w:w="1529" w:type="dxa"/>
          </w:tcPr>
          <w:p w14:paraId="114DD1B5">
            <w:pPr>
              <w:pStyle w:val="11"/>
              <w:spacing w:line="302" w:lineRule="exact"/>
              <w:ind w:left="50"/>
              <w:jc w:val="left"/>
              <w:rPr>
                <w:sz w:val="28"/>
              </w:rPr>
            </w:pPr>
            <w:r>
              <w:rPr>
                <w:spacing w:val="-5"/>
                <w:sz w:val="28"/>
              </w:rPr>
              <w:t>ГПЖ</w:t>
            </w:r>
          </w:p>
        </w:tc>
        <w:tc>
          <w:tcPr>
            <w:tcW w:w="7754" w:type="dxa"/>
          </w:tcPr>
          <w:p w14:paraId="7172C4A6">
            <w:pPr>
              <w:pStyle w:val="11"/>
              <w:spacing w:line="302" w:lineRule="exact"/>
              <w:ind w:left="508"/>
              <w:jc w:val="left"/>
              <w:rPr>
                <w:sz w:val="28"/>
              </w:rPr>
            </w:pPr>
            <w:r>
              <w:rPr>
                <w:sz w:val="28"/>
              </w:rPr>
              <w:t>Головка</w:t>
            </w:r>
            <w:r>
              <w:rPr>
                <w:spacing w:val="-12"/>
                <w:sz w:val="28"/>
              </w:rPr>
              <w:t xml:space="preserve"> </w:t>
            </w:r>
            <w:r>
              <w:rPr>
                <w:sz w:val="28"/>
              </w:rPr>
              <w:t>поджелудочной</w:t>
            </w:r>
            <w:r>
              <w:rPr>
                <w:spacing w:val="-13"/>
                <w:sz w:val="28"/>
              </w:rPr>
              <w:t xml:space="preserve"> </w:t>
            </w:r>
            <w:r>
              <w:rPr>
                <w:spacing w:val="-2"/>
                <w:sz w:val="28"/>
              </w:rPr>
              <w:t>железы</w:t>
            </w:r>
          </w:p>
        </w:tc>
      </w:tr>
      <w:tr w14:paraId="0C930888">
        <w:tblPrEx>
          <w:tblCellMar>
            <w:top w:w="0" w:type="dxa"/>
            <w:left w:w="0" w:type="dxa"/>
            <w:bottom w:w="0" w:type="dxa"/>
            <w:right w:w="0" w:type="dxa"/>
          </w:tblCellMar>
        </w:tblPrEx>
        <w:trPr>
          <w:trHeight w:val="317" w:hRule="atLeast"/>
        </w:trPr>
        <w:tc>
          <w:tcPr>
            <w:tcW w:w="1529" w:type="dxa"/>
          </w:tcPr>
          <w:p w14:paraId="1E1871D3">
            <w:pPr>
              <w:pStyle w:val="11"/>
              <w:spacing w:line="297" w:lineRule="exact"/>
              <w:ind w:left="50"/>
              <w:jc w:val="left"/>
              <w:rPr>
                <w:sz w:val="28"/>
              </w:rPr>
            </w:pPr>
            <w:r>
              <w:rPr>
                <w:spacing w:val="-5"/>
                <w:sz w:val="28"/>
              </w:rPr>
              <w:t>ГЭА</w:t>
            </w:r>
          </w:p>
        </w:tc>
        <w:tc>
          <w:tcPr>
            <w:tcW w:w="7754" w:type="dxa"/>
          </w:tcPr>
          <w:p w14:paraId="2AD37097">
            <w:pPr>
              <w:pStyle w:val="11"/>
              <w:spacing w:line="297" w:lineRule="exact"/>
              <w:ind w:left="508"/>
              <w:jc w:val="left"/>
              <w:rPr>
                <w:sz w:val="28"/>
              </w:rPr>
            </w:pPr>
            <w:r>
              <w:rPr>
                <w:spacing w:val="-2"/>
                <w:sz w:val="28"/>
              </w:rPr>
              <w:t>Гастроэнтероанастомоз</w:t>
            </w:r>
          </w:p>
        </w:tc>
      </w:tr>
      <w:tr w14:paraId="372F44B1">
        <w:tblPrEx>
          <w:tblCellMar>
            <w:top w:w="0" w:type="dxa"/>
            <w:left w:w="0" w:type="dxa"/>
            <w:bottom w:w="0" w:type="dxa"/>
            <w:right w:w="0" w:type="dxa"/>
          </w:tblCellMar>
        </w:tblPrEx>
        <w:trPr>
          <w:trHeight w:val="314" w:hRule="atLeast"/>
        </w:trPr>
        <w:tc>
          <w:tcPr>
            <w:tcW w:w="1529" w:type="dxa"/>
          </w:tcPr>
          <w:p w14:paraId="7FBAFB4E">
            <w:pPr>
              <w:pStyle w:val="11"/>
              <w:spacing w:line="295" w:lineRule="exact"/>
              <w:ind w:left="50"/>
              <w:jc w:val="left"/>
              <w:rPr>
                <w:sz w:val="28"/>
              </w:rPr>
            </w:pPr>
            <w:r>
              <w:rPr>
                <w:spacing w:val="-5"/>
                <w:sz w:val="28"/>
              </w:rPr>
              <w:t>ДПК</w:t>
            </w:r>
          </w:p>
        </w:tc>
        <w:tc>
          <w:tcPr>
            <w:tcW w:w="7754" w:type="dxa"/>
          </w:tcPr>
          <w:p w14:paraId="4347DE7D">
            <w:pPr>
              <w:pStyle w:val="11"/>
              <w:spacing w:line="295" w:lineRule="exact"/>
              <w:ind w:left="508"/>
              <w:jc w:val="left"/>
              <w:rPr>
                <w:sz w:val="28"/>
              </w:rPr>
            </w:pPr>
            <w:r>
              <w:rPr>
                <w:spacing w:val="-2"/>
                <w:sz w:val="28"/>
              </w:rPr>
              <w:t>Двенадцатиперстная</w:t>
            </w:r>
            <w:r>
              <w:rPr>
                <w:spacing w:val="15"/>
                <w:sz w:val="28"/>
              </w:rPr>
              <w:t xml:space="preserve"> </w:t>
            </w:r>
            <w:r>
              <w:rPr>
                <w:spacing w:val="-2"/>
                <w:sz w:val="28"/>
              </w:rPr>
              <w:t>кишка</w:t>
            </w:r>
          </w:p>
        </w:tc>
      </w:tr>
      <w:tr w14:paraId="45B2DD66">
        <w:tblPrEx>
          <w:tblCellMar>
            <w:top w:w="0" w:type="dxa"/>
            <w:left w:w="0" w:type="dxa"/>
            <w:bottom w:w="0" w:type="dxa"/>
            <w:right w:w="0" w:type="dxa"/>
          </w:tblCellMar>
        </w:tblPrEx>
        <w:trPr>
          <w:trHeight w:val="316" w:hRule="atLeast"/>
        </w:trPr>
        <w:tc>
          <w:tcPr>
            <w:tcW w:w="1529" w:type="dxa"/>
          </w:tcPr>
          <w:p w14:paraId="2B6B07A1">
            <w:pPr>
              <w:pStyle w:val="11"/>
              <w:spacing w:line="297" w:lineRule="exact"/>
              <w:ind w:left="50"/>
              <w:jc w:val="left"/>
              <w:rPr>
                <w:sz w:val="28"/>
              </w:rPr>
            </w:pPr>
            <w:r>
              <w:rPr>
                <w:spacing w:val="-5"/>
                <w:sz w:val="28"/>
              </w:rPr>
              <w:t>ЖКТ</w:t>
            </w:r>
          </w:p>
        </w:tc>
        <w:tc>
          <w:tcPr>
            <w:tcW w:w="7754" w:type="dxa"/>
          </w:tcPr>
          <w:p w14:paraId="44107059">
            <w:pPr>
              <w:pStyle w:val="11"/>
              <w:spacing w:line="297" w:lineRule="exact"/>
              <w:ind w:left="508"/>
              <w:jc w:val="left"/>
              <w:rPr>
                <w:sz w:val="28"/>
              </w:rPr>
            </w:pPr>
            <w:r>
              <w:rPr>
                <w:spacing w:val="-2"/>
                <w:sz w:val="28"/>
              </w:rPr>
              <w:t>Желудочно-кишечный</w:t>
            </w:r>
            <w:r>
              <w:rPr>
                <w:spacing w:val="17"/>
                <w:sz w:val="28"/>
              </w:rPr>
              <w:t xml:space="preserve"> </w:t>
            </w:r>
            <w:r>
              <w:rPr>
                <w:spacing w:val="-4"/>
                <w:sz w:val="28"/>
              </w:rPr>
              <w:t>тракт</w:t>
            </w:r>
          </w:p>
        </w:tc>
      </w:tr>
      <w:tr w14:paraId="4C0A64F5">
        <w:tblPrEx>
          <w:tblCellMar>
            <w:top w:w="0" w:type="dxa"/>
            <w:left w:w="0" w:type="dxa"/>
            <w:bottom w:w="0" w:type="dxa"/>
            <w:right w:w="0" w:type="dxa"/>
          </w:tblCellMar>
        </w:tblPrEx>
        <w:trPr>
          <w:trHeight w:val="314" w:hRule="atLeast"/>
        </w:trPr>
        <w:tc>
          <w:tcPr>
            <w:tcW w:w="1529" w:type="dxa"/>
          </w:tcPr>
          <w:p w14:paraId="79E46E70">
            <w:pPr>
              <w:pStyle w:val="11"/>
              <w:spacing w:line="294" w:lineRule="exact"/>
              <w:ind w:left="50"/>
              <w:jc w:val="left"/>
              <w:rPr>
                <w:sz w:val="28"/>
              </w:rPr>
            </w:pPr>
            <w:r>
              <w:rPr>
                <w:spacing w:val="-5"/>
                <w:sz w:val="28"/>
              </w:rPr>
              <w:t>ИМТ</w:t>
            </w:r>
          </w:p>
        </w:tc>
        <w:tc>
          <w:tcPr>
            <w:tcW w:w="7754" w:type="dxa"/>
          </w:tcPr>
          <w:p w14:paraId="4B6DBD77">
            <w:pPr>
              <w:pStyle w:val="11"/>
              <w:spacing w:line="294" w:lineRule="exact"/>
              <w:ind w:left="508"/>
              <w:jc w:val="left"/>
              <w:rPr>
                <w:sz w:val="28"/>
              </w:rPr>
            </w:pPr>
            <w:r>
              <w:rPr>
                <w:sz w:val="28"/>
              </w:rPr>
              <w:t>Индекс</w:t>
            </w:r>
            <w:r>
              <w:rPr>
                <w:spacing w:val="-8"/>
                <w:sz w:val="28"/>
              </w:rPr>
              <w:t xml:space="preserve"> </w:t>
            </w:r>
            <w:r>
              <w:rPr>
                <w:sz w:val="28"/>
              </w:rPr>
              <w:t>массы</w:t>
            </w:r>
            <w:r>
              <w:rPr>
                <w:spacing w:val="-9"/>
                <w:sz w:val="28"/>
              </w:rPr>
              <w:t xml:space="preserve"> </w:t>
            </w:r>
            <w:r>
              <w:rPr>
                <w:spacing w:val="-4"/>
                <w:sz w:val="28"/>
              </w:rPr>
              <w:t>тела</w:t>
            </w:r>
          </w:p>
        </w:tc>
      </w:tr>
      <w:tr w14:paraId="0D4AE6D5">
        <w:tblPrEx>
          <w:tblCellMar>
            <w:top w:w="0" w:type="dxa"/>
            <w:left w:w="0" w:type="dxa"/>
            <w:bottom w:w="0" w:type="dxa"/>
            <w:right w:w="0" w:type="dxa"/>
          </w:tblCellMar>
        </w:tblPrEx>
        <w:trPr>
          <w:trHeight w:val="314" w:hRule="atLeast"/>
        </w:trPr>
        <w:tc>
          <w:tcPr>
            <w:tcW w:w="1529" w:type="dxa"/>
          </w:tcPr>
          <w:p w14:paraId="45CFE5F8">
            <w:pPr>
              <w:pStyle w:val="11"/>
              <w:spacing w:line="294" w:lineRule="exact"/>
              <w:ind w:left="50"/>
              <w:jc w:val="left"/>
              <w:rPr>
                <w:sz w:val="28"/>
              </w:rPr>
            </w:pPr>
            <w:r>
              <w:rPr>
                <w:spacing w:val="-5"/>
                <w:sz w:val="28"/>
              </w:rPr>
              <w:t>КТА</w:t>
            </w:r>
          </w:p>
        </w:tc>
        <w:tc>
          <w:tcPr>
            <w:tcW w:w="7754" w:type="dxa"/>
          </w:tcPr>
          <w:p w14:paraId="53B62233">
            <w:pPr>
              <w:pStyle w:val="11"/>
              <w:spacing w:line="294" w:lineRule="exact"/>
              <w:ind w:left="508"/>
              <w:jc w:val="left"/>
              <w:rPr>
                <w:sz w:val="28"/>
              </w:rPr>
            </w:pPr>
            <w:r>
              <w:rPr>
                <w:sz w:val="28"/>
              </w:rPr>
              <w:t>Компьютерная</w:t>
            </w:r>
            <w:r>
              <w:rPr>
                <w:spacing w:val="-16"/>
                <w:sz w:val="28"/>
              </w:rPr>
              <w:t xml:space="preserve"> </w:t>
            </w:r>
            <w:r>
              <w:rPr>
                <w:spacing w:val="-2"/>
                <w:sz w:val="28"/>
              </w:rPr>
              <w:t>томоангиография</w:t>
            </w:r>
          </w:p>
        </w:tc>
      </w:tr>
      <w:tr w14:paraId="4BAF5C92">
        <w:tblPrEx>
          <w:tblCellMar>
            <w:top w:w="0" w:type="dxa"/>
            <w:left w:w="0" w:type="dxa"/>
            <w:bottom w:w="0" w:type="dxa"/>
            <w:right w:w="0" w:type="dxa"/>
          </w:tblCellMar>
        </w:tblPrEx>
        <w:trPr>
          <w:trHeight w:val="316" w:hRule="atLeast"/>
        </w:trPr>
        <w:tc>
          <w:tcPr>
            <w:tcW w:w="1529" w:type="dxa"/>
          </w:tcPr>
          <w:p w14:paraId="0D8626DD">
            <w:pPr>
              <w:pStyle w:val="11"/>
              <w:spacing w:line="297" w:lineRule="exact"/>
              <w:ind w:left="50"/>
              <w:jc w:val="left"/>
              <w:rPr>
                <w:sz w:val="28"/>
              </w:rPr>
            </w:pPr>
            <w:r>
              <w:rPr>
                <w:spacing w:val="-2"/>
                <w:sz w:val="28"/>
              </w:rPr>
              <w:t>КЗ-</w:t>
            </w:r>
            <w:r>
              <w:rPr>
                <w:spacing w:val="-5"/>
                <w:sz w:val="28"/>
              </w:rPr>
              <w:t>ПС</w:t>
            </w:r>
          </w:p>
        </w:tc>
        <w:tc>
          <w:tcPr>
            <w:tcW w:w="7754" w:type="dxa"/>
          </w:tcPr>
          <w:p w14:paraId="6E8DA993">
            <w:pPr>
              <w:pStyle w:val="11"/>
              <w:spacing w:line="297" w:lineRule="exact"/>
              <w:ind w:left="508"/>
              <w:jc w:val="left"/>
              <w:rPr>
                <w:sz w:val="28"/>
              </w:rPr>
            </w:pPr>
            <w:r>
              <w:rPr>
                <w:sz w:val="28"/>
              </w:rPr>
              <w:t>Клинически</w:t>
            </w:r>
            <w:r>
              <w:rPr>
                <w:spacing w:val="-14"/>
                <w:sz w:val="28"/>
              </w:rPr>
              <w:t xml:space="preserve"> </w:t>
            </w:r>
            <w:r>
              <w:rPr>
                <w:sz w:val="28"/>
              </w:rPr>
              <w:t>значимый</w:t>
            </w:r>
            <w:r>
              <w:rPr>
                <w:spacing w:val="-14"/>
                <w:sz w:val="28"/>
              </w:rPr>
              <w:t xml:space="preserve"> </w:t>
            </w:r>
            <w:r>
              <w:rPr>
                <w:sz w:val="28"/>
              </w:rPr>
              <w:t>панкреатический</w:t>
            </w:r>
            <w:r>
              <w:rPr>
                <w:spacing w:val="-13"/>
                <w:sz w:val="28"/>
              </w:rPr>
              <w:t xml:space="preserve"> </w:t>
            </w:r>
            <w:r>
              <w:rPr>
                <w:spacing w:val="-4"/>
                <w:sz w:val="28"/>
              </w:rPr>
              <w:t>свищ</w:t>
            </w:r>
          </w:p>
        </w:tc>
      </w:tr>
      <w:tr w14:paraId="51AFD120">
        <w:tblPrEx>
          <w:tblCellMar>
            <w:top w:w="0" w:type="dxa"/>
            <w:left w:w="0" w:type="dxa"/>
            <w:bottom w:w="0" w:type="dxa"/>
            <w:right w:w="0" w:type="dxa"/>
          </w:tblCellMar>
        </w:tblPrEx>
        <w:trPr>
          <w:trHeight w:val="314" w:hRule="atLeast"/>
        </w:trPr>
        <w:tc>
          <w:tcPr>
            <w:tcW w:w="1529" w:type="dxa"/>
          </w:tcPr>
          <w:p w14:paraId="217F23BC">
            <w:pPr>
              <w:pStyle w:val="11"/>
              <w:spacing w:line="295" w:lineRule="exact"/>
              <w:ind w:left="50"/>
              <w:jc w:val="left"/>
              <w:rPr>
                <w:sz w:val="28"/>
              </w:rPr>
            </w:pPr>
            <w:r>
              <w:rPr>
                <w:spacing w:val="-5"/>
                <w:sz w:val="28"/>
              </w:rPr>
              <w:t>МРТ</w:t>
            </w:r>
          </w:p>
        </w:tc>
        <w:tc>
          <w:tcPr>
            <w:tcW w:w="7754" w:type="dxa"/>
          </w:tcPr>
          <w:p w14:paraId="258A9CD8">
            <w:pPr>
              <w:pStyle w:val="11"/>
              <w:spacing w:line="295" w:lineRule="exact"/>
              <w:ind w:left="508"/>
              <w:jc w:val="left"/>
              <w:rPr>
                <w:sz w:val="28"/>
              </w:rPr>
            </w:pPr>
            <w:r>
              <w:rPr>
                <w:spacing w:val="-2"/>
                <w:sz w:val="28"/>
              </w:rPr>
              <w:t>Магнитно-резонансная</w:t>
            </w:r>
            <w:r>
              <w:rPr>
                <w:spacing w:val="19"/>
                <w:sz w:val="28"/>
              </w:rPr>
              <w:t xml:space="preserve"> </w:t>
            </w:r>
            <w:r>
              <w:rPr>
                <w:spacing w:val="-2"/>
                <w:sz w:val="28"/>
              </w:rPr>
              <w:t>томография</w:t>
            </w:r>
          </w:p>
        </w:tc>
      </w:tr>
      <w:tr w14:paraId="6DC7353C">
        <w:tblPrEx>
          <w:tblCellMar>
            <w:top w:w="0" w:type="dxa"/>
            <w:left w:w="0" w:type="dxa"/>
            <w:bottom w:w="0" w:type="dxa"/>
            <w:right w:w="0" w:type="dxa"/>
          </w:tblCellMar>
        </w:tblPrEx>
        <w:trPr>
          <w:trHeight w:val="319" w:hRule="atLeast"/>
        </w:trPr>
        <w:tc>
          <w:tcPr>
            <w:tcW w:w="1529" w:type="dxa"/>
          </w:tcPr>
          <w:p w14:paraId="60F69D7A">
            <w:pPr>
              <w:pStyle w:val="11"/>
              <w:spacing w:line="300" w:lineRule="exact"/>
              <w:ind w:left="50"/>
              <w:jc w:val="left"/>
              <w:rPr>
                <w:sz w:val="28"/>
              </w:rPr>
            </w:pPr>
            <w:r>
              <w:rPr>
                <w:spacing w:val="-2"/>
                <w:sz w:val="28"/>
              </w:rPr>
              <w:t>МРХПГ</w:t>
            </w:r>
          </w:p>
        </w:tc>
        <w:tc>
          <w:tcPr>
            <w:tcW w:w="7754" w:type="dxa"/>
          </w:tcPr>
          <w:p w14:paraId="70043DE4">
            <w:pPr>
              <w:pStyle w:val="11"/>
              <w:spacing w:line="300" w:lineRule="exact"/>
              <w:ind w:left="508"/>
              <w:jc w:val="left"/>
              <w:rPr>
                <w:sz w:val="28"/>
              </w:rPr>
            </w:pPr>
            <w:r>
              <w:rPr>
                <w:spacing w:val="-2"/>
                <w:sz w:val="28"/>
              </w:rPr>
              <w:t>Магнитно-резонансная</w:t>
            </w:r>
            <w:r>
              <w:rPr>
                <w:spacing w:val="20"/>
                <w:sz w:val="28"/>
              </w:rPr>
              <w:t xml:space="preserve"> </w:t>
            </w:r>
            <w:r>
              <w:rPr>
                <w:spacing w:val="-2"/>
                <w:sz w:val="28"/>
              </w:rPr>
              <w:t>холангиопанкреатография</w:t>
            </w:r>
          </w:p>
        </w:tc>
      </w:tr>
      <w:tr w14:paraId="0BCE3C4B">
        <w:tblPrEx>
          <w:tblCellMar>
            <w:top w:w="0" w:type="dxa"/>
            <w:left w:w="0" w:type="dxa"/>
            <w:bottom w:w="0" w:type="dxa"/>
            <w:right w:w="0" w:type="dxa"/>
          </w:tblCellMar>
        </w:tblPrEx>
        <w:trPr>
          <w:trHeight w:val="316" w:hRule="atLeast"/>
        </w:trPr>
        <w:tc>
          <w:tcPr>
            <w:tcW w:w="1529" w:type="dxa"/>
          </w:tcPr>
          <w:p w14:paraId="0E521DBC">
            <w:pPr>
              <w:pStyle w:val="11"/>
              <w:spacing w:line="297" w:lineRule="exact"/>
              <w:ind w:left="50"/>
              <w:jc w:val="left"/>
              <w:rPr>
                <w:sz w:val="28"/>
              </w:rPr>
            </w:pPr>
            <w:r>
              <w:rPr>
                <w:spacing w:val="-4"/>
                <w:sz w:val="28"/>
              </w:rPr>
              <w:t>ННЦХ</w:t>
            </w:r>
          </w:p>
        </w:tc>
        <w:tc>
          <w:tcPr>
            <w:tcW w:w="7754" w:type="dxa"/>
          </w:tcPr>
          <w:p w14:paraId="7F4B6E2A">
            <w:pPr>
              <w:pStyle w:val="11"/>
              <w:spacing w:line="297" w:lineRule="exact"/>
              <w:ind w:left="508"/>
              <w:jc w:val="left"/>
              <w:rPr>
                <w:sz w:val="28"/>
              </w:rPr>
            </w:pPr>
            <w:r>
              <w:rPr>
                <w:sz w:val="28"/>
              </w:rPr>
              <w:t>Национальный</w:t>
            </w:r>
            <w:r>
              <w:rPr>
                <w:spacing w:val="-12"/>
                <w:sz w:val="28"/>
              </w:rPr>
              <w:t xml:space="preserve"> </w:t>
            </w:r>
            <w:r>
              <w:rPr>
                <w:sz w:val="28"/>
              </w:rPr>
              <w:t>научный</w:t>
            </w:r>
            <w:r>
              <w:rPr>
                <w:spacing w:val="-11"/>
                <w:sz w:val="28"/>
              </w:rPr>
              <w:t xml:space="preserve"> </w:t>
            </w:r>
            <w:r>
              <w:rPr>
                <w:sz w:val="28"/>
              </w:rPr>
              <w:t>центр</w:t>
            </w:r>
            <w:r>
              <w:rPr>
                <w:spacing w:val="-8"/>
                <w:sz w:val="28"/>
              </w:rPr>
              <w:t xml:space="preserve"> </w:t>
            </w:r>
            <w:r>
              <w:rPr>
                <w:spacing w:val="-2"/>
                <w:sz w:val="28"/>
              </w:rPr>
              <w:t>хирургии</w:t>
            </w:r>
          </w:p>
        </w:tc>
      </w:tr>
      <w:tr w14:paraId="2995E8B3">
        <w:tblPrEx>
          <w:tblCellMar>
            <w:top w:w="0" w:type="dxa"/>
            <w:left w:w="0" w:type="dxa"/>
            <w:bottom w:w="0" w:type="dxa"/>
            <w:right w:w="0" w:type="dxa"/>
          </w:tblCellMar>
        </w:tblPrEx>
        <w:trPr>
          <w:trHeight w:val="314" w:hRule="atLeast"/>
        </w:trPr>
        <w:tc>
          <w:tcPr>
            <w:tcW w:w="1529" w:type="dxa"/>
          </w:tcPr>
          <w:p w14:paraId="01EBC69E">
            <w:pPr>
              <w:pStyle w:val="11"/>
              <w:spacing w:line="294" w:lineRule="exact"/>
              <w:ind w:left="50"/>
              <w:jc w:val="left"/>
              <w:rPr>
                <w:sz w:val="28"/>
              </w:rPr>
            </w:pPr>
            <w:r>
              <w:rPr>
                <w:spacing w:val="-4"/>
                <w:sz w:val="28"/>
              </w:rPr>
              <w:t>ННОЦ</w:t>
            </w:r>
          </w:p>
        </w:tc>
        <w:tc>
          <w:tcPr>
            <w:tcW w:w="7754" w:type="dxa"/>
          </w:tcPr>
          <w:p w14:paraId="4D2F45CF">
            <w:pPr>
              <w:pStyle w:val="11"/>
              <w:spacing w:line="294" w:lineRule="exact"/>
              <w:ind w:left="508"/>
              <w:jc w:val="left"/>
              <w:rPr>
                <w:sz w:val="28"/>
              </w:rPr>
            </w:pPr>
            <w:r>
              <w:rPr>
                <w:sz w:val="28"/>
              </w:rPr>
              <w:t>Национальный</w:t>
            </w:r>
            <w:r>
              <w:rPr>
                <w:spacing w:val="-15"/>
                <w:sz w:val="28"/>
              </w:rPr>
              <w:t xml:space="preserve"> </w:t>
            </w:r>
            <w:r>
              <w:rPr>
                <w:sz w:val="28"/>
              </w:rPr>
              <w:t>научный</w:t>
            </w:r>
            <w:r>
              <w:rPr>
                <w:spacing w:val="-15"/>
                <w:sz w:val="28"/>
              </w:rPr>
              <w:t xml:space="preserve"> </w:t>
            </w:r>
            <w:r>
              <w:rPr>
                <w:sz w:val="28"/>
              </w:rPr>
              <w:t>онкологический</w:t>
            </w:r>
            <w:r>
              <w:rPr>
                <w:spacing w:val="-14"/>
                <w:sz w:val="28"/>
              </w:rPr>
              <w:t xml:space="preserve"> </w:t>
            </w:r>
            <w:r>
              <w:rPr>
                <w:spacing w:val="-2"/>
                <w:sz w:val="28"/>
              </w:rPr>
              <w:t>центр</w:t>
            </w:r>
          </w:p>
        </w:tc>
      </w:tr>
      <w:tr w14:paraId="151B0483">
        <w:tblPrEx>
          <w:tblCellMar>
            <w:top w:w="0" w:type="dxa"/>
            <w:left w:w="0" w:type="dxa"/>
            <w:bottom w:w="0" w:type="dxa"/>
            <w:right w:w="0" w:type="dxa"/>
          </w:tblCellMar>
        </w:tblPrEx>
        <w:trPr>
          <w:trHeight w:val="314" w:hRule="atLeast"/>
        </w:trPr>
        <w:tc>
          <w:tcPr>
            <w:tcW w:w="1529" w:type="dxa"/>
          </w:tcPr>
          <w:p w14:paraId="770CE4FB">
            <w:pPr>
              <w:pStyle w:val="11"/>
              <w:spacing w:line="294" w:lineRule="exact"/>
              <w:ind w:left="50"/>
              <w:jc w:val="left"/>
              <w:rPr>
                <w:sz w:val="28"/>
              </w:rPr>
            </w:pPr>
            <w:r>
              <w:rPr>
                <w:spacing w:val="-5"/>
                <w:sz w:val="28"/>
              </w:rPr>
              <w:t>ПЖ</w:t>
            </w:r>
          </w:p>
        </w:tc>
        <w:tc>
          <w:tcPr>
            <w:tcW w:w="7754" w:type="dxa"/>
          </w:tcPr>
          <w:p w14:paraId="44B955BD">
            <w:pPr>
              <w:pStyle w:val="11"/>
              <w:spacing w:line="294" w:lineRule="exact"/>
              <w:ind w:left="508"/>
              <w:jc w:val="left"/>
              <w:rPr>
                <w:sz w:val="28"/>
              </w:rPr>
            </w:pPr>
            <w:r>
              <w:rPr>
                <w:sz w:val="28"/>
              </w:rPr>
              <w:t>Поджелудочная</w:t>
            </w:r>
            <w:r>
              <w:rPr>
                <w:spacing w:val="-15"/>
                <w:sz w:val="28"/>
              </w:rPr>
              <w:t xml:space="preserve"> </w:t>
            </w:r>
            <w:r>
              <w:rPr>
                <w:spacing w:val="-2"/>
                <w:sz w:val="28"/>
              </w:rPr>
              <w:t>железа</w:t>
            </w:r>
          </w:p>
        </w:tc>
      </w:tr>
      <w:tr w14:paraId="76FAE6C4">
        <w:tblPrEx>
          <w:tblCellMar>
            <w:top w:w="0" w:type="dxa"/>
            <w:left w:w="0" w:type="dxa"/>
            <w:bottom w:w="0" w:type="dxa"/>
            <w:right w:w="0" w:type="dxa"/>
          </w:tblCellMar>
        </w:tblPrEx>
        <w:trPr>
          <w:trHeight w:val="316" w:hRule="atLeast"/>
        </w:trPr>
        <w:tc>
          <w:tcPr>
            <w:tcW w:w="1529" w:type="dxa"/>
          </w:tcPr>
          <w:p w14:paraId="4888C8B1">
            <w:pPr>
              <w:pStyle w:val="11"/>
              <w:spacing w:line="297" w:lineRule="exact"/>
              <w:ind w:left="50"/>
              <w:jc w:val="left"/>
              <w:rPr>
                <w:sz w:val="28"/>
              </w:rPr>
            </w:pPr>
            <w:r>
              <w:rPr>
                <w:spacing w:val="-5"/>
                <w:sz w:val="28"/>
              </w:rPr>
              <w:t>ПЕА</w:t>
            </w:r>
          </w:p>
        </w:tc>
        <w:tc>
          <w:tcPr>
            <w:tcW w:w="7754" w:type="dxa"/>
          </w:tcPr>
          <w:p w14:paraId="4288037F">
            <w:pPr>
              <w:pStyle w:val="11"/>
              <w:spacing w:line="297" w:lineRule="exact"/>
              <w:ind w:left="508"/>
              <w:jc w:val="left"/>
              <w:rPr>
                <w:sz w:val="28"/>
              </w:rPr>
            </w:pPr>
            <w:r>
              <w:rPr>
                <w:spacing w:val="-2"/>
                <w:sz w:val="28"/>
              </w:rPr>
              <w:t>Панкреатоеюноанастомоз</w:t>
            </w:r>
          </w:p>
        </w:tc>
      </w:tr>
      <w:tr w14:paraId="08382716">
        <w:tblPrEx>
          <w:tblCellMar>
            <w:top w:w="0" w:type="dxa"/>
            <w:left w:w="0" w:type="dxa"/>
            <w:bottom w:w="0" w:type="dxa"/>
            <w:right w:w="0" w:type="dxa"/>
          </w:tblCellMar>
        </w:tblPrEx>
        <w:trPr>
          <w:trHeight w:val="319" w:hRule="atLeast"/>
        </w:trPr>
        <w:tc>
          <w:tcPr>
            <w:tcW w:w="1529" w:type="dxa"/>
          </w:tcPr>
          <w:p w14:paraId="1273DFEC">
            <w:pPr>
              <w:pStyle w:val="11"/>
              <w:spacing w:line="299" w:lineRule="exact"/>
              <w:ind w:left="50"/>
              <w:jc w:val="left"/>
              <w:rPr>
                <w:sz w:val="28"/>
              </w:rPr>
            </w:pPr>
            <w:r>
              <w:rPr>
                <w:spacing w:val="-5"/>
                <w:sz w:val="28"/>
              </w:rPr>
              <w:t>ПОД</w:t>
            </w:r>
          </w:p>
        </w:tc>
        <w:tc>
          <w:tcPr>
            <w:tcW w:w="7754" w:type="dxa"/>
          </w:tcPr>
          <w:p w14:paraId="026217D0">
            <w:pPr>
              <w:pStyle w:val="11"/>
              <w:spacing w:line="299" w:lineRule="exact"/>
              <w:ind w:left="508"/>
              <w:jc w:val="left"/>
              <w:rPr>
                <w:sz w:val="28"/>
              </w:rPr>
            </w:pPr>
            <w:r>
              <w:rPr>
                <w:spacing w:val="-2"/>
                <w:sz w:val="28"/>
              </w:rPr>
              <w:t>Послеоперационные</w:t>
            </w:r>
            <w:r>
              <w:rPr>
                <w:spacing w:val="14"/>
                <w:sz w:val="28"/>
              </w:rPr>
              <w:t xml:space="preserve"> </w:t>
            </w:r>
            <w:r>
              <w:rPr>
                <w:spacing w:val="-5"/>
                <w:sz w:val="28"/>
              </w:rPr>
              <w:t>дни</w:t>
            </w:r>
          </w:p>
        </w:tc>
      </w:tr>
      <w:tr w14:paraId="7BE306DA">
        <w:tblPrEx>
          <w:tblCellMar>
            <w:top w:w="0" w:type="dxa"/>
            <w:left w:w="0" w:type="dxa"/>
            <w:bottom w:w="0" w:type="dxa"/>
            <w:right w:w="0" w:type="dxa"/>
          </w:tblCellMar>
        </w:tblPrEx>
        <w:trPr>
          <w:trHeight w:val="316" w:hRule="atLeast"/>
        </w:trPr>
        <w:tc>
          <w:tcPr>
            <w:tcW w:w="1529" w:type="dxa"/>
          </w:tcPr>
          <w:p w14:paraId="6D402406">
            <w:pPr>
              <w:pStyle w:val="11"/>
              <w:spacing w:line="297" w:lineRule="exact"/>
              <w:ind w:left="50"/>
              <w:jc w:val="left"/>
              <w:rPr>
                <w:sz w:val="28"/>
              </w:rPr>
            </w:pPr>
            <w:r>
              <w:rPr>
                <w:spacing w:val="-5"/>
                <w:sz w:val="28"/>
              </w:rPr>
              <w:t>ПП</w:t>
            </w:r>
          </w:p>
        </w:tc>
        <w:tc>
          <w:tcPr>
            <w:tcW w:w="7754" w:type="dxa"/>
          </w:tcPr>
          <w:p w14:paraId="50B2F161">
            <w:pPr>
              <w:pStyle w:val="11"/>
              <w:spacing w:line="297" w:lineRule="exact"/>
              <w:ind w:left="508"/>
              <w:jc w:val="left"/>
              <w:rPr>
                <w:sz w:val="28"/>
              </w:rPr>
            </w:pPr>
            <w:r>
              <w:rPr>
                <w:spacing w:val="-2"/>
                <w:sz w:val="28"/>
              </w:rPr>
              <w:t>Панкреатический</w:t>
            </w:r>
            <w:r>
              <w:rPr>
                <w:spacing w:val="10"/>
                <w:sz w:val="28"/>
              </w:rPr>
              <w:t xml:space="preserve"> </w:t>
            </w:r>
            <w:r>
              <w:rPr>
                <w:spacing w:val="-2"/>
                <w:sz w:val="28"/>
              </w:rPr>
              <w:t>проток</w:t>
            </w:r>
          </w:p>
        </w:tc>
      </w:tr>
      <w:tr w14:paraId="484C895F">
        <w:tblPrEx>
          <w:tblCellMar>
            <w:top w:w="0" w:type="dxa"/>
            <w:left w:w="0" w:type="dxa"/>
            <w:bottom w:w="0" w:type="dxa"/>
            <w:right w:w="0" w:type="dxa"/>
          </w:tblCellMar>
        </w:tblPrEx>
        <w:trPr>
          <w:trHeight w:val="321" w:hRule="atLeast"/>
        </w:trPr>
        <w:tc>
          <w:tcPr>
            <w:tcW w:w="1529" w:type="dxa"/>
          </w:tcPr>
          <w:p w14:paraId="4F8AD99F">
            <w:pPr>
              <w:pStyle w:val="11"/>
              <w:spacing w:line="302" w:lineRule="exact"/>
              <w:ind w:left="50"/>
              <w:jc w:val="left"/>
              <w:rPr>
                <w:sz w:val="28"/>
              </w:rPr>
            </w:pPr>
            <w:r>
              <w:rPr>
                <w:spacing w:val="-5"/>
                <w:sz w:val="28"/>
              </w:rPr>
              <w:t>ПС</w:t>
            </w:r>
          </w:p>
        </w:tc>
        <w:tc>
          <w:tcPr>
            <w:tcW w:w="7754" w:type="dxa"/>
          </w:tcPr>
          <w:p w14:paraId="1CCB8F7E">
            <w:pPr>
              <w:pStyle w:val="11"/>
              <w:spacing w:line="302" w:lineRule="exact"/>
              <w:ind w:left="508"/>
              <w:jc w:val="left"/>
              <w:rPr>
                <w:sz w:val="28"/>
              </w:rPr>
            </w:pPr>
            <w:r>
              <w:rPr>
                <w:spacing w:val="-2"/>
                <w:sz w:val="28"/>
              </w:rPr>
              <w:t>Панкреатический</w:t>
            </w:r>
            <w:r>
              <w:rPr>
                <w:spacing w:val="7"/>
                <w:sz w:val="28"/>
              </w:rPr>
              <w:t xml:space="preserve"> </w:t>
            </w:r>
            <w:r>
              <w:rPr>
                <w:spacing w:val="-4"/>
                <w:sz w:val="28"/>
              </w:rPr>
              <w:t>свищ</w:t>
            </w:r>
          </w:p>
        </w:tc>
      </w:tr>
      <w:tr w14:paraId="085697E5">
        <w:tblPrEx>
          <w:tblCellMar>
            <w:top w:w="0" w:type="dxa"/>
            <w:left w:w="0" w:type="dxa"/>
            <w:bottom w:w="0" w:type="dxa"/>
            <w:right w:w="0" w:type="dxa"/>
          </w:tblCellMar>
        </w:tblPrEx>
        <w:trPr>
          <w:trHeight w:val="316" w:hRule="atLeast"/>
        </w:trPr>
        <w:tc>
          <w:tcPr>
            <w:tcW w:w="1529" w:type="dxa"/>
          </w:tcPr>
          <w:p w14:paraId="3B3EEEFC">
            <w:pPr>
              <w:pStyle w:val="11"/>
              <w:spacing w:line="297" w:lineRule="exact"/>
              <w:ind w:left="50"/>
              <w:jc w:val="left"/>
              <w:rPr>
                <w:sz w:val="28"/>
              </w:rPr>
            </w:pPr>
            <w:r>
              <w:rPr>
                <w:spacing w:val="-5"/>
                <w:sz w:val="28"/>
              </w:rPr>
              <w:t>РЛУ</w:t>
            </w:r>
          </w:p>
        </w:tc>
        <w:tc>
          <w:tcPr>
            <w:tcW w:w="7754" w:type="dxa"/>
          </w:tcPr>
          <w:p w14:paraId="7862FB7B">
            <w:pPr>
              <w:pStyle w:val="11"/>
              <w:spacing w:line="297" w:lineRule="exact"/>
              <w:ind w:left="508"/>
              <w:jc w:val="left"/>
              <w:rPr>
                <w:sz w:val="28"/>
              </w:rPr>
            </w:pPr>
            <w:r>
              <w:rPr>
                <w:sz w:val="28"/>
              </w:rPr>
              <w:t>Регионарные</w:t>
            </w:r>
            <w:r>
              <w:rPr>
                <w:spacing w:val="-15"/>
                <w:sz w:val="28"/>
              </w:rPr>
              <w:t xml:space="preserve"> </w:t>
            </w:r>
            <w:r>
              <w:rPr>
                <w:sz w:val="28"/>
              </w:rPr>
              <w:t>лимфатические</w:t>
            </w:r>
            <w:r>
              <w:rPr>
                <w:spacing w:val="-11"/>
                <w:sz w:val="28"/>
              </w:rPr>
              <w:t xml:space="preserve"> </w:t>
            </w:r>
            <w:r>
              <w:rPr>
                <w:spacing w:val="-4"/>
                <w:sz w:val="28"/>
              </w:rPr>
              <w:t>узлы</w:t>
            </w:r>
          </w:p>
        </w:tc>
      </w:tr>
      <w:tr w14:paraId="57BE02DA">
        <w:tblPrEx>
          <w:tblCellMar>
            <w:top w:w="0" w:type="dxa"/>
            <w:left w:w="0" w:type="dxa"/>
            <w:bottom w:w="0" w:type="dxa"/>
            <w:right w:w="0" w:type="dxa"/>
          </w:tblCellMar>
        </w:tblPrEx>
        <w:trPr>
          <w:trHeight w:val="314" w:hRule="atLeast"/>
        </w:trPr>
        <w:tc>
          <w:tcPr>
            <w:tcW w:w="1529" w:type="dxa"/>
          </w:tcPr>
          <w:p w14:paraId="7D0DE98E">
            <w:pPr>
              <w:pStyle w:val="11"/>
              <w:spacing w:line="295" w:lineRule="exact"/>
              <w:ind w:left="50"/>
              <w:jc w:val="left"/>
              <w:rPr>
                <w:sz w:val="28"/>
              </w:rPr>
            </w:pPr>
            <w:r>
              <w:rPr>
                <w:spacing w:val="-5"/>
                <w:sz w:val="28"/>
              </w:rPr>
              <w:t>РПЖ</w:t>
            </w:r>
          </w:p>
        </w:tc>
        <w:tc>
          <w:tcPr>
            <w:tcW w:w="7754" w:type="dxa"/>
          </w:tcPr>
          <w:p w14:paraId="19C5E3B9">
            <w:pPr>
              <w:pStyle w:val="11"/>
              <w:spacing w:line="295" w:lineRule="exact"/>
              <w:ind w:left="508"/>
              <w:jc w:val="left"/>
              <w:rPr>
                <w:sz w:val="28"/>
              </w:rPr>
            </w:pPr>
            <w:r>
              <w:rPr>
                <w:sz w:val="28"/>
              </w:rPr>
              <w:t>Рак</w:t>
            </w:r>
            <w:r>
              <w:rPr>
                <w:spacing w:val="-12"/>
                <w:sz w:val="28"/>
              </w:rPr>
              <w:t xml:space="preserve"> </w:t>
            </w:r>
            <w:r>
              <w:rPr>
                <w:sz w:val="28"/>
              </w:rPr>
              <w:t>поджелудочной</w:t>
            </w:r>
            <w:r>
              <w:rPr>
                <w:spacing w:val="-11"/>
                <w:sz w:val="28"/>
              </w:rPr>
              <w:t xml:space="preserve"> </w:t>
            </w:r>
            <w:r>
              <w:rPr>
                <w:spacing w:val="-2"/>
                <w:sz w:val="28"/>
              </w:rPr>
              <w:t>железы</w:t>
            </w:r>
          </w:p>
        </w:tc>
      </w:tr>
      <w:tr w14:paraId="2002BA5F">
        <w:tblPrEx>
          <w:tblCellMar>
            <w:top w:w="0" w:type="dxa"/>
            <w:left w:w="0" w:type="dxa"/>
            <w:bottom w:w="0" w:type="dxa"/>
            <w:right w:w="0" w:type="dxa"/>
          </w:tblCellMar>
        </w:tblPrEx>
        <w:trPr>
          <w:trHeight w:val="316" w:hRule="atLeast"/>
        </w:trPr>
        <w:tc>
          <w:tcPr>
            <w:tcW w:w="1529" w:type="dxa"/>
          </w:tcPr>
          <w:p w14:paraId="2F804C73">
            <w:pPr>
              <w:pStyle w:val="11"/>
              <w:spacing w:line="297" w:lineRule="exact"/>
              <w:ind w:left="50"/>
              <w:jc w:val="left"/>
              <w:rPr>
                <w:sz w:val="28"/>
              </w:rPr>
            </w:pPr>
            <w:r>
              <w:rPr>
                <w:spacing w:val="-4"/>
                <w:sz w:val="28"/>
              </w:rPr>
              <w:t>РЦЭЗ</w:t>
            </w:r>
          </w:p>
        </w:tc>
        <w:tc>
          <w:tcPr>
            <w:tcW w:w="7754" w:type="dxa"/>
          </w:tcPr>
          <w:p w14:paraId="680196CA">
            <w:pPr>
              <w:pStyle w:val="11"/>
              <w:spacing w:line="297" w:lineRule="exact"/>
              <w:ind w:left="508"/>
              <w:jc w:val="left"/>
              <w:rPr>
                <w:sz w:val="28"/>
              </w:rPr>
            </w:pPr>
            <w:r>
              <w:rPr>
                <w:sz w:val="28"/>
              </w:rPr>
              <w:t>Республиканский</w:t>
            </w:r>
            <w:r>
              <w:rPr>
                <w:spacing w:val="-13"/>
                <w:sz w:val="28"/>
              </w:rPr>
              <w:t xml:space="preserve"> </w:t>
            </w:r>
            <w:r>
              <w:rPr>
                <w:sz w:val="28"/>
              </w:rPr>
              <w:t>центр</w:t>
            </w:r>
            <w:r>
              <w:rPr>
                <w:spacing w:val="-13"/>
                <w:sz w:val="28"/>
              </w:rPr>
              <w:t xml:space="preserve"> </w:t>
            </w:r>
            <w:r>
              <w:rPr>
                <w:sz w:val="28"/>
              </w:rPr>
              <w:t>электронного</w:t>
            </w:r>
            <w:r>
              <w:rPr>
                <w:spacing w:val="-13"/>
                <w:sz w:val="28"/>
              </w:rPr>
              <w:t xml:space="preserve"> </w:t>
            </w:r>
            <w:r>
              <w:rPr>
                <w:spacing w:val="-2"/>
                <w:sz w:val="28"/>
              </w:rPr>
              <w:t>здравоохранения</w:t>
            </w:r>
          </w:p>
        </w:tc>
      </w:tr>
      <w:tr w14:paraId="45FFB497">
        <w:tblPrEx>
          <w:tblCellMar>
            <w:top w:w="0" w:type="dxa"/>
            <w:left w:w="0" w:type="dxa"/>
            <w:bottom w:w="0" w:type="dxa"/>
            <w:right w:w="0" w:type="dxa"/>
          </w:tblCellMar>
        </w:tblPrEx>
        <w:trPr>
          <w:trHeight w:val="319" w:hRule="atLeast"/>
        </w:trPr>
        <w:tc>
          <w:tcPr>
            <w:tcW w:w="1529" w:type="dxa"/>
          </w:tcPr>
          <w:p w14:paraId="23B49313">
            <w:pPr>
              <w:pStyle w:val="11"/>
              <w:spacing w:line="299" w:lineRule="exact"/>
              <w:ind w:left="50"/>
              <w:jc w:val="left"/>
              <w:rPr>
                <w:sz w:val="28"/>
              </w:rPr>
            </w:pPr>
            <w:r>
              <w:rPr>
                <w:spacing w:val="-5"/>
                <w:sz w:val="28"/>
              </w:rPr>
              <w:t>США</w:t>
            </w:r>
          </w:p>
        </w:tc>
        <w:tc>
          <w:tcPr>
            <w:tcW w:w="7754" w:type="dxa"/>
          </w:tcPr>
          <w:p w14:paraId="617AFB18">
            <w:pPr>
              <w:pStyle w:val="11"/>
              <w:spacing w:line="299" w:lineRule="exact"/>
              <w:ind w:left="508"/>
              <w:jc w:val="left"/>
              <w:rPr>
                <w:sz w:val="28"/>
              </w:rPr>
            </w:pPr>
            <w:r>
              <w:rPr>
                <w:sz w:val="28"/>
              </w:rPr>
              <w:t>Соединённые</w:t>
            </w:r>
            <w:r>
              <w:rPr>
                <w:spacing w:val="-10"/>
                <w:sz w:val="28"/>
              </w:rPr>
              <w:t xml:space="preserve"> </w:t>
            </w:r>
            <w:r>
              <w:rPr>
                <w:sz w:val="28"/>
              </w:rPr>
              <w:t>Штаты</w:t>
            </w:r>
            <w:r>
              <w:rPr>
                <w:spacing w:val="-6"/>
                <w:sz w:val="28"/>
              </w:rPr>
              <w:t xml:space="preserve"> </w:t>
            </w:r>
            <w:r>
              <w:rPr>
                <w:spacing w:val="-2"/>
                <w:sz w:val="28"/>
              </w:rPr>
              <w:t>Америки</w:t>
            </w:r>
          </w:p>
        </w:tc>
      </w:tr>
      <w:tr w14:paraId="0CF7AEF9">
        <w:tblPrEx>
          <w:tblCellMar>
            <w:top w:w="0" w:type="dxa"/>
            <w:left w:w="0" w:type="dxa"/>
            <w:bottom w:w="0" w:type="dxa"/>
            <w:right w:w="0" w:type="dxa"/>
          </w:tblCellMar>
        </w:tblPrEx>
        <w:trPr>
          <w:trHeight w:val="321" w:hRule="atLeast"/>
        </w:trPr>
        <w:tc>
          <w:tcPr>
            <w:tcW w:w="1529" w:type="dxa"/>
          </w:tcPr>
          <w:p w14:paraId="7DBFDBC5">
            <w:pPr>
              <w:pStyle w:val="11"/>
              <w:spacing w:line="302" w:lineRule="exact"/>
              <w:ind w:left="50"/>
              <w:jc w:val="left"/>
              <w:rPr>
                <w:sz w:val="28"/>
              </w:rPr>
            </w:pPr>
            <w:r>
              <w:rPr>
                <w:spacing w:val="-5"/>
                <w:sz w:val="28"/>
              </w:rPr>
              <w:t>ТОХ</w:t>
            </w:r>
          </w:p>
        </w:tc>
        <w:tc>
          <w:tcPr>
            <w:tcW w:w="7754" w:type="dxa"/>
          </w:tcPr>
          <w:p w14:paraId="445F0961">
            <w:pPr>
              <w:pStyle w:val="11"/>
              <w:spacing w:line="302" w:lineRule="exact"/>
              <w:ind w:left="508"/>
              <w:jc w:val="left"/>
              <w:rPr>
                <w:sz w:val="28"/>
              </w:rPr>
            </w:pPr>
            <w:r>
              <w:rPr>
                <w:sz w:val="28"/>
              </w:rPr>
              <w:t>Терминальный</w:t>
            </w:r>
            <w:r>
              <w:rPr>
                <w:spacing w:val="-13"/>
                <w:sz w:val="28"/>
              </w:rPr>
              <w:t xml:space="preserve"> </w:t>
            </w:r>
            <w:r>
              <w:rPr>
                <w:sz w:val="28"/>
              </w:rPr>
              <w:t>отдел</w:t>
            </w:r>
            <w:r>
              <w:rPr>
                <w:spacing w:val="-8"/>
                <w:sz w:val="28"/>
              </w:rPr>
              <w:t xml:space="preserve"> </w:t>
            </w:r>
            <w:r>
              <w:rPr>
                <w:spacing w:val="-2"/>
                <w:sz w:val="28"/>
              </w:rPr>
              <w:t>холедоха</w:t>
            </w:r>
          </w:p>
        </w:tc>
      </w:tr>
      <w:tr w14:paraId="3A3BF6A5">
        <w:tblPrEx>
          <w:tblCellMar>
            <w:top w:w="0" w:type="dxa"/>
            <w:left w:w="0" w:type="dxa"/>
            <w:bottom w:w="0" w:type="dxa"/>
            <w:right w:w="0" w:type="dxa"/>
          </w:tblCellMar>
        </w:tblPrEx>
        <w:trPr>
          <w:trHeight w:val="316" w:hRule="atLeast"/>
        </w:trPr>
        <w:tc>
          <w:tcPr>
            <w:tcW w:w="1529" w:type="dxa"/>
          </w:tcPr>
          <w:p w14:paraId="15004D0B">
            <w:pPr>
              <w:pStyle w:val="11"/>
              <w:spacing w:line="297" w:lineRule="exact"/>
              <w:ind w:left="50"/>
              <w:jc w:val="left"/>
              <w:rPr>
                <w:sz w:val="28"/>
              </w:rPr>
            </w:pPr>
            <w:r>
              <w:rPr>
                <w:spacing w:val="-5"/>
                <w:sz w:val="28"/>
              </w:rPr>
              <w:t>УЗИ</w:t>
            </w:r>
          </w:p>
        </w:tc>
        <w:tc>
          <w:tcPr>
            <w:tcW w:w="7754" w:type="dxa"/>
          </w:tcPr>
          <w:p w14:paraId="47985685">
            <w:pPr>
              <w:pStyle w:val="11"/>
              <w:spacing w:line="297" w:lineRule="exact"/>
              <w:ind w:left="508"/>
              <w:jc w:val="left"/>
              <w:rPr>
                <w:sz w:val="28"/>
              </w:rPr>
            </w:pPr>
            <w:r>
              <w:rPr>
                <w:spacing w:val="-2"/>
                <w:sz w:val="28"/>
              </w:rPr>
              <w:t>Ультразвуковое</w:t>
            </w:r>
            <w:r>
              <w:rPr>
                <w:spacing w:val="5"/>
                <w:sz w:val="28"/>
              </w:rPr>
              <w:t xml:space="preserve"> </w:t>
            </w:r>
            <w:r>
              <w:rPr>
                <w:spacing w:val="-2"/>
                <w:sz w:val="28"/>
              </w:rPr>
              <w:t>исследование</w:t>
            </w:r>
          </w:p>
        </w:tc>
      </w:tr>
      <w:tr w14:paraId="266BC069">
        <w:tblPrEx>
          <w:tblCellMar>
            <w:top w:w="0" w:type="dxa"/>
            <w:left w:w="0" w:type="dxa"/>
            <w:bottom w:w="0" w:type="dxa"/>
            <w:right w:w="0" w:type="dxa"/>
          </w:tblCellMar>
        </w:tblPrEx>
        <w:trPr>
          <w:trHeight w:val="314" w:hRule="atLeast"/>
        </w:trPr>
        <w:tc>
          <w:tcPr>
            <w:tcW w:w="1529" w:type="dxa"/>
          </w:tcPr>
          <w:p w14:paraId="2971F8FA">
            <w:pPr>
              <w:pStyle w:val="11"/>
              <w:spacing w:line="294" w:lineRule="exact"/>
              <w:ind w:left="50"/>
              <w:jc w:val="left"/>
              <w:rPr>
                <w:sz w:val="28"/>
              </w:rPr>
            </w:pPr>
            <w:r>
              <w:rPr>
                <w:spacing w:val="-4"/>
                <w:sz w:val="28"/>
              </w:rPr>
              <w:t>ЧЧХС</w:t>
            </w:r>
          </w:p>
        </w:tc>
        <w:tc>
          <w:tcPr>
            <w:tcW w:w="7754" w:type="dxa"/>
          </w:tcPr>
          <w:p w14:paraId="14694AEA">
            <w:pPr>
              <w:pStyle w:val="11"/>
              <w:spacing w:line="294" w:lineRule="exact"/>
              <w:ind w:left="508"/>
              <w:jc w:val="left"/>
              <w:rPr>
                <w:sz w:val="28"/>
              </w:rPr>
            </w:pPr>
            <w:r>
              <w:rPr>
                <w:sz w:val="28"/>
              </w:rPr>
              <w:t>Чрескожная</w:t>
            </w:r>
            <w:r>
              <w:rPr>
                <w:spacing w:val="-13"/>
                <w:sz w:val="28"/>
              </w:rPr>
              <w:t xml:space="preserve"> </w:t>
            </w:r>
            <w:r>
              <w:rPr>
                <w:sz w:val="28"/>
              </w:rPr>
              <w:t>чреспеченочная</w:t>
            </w:r>
            <w:r>
              <w:rPr>
                <w:spacing w:val="-10"/>
                <w:sz w:val="28"/>
              </w:rPr>
              <w:t xml:space="preserve"> </w:t>
            </w:r>
            <w:r>
              <w:rPr>
                <w:spacing w:val="-2"/>
                <w:sz w:val="28"/>
              </w:rPr>
              <w:t>холангиостомия</w:t>
            </w:r>
          </w:p>
        </w:tc>
      </w:tr>
      <w:tr w14:paraId="2DB0C22E">
        <w:tblPrEx>
          <w:tblCellMar>
            <w:top w:w="0" w:type="dxa"/>
            <w:left w:w="0" w:type="dxa"/>
            <w:bottom w:w="0" w:type="dxa"/>
            <w:right w:w="0" w:type="dxa"/>
          </w:tblCellMar>
        </w:tblPrEx>
        <w:trPr>
          <w:trHeight w:val="314" w:hRule="atLeast"/>
        </w:trPr>
        <w:tc>
          <w:tcPr>
            <w:tcW w:w="1529" w:type="dxa"/>
          </w:tcPr>
          <w:p w14:paraId="0EC147FA">
            <w:pPr>
              <w:pStyle w:val="11"/>
              <w:spacing w:line="295" w:lineRule="exact"/>
              <w:ind w:left="50"/>
              <w:jc w:val="left"/>
              <w:rPr>
                <w:sz w:val="28"/>
              </w:rPr>
            </w:pPr>
            <w:r>
              <w:rPr>
                <w:spacing w:val="-4"/>
                <w:sz w:val="28"/>
              </w:rPr>
              <w:t>ЭРСБ</w:t>
            </w:r>
          </w:p>
        </w:tc>
        <w:tc>
          <w:tcPr>
            <w:tcW w:w="7754" w:type="dxa"/>
          </w:tcPr>
          <w:p w14:paraId="27F2EE68">
            <w:pPr>
              <w:pStyle w:val="11"/>
              <w:spacing w:line="295" w:lineRule="exact"/>
              <w:ind w:left="508"/>
              <w:jc w:val="left"/>
              <w:rPr>
                <w:sz w:val="28"/>
              </w:rPr>
            </w:pPr>
            <w:r>
              <w:rPr>
                <w:sz w:val="28"/>
              </w:rPr>
              <w:t>Электронный</w:t>
            </w:r>
            <w:r>
              <w:rPr>
                <w:spacing w:val="-14"/>
                <w:sz w:val="28"/>
              </w:rPr>
              <w:t xml:space="preserve"> </w:t>
            </w:r>
            <w:r>
              <w:rPr>
                <w:sz w:val="28"/>
              </w:rPr>
              <w:t>реестр</w:t>
            </w:r>
            <w:r>
              <w:rPr>
                <w:spacing w:val="-14"/>
                <w:sz w:val="28"/>
              </w:rPr>
              <w:t xml:space="preserve"> </w:t>
            </w:r>
            <w:r>
              <w:rPr>
                <w:sz w:val="28"/>
              </w:rPr>
              <w:t>стационарных</w:t>
            </w:r>
            <w:r>
              <w:rPr>
                <w:spacing w:val="-17"/>
                <w:sz w:val="28"/>
              </w:rPr>
              <w:t xml:space="preserve"> </w:t>
            </w:r>
            <w:r>
              <w:rPr>
                <w:spacing w:val="-2"/>
                <w:sz w:val="28"/>
              </w:rPr>
              <w:t>больных</w:t>
            </w:r>
          </w:p>
        </w:tc>
      </w:tr>
      <w:tr w14:paraId="0C12BFCD">
        <w:tblPrEx>
          <w:tblCellMar>
            <w:top w:w="0" w:type="dxa"/>
            <w:left w:w="0" w:type="dxa"/>
            <w:bottom w:w="0" w:type="dxa"/>
            <w:right w:w="0" w:type="dxa"/>
          </w:tblCellMar>
        </w:tblPrEx>
        <w:trPr>
          <w:trHeight w:val="314" w:hRule="atLeast"/>
        </w:trPr>
        <w:tc>
          <w:tcPr>
            <w:tcW w:w="1529" w:type="dxa"/>
          </w:tcPr>
          <w:p w14:paraId="7116339A">
            <w:pPr>
              <w:pStyle w:val="11"/>
              <w:spacing w:line="295" w:lineRule="exact"/>
              <w:ind w:left="50"/>
              <w:jc w:val="left"/>
              <w:rPr>
                <w:sz w:val="28"/>
              </w:rPr>
            </w:pPr>
            <w:r>
              <w:rPr>
                <w:spacing w:val="-2"/>
                <w:sz w:val="28"/>
              </w:rPr>
              <w:t>ЭРХПГ</w:t>
            </w:r>
          </w:p>
        </w:tc>
        <w:tc>
          <w:tcPr>
            <w:tcW w:w="7754" w:type="dxa"/>
          </w:tcPr>
          <w:p w14:paraId="7BC6936D">
            <w:pPr>
              <w:pStyle w:val="11"/>
              <w:spacing w:line="295" w:lineRule="exact"/>
              <w:ind w:left="508"/>
              <w:jc w:val="left"/>
              <w:rPr>
                <w:sz w:val="28"/>
              </w:rPr>
            </w:pPr>
            <w:r>
              <w:rPr>
                <w:sz w:val="28"/>
              </w:rPr>
              <w:t>Эндоскопическая</w:t>
            </w:r>
            <w:r>
              <w:rPr>
                <w:spacing w:val="-17"/>
                <w:sz w:val="28"/>
              </w:rPr>
              <w:t xml:space="preserve"> </w:t>
            </w:r>
            <w:r>
              <w:rPr>
                <w:sz w:val="28"/>
              </w:rPr>
              <w:t>ретроградная</w:t>
            </w:r>
            <w:r>
              <w:rPr>
                <w:spacing w:val="-17"/>
                <w:sz w:val="28"/>
              </w:rPr>
              <w:t xml:space="preserve"> </w:t>
            </w:r>
            <w:r>
              <w:rPr>
                <w:spacing w:val="-2"/>
                <w:sz w:val="28"/>
              </w:rPr>
              <w:t>холангиопанкреатография</w:t>
            </w:r>
          </w:p>
        </w:tc>
      </w:tr>
      <w:tr w14:paraId="6135059B">
        <w:tblPrEx>
          <w:tblCellMar>
            <w:top w:w="0" w:type="dxa"/>
            <w:left w:w="0" w:type="dxa"/>
            <w:bottom w:w="0" w:type="dxa"/>
            <w:right w:w="0" w:type="dxa"/>
          </w:tblCellMar>
        </w:tblPrEx>
        <w:trPr>
          <w:trHeight w:val="316" w:hRule="atLeast"/>
        </w:trPr>
        <w:tc>
          <w:tcPr>
            <w:tcW w:w="1529" w:type="dxa"/>
          </w:tcPr>
          <w:p w14:paraId="4654D10C">
            <w:pPr>
              <w:pStyle w:val="11"/>
              <w:spacing w:line="297" w:lineRule="exact"/>
              <w:ind w:left="50"/>
              <w:jc w:val="left"/>
              <w:rPr>
                <w:sz w:val="28"/>
              </w:rPr>
            </w:pPr>
            <w:r>
              <w:rPr>
                <w:sz w:val="28"/>
              </w:rPr>
              <w:t>СА</w:t>
            </w:r>
            <w:r>
              <w:rPr>
                <w:spacing w:val="-7"/>
                <w:sz w:val="28"/>
              </w:rPr>
              <w:t xml:space="preserve"> </w:t>
            </w:r>
            <w:r>
              <w:rPr>
                <w:sz w:val="28"/>
              </w:rPr>
              <w:t>19-</w:t>
            </w:r>
            <w:r>
              <w:rPr>
                <w:spacing w:val="-10"/>
                <w:sz w:val="28"/>
              </w:rPr>
              <w:t>9</w:t>
            </w:r>
          </w:p>
        </w:tc>
        <w:tc>
          <w:tcPr>
            <w:tcW w:w="7754" w:type="dxa"/>
          </w:tcPr>
          <w:p w14:paraId="3EE48E54">
            <w:pPr>
              <w:pStyle w:val="11"/>
              <w:spacing w:line="297" w:lineRule="exact"/>
              <w:ind w:left="508"/>
              <w:jc w:val="left"/>
              <w:rPr>
                <w:sz w:val="28"/>
              </w:rPr>
            </w:pPr>
            <w:r>
              <w:rPr>
                <w:sz w:val="28"/>
              </w:rPr>
              <w:t>Углеводный</w:t>
            </w:r>
            <w:r>
              <w:rPr>
                <w:spacing w:val="-9"/>
                <w:sz w:val="28"/>
              </w:rPr>
              <w:t xml:space="preserve"> </w:t>
            </w:r>
            <w:r>
              <w:rPr>
                <w:sz w:val="28"/>
              </w:rPr>
              <w:t>антиген</w:t>
            </w:r>
            <w:r>
              <w:rPr>
                <w:spacing w:val="-9"/>
                <w:sz w:val="28"/>
              </w:rPr>
              <w:t xml:space="preserve"> </w:t>
            </w:r>
            <w:r>
              <w:rPr>
                <w:sz w:val="28"/>
              </w:rPr>
              <w:t>19-9</w:t>
            </w:r>
            <w:r>
              <w:rPr>
                <w:spacing w:val="-9"/>
                <w:sz w:val="28"/>
              </w:rPr>
              <w:t xml:space="preserve"> </w:t>
            </w:r>
            <w:r>
              <w:rPr>
                <w:spacing w:val="-2"/>
                <w:sz w:val="28"/>
              </w:rPr>
              <w:t>(онкомаркер)</w:t>
            </w:r>
          </w:p>
        </w:tc>
      </w:tr>
      <w:tr w14:paraId="0933515A">
        <w:tblPrEx>
          <w:tblCellMar>
            <w:top w:w="0" w:type="dxa"/>
            <w:left w:w="0" w:type="dxa"/>
            <w:bottom w:w="0" w:type="dxa"/>
            <w:right w:w="0" w:type="dxa"/>
          </w:tblCellMar>
        </w:tblPrEx>
        <w:trPr>
          <w:trHeight w:val="628" w:hRule="atLeast"/>
        </w:trPr>
        <w:tc>
          <w:tcPr>
            <w:tcW w:w="1529" w:type="dxa"/>
          </w:tcPr>
          <w:p w14:paraId="4A24E406">
            <w:pPr>
              <w:pStyle w:val="11"/>
              <w:spacing w:line="313" w:lineRule="exact"/>
              <w:ind w:left="50"/>
              <w:jc w:val="left"/>
              <w:rPr>
                <w:sz w:val="28"/>
              </w:rPr>
            </w:pPr>
            <w:r>
              <w:rPr>
                <w:spacing w:val="-4"/>
                <w:sz w:val="28"/>
              </w:rPr>
              <w:t>ERAS</w:t>
            </w:r>
          </w:p>
        </w:tc>
        <w:tc>
          <w:tcPr>
            <w:tcW w:w="7754" w:type="dxa"/>
          </w:tcPr>
          <w:p w14:paraId="044C966C">
            <w:pPr>
              <w:pStyle w:val="11"/>
              <w:spacing w:line="312" w:lineRule="exact"/>
              <w:ind w:left="508"/>
              <w:jc w:val="left"/>
              <w:rPr>
                <w:sz w:val="28"/>
              </w:rPr>
            </w:pPr>
            <w:r>
              <w:rPr>
                <w:sz w:val="28"/>
              </w:rPr>
              <w:t>Enhanced</w:t>
            </w:r>
            <w:r>
              <w:rPr>
                <w:spacing w:val="-9"/>
                <w:sz w:val="28"/>
              </w:rPr>
              <w:t xml:space="preserve"> </w:t>
            </w:r>
            <w:r>
              <w:rPr>
                <w:sz w:val="28"/>
              </w:rPr>
              <w:t>Recovery</w:t>
            </w:r>
            <w:r>
              <w:rPr>
                <w:spacing w:val="-9"/>
                <w:sz w:val="28"/>
              </w:rPr>
              <w:t xml:space="preserve"> </w:t>
            </w:r>
            <w:r>
              <w:rPr>
                <w:sz w:val="28"/>
              </w:rPr>
              <w:t>After</w:t>
            </w:r>
            <w:r>
              <w:rPr>
                <w:spacing w:val="-9"/>
                <w:sz w:val="28"/>
              </w:rPr>
              <w:t xml:space="preserve"> </w:t>
            </w:r>
            <w:r>
              <w:rPr>
                <w:sz w:val="28"/>
              </w:rPr>
              <w:t>Surgery</w:t>
            </w:r>
            <w:r>
              <w:rPr>
                <w:spacing w:val="-7"/>
                <w:sz w:val="28"/>
              </w:rPr>
              <w:t xml:space="preserve"> </w:t>
            </w:r>
            <w:r>
              <w:rPr>
                <w:sz w:val="28"/>
              </w:rPr>
              <w:t>—</w:t>
            </w:r>
            <w:r>
              <w:rPr>
                <w:spacing w:val="-8"/>
                <w:sz w:val="28"/>
              </w:rPr>
              <w:t xml:space="preserve"> </w:t>
            </w:r>
            <w:r>
              <w:rPr>
                <w:sz w:val="28"/>
              </w:rPr>
              <w:t>протокол</w:t>
            </w:r>
            <w:r>
              <w:rPr>
                <w:spacing w:val="-4"/>
                <w:sz w:val="28"/>
              </w:rPr>
              <w:t xml:space="preserve"> </w:t>
            </w:r>
            <w:r>
              <w:rPr>
                <w:sz w:val="28"/>
              </w:rPr>
              <w:t>ускоренного восстановления после хирургических вмешательств.</w:t>
            </w:r>
          </w:p>
        </w:tc>
      </w:tr>
      <w:tr w14:paraId="022306A5">
        <w:tblPrEx>
          <w:tblCellMar>
            <w:top w:w="0" w:type="dxa"/>
            <w:left w:w="0" w:type="dxa"/>
            <w:bottom w:w="0" w:type="dxa"/>
            <w:right w:w="0" w:type="dxa"/>
          </w:tblCellMar>
        </w:tblPrEx>
        <w:trPr>
          <w:trHeight w:val="631" w:hRule="atLeast"/>
        </w:trPr>
        <w:tc>
          <w:tcPr>
            <w:tcW w:w="1529" w:type="dxa"/>
          </w:tcPr>
          <w:p w14:paraId="10C4B24E">
            <w:pPr>
              <w:pStyle w:val="11"/>
              <w:spacing w:line="313" w:lineRule="exact"/>
              <w:ind w:left="50"/>
              <w:jc w:val="left"/>
              <w:rPr>
                <w:sz w:val="28"/>
              </w:rPr>
            </w:pPr>
            <w:r>
              <w:rPr>
                <w:spacing w:val="-4"/>
                <w:sz w:val="28"/>
              </w:rPr>
              <w:t>ESMO</w:t>
            </w:r>
          </w:p>
        </w:tc>
        <w:tc>
          <w:tcPr>
            <w:tcW w:w="7754" w:type="dxa"/>
          </w:tcPr>
          <w:p w14:paraId="64F90E2F">
            <w:pPr>
              <w:pStyle w:val="11"/>
              <w:spacing w:line="311" w:lineRule="exact"/>
              <w:ind w:left="508"/>
              <w:jc w:val="left"/>
              <w:rPr>
                <w:sz w:val="28"/>
                <w:lang w:val="en-US"/>
              </w:rPr>
            </w:pPr>
            <w:r>
              <w:rPr>
                <w:sz w:val="28"/>
                <w:lang w:val="en-US"/>
              </w:rPr>
              <w:t>European</w:t>
            </w:r>
            <w:r>
              <w:rPr>
                <w:spacing w:val="-10"/>
                <w:sz w:val="28"/>
                <w:lang w:val="en-US"/>
              </w:rPr>
              <w:t xml:space="preserve"> </w:t>
            </w:r>
            <w:r>
              <w:rPr>
                <w:sz w:val="28"/>
                <w:lang w:val="en-US"/>
              </w:rPr>
              <w:t>Society</w:t>
            </w:r>
            <w:r>
              <w:rPr>
                <w:spacing w:val="-7"/>
                <w:sz w:val="28"/>
                <w:lang w:val="en-US"/>
              </w:rPr>
              <w:t xml:space="preserve"> </w:t>
            </w:r>
            <w:r>
              <w:rPr>
                <w:sz w:val="28"/>
                <w:lang w:val="en-US"/>
              </w:rPr>
              <w:t>for</w:t>
            </w:r>
            <w:r>
              <w:rPr>
                <w:spacing w:val="-7"/>
                <w:sz w:val="28"/>
                <w:lang w:val="en-US"/>
              </w:rPr>
              <w:t xml:space="preserve"> </w:t>
            </w:r>
            <w:r>
              <w:rPr>
                <w:sz w:val="28"/>
                <w:lang w:val="en-US"/>
              </w:rPr>
              <w:t>Medical</w:t>
            </w:r>
            <w:r>
              <w:rPr>
                <w:spacing w:val="-11"/>
                <w:sz w:val="28"/>
                <w:lang w:val="en-US"/>
              </w:rPr>
              <w:t xml:space="preserve"> </w:t>
            </w:r>
            <w:r>
              <w:rPr>
                <w:sz w:val="28"/>
                <w:lang w:val="en-US"/>
              </w:rPr>
              <w:t>Oncology</w:t>
            </w:r>
            <w:r>
              <w:rPr>
                <w:spacing w:val="-10"/>
                <w:sz w:val="28"/>
                <w:lang w:val="en-US"/>
              </w:rPr>
              <w:t xml:space="preserve"> </w:t>
            </w:r>
            <w:r>
              <w:rPr>
                <w:spacing w:val="-2"/>
                <w:sz w:val="28"/>
                <w:lang w:val="en-US"/>
              </w:rPr>
              <w:t>(</w:t>
            </w:r>
            <w:r>
              <w:rPr>
                <w:spacing w:val="-2"/>
                <w:sz w:val="28"/>
              </w:rPr>
              <w:t>Европейское</w:t>
            </w:r>
          </w:p>
          <w:p w14:paraId="41A21597">
            <w:pPr>
              <w:pStyle w:val="11"/>
              <w:spacing w:line="301" w:lineRule="exact"/>
              <w:ind w:left="508"/>
              <w:jc w:val="left"/>
              <w:rPr>
                <w:sz w:val="28"/>
              </w:rPr>
            </w:pPr>
            <w:r>
              <w:rPr>
                <w:sz w:val="28"/>
              </w:rPr>
              <w:t>общество</w:t>
            </w:r>
            <w:r>
              <w:rPr>
                <w:spacing w:val="-16"/>
                <w:sz w:val="28"/>
              </w:rPr>
              <w:t xml:space="preserve"> </w:t>
            </w:r>
            <w:r>
              <w:rPr>
                <w:sz w:val="28"/>
              </w:rPr>
              <w:t>медицинской</w:t>
            </w:r>
            <w:r>
              <w:rPr>
                <w:spacing w:val="-15"/>
                <w:sz w:val="28"/>
              </w:rPr>
              <w:t xml:space="preserve"> </w:t>
            </w:r>
            <w:r>
              <w:rPr>
                <w:spacing w:val="-2"/>
                <w:sz w:val="28"/>
              </w:rPr>
              <w:t>онкологии)</w:t>
            </w:r>
          </w:p>
        </w:tc>
      </w:tr>
      <w:tr w14:paraId="3B489AA1">
        <w:tblPrEx>
          <w:tblCellMar>
            <w:top w:w="0" w:type="dxa"/>
            <w:left w:w="0" w:type="dxa"/>
            <w:bottom w:w="0" w:type="dxa"/>
            <w:right w:w="0" w:type="dxa"/>
          </w:tblCellMar>
        </w:tblPrEx>
        <w:trPr>
          <w:trHeight w:val="943" w:hRule="atLeast"/>
        </w:trPr>
        <w:tc>
          <w:tcPr>
            <w:tcW w:w="1529" w:type="dxa"/>
          </w:tcPr>
          <w:p w14:paraId="14C291AE">
            <w:pPr>
              <w:pStyle w:val="11"/>
              <w:spacing w:line="310" w:lineRule="exact"/>
              <w:ind w:left="50"/>
              <w:jc w:val="left"/>
              <w:rPr>
                <w:sz w:val="28"/>
              </w:rPr>
            </w:pPr>
            <w:r>
              <w:rPr>
                <w:spacing w:val="-2"/>
                <w:sz w:val="28"/>
              </w:rPr>
              <w:t>ISGPS</w:t>
            </w:r>
          </w:p>
        </w:tc>
        <w:tc>
          <w:tcPr>
            <w:tcW w:w="7754" w:type="dxa"/>
          </w:tcPr>
          <w:p w14:paraId="075B7A5D">
            <w:pPr>
              <w:pStyle w:val="11"/>
              <w:ind w:left="508"/>
              <w:jc w:val="left"/>
              <w:rPr>
                <w:sz w:val="28"/>
              </w:rPr>
            </w:pPr>
            <w:r>
              <w:rPr>
                <w:sz w:val="28"/>
              </w:rPr>
              <w:t>Международная</w:t>
            </w:r>
            <w:r>
              <w:rPr>
                <w:spacing w:val="-11"/>
                <w:sz w:val="28"/>
              </w:rPr>
              <w:t xml:space="preserve"> </w:t>
            </w:r>
            <w:r>
              <w:rPr>
                <w:sz w:val="28"/>
              </w:rPr>
              <w:t>исследовательская</w:t>
            </w:r>
            <w:r>
              <w:rPr>
                <w:spacing w:val="-10"/>
                <w:sz w:val="28"/>
              </w:rPr>
              <w:t xml:space="preserve"> </w:t>
            </w:r>
            <w:r>
              <w:rPr>
                <w:sz w:val="28"/>
              </w:rPr>
              <w:t>группа</w:t>
            </w:r>
            <w:r>
              <w:rPr>
                <w:spacing w:val="-11"/>
                <w:sz w:val="28"/>
              </w:rPr>
              <w:t xml:space="preserve"> </w:t>
            </w:r>
            <w:r>
              <w:rPr>
                <w:sz w:val="28"/>
              </w:rPr>
              <w:t>по</w:t>
            </w:r>
            <w:r>
              <w:rPr>
                <w:spacing w:val="-12"/>
                <w:sz w:val="28"/>
              </w:rPr>
              <w:t xml:space="preserve"> </w:t>
            </w:r>
            <w:r>
              <w:rPr>
                <w:spacing w:val="-2"/>
                <w:sz w:val="28"/>
              </w:rPr>
              <w:t>хирургии</w:t>
            </w:r>
          </w:p>
          <w:p w14:paraId="5B71E41A">
            <w:pPr>
              <w:pStyle w:val="11"/>
              <w:spacing w:line="312" w:lineRule="exact"/>
              <w:ind w:left="508"/>
              <w:jc w:val="left"/>
              <w:rPr>
                <w:sz w:val="28"/>
              </w:rPr>
            </w:pPr>
            <w:r>
              <w:rPr>
                <w:sz w:val="28"/>
              </w:rPr>
              <w:t>поджелудочной</w:t>
            </w:r>
            <w:r>
              <w:rPr>
                <w:spacing w:val="-7"/>
                <w:sz w:val="28"/>
              </w:rPr>
              <w:t xml:space="preserve"> </w:t>
            </w:r>
            <w:r>
              <w:rPr>
                <w:sz w:val="28"/>
              </w:rPr>
              <w:t>железы</w:t>
            </w:r>
            <w:r>
              <w:rPr>
                <w:spacing w:val="-6"/>
                <w:sz w:val="28"/>
              </w:rPr>
              <w:t xml:space="preserve"> </w:t>
            </w:r>
            <w:r>
              <w:rPr>
                <w:sz w:val="28"/>
              </w:rPr>
              <w:t>(International</w:t>
            </w:r>
            <w:r>
              <w:rPr>
                <w:spacing w:val="-12"/>
                <w:sz w:val="28"/>
              </w:rPr>
              <w:t xml:space="preserve"> </w:t>
            </w:r>
            <w:r>
              <w:rPr>
                <w:sz w:val="28"/>
              </w:rPr>
              <w:t>Study</w:t>
            </w:r>
            <w:r>
              <w:rPr>
                <w:spacing w:val="-11"/>
                <w:sz w:val="28"/>
              </w:rPr>
              <w:t xml:space="preserve"> </w:t>
            </w:r>
            <w:r>
              <w:rPr>
                <w:sz w:val="28"/>
              </w:rPr>
              <w:t>Group</w:t>
            </w:r>
            <w:r>
              <w:rPr>
                <w:spacing w:val="-7"/>
                <w:sz w:val="28"/>
              </w:rPr>
              <w:t xml:space="preserve"> </w:t>
            </w:r>
            <w:r>
              <w:rPr>
                <w:sz w:val="28"/>
              </w:rPr>
              <w:t>on Pancreatic Surgery)</w:t>
            </w:r>
          </w:p>
        </w:tc>
      </w:tr>
      <w:tr w14:paraId="290C3E68">
        <w:tblPrEx>
          <w:tblCellMar>
            <w:top w:w="0" w:type="dxa"/>
            <w:left w:w="0" w:type="dxa"/>
            <w:bottom w:w="0" w:type="dxa"/>
            <w:right w:w="0" w:type="dxa"/>
          </w:tblCellMar>
        </w:tblPrEx>
        <w:trPr>
          <w:trHeight w:val="631" w:hRule="atLeast"/>
        </w:trPr>
        <w:tc>
          <w:tcPr>
            <w:tcW w:w="1529" w:type="dxa"/>
          </w:tcPr>
          <w:p w14:paraId="6B60DC84">
            <w:pPr>
              <w:pStyle w:val="11"/>
              <w:spacing w:line="313" w:lineRule="exact"/>
              <w:ind w:left="50"/>
              <w:jc w:val="left"/>
              <w:rPr>
                <w:sz w:val="28"/>
              </w:rPr>
            </w:pPr>
            <w:r>
              <w:rPr>
                <w:spacing w:val="-4"/>
                <w:sz w:val="28"/>
              </w:rPr>
              <w:t>NCCN</w:t>
            </w:r>
          </w:p>
        </w:tc>
        <w:tc>
          <w:tcPr>
            <w:tcW w:w="7754" w:type="dxa"/>
          </w:tcPr>
          <w:p w14:paraId="7DF89F79">
            <w:pPr>
              <w:pStyle w:val="11"/>
              <w:spacing w:line="311" w:lineRule="exact"/>
              <w:ind w:left="508"/>
              <w:jc w:val="left"/>
              <w:rPr>
                <w:sz w:val="28"/>
              </w:rPr>
            </w:pPr>
            <w:r>
              <w:rPr>
                <w:sz w:val="28"/>
              </w:rPr>
              <w:t>National</w:t>
            </w:r>
            <w:r>
              <w:rPr>
                <w:spacing w:val="-14"/>
                <w:sz w:val="28"/>
              </w:rPr>
              <w:t xml:space="preserve"> </w:t>
            </w:r>
            <w:r>
              <w:rPr>
                <w:sz w:val="28"/>
              </w:rPr>
              <w:t>Comprehensive</w:t>
            </w:r>
            <w:r>
              <w:rPr>
                <w:spacing w:val="-8"/>
                <w:sz w:val="28"/>
              </w:rPr>
              <w:t xml:space="preserve"> </w:t>
            </w:r>
            <w:r>
              <w:rPr>
                <w:sz w:val="28"/>
              </w:rPr>
              <w:t>Cancer</w:t>
            </w:r>
            <w:r>
              <w:rPr>
                <w:spacing w:val="-10"/>
                <w:sz w:val="28"/>
              </w:rPr>
              <w:t xml:space="preserve"> </w:t>
            </w:r>
            <w:r>
              <w:rPr>
                <w:sz w:val="28"/>
              </w:rPr>
              <w:t>Network</w:t>
            </w:r>
            <w:r>
              <w:rPr>
                <w:spacing w:val="-9"/>
                <w:sz w:val="28"/>
              </w:rPr>
              <w:t xml:space="preserve"> </w:t>
            </w:r>
            <w:r>
              <w:rPr>
                <w:spacing w:val="-2"/>
                <w:sz w:val="28"/>
              </w:rPr>
              <w:t>(Национальная</w:t>
            </w:r>
          </w:p>
          <w:p w14:paraId="460AD7F9">
            <w:pPr>
              <w:pStyle w:val="11"/>
              <w:spacing w:line="301" w:lineRule="exact"/>
              <w:ind w:left="508"/>
              <w:jc w:val="left"/>
              <w:rPr>
                <w:sz w:val="28"/>
              </w:rPr>
            </w:pPr>
            <w:r>
              <w:rPr>
                <w:sz w:val="28"/>
              </w:rPr>
              <w:t>всеобъемлющая</w:t>
            </w:r>
            <w:r>
              <w:rPr>
                <w:spacing w:val="-14"/>
                <w:sz w:val="28"/>
              </w:rPr>
              <w:t xml:space="preserve"> </w:t>
            </w:r>
            <w:r>
              <w:rPr>
                <w:sz w:val="28"/>
              </w:rPr>
              <w:t>онкологическая</w:t>
            </w:r>
            <w:r>
              <w:rPr>
                <w:spacing w:val="-14"/>
                <w:sz w:val="28"/>
              </w:rPr>
              <w:t xml:space="preserve"> </w:t>
            </w:r>
            <w:r>
              <w:rPr>
                <w:sz w:val="28"/>
              </w:rPr>
              <w:t>сеть,</w:t>
            </w:r>
            <w:r>
              <w:rPr>
                <w:spacing w:val="-13"/>
                <w:sz w:val="28"/>
              </w:rPr>
              <w:t xml:space="preserve"> </w:t>
            </w:r>
            <w:r>
              <w:rPr>
                <w:spacing w:val="-4"/>
                <w:sz w:val="28"/>
              </w:rPr>
              <w:t>США)</w:t>
            </w:r>
          </w:p>
        </w:tc>
      </w:tr>
      <w:tr w14:paraId="20ED0FCD">
        <w:tblPrEx>
          <w:tblCellMar>
            <w:top w:w="0" w:type="dxa"/>
            <w:left w:w="0" w:type="dxa"/>
            <w:bottom w:w="0" w:type="dxa"/>
            <w:right w:w="0" w:type="dxa"/>
          </w:tblCellMar>
        </w:tblPrEx>
        <w:trPr>
          <w:trHeight w:val="631" w:hRule="atLeast"/>
        </w:trPr>
        <w:tc>
          <w:tcPr>
            <w:tcW w:w="1529" w:type="dxa"/>
          </w:tcPr>
          <w:p w14:paraId="55C2D22E">
            <w:pPr>
              <w:pStyle w:val="11"/>
              <w:spacing w:line="310" w:lineRule="exact"/>
              <w:ind w:left="50"/>
              <w:jc w:val="left"/>
              <w:rPr>
                <w:sz w:val="28"/>
              </w:rPr>
            </w:pPr>
            <w:r>
              <w:rPr>
                <w:spacing w:val="-4"/>
                <w:sz w:val="28"/>
              </w:rPr>
              <w:t>IARC</w:t>
            </w:r>
          </w:p>
        </w:tc>
        <w:tc>
          <w:tcPr>
            <w:tcW w:w="7754" w:type="dxa"/>
          </w:tcPr>
          <w:p w14:paraId="2E06039B">
            <w:pPr>
              <w:pStyle w:val="11"/>
              <w:ind w:left="508"/>
              <w:jc w:val="left"/>
              <w:rPr>
                <w:sz w:val="28"/>
                <w:lang w:val="en-US"/>
              </w:rPr>
            </w:pPr>
            <w:r>
              <w:rPr>
                <w:sz w:val="28"/>
                <w:lang w:val="en-US"/>
              </w:rPr>
              <w:t>International</w:t>
            </w:r>
            <w:r>
              <w:rPr>
                <w:spacing w:val="-7"/>
                <w:sz w:val="28"/>
                <w:lang w:val="en-US"/>
              </w:rPr>
              <w:t xml:space="preserve"> </w:t>
            </w:r>
            <w:r>
              <w:rPr>
                <w:sz w:val="28"/>
                <w:lang w:val="en-US"/>
              </w:rPr>
              <w:t>Agency</w:t>
            </w:r>
            <w:r>
              <w:rPr>
                <w:spacing w:val="-6"/>
                <w:sz w:val="28"/>
                <w:lang w:val="en-US"/>
              </w:rPr>
              <w:t xml:space="preserve"> </w:t>
            </w:r>
            <w:r>
              <w:rPr>
                <w:sz w:val="28"/>
                <w:lang w:val="en-US"/>
              </w:rPr>
              <w:t>for</w:t>
            </w:r>
            <w:r>
              <w:rPr>
                <w:spacing w:val="-8"/>
                <w:sz w:val="28"/>
                <w:lang w:val="en-US"/>
              </w:rPr>
              <w:t xml:space="preserve"> </w:t>
            </w:r>
            <w:r>
              <w:rPr>
                <w:sz w:val="28"/>
                <w:lang w:val="en-US"/>
              </w:rPr>
              <w:t>Research</w:t>
            </w:r>
            <w:r>
              <w:rPr>
                <w:spacing w:val="-10"/>
                <w:sz w:val="28"/>
                <w:lang w:val="en-US"/>
              </w:rPr>
              <w:t xml:space="preserve"> </w:t>
            </w:r>
            <w:r>
              <w:rPr>
                <w:sz w:val="28"/>
                <w:lang w:val="en-US"/>
              </w:rPr>
              <w:t>on</w:t>
            </w:r>
            <w:r>
              <w:rPr>
                <w:spacing w:val="-9"/>
                <w:sz w:val="28"/>
                <w:lang w:val="en-US"/>
              </w:rPr>
              <w:t xml:space="preserve"> </w:t>
            </w:r>
            <w:r>
              <w:rPr>
                <w:sz w:val="28"/>
                <w:lang w:val="en-US"/>
              </w:rPr>
              <w:t>Cancer</w:t>
            </w:r>
            <w:r>
              <w:rPr>
                <w:spacing w:val="-8"/>
                <w:sz w:val="28"/>
                <w:lang w:val="en-US"/>
              </w:rPr>
              <w:t xml:space="preserve"> </w:t>
            </w:r>
            <w:r>
              <w:rPr>
                <w:spacing w:val="-2"/>
                <w:sz w:val="28"/>
                <w:lang w:val="en-US"/>
              </w:rPr>
              <w:t>(</w:t>
            </w:r>
            <w:r>
              <w:rPr>
                <w:spacing w:val="-2"/>
                <w:sz w:val="28"/>
              </w:rPr>
              <w:t>Международное</w:t>
            </w:r>
          </w:p>
          <w:p w14:paraId="37C5236E">
            <w:pPr>
              <w:pStyle w:val="11"/>
              <w:spacing w:line="303" w:lineRule="exact"/>
              <w:ind w:left="508"/>
              <w:jc w:val="left"/>
              <w:rPr>
                <w:sz w:val="28"/>
              </w:rPr>
            </w:pPr>
            <w:r>
              <w:rPr>
                <w:sz w:val="28"/>
              </w:rPr>
              <w:t>агентство</w:t>
            </w:r>
            <w:r>
              <w:rPr>
                <w:spacing w:val="-7"/>
                <w:sz w:val="28"/>
              </w:rPr>
              <w:t xml:space="preserve"> </w:t>
            </w:r>
            <w:r>
              <w:rPr>
                <w:sz w:val="28"/>
              </w:rPr>
              <w:t>по</w:t>
            </w:r>
            <w:r>
              <w:rPr>
                <w:spacing w:val="-8"/>
                <w:sz w:val="28"/>
              </w:rPr>
              <w:t xml:space="preserve"> </w:t>
            </w:r>
            <w:r>
              <w:rPr>
                <w:sz w:val="28"/>
              </w:rPr>
              <w:t>изучению</w:t>
            </w:r>
            <w:r>
              <w:rPr>
                <w:spacing w:val="-8"/>
                <w:sz w:val="28"/>
              </w:rPr>
              <w:t xml:space="preserve"> </w:t>
            </w:r>
            <w:r>
              <w:rPr>
                <w:spacing w:val="-4"/>
                <w:sz w:val="28"/>
              </w:rPr>
              <w:t>рака)</w:t>
            </w:r>
          </w:p>
        </w:tc>
      </w:tr>
      <w:tr w14:paraId="59B22BB7">
        <w:tblPrEx>
          <w:tblCellMar>
            <w:top w:w="0" w:type="dxa"/>
            <w:left w:w="0" w:type="dxa"/>
            <w:bottom w:w="0" w:type="dxa"/>
            <w:right w:w="0" w:type="dxa"/>
          </w:tblCellMar>
        </w:tblPrEx>
        <w:trPr>
          <w:trHeight w:val="312" w:hRule="atLeast"/>
        </w:trPr>
        <w:tc>
          <w:tcPr>
            <w:tcW w:w="1529" w:type="dxa"/>
          </w:tcPr>
          <w:p w14:paraId="4183E0F9">
            <w:pPr>
              <w:pStyle w:val="11"/>
              <w:spacing w:line="293" w:lineRule="exact"/>
              <w:ind w:left="50"/>
              <w:jc w:val="left"/>
              <w:rPr>
                <w:sz w:val="28"/>
              </w:rPr>
            </w:pPr>
            <w:r>
              <w:rPr>
                <w:spacing w:val="-5"/>
                <w:sz w:val="28"/>
              </w:rPr>
              <w:t>TNM</w:t>
            </w:r>
          </w:p>
        </w:tc>
        <w:tc>
          <w:tcPr>
            <w:tcW w:w="7754" w:type="dxa"/>
          </w:tcPr>
          <w:p w14:paraId="7B5A7E74">
            <w:pPr>
              <w:pStyle w:val="11"/>
              <w:spacing w:line="293" w:lineRule="exact"/>
              <w:ind w:left="508"/>
              <w:jc w:val="left"/>
              <w:rPr>
                <w:sz w:val="28"/>
              </w:rPr>
            </w:pPr>
            <w:r>
              <w:rPr>
                <w:sz w:val="28"/>
              </w:rPr>
              <w:t>Tumor,</w:t>
            </w:r>
            <w:r>
              <w:rPr>
                <w:spacing w:val="-8"/>
                <w:sz w:val="28"/>
              </w:rPr>
              <w:t xml:space="preserve"> </w:t>
            </w:r>
            <w:r>
              <w:rPr>
                <w:sz w:val="28"/>
              </w:rPr>
              <w:t>Node,</w:t>
            </w:r>
            <w:r>
              <w:rPr>
                <w:spacing w:val="-8"/>
                <w:sz w:val="28"/>
              </w:rPr>
              <w:t xml:space="preserve"> </w:t>
            </w:r>
            <w:r>
              <w:rPr>
                <w:sz w:val="28"/>
              </w:rPr>
              <w:t>Metastasis</w:t>
            </w:r>
            <w:r>
              <w:rPr>
                <w:spacing w:val="-8"/>
                <w:sz w:val="28"/>
              </w:rPr>
              <w:t xml:space="preserve"> </w:t>
            </w:r>
            <w:r>
              <w:rPr>
                <w:sz w:val="28"/>
              </w:rPr>
              <w:t>(система</w:t>
            </w:r>
            <w:r>
              <w:rPr>
                <w:spacing w:val="-10"/>
                <w:sz w:val="28"/>
              </w:rPr>
              <w:t xml:space="preserve"> </w:t>
            </w:r>
            <w:r>
              <w:rPr>
                <w:spacing w:val="-2"/>
                <w:sz w:val="28"/>
              </w:rPr>
              <w:t>классификации</w:t>
            </w:r>
          </w:p>
        </w:tc>
      </w:tr>
    </w:tbl>
    <w:p w14:paraId="2343E3D3">
      <w:pPr>
        <w:pStyle w:val="11"/>
        <w:spacing w:line="293" w:lineRule="exact"/>
        <w:jc w:val="left"/>
        <w:rPr>
          <w:sz w:val="28"/>
        </w:rPr>
        <w:sectPr>
          <w:pgSz w:w="11910" w:h="16840"/>
          <w:pgMar w:top="1134" w:right="567" w:bottom="1134" w:left="1701" w:header="0" w:footer="936" w:gutter="0"/>
          <w:cols w:space="720" w:num="1"/>
        </w:sectPr>
      </w:pPr>
    </w:p>
    <w:tbl>
      <w:tblPr>
        <w:tblStyle w:val="5"/>
        <w:tblW w:w="0" w:type="auto"/>
        <w:tblInd w:w="314" w:type="dxa"/>
        <w:tblLayout w:type="fixed"/>
        <w:tblCellMar>
          <w:top w:w="0" w:type="dxa"/>
          <w:left w:w="0" w:type="dxa"/>
          <w:bottom w:w="0" w:type="dxa"/>
          <w:right w:w="0" w:type="dxa"/>
        </w:tblCellMar>
      </w:tblPr>
      <w:tblGrid>
        <w:gridCol w:w="1893"/>
        <w:gridCol w:w="7525"/>
      </w:tblGrid>
      <w:tr w14:paraId="2A488239">
        <w:tblPrEx>
          <w:tblCellMar>
            <w:top w:w="0" w:type="dxa"/>
            <w:left w:w="0" w:type="dxa"/>
            <w:bottom w:w="0" w:type="dxa"/>
            <w:right w:w="0" w:type="dxa"/>
          </w:tblCellMar>
        </w:tblPrEx>
        <w:trPr>
          <w:trHeight w:val="310" w:hRule="atLeast"/>
        </w:trPr>
        <w:tc>
          <w:tcPr>
            <w:tcW w:w="1893" w:type="dxa"/>
          </w:tcPr>
          <w:p w14:paraId="7E87CF0B">
            <w:pPr>
              <w:pStyle w:val="11"/>
              <w:spacing w:line="240" w:lineRule="auto"/>
              <w:jc w:val="left"/>
            </w:pPr>
          </w:p>
        </w:tc>
        <w:tc>
          <w:tcPr>
            <w:tcW w:w="7525" w:type="dxa"/>
          </w:tcPr>
          <w:p w14:paraId="3B1EDE72">
            <w:pPr>
              <w:pStyle w:val="11"/>
              <w:spacing w:line="290" w:lineRule="exact"/>
              <w:ind w:left="144"/>
              <w:jc w:val="left"/>
              <w:rPr>
                <w:sz w:val="28"/>
              </w:rPr>
            </w:pPr>
            <w:r>
              <w:rPr>
                <w:sz w:val="28"/>
              </w:rPr>
              <w:t>злокачественных</w:t>
            </w:r>
            <w:r>
              <w:rPr>
                <w:spacing w:val="-11"/>
                <w:sz w:val="28"/>
              </w:rPr>
              <w:t xml:space="preserve"> </w:t>
            </w:r>
            <w:r>
              <w:rPr>
                <w:sz w:val="28"/>
              </w:rPr>
              <w:t>опухолей</w:t>
            </w:r>
            <w:r>
              <w:rPr>
                <w:spacing w:val="-9"/>
                <w:sz w:val="28"/>
              </w:rPr>
              <w:t xml:space="preserve"> </w:t>
            </w:r>
            <w:r>
              <w:rPr>
                <w:sz w:val="28"/>
              </w:rPr>
              <w:t>по</w:t>
            </w:r>
            <w:r>
              <w:rPr>
                <w:spacing w:val="-9"/>
                <w:sz w:val="28"/>
              </w:rPr>
              <w:t xml:space="preserve"> </w:t>
            </w:r>
            <w:r>
              <w:rPr>
                <w:sz w:val="28"/>
              </w:rPr>
              <w:t>степени</w:t>
            </w:r>
            <w:r>
              <w:rPr>
                <w:spacing w:val="-10"/>
                <w:sz w:val="28"/>
              </w:rPr>
              <w:t xml:space="preserve"> </w:t>
            </w:r>
            <w:r>
              <w:rPr>
                <w:spacing w:val="-2"/>
                <w:sz w:val="28"/>
              </w:rPr>
              <w:t>распространённости)</w:t>
            </w:r>
          </w:p>
        </w:tc>
      </w:tr>
      <w:tr w14:paraId="290E5A5E">
        <w:tblPrEx>
          <w:tblCellMar>
            <w:top w:w="0" w:type="dxa"/>
            <w:left w:w="0" w:type="dxa"/>
            <w:bottom w:w="0" w:type="dxa"/>
            <w:right w:w="0" w:type="dxa"/>
          </w:tblCellMar>
        </w:tblPrEx>
        <w:trPr>
          <w:trHeight w:val="314" w:hRule="atLeast"/>
        </w:trPr>
        <w:tc>
          <w:tcPr>
            <w:tcW w:w="1893" w:type="dxa"/>
          </w:tcPr>
          <w:p w14:paraId="3AB89122">
            <w:pPr>
              <w:pStyle w:val="11"/>
              <w:spacing w:line="294" w:lineRule="exact"/>
              <w:ind w:left="50"/>
              <w:jc w:val="left"/>
              <w:rPr>
                <w:sz w:val="28"/>
              </w:rPr>
            </w:pPr>
            <w:r>
              <w:rPr>
                <w:spacing w:val="-4"/>
                <w:sz w:val="28"/>
              </w:rPr>
              <w:t>Т/Тх</w:t>
            </w:r>
          </w:p>
        </w:tc>
        <w:tc>
          <w:tcPr>
            <w:tcW w:w="7525" w:type="dxa"/>
          </w:tcPr>
          <w:p w14:paraId="55A4A9AE">
            <w:pPr>
              <w:pStyle w:val="11"/>
              <w:spacing w:line="294" w:lineRule="exact"/>
              <w:ind w:left="144"/>
              <w:jc w:val="left"/>
              <w:rPr>
                <w:sz w:val="28"/>
              </w:rPr>
            </w:pPr>
            <w:r>
              <w:rPr>
                <w:sz w:val="28"/>
              </w:rPr>
              <w:t>Первичная</w:t>
            </w:r>
            <w:r>
              <w:rPr>
                <w:spacing w:val="-12"/>
                <w:sz w:val="28"/>
              </w:rPr>
              <w:t xml:space="preserve"> </w:t>
            </w:r>
            <w:r>
              <w:rPr>
                <w:sz w:val="28"/>
              </w:rPr>
              <w:t>опухоль</w:t>
            </w:r>
            <w:r>
              <w:rPr>
                <w:spacing w:val="-15"/>
                <w:sz w:val="28"/>
              </w:rPr>
              <w:t xml:space="preserve"> </w:t>
            </w:r>
            <w:r>
              <w:rPr>
                <w:spacing w:val="-2"/>
                <w:sz w:val="28"/>
              </w:rPr>
              <w:t>(tumor)</w:t>
            </w:r>
          </w:p>
        </w:tc>
      </w:tr>
      <w:tr w14:paraId="7E5CC45C">
        <w:tblPrEx>
          <w:tblCellMar>
            <w:top w:w="0" w:type="dxa"/>
            <w:left w:w="0" w:type="dxa"/>
            <w:bottom w:w="0" w:type="dxa"/>
            <w:right w:w="0" w:type="dxa"/>
          </w:tblCellMar>
        </w:tblPrEx>
        <w:trPr>
          <w:trHeight w:val="316" w:hRule="atLeast"/>
        </w:trPr>
        <w:tc>
          <w:tcPr>
            <w:tcW w:w="1893" w:type="dxa"/>
          </w:tcPr>
          <w:p w14:paraId="26ADA00B">
            <w:pPr>
              <w:pStyle w:val="11"/>
              <w:spacing w:line="297" w:lineRule="exact"/>
              <w:ind w:left="50"/>
              <w:jc w:val="left"/>
              <w:rPr>
                <w:sz w:val="28"/>
              </w:rPr>
            </w:pPr>
            <w:r>
              <w:rPr>
                <w:spacing w:val="-10"/>
                <w:sz w:val="28"/>
              </w:rPr>
              <w:t>N</w:t>
            </w:r>
          </w:p>
        </w:tc>
        <w:tc>
          <w:tcPr>
            <w:tcW w:w="7525" w:type="dxa"/>
          </w:tcPr>
          <w:p w14:paraId="6DE17BF1">
            <w:pPr>
              <w:pStyle w:val="11"/>
              <w:spacing w:line="297" w:lineRule="exact"/>
              <w:ind w:left="144"/>
              <w:jc w:val="left"/>
              <w:rPr>
                <w:sz w:val="28"/>
              </w:rPr>
            </w:pPr>
            <w:r>
              <w:rPr>
                <w:sz w:val="28"/>
              </w:rPr>
              <w:t>Поражение</w:t>
            </w:r>
            <w:r>
              <w:rPr>
                <w:spacing w:val="-9"/>
                <w:sz w:val="28"/>
              </w:rPr>
              <w:t xml:space="preserve"> </w:t>
            </w:r>
            <w:r>
              <w:rPr>
                <w:sz w:val="28"/>
              </w:rPr>
              <w:t>регионарных</w:t>
            </w:r>
            <w:r>
              <w:rPr>
                <w:spacing w:val="-13"/>
                <w:sz w:val="28"/>
              </w:rPr>
              <w:t xml:space="preserve"> </w:t>
            </w:r>
            <w:r>
              <w:rPr>
                <w:sz w:val="28"/>
              </w:rPr>
              <w:t>лимфатических</w:t>
            </w:r>
            <w:r>
              <w:rPr>
                <w:spacing w:val="-6"/>
                <w:sz w:val="28"/>
              </w:rPr>
              <w:t xml:space="preserve"> </w:t>
            </w:r>
            <w:r>
              <w:rPr>
                <w:sz w:val="28"/>
              </w:rPr>
              <w:t>узлов</w:t>
            </w:r>
            <w:r>
              <w:rPr>
                <w:spacing w:val="-11"/>
                <w:sz w:val="28"/>
              </w:rPr>
              <w:t xml:space="preserve"> </w:t>
            </w:r>
            <w:r>
              <w:rPr>
                <w:spacing w:val="-2"/>
                <w:sz w:val="28"/>
              </w:rPr>
              <w:t>(nodes)</w:t>
            </w:r>
          </w:p>
        </w:tc>
      </w:tr>
      <w:tr w14:paraId="19ED366C">
        <w:tblPrEx>
          <w:tblCellMar>
            <w:top w:w="0" w:type="dxa"/>
            <w:left w:w="0" w:type="dxa"/>
            <w:bottom w:w="0" w:type="dxa"/>
            <w:right w:w="0" w:type="dxa"/>
          </w:tblCellMar>
        </w:tblPrEx>
        <w:trPr>
          <w:trHeight w:val="314" w:hRule="atLeast"/>
        </w:trPr>
        <w:tc>
          <w:tcPr>
            <w:tcW w:w="1893" w:type="dxa"/>
          </w:tcPr>
          <w:p w14:paraId="47E5E858">
            <w:pPr>
              <w:pStyle w:val="11"/>
              <w:spacing w:line="295" w:lineRule="exact"/>
              <w:ind w:left="50"/>
              <w:jc w:val="left"/>
              <w:rPr>
                <w:sz w:val="28"/>
              </w:rPr>
            </w:pPr>
            <w:r>
              <w:rPr>
                <w:spacing w:val="-10"/>
                <w:sz w:val="28"/>
              </w:rPr>
              <w:t>M</w:t>
            </w:r>
          </w:p>
        </w:tc>
        <w:tc>
          <w:tcPr>
            <w:tcW w:w="7525" w:type="dxa"/>
          </w:tcPr>
          <w:p w14:paraId="5A0F5999">
            <w:pPr>
              <w:pStyle w:val="11"/>
              <w:spacing w:line="295" w:lineRule="exact"/>
              <w:ind w:left="144"/>
              <w:jc w:val="left"/>
              <w:rPr>
                <w:sz w:val="28"/>
              </w:rPr>
            </w:pPr>
            <w:r>
              <w:rPr>
                <w:sz w:val="28"/>
              </w:rPr>
              <w:t>Отдалённые</w:t>
            </w:r>
            <w:r>
              <w:rPr>
                <w:spacing w:val="-13"/>
                <w:sz w:val="28"/>
              </w:rPr>
              <w:t xml:space="preserve"> </w:t>
            </w:r>
            <w:r>
              <w:rPr>
                <w:sz w:val="28"/>
              </w:rPr>
              <w:t>метастазы</w:t>
            </w:r>
            <w:r>
              <w:rPr>
                <w:spacing w:val="-12"/>
                <w:sz w:val="28"/>
              </w:rPr>
              <w:t xml:space="preserve"> </w:t>
            </w:r>
            <w:r>
              <w:rPr>
                <w:spacing w:val="-2"/>
                <w:sz w:val="28"/>
              </w:rPr>
              <w:t>(metastasis)</w:t>
            </w:r>
          </w:p>
        </w:tc>
      </w:tr>
      <w:tr w14:paraId="10DBE3EA">
        <w:tblPrEx>
          <w:tblCellMar>
            <w:top w:w="0" w:type="dxa"/>
            <w:left w:w="0" w:type="dxa"/>
            <w:bottom w:w="0" w:type="dxa"/>
            <w:right w:w="0" w:type="dxa"/>
          </w:tblCellMar>
        </w:tblPrEx>
        <w:trPr>
          <w:trHeight w:val="631" w:hRule="atLeast"/>
        </w:trPr>
        <w:tc>
          <w:tcPr>
            <w:tcW w:w="1893" w:type="dxa"/>
          </w:tcPr>
          <w:p w14:paraId="3C4DA008">
            <w:pPr>
              <w:pStyle w:val="11"/>
              <w:spacing w:line="311" w:lineRule="exact"/>
              <w:ind w:left="50"/>
              <w:jc w:val="left"/>
              <w:rPr>
                <w:sz w:val="28"/>
              </w:rPr>
            </w:pPr>
            <w:r>
              <w:rPr>
                <w:spacing w:val="-2"/>
                <w:sz w:val="28"/>
              </w:rPr>
              <w:t>R0/R1</w:t>
            </w:r>
          </w:p>
        </w:tc>
        <w:tc>
          <w:tcPr>
            <w:tcW w:w="7525" w:type="dxa"/>
          </w:tcPr>
          <w:p w14:paraId="090121BC">
            <w:pPr>
              <w:pStyle w:val="11"/>
              <w:ind w:left="144"/>
              <w:jc w:val="left"/>
              <w:rPr>
                <w:sz w:val="28"/>
              </w:rPr>
            </w:pPr>
            <w:r>
              <w:rPr>
                <w:sz w:val="28"/>
              </w:rPr>
              <w:t>Статус</w:t>
            </w:r>
            <w:r>
              <w:rPr>
                <w:spacing w:val="-7"/>
                <w:sz w:val="28"/>
              </w:rPr>
              <w:t xml:space="preserve"> </w:t>
            </w:r>
            <w:r>
              <w:rPr>
                <w:sz w:val="28"/>
              </w:rPr>
              <w:t>резекции</w:t>
            </w:r>
            <w:r>
              <w:rPr>
                <w:spacing w:val="-7"/>
                <w:sz w:val="28"/>
              </w:rPr>
              <w:t xml:space="preserve"> </w:t>
            </w:r>
            <w:r>
              <w:rPr>
                <w:sz w:val="28"/>
              </w:rPr>
              <w:t>(R0</w:t>
            </w:r>
            <w:r>
              <w:rPr>
                <w:spacing w:val="-4"/>
                <w:sz w:val="28"/>
              </w:rPr>
              <w:t xml:space="preserve"> </w:t>
            </w:r>
            <w:r>
              <w:rPr>
                <w:sz w:val="28"/>
              </w:rPr>
              <w:t>—</w:t>
            </w:r>
            <w:r>
              <w:rPr>
                <w:spacing w:val="-7"/>
                <w:sz w:val="28"/>
              </w:rPr>
              <w:t xml:space="preserve"> </w:t>
            </w:r>
            <w:r>
              <w:rPr>
                <w:sz w:val="28"/>
              </w:rPr>
              <w:t>без</w:t>
            </w:r>
            <w:r>
              <w:rPr>
                <w:spacing w:val="-6"/>
                <w:sz w:val="28"/>
              </w:rPr>
              <w:t xml:space="preserve"> </w:t>
            </w:r>
            <w:r>
              <w:rPr>
                <w:sz w:val="28"/>
              </w:rPr>
              <w:t>микроскопических</w:t>
            </w:r>
            <w:r>
              <w:rPr>
                <w:spacing w:val="-11"/>
                <w:sz w:val="28"/>
              </w:rPr>
              <w:t xml:space="preserve"> </w:t>
            </w:r>
            <w:r>
              <w:rPr>
                <w:spacing w:val="-2"/>
                <w:sz w:val="28"/>
              </w:rPr>
              <w:t>остатков</w:t>
            </w:r>
          </w:p>
          <w:p w14:paraId="0B77E013">
            <w:pPr>
              <w:pStyle w:val="11"/>
              <w:spacing w:line="303" w:lineRule="exact"/>
              <w:ind w:left="144"/>
              <w:jc w:val="left"/>
              <w:rPr>
                <w:sz w:val="28"/>
              </w:rPr>
            </w:pPr>
            <w:r>
              <w:rPr>
                <w:sz w:val="28"/>
              </w:rPr>
              <w:t>опухоли;</w:t>
            </w:r>
            <w:r>
              <w:rPr>
                <w:spacing w:val="-9"/>
                <w:sz w:val="28"/>
              </w:rPr>
              <w:t xml:space="preserve"> </w:t>
            </w:r>
            <w:r>
              <w:rPr>
                <w:sz w:val="28"/>
              </w:rPr>
              <w:t>R1</w:t>
            </w:r>
            <w:r>
              <w:rPr>
                <w:spacing w:val="-6"/>
                <w:sz w:val="28"/>
              </w:rPr>
              <w:t xml:space="preserve"> </w:t>
            </w:r>
            <w:r>
              <w:rPr>
                <w:sz w:val="28"/>
              </w:rPr>
              <w:t>—</w:t>
            </w:r>
            <w:r>
              <w:rPr>
                <w:spacing w:val="-8"/>
                <w:sz w:val="28"/>
              </w:rPr>
              <w:t xml:space="preserve"> </w:t>
            </w:r>
            <w:r>
              <w:rPr>
                <w:sz w:val="28"/>
              </w:rPr>
              <w:t>с</w:t>
            </w:r>
            <w:r>
              <w:rPr>
                <w:spacing w:val="-7"/>
                <w:sz w:val="28"/>
              </w:rPr>
              <w:t xml:space="preserve"> </w:t>
            </w:r>
            <w:r>
              <w:rPr>
                <w:sz w:val="28"/>
              </w:rPr>
              <w:t>микроскопическими</w:t>
            </w:r>
            <w:r>
              <w:rPr>
                <w:spacing w:val="-5"/>
                <w:sz w:val="28"/>
              </w:rPr>
              <w:t xml:space="preserve"> </w:t>
            </w:r>
            <w:r>
              <w:rPr>
                <w:sz w:val="28"/>
              </w:rPr>
              <w:t>остатками</w:t>
            </w:r>
            <w:r>
              <w:rPr>
                <w:spacing w:val="-8"/>
                <w:sz w:val="28"/>
              </w:rPr>
              <w:t xml:space="preserve"> </w:t>
            </w:r>
            <w:r>
              <w:rPr>
                <w:spacing w:val="-2"/>
                <w:sz w:val="28"/>
              </w:rPr>
              <w:t>опухоли)</w:t>
            </w:r>
          </w:p>
        </w:tc>
      </w:tr>
      <w:tr w14:paraId="479C4031">
        <w:tblPrEx>
          <w:tblCellMar>
            <w:top w:w="0" w:type="dxa"/>
            <w:left w:w="0" w:type="dxa"/>
            <w:bottom w:w="0" w:type="dxa"/>
            <w:right w:w="0" w:type="dxa"/>
          </w:tblCellMar>
        </w:tblPrEx>
        <w:trPr>
          <w:trHeight w:val="943" w:hRule="atLeast"/>
        </w:trPr>
        <w:tc>
          <w:tcPr>
            <w:tcW w:w="1893" w:type="dxa"/>
          </w:tcPr>
          <w:p w14:paraId="5EC34586">
            <w:pPr>
              <w:pStyle w:val="11"/>
              <w:spacing w:line="313" w:lineRule="exact"/>
              <w:ind w:left="50"/>
              <w:jc w:val="left"/>
              <w:rPr>
                <w:sz w:val="28"/>
              </w:rPr>
            </w:pPr>
            <w:r>
              <w:rPr>
                <w:spacing w:val="-4"/>
                <w:sz w:val="28"/>
              </w:rPr>
              <w:t>SEER</w:t>
            </w:r>
          </w:p>
        </w:tc>
        <w:tc>
          <w:tcPr>
            <w:tcW w:w="7525" w:type="dxa"/>
          </w:tcPr>
          <w:p w14:paraId="044F0465">
            <w:pPr>
              <w:pStyle w:val="11"/>
              <w:tabs>
                <w:tab w:val="left" w:pos="1765"/>
                <w:tab w:val="left" w:pos="1981"/>
                <w:tab w:val="left" w:pos="4245"/>
                <w:tab w:val="left" w:pos="4657"/>
                <w:tab w:val="left" w:pos="5862"/>
                <w:tab w:val="left" w:pos="6307"/>
                <w:tab w:val="left" w:pos="6802"/>
              </w:tabs>
              <w:spacing w:line="232" w:lineRule="auto"/>
              <w:ind w:left="144" w:right="49"/>
              <w:jc w:val="left"/>
              <w:rPr>
                <w:sz w:val="28"/>
              </w:rPr>
            </w:pPr>
            <w:r>
              <w:rPr>
                <w:spacing w:val="-2"/>
                <w:sz w:val="28"/>
              </w:rPr>
              <w:t>Программа</w:t>
            </w:r>
            <w:r>
              <w:rPr>
                <w:sz w:val="28"/>
              </w:rPr>
              <w:tab/>
            </w:r>
            <w:r>
              <w:rPr>
                <w:spacing w:val="-2"/>
                <w:sz w:val="28"/>
              </w:rPr>
              <w:t>эпидемиологического</w:t>
            </w:r>
            <w:r>
              <w:rPr>
                <w:sz w:val="28"/>
              </w:rPr>
              <w:tab/>
            </w:r>
            <w:r>
              <w:rPr>
                <w:spacing w:val="-2"/>
                <w:sz w:val="28"/>
              </w:rPr>
              <w:t>надзора</w:t>
            </w:r>
            <w:r>
              <w:rPr>
                <w:sz w:val="28"/>
              </w:rPr>
              <w:tab/>
            </w:r>
            <w:r>
              <w:rPr>
                <w:spacing w:val="-58"/>
                <w:sz w:val="28"/>
              </w:rPr>
              <w:t xml:space="preserve"> </w:t>
            </w:r>
            <w:r>
              <w:rPr>
                <w:sz w:val="28"/>
              </w:rPr>
              <w:t>и</w:t>
            </w:r>
            <w:r>
              <w:rPr>
                <w:sz w:val="28"/>
              </w:rPr>
              <w:tab/>
            </w:r>
            <w:r>
              <w:rPr>
                <w:spacing w:val="-2"/>
                <w:sz w:val="28"/>
              </w:rPr>
              <w:t>конечных результатов</w:t>
            </w:r>
            <w:r>
              <w:rPr>
                <w:sz w:val="28"/>
              </w:rPr>
              <w:tab/>
            </w:r>
            <w:r>
              <w:rPr>
                <w:sz w:val="28"/>
              </w:rPr>
              <w:tab/>
            </w:r>
            <w:r>
              <w:rPr>
                <w:spacing w:val="-2"/>
                <w:sz w:val="28"/>
              </w:rPr>
              <w:t>Национального</w:t>
            </w:r>
            <w:r>
              <w:rPr>
                <w:sz w:val="28"/>
              </w:rPr>
              <w:tab/>
            </w:r>
            <w:r>
              <w:rPr>
                <w:spacing w:val="-2"/>
                <w:sz w:val="28"/>
              </w:rPr>
              <w:t>института</w:t>
            </w:r>
            <w:r>
              <w:rPr>
                <w:sz w:val="28"/>
              </w:rPr>
              <w:tab/>
            </w:r>
            <w:r>
              <w:rPr>
                <w:spacing w:val="-4"/>
                <w:sz w:val="28"/>
              </w:rPr>
              <w:t>рака</w:t>
            </w:r>
            <w:r>
              <w:rPr>
                <w:sz w:val="28"/>
              </w:rPr>
              <w:tab/>
            </w:r>
            <w:r>
              <w:rPr>
                <w:spacing w:val="-5"/>
                <w:sz w:val="28"/>
              </w:rPr>
              <w:t>США</w:t>
            </w:r>
          </w:p>
          <w:p w14:paraId="66683A94">
            <w:pPr>
              <w:pStyle w:val="11"/>
              <w:spacing w:line="300" w:lineRule="exact"/>
              <w:ind w:left="144"/>
              <w:jc w:val="left"/>
              <w:rPr>
                <w:sz w:val="28"/>
                <w:lang w:val="en-US"/>
              </w:rPr>
            </w:pPr>
            <w:r>
              <w:rPr>
                <w:sz w:val="28"/>
                <w:lang w:val="en-US"/>
              </w:rPr>
              <w:t>Surveillance,</w:t>
            </w:r>
            <w:r>
              <w:rPr>
                <w:spacing w:val="-9"/>
                <w:sz w:val="28"/>
                <w:lang w:val="en-US"/>
              </w:rPr>
              <w:t xml:space="preserve"> </w:t>
            </w:r>
            <w:r>
              <w:rPr>
                <w:sz w:val="28"/>
                <w:lang w:val="en-US"/>
              </w:rPr>
              <w:t>Epidemiology,</w:t>
            </w:r>
            <w:r>
              <w:rPr>
                <w:spacing w:val="-8"/>
                <w:sz w:val="28"/>
                <w:lang w:val="en-US"/>
              </w:rPr>
              <w:t xml:space="preserve"> </w:t>
            </w:r>
            <w:r>
              <w:rPr>
                <w:sz w:val="28"/>
                <w:lang w:val="en-US"/>
              </w:rPr>
              <w:t>and</w:t>
            </w:r>
            <w:r>
              <w:rPr>
                <w:spacing w:val="-11"/>
                <w:sz w:val="28"/>
                <w:lang w:val="en-US"/>
              </w:rPr>
              <w:t xml:space="preserve"> </w:t>
            </w:r>
            <w:r>
              <w:rPr>
                <w:sz w:val="28"/>
                <w:lang w:val="en-US"/>
              </w:rPr>
              <w:t>End</w:t>
            </w:r>
            <w:r>
              <w:rPr>
                <w:spacing w:val="-11"/>
                <w:sz w:val="28"/>
                <w:lang w:val="en-US"/>
              </w:rPr>
              <w:t xml:space="preserve"> </w:t>
            </w:r>
            <w:r>
              <w:rPr>
                <w:spacing w:val="-2"/>
                <w:sz w:val="28"/>
                <w:lang w:val="en-US"/>
              </w:rPr>
              <w:t>Results</w:t>
            </w:r>
          </w:p>
        </w:tc>
      </w:tr>
      <w:tr w14:paraId="4383D646">
        <w:tblPrEx>
          <w:tblCellMar>
            <w:top w:w="0" w:type="dxa"/>
            <w:left w:w="0" w:type="dxa"/>
            <w:bottom w:w="0" w:type="dxa"/>
            <w:right w:w="0" w:type="dxa"/>
          </w:tblCellMar>
        </w:tblPrEx>
        <w:trPr>
          <w:trHeight w:val="1576" w:hRule="atLeast"/>
        </w:trPr>
        <w:tc>
          <w:tcPr>
            <w:tcW w:w="1893" w:type="dxa"/>
          </w:tcPr>
          <w:p w14:paraId="50577E60">
            <w:pPr>
              <w:pStyle w:val="11"/>
              <w:spacing w:line="311" w:lineRule="exact"/>
              <w:ind w:left="50"/>
              <w:jc w:val="left"/>
              <w:rPr>
                <w:sz w:val="28"/>
              </w:rPr>
            </w:pPr>
            <w:r>
              <w:rPr>
                <w:spacing w:val="-5"/>
                <w:sz w:val="28"/>
              </w:rPr>
              <w:t>FTR</w:t>
            </w:r>
          </w:p>
        </w:tc>
        <w:tc>
          <w:tcPr>
            <w:tcW w:w="7525" w:type="dxa"/>
          </w:tcPr>
          <w:p w14:paraId="47981C44">
            <w:pPr>
              <w:pStyle w:val="11"/>
              <w:spacing w:line="235" w:lineRule="auto"/>
              <w:ind w:left="144" w:right="48"/>
              <w:jc w:val="both"/>
              <w:rPr>
                <w:sz w:val="28"/>
              </w:rPr>
            </w:pPr>
            <w:r>
              <w:rPr>
                <w:sz w:val="28"/>
              </w:rPr>
              <w:t>Показатель failure-to-rescue (FTR) определяется как летальность среди пациентов, у которых развилось тяжёлое послеоперационное</w:t>
            </w:r>
            <w:r>
              <w:rPr>
                <w:spacing w:val="25"/>
                <w:sz w:val="28"/>
              </w:rPr>
              <w:t xml:space="preserve"> </w:t>
            </w:r>
            <w:r>
              <w:rPr>
                <w:sz w:val="28"/>
              </w:rPr>
              <w:t>осложнение,</w:t>
            </w:r>
            <w:r>
              <w:rPr>
                <w:spacing w:val="27"/>
                <w:sz w:val="28"/>
              </w:rPr>
              <w:t xml:space="preserve"> </w:t>
            </w:r>
            <w:r>
              <w:rPr>
                <w:sz w:val="28"/>
              </w:rPr>
              <w:t>и</w:t>
            </w:r>
            <w:r>
              <w:rPr>
                <w:spacing w:val="24"/>
                <w:sz w:val="28"/>
              </w:rPr>
              <w:t xml:space="preserve"> </w:t>
            </w:r>
            <w:r>
              <w:rPr>
                <w:sz w:val="28"/>
              </w:rPr>
              <w:t>отражает</w:t>
            </w:r>
            <w:r>
              <w:rPr>
                <w:spacing w:val="23"/>
                <w:sz w:val="28"/>
              </w:rPr>
              <w:t xml:space="preserve"> </w:t>
            </w:r>
            <w:r>
              <w:rPr>
                <w:spacing w:val="-2"/>
                <w:sz w:val="28"/>
              </w:rPr>
              <w:t>эффективность</w:t>
            </w:r>
          </w:p>
          <w:p w14:paraId="31812C0E">
            <w:pPr>
              <w:pStyle w:val="11"/>
              <w:spacing w:line="316" w:lineRule="exact"/>
              <w:ind w:left="144" w:right="58"/>
              <w:jc w:val="both"/>
              <w:rPr>
                <w:sz w:val="28"/>
              </w:rPr>
            </w:pPr>
            <w:r>
              <w:rPr>
                <w:sz w:val="28"/>
              </w:rPr>
              <w:t>системы раннего выявления осложнений, интенсивной терапии и организационного уровня стационара.</w:t>
            </w:r>
          </w:p>
        </w:tc>
      </w:tr>
      <w:tr w14:paraId="5B96F0DC">
        <w:tblPrEx>
          <w:tblCellMar>
            <w:top w:w="0" w:type="dxa"/>
            <w:left w:w="0" w:type="dxa"/>
            <w:bottom w:w="0" w:type="dxa"/>
            <w:right w:w="0" w:type="dxa"/>
          </w:tblCellMar>
        </w:tblPrEx>
        <w:trPr>
          <w:trHeight w:val="941" w:hRule="atLeast"/>
        </w:trPr>
        <w:tc>
          <w:tcPr>
            <w:tcW w:w="1893" w:type="dxa"/>
          </w:tcPr>
          <w:p w14:paraId="33C01652">
            <w:pPr>
              <w:pStyle w:val="11"/>
              <w:spacing w:line="311" w:lineRule="exact"/>
              <w:ind w:left="50"/>
              <w:jc w:val="left"/>
              <w:rPr>
                <w:sz w:val="28"/>
              </w:rPr>
            </w:pPr>
            <w:r>
              <w:rPr>
                <w:sz w:val="28"/>
              </w:rPr>
              <w:t>FRS,</w:t>
            </w:r>
            <w:r>
              <w:rPr>
                <w:spacing w:val="-3"/>
                <w:sz w:val="28"/>
              </w:rPr>
              <w:t xml:space="preserve"> </w:t>
            </w:r>
            <w:r>
              <w:rPr>
                <w:sz w:val="28"/>
              </w:rPr>
              <w:t>a-</w:t>
            </w:r>
            <w:r>
              <w:rPr>
                <w:spacing w:val="-5"/>
                <w:sz w:val="28"/>
              </w:rPr>
              <w:t>FRS</w:t>
            </w:r>
          </w:p>
        </w:tc>
        <w:tc>
          <w:tcPr>
            <w:tcW w:w="7525" w:type="dxa"/>
          </w:tcPr>
          <w:p w14:paraId="6B2507ED">
            <w:pPr>
              <w:pStyle w:val="11"/>
              <w:spacing w:line="232" w:lineRule="auto"/>
              <w:ind w:left="144"/>
              <w:jc w:val="left"/>
              <w:rPr>
                <w:sz w:val="28"/>
              </w:rPr>
            </w:pPr>
            <w:r>
              <w:rPr>
                <w:sz w:val="28"/>
              </w:rPr>
              <w:t>FRS</w:t>
            </w:r>
            <w:r>
              <w:rPr>
                <w:spacing w:val="40"/>
                <w:sz w:val="28"/>
              </w:rPr>
              <w:t xml:space="preserve"> </w:t>
            </w:r>
            <w:r>
              <w:rPr>
                <w:sz w:val="28"/>
              </w:rPr>
              <w:t>—</w:t>
            </w:r>
            <w:r>
              <w:rPr>
                <w:spacing w:val="40"/>
                <w:sz w:val="28"/>
              </w:rPr>
              <w:t xml:space="preserve"> </w:t>
            </w:r>
            <w:r>
              <w:rPr>
                <w:sz w:val="28"/>
              </w:rPr>
              <w:t>Fistula</w:t>
            </w:r>
            <w:r>
              <w:rPr>
                <w:spacing w:val="40"/>
                <w:sz w:val="28"/>
              </w:rPr>
              <w:t xml:space="preserve"> </w:t>
            </w:r>
            <w:r>
              <w:rPr>
                <w:sz w:val="28"/>
              </w:rPr>
              <w:t>Risk</w:t>
            </w:r>
            <w:r>
              <w:rPr>
                <w:spacing w:val="40"/>
                <w:sz w:val="28"/>
              </w:rPr>
              <w:t xml:space="preserve"> </w:t>
            </w:r>
            <w:r>
              <w:rPr>
                <w:sz w:val="28"/>
              </w:rPr>
              <w:t>Score,</w:t>
            </w:r>
            <w:r>
              <w:rPr>
                <w:spacing w:val="40"/>
                <w:sz w:val="28"/>
              </w:rPr>
              <w:t xml:space="preserve"> </w:t>
            </w:r>
            <w:r>
              <w:rPr>
                <w:sz w:val="28"/>
              </w:rPr>
              <w:t>шкала</w:t>
            </w:r>
            <w:r>
              <w:rPr>
                <w:spacing w:val="40"/>
                <w:sz w:val="28"/>
              </w:rPr>
              <w:t xml:space="preserve"> </w:t>
            </w:r>
            <w:r>
              <w:rPr>
                <w:sz w:val="28"/>
              </w:rPr>
              <w:t>риска</w:t>
            </w:r>
            <w:r>
              <w:rPr>
                <w:spacing w:val="40"/>
                <w:sz w:val="28"/>
              </w:rPr>
              <w:t xml:space="preserve"> </w:t>
            </w:r>
            <w:r>
              <w:rPr>
                <w:sz w:val="28"/>
              </w:rPr>
              <w:t>панкреатического свища.</w:t>
            </w:r>
            <w:r>
              <w:rPr>
                <w:spacing w:val="-5"/>
                <w:sz w:val="28"/>
              </w:rPr>
              <w:t xml:space="preserve"> </w:t>
            </w:r>
            <w:r>
              <w:rPr>
                <w:sz w:val="28"/>
              </w:rPr>
              <w:t>a-FRS</w:t>
            </w:r>
            <w:r>
              <w:rPr>
                <w:spacing w:val="-7"/>
                <w:sz w:val="28"/>
              </w:rPr>
              <w:t xml:space="preserve"> </w:t>
            </w:r>
            <w:r>
              <w:rPr>
                <w:sz w:val="28"/>
              </w:rPr>
              <w:t>—</w:t>
            </w:r>
            <w:r>
              <w:rPr>
                <w:spacing w:val="-6"/>
                <w:sz w:val="28"/>
              </w:rPr>
              <w:t xml:space="preserve"> </w:t>
            </w:r>
            <w:r>
              <w:rPr>
                <w:sz w:val="28"/>
              </w:rPr>
              <w:t>alternative</w:t>
            </w:r>
            <w:r>
              <w:rPr>
                <w:spacing w:val="-2"/>
                <w:sz w:val="28"/>
              </w:rPr>
              <w:t xml:space="preserve"> </w:t>
            </w:r>
            <w:r>
              <w:rPr>
                <w:sz w:val="28"/>
              </w:rPr>
              <w:t>Fistula</w:t>
            </w:r>
            <w:r>
              <w:rPr>
                <w:spacing w:val="-6"/>
                <w:sz w:val="28"/>
              </w:rPr>
              <w:t xml:space="preserve"> </w:t>
            </w:r>
            <w:r>
              <w:rPr>
                <w:sz w:val="28"/>
              </w:rPr>
              <w:t>Risk</w:t>
            </w:r>
            <w:r>
              <w:rPr>
                <w:spacing w:val="-7"/>
                <w:sz w:val="28"/>
              </w:rPr>
              <w:t xml:space="preserve"> </w:t>
            </w:r>
            <w:r>
              <w:rPr>
                <w:sz w:val="28"/>
              </w:rPr>
              <w:t xml:space="preserve">Score, </w:t>
            </w:r>
            <w:r>
              <w:rPr>
                <w:spacing w:val="-2"/>
                <w:sz w:val="28"/>
              </w:rPr>
              <w:t>альтернативная</w:t>
            </w:r>
          </w:p>
          <w:p w14:paraId="06ADFB86">
            <w:pPr>
              <w:pStyle w:val="11"/>
              <w:spacing w:line="300" w:lineRule="exact"/>
              <w:ind w:left="144"/>
              <w:jc w:val="left"/>
              <w:rPr>
                <w:sz w:val="28"/>
              </w:rPr>
            </w:pPr>
            <w:r>
              <w:rPr>
                <w:sz w:val="28"/>
              </w:rPr>
              <w:t>шкала</w:t>
            </w:r>
            <w:r>
              <w:rPr>
                <w:spacing w:val="-10"/>
                <w:sz w:val="28"/>
              </w:rPr>
              <w:t xml:space="preserve"> </w:t>
            </w:r>
            <w:r>
              <w:rPr>
                <w:sz w:val="28"/>
              </w:rPr>
              <w:t>риска</w:t>
            </w:r>
            <w:r>
              <w:rPr>
                <w:spacing w:val="-10"/>
                <w:sz w:val="28"/>
              </w:rPr>
              <w:t xml:space="preserve"> </w:t>
            </w:r>
            <w:r>
              <w:rPr>
                <w:sz w:val="28"/>
              </w:rPr>
              <w:t>панкреатического</w:t>
            </w:r>
            <w:r>
              <w:rPr>
                <w:spacing w:val="-9"/>
                <w:sz w:val="28"/>
              </w:rPr>
              <w:t xml:space="preserve"> </w:t>
            </w:r>
            <w:r>
              <w:rPr>
                <w:spacing w:val="-2"/>
                <w:sz w:val="28"/>
              </w:rPr>
              <w:t>свища.</w:t>
            </w:r>
          </w:p>
        </w:tc>
      </w:tr>
      <w:tr w14:paraId="303E835C">
        <w:tblPrEx>
          <w:tblCellMar>
            <w:top w:w="0" w:type="dxa"/>
            <w:left w:w="0" w:type="dxa"/>
            <w:bottom w:w="0" w:type="dxa"/>
            <w:right w:w="0" w:type="dxa"/>
          </w:tblCellMar>
        </w:tblPrEx>
        <w:trPr>
          <w:trHeight w:val="943" w:hRule="atLeast"/>
        </w:trPr>
        <w:tc>
          <w:tcPr>
            <w:tcW w:w="1893" w:type="dxa"/>
          </w:tcPr>
          <w:p w14:paraId="48A31611">
            <w:pPr>
              <w:pStyle w:val="11"/>
              <w:spacing w:line="235" w:lineRule="auto"/>
              <w:ind w:left="50" w:right="138"/>
              <w:jc w:val="left"/>
              <w:rPr>
                <w:sz w:val="28"/>
              </w:rPr>
            </w:pPr>
            <w:r>
              <w:rPr>
                <w:spacing w:val="-2"/>
                <w:sz w:val="28"/>
              </w:rPr>
              <w:t xml:space="preserve">propensity </w:t>
            </w:r>
            <w:r>
              <w:rPr>
                <w:sz w:val="28"/>
              </w:rPr>
              <w:t>score</w:t>
            </w:r>
            <w:r>
              <w:rPr>
                <w:spacing w:val="-18"/>
                <w:sz w:val="28"/>
              </w:rPr>
              <w:t xml:space="preserve"> </w:t>
            </w:r>
            <w:r>
              <w:rPr>
                <w:sz w:val="28"/>
              </w:rPr>
              <w:t>matching</w:t>
            </w:r>
          </w:p>
        </w:tc>
        <w:tc>
          <w:tcPr>
            <w:tcW w:w="7525" w:type="dxa"/>
          </w:tcPr>
          <w:p w14:paraId="33926477">
            <w:pPr>
              <w:pStyle w:val="11"/>
              <w:tabs>
                <w:tab w:val="left" w:pos="2025"/>
                <w:tab w:val="left" w:pos="3483"/>
                <w:tab w:val="left" w:pos="3987"/>
                <w:tab w:val="left" w:pos="5695"/>
              </w:tabs>
              <w:spacing w:line="235" w:lineRule="auto"/>
              <w:ind w:left="144" w:right="52"/>
              <w:jc w:val="left"/>
              <w:rPr>
                <w:sz w:val="28"/>
              </w:rPr>
            </w:pPr>
            <w:r>
              <w:rPr>
                <w:sz w:val="28"/>
              </w:rPr>
              <w:t>метод</w:t>
            </w:r>
            <w:r>
              <w:rPr>
                <w:spacing w:val="80"/>
                <w:sz w:val="28"/>
              </w:rPr>
              <w:t xml:space="preserve"> </w:t>
            </w:r>
            <w:r>
              <w:rPr>
                <w:sz w:val="28"/>
              </w:rPr>
              <w:t>подбора</w:t>
            </w:r>
            <w:r>
              <w:rPr>
                <w:spacing w:val="80"/>
                <w:sz w:val="28"/>
              </w:rPr>
              <w:t xml:space="preserve"> </w:t>
            </w:r>
            <w:r>
              <w:rPr>
                <w:sz w:val="28"/>
              </w:rPr>
              <w:t>сопоставимых</w:t>
            </w:r>
            <w:r>
              <w:rPr>
                <w:spacing w:val="80"/>
                <w:sz w:val="28"/>
              </w:rPr>
              <w:t xml:space="preserve"> </w:t>
            </w:r>
            <w:r>
              <w:rPr>
                <w:sz w:val="28"/>
              </w:rPr>
              <w:t>групп</w:t>
            </w:r>
            <w:r>
              <w:rPr>
                <w:spacing w:val="80"/>
                <w:sz w:val="28"/>
              </w:rPr>
              <w:t xml:space="preserve"> </w:t>
            </w:r>
            <w:r>
              <w:rPr>
                <w:sz w:val="28"/>
              </w:rPr>
              <w:t>на</w:t>
            </w:r>
            <w:r>
              <w:rPr>
                <w:spacing w:val="80"/>
                <w:sz w:val="28"/>
              </w:rPr>
              <w:t xml:space="preserve"> </w:t>
            </w:r>
            <w:r>
              <w:rPr>
                <w:sz w:val="28"/>
              </w:rPr>
              <w:t>основе</w:t>
            </w:r>
            <w:r>
              <w:rPr>
                <w:spacing w:val="80"/>
                <w:sz w:val="28"/>
              </w:rPr>
              <w:t xml:space="preserve"> </w:t>
            </w:r>
            <w:r>
              <w:rPr>
                <w:sz w:val="28"/>
              </w:rPr>
              <w:t>«оценки</w:t>
            </w:r>
            <w:r>
              <w:rPr>
                <w:spacing w:val="40"/>
                <w:sz w:val="28"/>
              </w:rPr>
              <w:t xml:space="preserve"> </w:t>
            </w:r>
            <w:r>
              <w:rPr>
                <w:spacing w:val="-2"/>
                <w:sz w:val="28"/>
              </w:rPr>
              <w:t>склонности»</w:t>
            </w:r>
            <w:r>
              <w:rPr>
                <w:sz w:val="28"/>
              </w:rPr>
              <w:tab/>
            </w:r>
            <w:r>
              <w:rPr>
                <w:spacing w:val="-2"/>
                <w:sz w:val="28"/>
              </w:rPr>
              <w:t>пациента</w:t>
            </w:r>
            <w:r>
              <w:rPr>
                <w:sz w:val="28"/>
              </w:rPr>
              <w:tab/>
            </w:r>
            <w:r>
              <w:rPr>
                <w:spacing w:val="-10"/>
                <w:sz w:val="28"/>
              </w:rPr>
              <w:t>к</w:t>
            </w:r>
            <w:r>
              <w:rPr>
                <w:sz w:val="28"/>
              </w:rPr>
              <w:tab/>
            </w:r>
            <w:r>
              <w:rPr>
                <w:spacing w:val="-2"/>
                <w:sz w:val="28"/>
              </w:rPr>
              <w:t>получению</w:t>
            </w:r>
            <w:r>
              <w:rPr>
                <w:sz w:val="28"/>
              </w:rPr>
              <w:tab/>
            </w:r>
            <w:r>
              <w:rPr>
                <w:spacing w:val="-2"/>
                <w:sz w:val="28"/>
              </w:rPr>
              <w:t>определённого</w:t>
            </w:r>
          </w:p>
          <w:p w14:paraId="1224FE5A">
            <w:pPr>
              <w:pStyle w:val="11"/>
              <w:spacing w:line="299" w:lineRule="exact"/>
              <w:ind w:left="144"/>
              <w:jc w:val="left"/>
              <w:rPr>
                <w:sz w:val="28"/>
              </w:rPr>
            </w:pPr>
            <w:r>
              <w:rPr>
                <w:spacing w:val="-2"/>
                <w:sz w:val="28"/>
              </w:rPr>
              <w:t>вмешательства.</w:t>
            </w:r>
          </w:p>
        </w:tc>
      </w:tr>
    </w:tbl>
    <w:p w14:paraId="694230E5">
      <w:pPr>
        <w:pStyle w:val="11"/>
        <w:spacing w:line="299" w:lineRule="exact"/>
        <w:jc w:val="left"/>
        <w:rPr>
          <w:sz w:val="28"/>
        </w:rPr>
        <w:sectPr>
          <w:type w:val="continuous"/>
          <w:pgSz w:w="11910" w:h="16840"/>
          <w:pgMar w:top="1100" w:right="425" w:bottom="1200" w:left="1559" w:header="0" w:footer="937" w:gutter="0"/>
          <w:cols w:space="720" w:num="1"/>
        </w:sectPr>
      </w:pPr>
    </w:p>
    <w:p w14:paraId="2B5A9E2E">
      <w:pPr>
        <w:spacing w:before="67" w:line="319" w:lineRule="exact"/>
        <w:ind w:left="-1" w:right="2"/>
        <w:jc w:val="center"/>
        <w:rPr>
          <w:b/>
          <w:spacing w:val="-2"/>
          <w:sz w:val="28"/>
        </w:rPr>
      </w:pPr>
      <w:r>
        <w:rPr>
          <w:b/>
          <w:spacing w:val="-2"/>
          <w:sz w:val="28"/>
        </w:rPr>
        <w:t>ВВЕДЕНИЕ</w:t>
      </w:r>
    </w:p>
    <w:p w14:paraId="4E730E25">
      <w:pPr>
        <w:spacing w:before="67" w:line="319" w:lineRule="exact"/>
        <w:ind w:left="-1" w:right="2"/>
        <w:jc w:val="center"/>
        <w:rPr>
          <w:b/>
          <w:sz w:val="28"/>
        </w:rPr>
      </w:pPr>
    </w:p>
    <w:p w14:paraId="2EF28D90">
      <w:pPr>
        <w:pStyle w:val="7"/>
        <w:ind w:left="0" w:right="3" w:firstLine="706"/>
      </w:pPr>
      <w:r>
        <w:t>Гастропанкреатодуоденальная резекция (ГПДР) рассматривается как стандартная операция с радикальной целью и остаётся единственным потенциально излечивающим методом лечения резектабельных злокачественных опухолей периампулярной зоны, включая рак головки поджелудочной железы (ГПЖ), большого дуоденального сосочка (БДС), терминального отдела холедоха (ТОХ) и двенадцатиперстной кишки (ДПК) [1,2]. Для рака ГПЖ хирургическая резекция также является единственным методом, способным обеспечить долгосрочную выживаемость у отобранных пациентов [3].</w:t>
      </w:r>
    </w:p>
    <w:p w14:paraId="2A2DAB46">
      <w:pPr>
        <w:pStyle w:val="7"/>
        <w:tabs>
          <w:tab w:val="left" w:pos="7088"/>
        </w:tabs>
        <w:ind w:left="0" w:right="3" w:firstLine="706"/>
      </w:pPr>
      <w:r>
        <w:t>По данным глобальной онкологической статистики, рак поджелудочной железы (РПЖ) характеризуется устойчиво высокой смертностью и крайне неблагоприятным прогнозом, с пятилетней выживаемостью на уровне 10-12%, что подчёркивает высокую клиническую значимость совершенствования хирургического лечения и профилактики осложнений [4,5].</w:t>
      </w:r>
    </w:p>
    <w:p w14:paraId="35106DBA">
      <w:pPr>
        <w:pStyle w:val="7"/>
        <w:ind w:left="0" w:right="3" w:firstLine="706"/>
      </w:pPr>
      <w:r>
        <w:t>Несмотря на совершенствование хирургической техники, внедрение малоинвазивных подходов и протоколов ускоренного восстановления (ERAS), ГПДР</w:t>
      </w:r>
      <w:r>
        <w:rPr>
          <w:spacing w:val="-18"/>
        </w:rPr>
        <w:t xml:space="preserve"> </w:t>
      </w:r>
      <w:r>
        <w:t>остаётся</w:t>
      </w:r>
      <w:r>
        <w:rPr>
          <w:spacing w:val="-17"/>
        </w:rPr>
        <w:t xml:space="preserve"> </w:t>
      </w:r>
      <w:r>
        <w:t>одной</w:t>
      </w:r>
      <w:r>
        <w:rPr>
          <w:spacing w:val="-18"/>
        </w:rPr>
        <w:t xml:space="preserve"> </w:t>
      </w:r>
      <w:r>
        <w:t>из</w:t>
      </w:r>
      <w:r>
        <w:rPr>
          <w:spacing w:val="-16"/>
        </w:rPr>
        <w:t xml:space="preserve"> </w:t>
      </w:r>
      <w:r>
        <w:t>наиболее</w:t>
      </w:r>
      <w:r>
        <w:rPr>
          <w:spacing w:val="-17"/>
        </w:rPr>
        <w:t xml:space="preserve"> </w:t>
      </w:r>
      <w:r>
        <w:t>сложных</w:t>
      </w:r>
      <w:r>
        <w:rPr>
          <w:spacing w:val="-18"/>
        </w:rPr>
        <w:t xml:space="preserve"> </w:t>
      </w:r>
      <w:r>
        <w:t>операций</w:t>
      </w:r>
      <w:r>
        <w:rPr>
          <w:spacing w:val="-13"/>
        </w:rPr>
        <w:t xml:space="preserve"> </w:t>
      </w:r>
      <w:r>
        <w:t>в</w:t>
      </w:r>
      <w:r>
        <w:rPr>
          <w:spacing w:val="-18"/>
        </w:rPr>
        <w:t xml:space="preserve"> </w:t>
      </w:r>
      <w:r>
        <w:t>абдоминальной</w:t>
      </w:r>
      <w:r>
        <w:rPr>
          <w:spacing w:val="-13"/>
        </w:rPr>
        <w:t xml:space="preserve"> </w:t>
      </w:r>
      <w:r>
        <w:t>хирургии и сопровождается высокой частотой послеоперационных осложнений, достигающей 30–50% даже в специализированных центрах [6,7].</w:t>
      </w:r>
    </w:p>
    <w:p w14:paraId="524E557B">
      <w:pPr>
        <w:pStyle w:val="7"/>
        <w:tabs>
          <w:tab w:val="left" w:pos="8505"/>
        </w:tabs>
        <w:ind w:left="0" w:right="3" w:firstLine="706"/>
      </w:pPr>
      <w:r>
        <w:t>Панкреатический свищ (ПС) является наиболее частым и клинически значимым осложнением после ГПДР. Согласно обновлённой классификации Международной группы по изучению панкреатических свищей (ISGPS), клинически значимые формы ПС (степень B и C) ассоциируются с развитием интраабдоминальных кровотечений, сепсиса, полиорганной недостаточности, увеличением длительности госпитализации и необходимостью повторных хирургических вмешательств [8]. По данным современных метаанализов, частота клинически значимого ПС (КЗ-ПС) после ГПДР варьирует в пределах 10–30% и оказывает существенное влияние на непосредственные результаты лечения [9]. Даже в высокообъёмных центрах проблема ПС остаётся нерешённой: клинические серии и регистры демонстрируют сохранение частоты ПС на уровне около 20% несмотря на стандартизацию хирургических методик и совершенствование периоперационного ведения [10]. Это подчёркивает необходимость</w:t>
      </w:r>
      <w:r>
        <w:rPr>
          <w:spacing w:val="-18"/>
        </w:rPr>
        <w:t xml:space="preserve"> </w:t>
      </w:r>
      <w:r>
        <w:t>разработки</w:t>
      </w:r>
      <w:r>
        <w:rPr>
          <w:spacing w:val="-17"/>
        </w:rPr>
        <w:t xml:space="preserve"> </w:t>
      </w:r>
      <w:r>
        <w:t>дифференцированных</w:t>
      </w:r>
      <w:r>
        <w:rPr>
          <w:spacing w:val="-18"/>
        </w:rPr>
        <w:t xml:space="preserve"> </w:t>
      </w:r>
      <w:r>
        <w:t>профилактических</w:t>
      </w:r>
      <w:r>
        <w:rPr>
          <w:spacing w:val="-17"/>
        </w:rPr>
        <w:t xml:space="preserve"> </w:t>
      </w:r>
      <w:r>
        <w:t>стратегий</w:t>
      </w:r>
      <w:r>
        <w:rPr>
          <w:spacing w:val="-18"/>
        </w:rPr>
        <w:t xml:space="preserve"> </w:t>
      </w:r>
      <w:r>
        <w:t>с учётом индивидуального риска пациента.</w:t>
      </w:r>
    </w:p>
    <w:p w14:paraId="22323284">
      <w:pPr>
        <w:pStyle w:val="7"/>
        <w:spacing w:before="3"/>
        <w:ind w:left="0" w:right="3" w:firstLine="706"/>
      </w:pPr>
      <w:r>
        <w:t>Ключевыми</w:t>
      </w:r>
      <w:r>
        <w:rPr>
          <w:spacing w:val="-5"/>
        </w:rPr>
        <w:t xml:space="preserve"> </w:t>
      </w:r>
      <w:r>
        <w:t>факторами</w:t>
      </w:r>
      <w:r>
        <w:rPr>
          <w:spacing w:val="-5"/>
        </w:rPr>
        <w:t xml:space="preserve"> </w:t>
      </w:r>
      <w:r>
        <w:t>риска</w:t>
      </w:r>
      <w:r>
        <w:rPr>
          <w:spacing w:val="-4"/>
        </w:rPr>
        <w:t xml:space="preserve"> </w:t>
      </w:r>
      <w:r>
        <w:t>развития ПС</w:t>
      </w:r>
      <w:r>
        <w:rPr>
          <w:spacing w:val="-4"/>
        </w:rPr>
        <w:t xml:space="preserve"> </w:t>
      </w:r>
      <w:r>
        <w:t>считаются</w:t>
      </w:r>
      <w:r>
        <w:rPr>
          <w:spacing w:val="-3"/>
        </w:rPr>
        <w:t xml:space="preserve"> </w:t>
      </w:r>
      <w:r>
        <w:t>мягкая</w:t>
      </w:r>
      <w:r>
        <w:rPr>
          <w:spacing w:val="-3"/>
        </w:rPr>
        <w:t xml:space="preserve"> </w:t>
      </w:r>
      <w:r>
        <w:t>консистенция поджелудочной железы (ПЖ) и маленький диаметр панкреатического протока (ПП), а также интраоперационные параметры, отражающие техническую сложность</w:t>
      </w:r>
      <w:r>
        <w:rPr>
          <w:spacing w:val="-15"/>
        </w:rPr>
        <w:t xml:space="preserve"> </w:t>
      </w:r>
      <w:r>
        <w:t>вмешательства</w:t>
      </w:r>
      <w:r>
        <w:rPr>
          <w:spacing w:val="-13"/>
        </w:rPr>
        <w:t xml:space="preserve"> </w:t>
      </w:r>
      <w:r>
        <w:t>[11-13].</w:t>
      </w:r>
      <w:r>
        <w:rPr>
          <w:spacing w:val="-12"/>
        </w:rPr>
        <w:t xml:space="preserve"> </w:t>
      </w:r>
      <w:r>
        <w:t>В</w:t>
      </w:r>
      <w:r>
        <w:rPr>
          <w:spacing w:val="-16"/>
        </w:rPr>
        <w:t xml:space="preserve"> </w:t>
      </w:r>
      <w:r>
        <w:t>последние</w:t>
      </w:r>
      <w:r>
        <w:rPr>
          <w:spacing w:val="-14"/>
        </w:rPr>
        <w:t xml:space="preserve"> </w:t>
      </w:r>
      <w:r>
        <w:t>годы</w:t>
      </w:r>
      <w:r>
        <w:rPr>
          <w:spacing w:val="-14"/>
        </w:rPr>
        <w:t xml:space="preserve"> </w:t>
      </w:r>
      <w:r>
        <w:t>возрастает</w:t>
      </w:r>
      <w:r>
        <w:rPr>
          <w:spacing w:val="-15"/>
        </w:rPr>
        <w:t xml:space="preserve"> </w:t>
      </w:r>
      <w:r>
        <w:t>значение</w:t>
      </w:r>
      <w:r>
        <w:rPr>
          <w:spacing w:val="-14"/>
        </w:rPr>
        <w:t xml:space="preserve"> </w:t>
      </w:r>
      <w:r>
        <w:t>ранней послеоперационной</w:t>
      </w:r>
      <w:r>
        <w:rPr>
          <w:spacing w:val="-9"/>
        </w:rPr>
        <w:t xml:space="preserve"> </w:t>
      </w:r>
      <w:r>
        <w:t>стратификации</w:t>
      </w:r>
      <w:r>
        <w:rPr>
          <w:spacing w:val="-9"/>
        </w:rPr>
        <w:t xml:space="preserve"> </w:t>
      </w:r>
      <w:r>
        <w:t>риска</w:t>
      </w:r>
      <w:r>
        <w:rPr>
          <w:spacing w:val="-8"/>
        </w:rPr>
        <w:t xml:space="preserve"> </w:t>
      </w:r>
      <w:r>
        <w:t>на</w:t>
      </w:r>
      <w:r>
        <w:rPr>
          <w:spacing w:val="-8"/>
        </w:rPr>
        <w:t xml:space="preserve"> </w:t>
      </w:r>
      <w:r>
        <w:t>основании</w:t>
      </w:r>
      <w:r>
        <w:rPr>
          <w:spacing w:val="-9"/>
        </w:rPr>
        <w:t xml:space="preserve"> </w:t>
      </w:r>
      <w:r>
        <w:t>амилазной</w:t>
      </w:r>
      <w:r>
        <w:rPr>
          <w:spacing w:val="-1"/>
        </w:rPr>
        <w:t xml:space="preserve"> </w:t>
      </w:r>
      <w:r>
        <w:t>активности</w:t>
      </w:r>
      <w:r>
        <w:rPr>
          <w:spacing w:val="-8"/>
        </w:rPr>
        <w:t xml:space="preserve"> </w:t>
      </w:r>
      <w:r>
        <w:t>в дренажной</w:t>
      </w:r>
      <w:r>
        <w:rPr>
          <w:spacing w:val="-18"/>
        </w:rPr>
        <w:t xml:space="preserve"> </w:t>
      </w:r>
      <w:r>
        <w:t>жидкости</w:t>
      </w:r>
      <w:r>
        <w:rPr>
          <w:spacing w:val="-17"/>
        </w:rPr>
        <w:t xml:space="preserve"> </w:t>
      </w:r>
      <w:r>
        <w:t>(ААД),</w:t>
      </w:r>
      <w:r>
        <w:rPr>
          <w:spacing w:val="-18"/>
        </w:rPr>
        <w:t xml:space="preserve"> </w:t>
      </w:r>
      <w:r>
        <w:t>что</w:t>
      </w:r>
      <w:r>
        <w:rPr>
          <w:spacing w:val="-17"/>
        </w:rPr>
        <w:t xml:space="preserve"> </w:t>
      </w:r>
      <w:r>
        <w:t>используется</w:t>
      </w:r>
      <w:r>
        <w:rPr>
          <w:spacing w:val="-18"/>
        </w:rPr>
        <w:t xml:space="preserve"> </w:t>
      </w:r>
      <w:r>
        <w:t>для</w:t>
      </w:r>
      <w:r>
        <w:rPr>
          <w:spacing w:val="-17"/>
        </w:rPr>
        <w:t xml:space="preserve"> </w:t>
      </w:r>
      <w:r>
        <w:t>оптимизации</w:t>
      </w:r>
      <w:r>
        <w:rPr>
          <w:spacing w:val="-17"/>
        </w:rPr>
        <w:t xml:space="preserve"> </w:t>
      </w:r>
      <w:r>
        <w:t>тактики</w:t>
      </w:r>
      <w:r>
        <w:rPr>
          <w:spacing w:val="-18"/>
        </w:rPr>
        <w:t xml:space="preserve"> </w:t>
      </w:r>
      <w:r>
        <w:t>ведения пациентов и принятия решений об удалении дренажей [14].</w:t>
      </w:r>
    </w:p>
    <w:p w14:paraId="7AC8BBD4">
      <w:pPr>
        <w:pStyle w:val="7"/>
        <w:ind w:left="0" w:right="3" w:firstLine="706"/>
      </w:pPr>
      <w:r>
        <w:t>Наряду с ранними хирургическими осложнениями после ГПДР описаны метаболические</w:t>
      </w:r>
      <w:r>
        <w:rPr>
          <w:spacing w:val="10"/>
        </w:rPr>
        <w:t xml:space="preserve"> </w:t>
      </w:r>
      <w:r>
        <w:t>нарушения,</w:t>
      </w:r>
      <w:r>
        <w:rPr>
          <w:spacing w:val="12"/>
        </w:rPr>
        <w:t xml:space="preserve"> </w:t>
      </w:r>
      <w:r>
        <w:t>связанные</w:t>
      </w:r>
      <w:r>
        <w:rPr>
          <w:spacing w:val="15"/>
        </w:rPr>
        <w:t xml:space="preserve"> </w:t>
      </w:r>
      <w:r>
        <w:t>с</w:t>
      </w:r>
      <w:r>
        <w:rPr>
          <w:spacing w:val="11"/>
        </w:rPr>
        <w:t xml:space="preserve"> </w:t>
      </w:r>
      <w:r>
        <w:t>экзокринной</w:t>
      </w:r>
      <w:r>
        <w:rPr>
          <w:spacing w:val="9"/>
        </w:rPr>
        <w:t xml:space="preserve"> </w:t>
      </w:r>
      <w:r>
        <w:t>недостаточностью</w:t>
      </w:r>
      <w:r>
        <w:rPr>
          <w:spacing w:val="14"/>
        </w:rPr>
        <w:t xml:space="preserve"> </w:t>
      </w:r>
      <w:r>
        <w:t>ПЖ</w:t>
      </w:r>
      <w:r>
        <w:rPr>
          <w:spacing w:val="10"/>
        </w:rPr>
        <w:t xml:space="preserve"> </w:t>
      </w:r>
      <w:r>
        <w:t>нутритивным</w:t>
      </w:r>
      <w:r>
        <w:rPr>
          <w:spacing w:val="-12"/>
        </w:rPr>
        <w:t xml:space="preserve"> </w:t>
      </w:r>
      <w:r>
        <w:t>дефицитом.</w:t>
      </w:r>
      <w:r>
        <w:rPr>
          <w:spacing w:val="-11"/>
        </w:rPr>
        <w:t xml:space="preserve"> </w:t>
      </w:r>
      <w:r>
        <w:t>В</w:t>
      </w:r>
      <w:r>
        <w:rPr>
          <w:spacing w:val="-15"/>
        </w:rPr>
        <w:t xml:space="preserve"> </w:t>
      </w:r>
      <w:r>
        <w:t>отдельных</w:t>
      </w:r>
      <w:r>
        <w:rPr>
          <w:spacing w:val="-17"/>
        </w:rPr>
        <w:t xml:space="preserve"> </w:t>
      </w:r>
      <w:r>
        <w:t>случаях</w:t>
      </w:r>
      <w:r>
        <w:rPr>
          <w:spacing w:val="-17"/>
        </w:rPr>
        <w:t xml:space="preserve"> </w:t>
      </w:r>
      <w:r>
        <w:t>они</w:t>
      </w:r>
      <w:r>
        <w:rPr>
          <w:spacing w:val="-13"/>
        </w:rPr>
        <w:t xml:space="preserve"> </w:t>
      </w:r>
      <w:r>
        <w:t>могут</w:t>
      </w:r>
      <w:r>
        <w:rPr>
          <w:spacing w:val="-14"/>
        </w:rPr>
        <w:t xml:space="preserve"> </w:t>
      </w:r>
      <w:r>
        <w:t>приводить</w:t>
      </w:r>
      <w:r>
        <w:rPr>
          <w:spacing w:val="-14"/>
        </w:rPr>
        <w:t xml:space="preserve"> </w:t>
      </w:r>
      <w:r>
        <w:t>к</w:t>
      </w:r>
      <w:r>
        <w:rPr>
          <w:spacing w:val="-14"/>
        </w:rPr>
        <w:t xml:space="preserve"> </w:t>
      </w:r>
      <w:r>
        <w:t xml:space="preserve">развитию вторичного жирового гепатоза, ухудшающего отдалённые результаты лечения </w:t>
      </w:r>
      <w:r>
        <w:rPr>
          <w:spacing w:val="-2"/>
        </w:rPr>
        <w:t>[15].</w:t>
      </w:r>
    </w:p>
    <w:p w14:paraId="01DAB7F8">
      <w:pPr>
        <w:pStyle w:val="7"/>
        <w:ind w:left="0" w:right="3" w:firstLine="706"/>
      </w:pPr>
      <w:r>
        <w:t>В Республике Казахстан ГПДР впервые была выполнена в 1980 году в Национальном Научном центре хирургии (ННЦХ) имени А.Н. Сызганова. За период с 2016 по 2022 гг. в данном учреждении было выполнено 193 ГПДР. В 2019 году здесь впервые в стране была успешно выполнена лапароскопическая ГПДР, что стало важным этапом внедрения малоинвазивных технологий в хирургии опухолей периампулярной зоны [16,17].</w:t>
      </w:r>
    </w:p>
    <w:p w14:paraId="3ED053A0">
      <w:pPr>
        <w:pStyle w:val="7"/>
        <w:spacing w:before="3"/>
        <w:ind w:left="0" w:right="3" w:firstLine="706"/>
      </w:pPr>
      <w:r>
        <w:t>Таким образом, разработка и внедрение комплексных методов профилактики ПС после ГПДР остаётся одной из наиболее актуальных задач современной панкреатохирургии. Решение этой проблемы имеет не только клиническое, но и значительное социально-экономическое значение, так как позволяет снизить частоту тяжёлых осложнений, сократить длительность госпитализации и повысить эффективность онкологической помощи в Республике Казахстан и странах СНГ.</w:t>
      </w:r>
    </w:p>
    <w:p w14:paraId="5924F33F">
      <w:pPr>
        <w:pStyle w:val="7"/>
        <w:spacing w:line="242" w:lineRule="auto"/>
        <w:ind w:left="0" w:right="3" w:firstLine="706"/>
      </w:pPr>
      <w:r>
        <w:rPr>
          <w:b/>
        </w:rPr>
        <w:t>Цель исследования:</w:t>
      </w:r>
      <w:r>
        <w:t>Улучшить результаты гастропанкреатодуоденальной резекции у больных с опухолью периампулярной зоны путем использования разработанных методов профилактики и лечения панкреатических свищей.</w:t>
      </w:r>
    </w:p>
    <w:p w14:paraId="7994ABB9">
      <w:pPr>
        <w:pStyle w:val="3"/>
        <w:spacing w:line="318" w:lineRule="exact"/>
        <w:ind w:left="0" w:firstLine="706"/>
      </w:pPr>
      <w:r>
        <w:t>Задачи</w:t>
      </w:r>
      <w:r>
        <w:rPr>
          <w:spacing w:val="-10"/>
        </w:rPr>
        <w:t xml:space="preserve"> </w:t>
      </w:r>
      <w:r>
        <w:rPr>
          <w:spacing w:val="-2"/>
        </w:rPr>
        <w:t>исследования</w:t>
      </w:r>
    </w:p>
    <w:p w14:paraId="578CD15D">
      <w:pPr>
        <w:pStyle w:val="10"/>
        <w:numPr>
          <w:ilvl w:val="0"/>
          <w:numId w:val="1"/>
        </w:numPr>
        <w:tabs>
          <w:tab w:val="left" w:pos="988"/>
          <w:tab w:val="left" w:pos="3233"/>
          <w:tab w:val="left" w:pos="6443"/>
          <w:tab w:val="left" w:pos="8353"/>
        </w:tabs>
        <w:ind w:left="0" w:right="3" w:firstLine="706"/>
        <w:rPr>
          <w:sz w:val="28"/>
        </w:rPr>
      </w:pPr>
      <w:r>
        <w:rPr>
          <w:spacing w:val="-2"/>
          <w:sz w:val="28"/>
        </w:rPr>
        <w:t>Провести</w:t>
      </w:r>
      <w:r>
        <w:rPr>
          <w:sz w:val="28"/>
          <w:lang w:val="kk-KZ"/>
        </w:rPr>
        <w:t xml:space="preserve"> </w:t>
      </w:r>
      <w:r>
        <w:rPr>
          <w:spacing w:val="-2"/>
          <w:sz w:val="28"/>
        </w:rPr>
        <w:t>ретроспективный</w:t>
      </w:r>
      <w:r>
        <w:rPr>
          <w:sz w:val="28"/>
          <w:lang w:val="kk-KZ"/>
        </w:rPr>
        <w:t xml:space="preserve"> </w:t>
      </w:r>
      <w:r>
        <w:rPr>
          <w:spacing w:val="-2"/>
          <w:sz w:val="28"/>
        </w:rPr>
        <w:t>анализ</w:t>
      </w:r>
      <w:r>
        <w:rPr>
          <w:sz w:val="28"/>
          <w:lang w:val="kk-KZ"/>
        </w:rPr>
        <w:t xml:space="preserve"> </w:t>
      </w:r>
      <w:r>
        <w:rPr>
          <w:spacing w:val="-2"/>
          <w:sz w:val="28"/>
        </w:rPr>
        <w:t xml:space="preserve">результатов </w:t>
      </w:r>
      <w:r>
        <w:rPr>
          <w:sz w:val="28"/>
        </w:rPr>
        <w:t>гастропанкреатодуоденальной резекции</w:t>
      </w:r>
      <w:r>
        <w:rPr>
          <w:spacing w:val="40"/>
          <w:sz w:val="28"/>
        </w:rPr>
        <w:t xml:space="preserve"> </w:t>
      </w:r>
      <w:r>
        <w:rPr>
          <w:sz w:val="28"/>
        </w:rPr>
        <w:t>при опухолях периампулярной зоны.</w:t>
      </w:r>
    </w:p>
    <w:p w14:paraId="5048D20C">
      <w:pPr>
        <w:pStyle w:val="10"/>
        <w:numPr>
          <w:ilvl w:val="0"/>
          <w:numId w:val="1"/>
        </w:numPr>
        <w:tabs>
          <w:tab w:val="left" w:pos="988"/>
        </w:tabs>
        <w:ind w:left="0" w:right="3" w:firstLine="706"/>
        <w:rPr>
          <w:sz w:val="28"/>
        </w:rPr>
      </w:pPr>
      <w:r>
        <w:rPr>
          <w:sz w:val="28"/>
        </w:rPr>
        <w:t>Выявить основные причины послеоперационных осложнений и летальных исходов после гастропанкреатодуоденальной резекции.</w:t>
      </w:r>
    </w:p>
    <w:p w14:paraId="14AEFA77">
      <w:pPr>
        <w:pStyle w:val="10"/>
        <w:numPr>
          <w:ilvl w:val="0"/>
          <w:numId w:val="1"/>
        </w:numPr>
        <w:tabs>
          <w:tab w:val="left" w:pos="1060"/>
        </w:tabs>
        <w:ind w:left="0" w:right="3" w:firstLine="706"/>
        <w:rPr>
          <w:sz w:val="28"/>
        </w:rPr>
      </w:pPr>
      <w:r>
        <w:rPr>
          <w:sz w:val="28"/>
        </w:rPr>
        <w:t>Разработать методы профилактики панкреатических свищей после гастропанкреатодуоденальной резекции.</w:t>
      </w:r>
    </w:p>
    <w:p w14:paraId="17CB747C">
      <w:pPr>
        <w:pStyle w:val="10"/>
        <w:numPr>
          <w:ilvl w:val="0"/>
          <w:numId w:val="1"/>
        </w:numPr>
        <w:tabs>
          <w:tab w:val="left" w:pos="988"/>
          <w:tab w:val="left" w:pos="3322"/>
          <w:tab w:val="left" w:pos="6354"/>
          <w:tab w:val="left" w:pos="8355"/>
        </w:tabs>
        <w:ind w:left="0" w:right="3" w:firstLine="706"/>
        <w:rPr>
          <w:sz w:val="28"/>
        </w:rPr>
      </w:pPr>
      <w:r>
        <w:rPr>
          <w:spacing w:val="-2"/>
          <w:sz w:val="28"/>
        </w:rPr>
        <w:t>Провести</w:t>
      </w:r>
      <w:r>
        <w:rPr>
          <w:sz w:val="28"/>
          <w:lang w:val="kk-KZ"/>
        </w:rPr>
        <w:t xml:space="preserve"> </w:t>
      </w:r>
      <w:r>
        <w:rPr>
          <w:spacing w:val="-2"/>
          <w:sz w:val="28"/>
        </w:rPr>
        <w:t>сравнительный</w:t>
      </w:r>
      <w:r>
        <w:rPr>
          <w:sz w:val="28"/>
          <w:lang w:val="kk-KZ"/>
        </w:rPr>
        <w:t xml:space="preserve"> </w:t>
      </w:r>
      <w:r>
        <w:rPr>
          <w:spacing w:val="-2"/>
          <w:sz w:val="28"/>
        </w:rPr>
        <w:t>анализ</w:t>
      </w:r>
      <w:r>
        <w:rPr>
          <w:sz w:val="28"/>
          <w:lang w:val="kk-KZ"/>
        </w:rPr>
        <w:t xml:space="preserve"> </w:t>
      </w:r>
      <w:r>
        <w:rPr>
          <w:spacing w:val="-2"/>
          <w:sz w:val="28"/>
        </w:rPr>
        <w:t xml:space="preserve">результатов </w:t>
      </w:r>
      <w:r>
        <w:rPr>
          <w:sz w:val="28"/>
        </w:rPr>
        <w:t>гастро</w:t>
      </w:r>
      <w:r>
        <w:rPr>
          <w:sz w:val="28"/>
          <w:lang w:val="kk-KZ"/>
        </w:rPr>
        <w:t>-</w:t>
      </w:r>
      <w:r>
        <w:rPr>
          <w:sz w:val="28"/>
        </w:rPr>
        <w:t>панкреатодуоденальной резекции</w:t>
      </w:r>
      <w:r>
        <w:rPr>
          <w:spacing w:val="40"/>
          <w:sz w:val="28"/>
        </w:rPr>
        <w:t xml:space="preserve"> </w:t>
      </w:r>
      <w:r>
        <w:rPr>
          <w:sz w:val="28"/>
        </w:rPr>
        <w:t>с учетом предложенных методов профилактики и лечения панкреатических свищей.</w:t>
      </w:r>
    </w:p>
    <w:p w14:paraId="734076EF">
      <w:pPr>
        <w:pStyle w:val="10"/>
        <w:numPr>
          <w:ilvl w:val="0"/>
          <w:numId w:val="1"/>
        </w:numPr>
        <w:tabs>
          <w:tab w:val="left" w:pos="988"/>
        </w:tabs>
        <w:ind w:left="0" w:right="3" w:firstLine="706"/>
        <w:rPr>
          <w:sz w:val="28"/>
        </w:rPr>
      </w:pPr>
      <w:r>
        <w:rPr>
          <w:sz w:val="28"/>
        </w:rPr>
        <w:t>Разработать алгоритм профилактики и лечения панкреатических свищей после гастропанкреатодуоденальной резекции</w:t>
      </w:r>
      <w:r>
        <w:rPr>
          <w:spacing w:val="40"/>
          <w:sz w:val="28"/>
        </w:rPr>
        <w:t xml:space="preserve"> </w:t>
      </w:r>
      <w:r>
        <w:rPr>
          <w:sz w:val="28"/>
        </w:rPr>
        <w:t xml:space="preserve">при опухолях периампулярной </w:t>
      </w:r>
      <w:r>
        <w:rPr>
          <w:spacing w:val="-2"/>
          <w:sz w:val="28"/>
        </w:rPr>
        <w:t>зоны.</w:t>
      </w:r>
    </w:p>
    <w:p w14:paraId="0B1FB061">
      <w:pPr>
        <w:pStyle w:val="3"/>
        <w:spacing w:line="314" w:lineRule="exact"/>
        <w:ind w:left="0" w:right="3" w:firstLine="706"/>
      </w:pPr>
      <w:r>
        <w:t>Научная</w:t>
      </w:r>
      <w:r>
        <w:rPr>
          <w:spacing w:val="-11"/>
        </w:rPr>
        <w:t xml:space="preserve"> </w:t>
      </w:r>
      <w:r>
        <w:t>новизна</w:t>
      </w:r>
      <w:r>
        <w:rPr>
          <w:spacing w:val="-8"/>
        </w:rPr>
        <w:t xml:space="preserve"> </w:t>
      </w:r>
      <w:r>
        <w:t>и</w:t>
      </w:r>
      <w:r>
        <w:rPr>
          <w:spacing w:val="-10"/>
        </w:rPr>
        <w:t xml:space="preserve"> </w:t>
      </w:r>
      <w:r>
        <w:t>значимость</w:t>
      </w:r>
      <w:r>
        <w:rPr>
          <w:spacing w:val="-11"/>
        </w:rPr>
        <w:t xml:space="preserve"> </w:t>
      </w:r>
      <w:r>
        <w:rPr>
          <w:spacing w:val="-2"/>
        </w:rPr>
        <w:t>исследования</w:t>
      </w:r>
    </w:p>
    <w:p w14:paraId="59BE2EF6">
      <w:pPr>
        <w:pStyle w:val="7"/>
        <w:spacing w:line="319" w:lineRule="exact"/>
        <w:ind w:left="707" w:right="3" w:firstLine="0"/>
      </w:pPr>
      <w:r>
        <w:t>Впервые</w:t>
      </w:r>
      <w:r>
        <w:rPr>
          <w:spacing w:val="-8"/>
        </w:rPr>
        <w:t xml:space="preserve"> </w:t>
      </w:r>
      <w:r>
        <w:t>в</w:t>
      </w:r>
      <w:r>
        <w:rPr>
          <w:spacing w:val="-9"/>
        </w:rPr>
        <w:t xml:space="preserve"> </w:t>
      </w:r>
      <w:r>
        <w:t>Республике</w:t>
      </w:r>
      <w:r>
        <w:rPr>
          <w:spacing w:val="-8"/>
        </w:rPr>
        <w:t xml:space="preserve"> </w:t>
      </w:r>
      <w:r>
        <w:rPr>
          <w:spacing w:val="-2"/>
        </w:rPr>
        <w:t>Казахстан:</w:t>
      </w:r>
    </w:p>
    <w:p w14:paraId="701C7645">
      <w:pPr>
        <w:pStyle w:val="10"/>
        <w:numPr>
          <w:ilvl w:val="0"/>
          <w:numId w:val="2"/>
        </w:numPr>
        <w:tabs>
          <w:tab w:val="left" w:pos="993"/>
        </w:tabs>
        <w:ind w:left="0" w:right="3" w:firstLine="706"/>
        <w:rPr>
          <w:sz w:val="28"/>
        </w:rPr>
      </w:pPr>
      <w:r>
        <w:rPr>
          <w:sz w:val="28"/>
        </w:rPr>
        <w:t>Разработан и обоснован метод формирования модифицированного панкреатоеюноанастомоза для профилактики панкреатических свищей после ГПДР, основанный на оценке консистенции поджелудочной железы, диаметра панкреатического протока и ферментативной активности секрета. Применение подхода позволило снизить частоту ПС и осложнений. Был получен патент на изобретение «Способ формирования панкреатоеюноанастомоза при гастропанкреатодуоденальной резекции», дата регистрации: 08.05.2025г. номер свидетельства: № 37308.</w:t>
      </w:r>
    </w:p>
    <w:p w14:paraId="0EF22C48">
      <w:pPr>
        <w:pStyle w:val="10"/>
        <w:numPr>
          <w:ilvl w:val="0"/>
          <w:numId w:val="2"/>
        </w:numPr>
        <w:tabs>
          <w:tab w:val="left" w:pos="993"/>
        </w:tabs>
        <w:ind w:left="0" w:right="3" w:firstLine="706"/>
        <w:rPr>
          <w:sz w:val="28"/>
        </w:rPr>
      </w:pPr>
      <w:r>
        <w:rPr>
          <w:sz w:val="28"/>
        </w:rPr>
        <w:t>Разработан и обоснован оригинальный метод профилактики аррозивных кровотечений после ГПДР, путем окутывания культи гастродуоденальной артерии</w:t>
      </w:r>
      <w:r>
        <w:rPr>
          <w:spacing w:val="80"/>
          <w:w w:val="150"/>
          <w:sz w:val="28"/>
        </w:rPr>
        <w:t xml:space="preserve"> </w:t>
      </w:r>
      <w:r>
        <w:rPr>
          <w:sz w:val="28"/>
        </w:rPr>
        <w:t>и</w:t>
      </w:r>
      <w:r>
        <w:rPr>
          <w:spacing w:val="80"/>
          <w:w w:val="150"/>
          <w:sz w:val="28"/>
        </w:rPr>
        <w:t xml:space="preserve"> </w:t>
      </w:r>
      <w:r>
        <w:rPr>
          <w:sz w:val="28"/>
        </w:rPr>
        <w:t>печеночной</w:t>
      </w:r>
      <w:r>
        <w:rPr>
          <w:spacing w:val="80"/>
          <w:w w:val="150"/>
          <w:sz w:val="28"/>
        </w:rPr>
        <w:t xml:space="preserve"> </w:t>
      </w:r>
      <w:r>
        <w:rPr>
          <w:sz w:val="28"/>
        </w:rPr>
        <w:t>артерии</w:t>
      </w:r>
      <w:r>
        <w:rPr>
          <w:spacing w:val="80"/>
          <w:w w:val="150"/>
          <w:sz w:val="28"/>
        </w:rPr>
        <w:t xml:space="preserve"> </w:t>
      </w:r>
      <w:r>
        <w:rPr>
          <w:sz w:val="28"/>
        </w:rPr>
        <w:t>круглой</w:t>
      </w:r>
      <w:r>
        <w:rPr>
          <w:spacing w:val="80"/>
          <w:w w:val="150"/>
          <w:sz w:val="28"/>
        </w:rPr>
        <w:t xml:space="preserve"> </w:t>
      </w:r>
      <w:r>
        <w:rPr>
          <w:sz w:val="28"/>
        </w:rPr>
        <w:t>связкой</w:t>
      </w:r>
      <w:r>
        <w:rPr>
          <w:spacing w:val="80"/>
          <w:w w:val="150"/>
          <w:sz w:val="28"/>
        </w:rPr>
        <w:t xml:space="preserve"> </w:t>
      </w:r>
      <w:r>
        <w:rPr>
          <w:sz w:val="28"/>
        </w:rPr>
        <w:t>печени.</w:t>
      </w:r>
      <w:r>
        <w:rPr>
          <w:spacing w:val="80"/>
          <w:w w:val="150"/>
          <w:sz w:val="28"/>
        </w:rPr>
        <w:t xml:space="preserve"> </w:t>
      </w:r>
      <w:r>
        <w:rPr>
          <w:sz w:val="28"/>
        </w:rPr>
        <w:t>Было</w:t>
      </w:r>
      <w:r>
        <w:rPr>
          <w:spacing w:val="80"/>
          <w:w w:val="150"/>
          <w:sz w:val="28"/>
        </w:rPr>
        <w:t xml:space="preserve"> </w:t>
      </w:r>
      <w:r>
        <w:rPr>
          <w:sz w:val="28"/>
        </w:rPr>
        <w:t>получено</w:t>
      </w:r>
    </w:p>
    <w:p w14:paraId="7B997954">
      <w:pPr>
        <w:pStyle w:val="7"/>
        <w:tabs>
          <w:tab w:val="left" w:pos="4395"/>
        </w:tabs>
        <w:spacing w:before="67"/>
        <w:ind w:left="0" w:right="3" w:firstLine="0"/>
      </w:pPr>
      <w:r>
        <w:t>свидетельство о внесении сведений в государственный реестр прав на объекты, охраняемые авторским правом: «Метод профилактики аррозивных кровотечений</w:t>
      </w:r>
      <w:r>
        <w:rPr>
          <w:spacing w:val="-18"/>
        </w:rPr>
        <w:t xml:space="preserve"> </w:t>
      </w:r>
      <w:r>
        <w:t>после</w:t>
      </w:r>
      <w:r>
        <w:rPr>
          <w:spacing w:val="-17"/>
        </w:rPr>
        <w:t xml:space="preserve"> </w:t>
      </w:r>
      <w:r>
        <w:t>гастропанкреатодуоденальной</w:t>
      </w:r>
      <w:r>
        <w:rPr>
          <w:spacing w:val="-18"/>
        </w:rPr>
        <w:t xml:space="preserve"> </w:t>
      </w:r>
      <w:r>
        <w:t>резекции»,</w:t>
      </w:r>
      <w:r>
        <w:rPr>
          <w:spacing w:val="-17"/>
        </w:rPr>
        <w:t xml:space="preserve"> </w:t>
      </w:r>
      <w:r>
        <w:t>дата</w:t>
      </w:r>
      <w:r>
        <w:rPr>
          <w:spacing w:val="-18"/>
        </w:rPr>
        <w:t xml:space="preserve"> </w:t>
      </w:r>
      <w:r>
        <w:t>регистрации: 13.05.2025г, номер свидетельства: № 57828.</w:t>
      </w:r>
    </w:p>
    <w:p w14:paraId="49D08E0A">
      <w:pPr>
        <w:pStyle w:val="10"/>
        <w:numPr>
          <w:ilvl w:val="0"/>
          <w:numId w:val="2"/>
        </w:numPr>
        <w:tabs>
          <w:tab w:val="left" w:pos="993"/>
        </w:tabs>
        <w:spacing w:before="4"/>
        <w:ind w:left="0" w:right="3" w:firstLine="706"/>
        <w:rPr>
          <w:sz w:val="28"/>
        </w:rPr>
      </w:pPr>
      <w:r>
        <w:rPr>
          <w:sz w:val="28"/>
        </w:rPr>
        <w:t>Разработан и внедрен в практику метод двойного дренирования области панкреатоеюноанастомоза для профилактики скопления жидкости в брюшной полости вследствие отделяемого панкреатического сока из анастомоза. Применение данного метода позволило избежать гнойно-септических состояний, а также осложнений</w:t>
      </w:r>
      <w:r>
        <w:rPr>
          <w:spacing w:val="-2"/>
          <w:sz w:val="28"/>
        </w:rPr>
        <w:t xml:space="preserve"> </w:t>
      </w:r>
      <w:r>
        <w:rPr>
          <w:sz w:val="28"/>
        </w:rPr>
        <w:t>по Clavien-Dindo III-IV степени. Было</w:t>
      </w:r>
      <w:r>
        <w:rPr>
          <w:spacing w:val="-1"/>
          <w:sz w:val="28"/>
        </w:rPr>
        <w:t xml:space="preserve"> </w:t>
      </w:r>
      <w:r>
        <w:rPr>
          <w:sz w:val="28"/>
        </w:rPr>
        <w:t>получено свидетельство о внесении сведений в государственный реестр прав на объекты, охраняемые авторским правом: «Метод двойного дренирования зоны панкреатоеюноанастомоза после гастропанкреатодуоденальной резекции», дата регистрации: 04.12.2025г, номер свидетельства: № 65169.</w:t>
      </w:r>
    </w:p>
    <w:p w14:paraId="60E5FFA8">
      <w:pPr>
        <w:pStyle w:val="10"/>
        <w:numPr>
          <w:ilvl w:val="0"/>
          <w:numId w:val="2"/>
        </w:numPr>
        <w:tabs>
          <w:tab w:val="left" w:pos="993"/>
        </w:tabs>
        <w:ind w:left="0" w:right="3" w:firstLine="706"/>
        <w:rPr>
          <w:sz w:val="28"/>
        </w:rPr>
      </w:pPr>
      <w:r>
        <w:rPr>
          <w:sz w:val="28"/>
        </w:rPr>
        <w:t>Разработан и научно обоснован алгоритм профилактики и лечения панкреатических</w:t>
      </w:r>
      <w:r>
        <w:rPr>
          <w:spacing w:val="-17"/>
          <w:sz w:val="28"/>
        </w:rPr>
        <w:t xml:space="preserve"> </w:t>
      </w:r>
      <w:r>
        <w:rPr>
          <w:sz w:val="28"/>
        </w:rPr>
        <w:t>свищей</w:t>
      </w:r>
      <w:r>
        <w:rPr>
          <w:spacing w:val="-12"/>
          <w:sz w:val="28"/>
        </w:rPr>
        <w:t xml:space="preserve"> </w:t>
      </w:r>
      <w:r>
        <w:rPr>
          <w:sz w:val="28"/>
        </w:rPr>
        <w:t>после</w:t>
      </w:r>
      <w:r>
        <w:rPr>
          <w:spacing w:val="-11"/>
          <w:sz w:val="28"/>
        </w:rPr>
        <w:t xml:space="preserve"> </w:t>
      </w:r>
      <w:r>
        <w:rPr>
          <w:sz w:val="28"/>
        </w:rPr>
        <w:t>ГПДР</w:t>
      </w:r>
      <w:r>
        <w:rPr>
          <w:spacing w:val="-9"/>
          <w:sz w:val="28"/>
        </w:rPr>
        <w:t xml:space="preserve"> </w:t>
      </w:r>
      <w:r>
        <w:rPr>
          <w:sz w:val="28"/>
        </w:rPr>
        <w:t>у</w:t>
      </w:r>
      <w:r>
        <w:rPr>
          <w:spacing w:val="-12"/>
          <w:sz w:val="28"/>
        </w:rPr>
        <w:t xml:space="preserve"> </w:t>
      </w:r>
      <w:r>
        <w:rPr>
          <w:sz w:val="28"/>
        </w:rPr>
        <w:t>пациентов</w:t>
      </w:r>
      <w:r>
        <w:rPr>
          <w:spacing w:val="-14"/>
          <w:sz w:val="28"/>
        </w:rPr>
        <w:t xml:space="preserve"> </w:t>
      </w:r>
      <w:r>
        <w:rPr>
          <w:sz w:val="28"/>
        </w:rPr>
        <w:t>с</w:t>
      </w:r>
      <w:r>
        <w:rPr>
          <w:spacing w:val="-11"/>
          <w:sz w:val="28"/>
        </w:rPr>
        <w:t xml:space="preserve"> </w:t>
      </w:r>
      <w:r>
        <w:rPr>
          <w:sz w:val="28"/>
        </w:rPr>
        <w:t>опухолями</w:t>
      </w:r>
      <w:r>
        <w:rPr>
          <w:spacing w:val="-12"/>
          <w:sz w:val="28"/>
        </w:rPr>
        <w:t xml:space="preserve"> </w:t>
      </w:r>
      <w:r>
        <w:rPr>
          <w:sz w:val="28"/>
        </w:rPr>
        <w:t>периампулярной зоны,</w:t>
      </w:r>
      <w:r>
        <w:rPr>
          <w:spacing w:val="-18"/>
          <w:sz w:val="28"/>
        </w:rPr>
        <w:t xml:space="preserve"> </w:t>
      </w:r>
      <w:r>
        <w:rPr>
          <w:sz w:val="28"/>
        </w:rPr>
        <w:t>что</w:t>
      </w:r>
      <w:r>
        <w:rPr>
          <w:spacing w:val="-17"/>
          <w:sz w:val="28"/>
        </w:rPr>
        <w:t xml:space="preserve"> </w:t>
      </w:r>
      <w:r>
        <w:rPr>
          <w:sz w:val="28"/>
        </w:rPr>
        <w:t>позволило</w:t>
      </w:r>
      <w:r>
        <w:rPr>
          <w:spacing w:val="-18"/>
          <w:sz w:val="28"/>
        </w:rPr>
        <w:t xml:space="preserve"> </w:t>
      </w:r>
      <w:r>
        <w:rPr>
          <w:sz w:val="28"/>
        </w:rPr>
        <w:t>оптимизировать</w:t>
      </w:r>
      <w:r>
        <w:rPr>
          <w:spacing w:val="-17"/>
          <w:sz w:val="28"/>
        </w:rPr>
        <w:t xml:space="preserve"> </w:t>
      </w:r>
      <w:r>
        <w:rPr>
          <w:sz w:val="28"/>
        </w:rPr>
        <w:t>тактику</w:t>
      </w:r>
      <w:r>
        <w:rPr>
          <w:spacing w:val="-18"/>
          <w:sz w:val="28"/>
        </w:rPr>
        <w:t xml:space="preserve"> </w:t>
      </w:r>
      <w:r>
        <w:rPr>
          <w:sz w:val="28"/>
        </w:rPr>
        <w:t>ведения</w:t>
      </w:r>
      <w:r>
        <w:rPr>
          <w:spacing w:val="-17"/>
          <w:sz w:val="28"/>
        </w:rPr>
        <w:t xml:space="preserve"> </w:t>
      </w:r>
      <w:r>
        <w:rPr>
          <w:sz w:val="28"/>
        </w:rPr>
        <w:t>больных</w:t>
      </w:r>
      <w:r>
        <w:rPr>
          <w:spacing w:val="-18"/>
          <w:sz w:val="28"/>
        </w:rPr>
        <w:t xml:space="preserve"> </w:t>
      </w:r>
      <w:r>
        <w:rPr>
          <w:sz w:val="28"/>
        </w:rPr>
        <w:t>и</w:t>
      </w:r>
      <w:r>
        <w:rPr>
          <w:spacing w:val="-17"/>
          <w:sz w:val="28"/>
        </w:rPr>
        <w:t xml:space="preserve"> </w:t>
      </w:r>
      <w:r>
        <w:rPr>
          <w:sz w:val="28"/>
        </w:rPr>
        <w:t>снизить</w:t>
      </w:r>
      <w:r>
        <w:rPr>
          <w:spacing w:val="-18"/>
          <w:sz w:val="28"/>
        </w:rPr>
        <w:t xml:space="preserve"> </w:t>
      </w:r>
      <w:r>
        <w:rPr>
          <w:sz w:val="28"/>
        </w:rPr>
        <w:t>частоту послеоперационных осложнений. Были получены свидетельства о внесении сведений в государственный реестр прав на объекты, охраняемые авторским правом: «Алгоритм профилактики панкреатических свищей после гастропанкреатодуоденальной резекции при опухолях периампулярной зоны», дата регистрации: 04.12.2025г, номер свидетельства: № 65170, «Алгоритм лечения</w:t>
      </w:r>
      <w:r>
        <w:rPr>
          <w:spacing w:val="-8"/>
          <w:sz w:val="28"/>
        </w:rPr>
        <w:t xml:space="preserve"> </w:t>
      </w:r>
      <w:r>
        <w:rPr>
          <w:sz w:val="28"/>
        </w:rPr>
        <w:t>панкреатических</w:t>
      </w:r>
      <w:r>
        <w:rPr>
          <w:spacing w:val="-12"/>
          <w:sz w:val="28"/>
        </w:rPr>
        <w:t xml:space="preserve"> </w:t>
      </w:r>
      <w:r>
        <w:rPr>
          <w:sz w:val="28"/>
        </w:rPr>
        <w:t>свищей</w:t>
      </w:r>
      <w:r>
        <w:rPr>
          <w:spacing w:val="-9"/>
          <w:sz w:val="28"/>
        </w:rPr>
        <w:t xml:space="preserve"> </w:t>
      </w:r>
      <w:r>
        <w:rPr>
          <w:sz w:val="28"/>
        </w:rPr>
        <w:t>после</w:t>
      </w:r>
      <w:r>
        <w:rPr>
          <w:spacing w:val="-11"/>
          <w:sz w:val="28"/>
        </w:rPr>
        <w:t xml:space="preserve"> </w:t>
      </w:r>
      <w:r>
        <w:rPr>
          <w:sz w:val="28"/>
        </w:rPr>
        <w:t>гастропанкреатодуоденальной</w:t>
      </w:r>
      <w:r>
        <w:rPr>
          <w:spacing w:val="-9"/>
          <w:sz w:val="28"/>
        </w:rPr>
        <w:t xml:space="preserve"> </w:t>
      </w:r>
      <w:r>
        <w:rPr>
          <w:sz w:val="28"/>
        </w:rPr>
        <w:t>резекции при опухолях периампулярной зоны», дата регистрации: 10.12.2025г, номер свидетельства: № 65291</w:t>
      </w:r>
    </w:p>
    <w:p w14:paraId="728DAAB1">
      <w:pPr>
        <w:pStyle w:val="3"/>
        <w:spacing w:before="4" w:line="320" w:lineRule="exact"/>
        <w:ind w:left="707" w:firstLine="0"/>
      </w:pPr>
      <w:r>
        <w:t>Практическая</w:t>
      </w:r>
      <w:r>
        <w:rPr>
          <w:spacing w:val="-16"/>
        </w:rPr>
        <w:t xml:space="preserve"> </w:t>
      </w:r>
      <w:r>
        <w:t>значимость</w:t>
      </w:r>
      <w:r>
        <w:rPr>
          <w:spacing w:val="-11"/>
        </w:rPr>
        <w:t xml:space="preserve"> </w:t>
      </w:r>
      <w:r>
        <w:t>полученных</w:t>
      </w:r>
      <w:r>
        <w:rPr>
          <w:spacing w:val="-17"/>
        </w:rPr>
        <w:t xml:space="preserve"> </w:t>
      </w:r>
      <w:r>
        <w:rPr>
          <w:spacing w:val="-2"/>
        </w:rPr>
        <w:t>результатов</w:t>
      </w:r>
    </w:p>
    <w:p w14:paraId="3FDA4043">
      <w:pPr>
        <w:pStyle w:val="10"/>
        <w:numPr>
          <w:ilvl w:val="0"/>
          <w:numId w:val="3"/>
        </w:numPr>
        <w:tabs>
          <w:tab w:val="left" w:pos="988"/>
        </w:tabs>
        <w:ind w:left="0" w:right="3" w:firstLine="709"/>
        <w:rPr>
          <w:sz w:val="28"/>
        </w:rPr>
      </w:pPr>
      <w:r>
        <w:rPr>
          <w:sz w:val="28"/>
        </w:rPr>
        <w:t xml:space="preserve">Разработанные и внедрённые в клиническую практику методы профилактики панкреатических свищей после ГПДР позволяют использовать дифференцированный подход при выборе техники формирования панкреатоеюноанастомоза, что обеспечивает повышение надёжности реконструктивного этапа операции и снижение риска послеоперационных </w:t>
      </w:r>
      <w:r>
        <w:rPr>
          <w:spacing w:val="-2"/>
          <w:sz w:val="28"/>
        </w:rPr>
        <w:t>осложнений.</w:t>
      </w:r>
    </w:p>
    <w:p w14:paraId="32E01CD6">
      <w:pPr>
        <w:pStyle w:val="10"/>
        <w:numPr>
          <w:ilvl w:val="0"/>
          <w:numId w:val="3"/>
        </w:numPr>
        <w:tabs>
          <w:tab w:val="left" w:pos="988"/>
        </w:tabs>
        <w:spacing w:before="1"/>
        <w:ind w:left="0" w:right="3" w:firstLine="709"/>
        <w:rPr>
          <w:sz w:val="28"/>
        </w:rPr>
      </w:pPr>
      <w:r>
        <w:rPr>
          <w:sz w:val="28"/>
        </w:rPr>
        <w:t xml:space="preserve">Применение модифицированного способа формирования панкреатоеюноанастомоза, основанного на учёте консистенции поджелудочной железы и диаметра панкреатического протока способствует снижению количества панкреатических свищей и может использоваться в качестве </w:t>
      </w:r>
      <w:r>
        <w:rPr>
          <w:spacing w:val="-2"/>
          <w:sz w:val="28"/>
        </w:rPr>
        <w:t>стандартизированной</w:t>
      </w:r>
      <w:r>
        <w:rPr>
          <w:spacing w:val="3"/>
          <w:sz w:val="28"/>
        </w:rPr>
        <w:t xml:space="preserve"> </w:t>
      </w:r>
      <w:r>
        <w:rPr>
          <w:spacing w:val="-2"/>
          <w:sz w:val="28"/>
        </w:rPr>
        <w:t>методики</w:t>
      </w:r>
      <w:r>
        <w:rPr>
          <w:spacing w:val="4"/>
          <w:sz w:val="28"/>
        </w:rPr>
        <w:t xml:space="preserve"> </w:t>
      </w:r>
      <w:r>
        <w:rPr>
          <w:spacing w:val="-2"/>
          <w:sz w:val="28"/>
        </w:rPr>
        <w:t>профилактики</w:t>
      </w:r>
      <w:r>
        <w:rPr>
          <w:spacing w:val="4"/>
          <w:sz w:val="28"/>
        </w:rPr>
        <w:t xml:space="preserve"> </w:t>
      </w:r>
      <w:r>
        <w:rPr>
          <w:spacing w:val="-2"/>
          <w:sz w:val="28"/>
        </w:rPr>
        <w:t>послеоперационных осложнений.</w:t>
      </w:r>
    </w:p>
    <w:p w14:paraId="5ABF170E">
      <w:pPr>
        <w:pStyle w:val="10"/>
        <w:numPr>
          <w:ilvl w:val="0"/>
          <w:numId w:val="3"/>
        </w:numPr>
        <w:tabs>
          <w:tab w:val="left" w:pos="988"/>
        </w:tabs>
        <w:ind w:left="0" w:right="3" w:firstLine="709"/>
        <w:rPr>
          <w:sz w:val="28"/>
        </w:rPr>
      </w:pPr>
      <w:r>
        <w:rPr>
          <w:sz w:val="28"/>
        </w:rPr>
        <w:t>Использование оригинального метода профилактики аррозивных кровотечений и предложенного алгоритма до- и интраоперационной тактики обеспечивает комплексную профилактику осложнений ГПДР, повышая безопасность и эффективность хирургического вмешательства.</w:t>
      </w:r>
    </w:p>
    <w:p w14:paraId="6FE461B4">
      <w:pPr>
        <w:pStyle w:val="10"/>
        <w:numPr>
          <w:ilvl w:val="0"/>
          <w:numId w:val="3"/>
        </w:numPr>
        <w:tabs>
          <w:tab w:val="left" w:pos="988"/>
        </w:tabs>
        <w:spacing w:before="72" w:line="319" w:lineRule="exact"/>
        <w:ind w:left="0" w:right="3" w:firstLine="707"/>
      </w:pPr>
      <w:r>
        <w:rPr>
          <w:sz w:val="28"/>
        </w:rPr>
        <w:t>Разработанный алгоритм профилактики и лечения панкреатических свищей позволяет оптимизировать тактику ведения больных, снизить частоту осложнений и улучшить результаты хирургического лечения</w:t>
      </w:r>
      <w:bookmarkStart w:id="0" w:name="Положения,_выносимые_на_защиту"/>
      <w:bookmarkEnd w:id="0"/>
    </w:p>
    <w:p w14:paraId="27852CA1">
      <w:pPr>
        <w:pStyle w:val="3"/>
        <w:spacing w:before="4" w:line="320" w:lineRule="exact"/>
        <w:ind w:left="707" w:firstLine="0"/>
      </w:pPr>
      <w:r>
        <w:t>Положения, выносимые на защиту</w:t>
      </w:r>
    </w:p>
    <w:p w14:paraId="3B0DE83E">
      <w:pPr>
        <w:pStyle w:val="10"/>
        <w:numPr>
          <w:ilvl w:val="0"/>
          <w:numId w:val="4"/>
        </w:numPr>
        <w:tabs>
          <w:tab w:val="left" w:pos="1132"/>
        </w:tabs>
        <w:ind w:left="0" w:right="3" w:firstLine="706"/>
        <w:rPr>
          <w:sz w:val="28"/>
        </w:rPr>
      </w:pPr>
      <w:r>
        <w:rPr>
          <w:sz w:val="28"/>
          <w:szCs w:val="28"/>
        </w:rPr>
        <w:t>Проведённый ретроспективный анализ результатов гастропанкреатодуоденальной резекции при опухолях периампулярной зоны выявил, что</w:t>
      </w:r>
      <w:r>
        <w:t xml:space="preserve"> </w:t>
      </w:r>
      <w:r>
        <w:rPr>
          <w:sz w:val="28"/>
          <w:szCs w:val="28"/>
        </w:rPr>
        <w:t>высокая частота формирования панкреатических свищей является основной причиной послеоперационных осложнений, существенно влияющих на течение раннего послеоперационного периода, продолжительность госпитализации и уровень летальности</w:t>
      </w:r>
      <w:r>
        <w:rPr>
          <w:spacing w:val="-2"/>
          <w:sz w:val="28"/>
        </w:rPr>
        <w:t>.</w:t>
      </w:r>
    </w:p>
    <w:p w14:paraId="1F935E81">
      <w:pPr>
        <w:pStyle w:val="10"/>
        <w:numPr>
          <w:ilvl w:val="0"/>
          <w:numId w:val="4"/>
        </w:numPr>
        <w:tabs>
          <w:tab w:val="left" w:pos="1132"/>
        </w:tabs>
        <w:spacing w:before="1"/>
        <w:ind w:left="0" w:right="3" w:firstLine="706"/>
        <w:rPr>
          <w:sz w:val="28"/>
        </w:rPr>
      </w:pPr>
      <w:r>
        <w:rPr>
          <w:sz w:val="28"/>
          <w:szCs w:val="28"/>
        </w:rPr>
        <w:t>Использование разработанных способов, включающих модифицированный протоково - слизистый панкреатоеюноанастомоз, двойное дренирование зоны анастомоза и окутывание культи гастродуоденальной артерии круглой связкой печени, обеспечивает достоверное снижение частоты панкреатического свища, релапаротомий, осложнений и госпитальной летальности, а также длительность  нахождения пациентов в стационаре</w:t>
      </w:r>
      <w:r>
        <w:rPr>
          <w:sz w:val="28"/>
        </w:rPr>
        <w:t>.</w:t>
      </w:r>
    </w:p>
    <w:p w14:paraId="739D3561">
      <w:pPr>
        <w:pStyle w:val="10"/>
        <w:numPr>
          <w:ilvl w:val="0"/>
          <w:numId w:val="4"/>
        </w:numPr>
        <w:tabs>
          <w:tab w:val="left" w:pos="1132"/>
        </w:tabs>
        <w:ind w:left="0" w:right="3" w:firstLine="566"/>
        <w:rPr>
          <w:sz w:val="28"/>
        </w:rPr>
      </w:pPr>
      <w:r>
        <w:rPr>
          <w:sz w:val="28"/>
          <w:szCs w:val="28"/>
        </w:rPr>
        <w:t>Применение интегрированного алгоритма профилактики и лечения панкреатического свища после гастропанкреатодуоденальной резекции, который включает предоперационную стратификацию риска, дифференцированный выбор типа панкреатоеюноанастомоза с учётом консистенции поджелудочной железы и диаметра панкреатического протока, двойное дренирование, сосудистую защиту и динамический мониторинг уровня амилазы в дренажной жидкости позволило оптимизировать тактику ведения пациентов и улучшить результаты хирургического лечения</w:t>
      </w:r>
      <w:r>
        <w:rPr>
          <w:sz w:val="28"/>
        </w:rPr>
        <w:t>.</w:t>
      </w:r>
    </w:p>
    <w:p w14:paraId="6B380BE7">
      <w:pPr>
        <w:pStyle w:val="3"/>
        <w:spacing w:before="6" w:line="320" w:lineRule="exact"/>
        <w:ind w:left="0" w:right="3" w:firstLine="709"/>
      </w:pPr>
      <w:r>
        <w:rPr>
          <w:spacing w:val="-2"/>
        </w:rPr>
        <w:t>Апробация</w:t>
      </w:r>
      <w:r>
        <w:rPr>
          <w:spacing w:val="-4"/>
        </w:rPr>
        <w:t xml:space="preserve"> </w:t>
      </w:r>
      <w:r>
        <w:rPr>
          <w:spacing w:val="-2"/>
        </w:rPr>
        <w:t>работы</w:t>
      </w:r>
    </w:p>
    <w:p w14:paraId="602D8E6F">
      <w:pPr>
        <w:pStyle w:val="10"/>
        <w:numPr>
          <w:ilvl w:val="0"/>
          <w:numId w:val="5"/>
        </w:numPr>
        <w:tabs>
          <w:tab w:val="left" w:pos="988"/>
        </w:tabs>
        <w:ind w:left="0" w:right="3" w:firstLine="566"/>
        <w:rPr>
          <w:sz w:val="28"/>
          <w:lang w:val="en-US"/>
        </w:rPr>
      </w:pPr>
      <w:r>
        <w:rPr>
          <w:sz w:val="28"/>
        </w:rPr>
        <w:t>Устный доклад на международном конгрессе «IASGO 2022 Istanbul 33rd World Congress of International Association of Surgeons, Gastroenterologists and Oncologists»</w:t>
      </w:r>
      <w:r>
        <w:rPr>
          <w:spacing w:val="-4"/>
          <w:sz w:val="28"/>
        </w:rPr>
        <w:t xml:space="preserve"> </w:t>
      </w:r>
      <w:r>
        <w:rPr>
          <w:sz w:val="28"/>
        </w:rPr>
        <w:t>с 27 сентября по</w:t>
      </w:r>
      <w:r>
        <w:rPr>
          <w:spacing w:val="-4"/>
          <w:sz w:val="28"/>
        </w:rPr>
        <w:t xml:space="preserve"> </w:t>
      </w:r>
      <w:r>
        <w:rPr>
          <w:sz w:val="28"/>
        </w:rPr>
        <w:t>01 октября 2022 года</w:t>
      </w:r>
      <w:r>
        <w:rPr>
          <w:spacing w:val="-3"/>
          <w:sz w:val="28"/>
        </w:rPr>
        <w:t xml:space="preserve"> </w:t>
      </w:r>
      <w:r>
        <w:rPr>
          <w:sz w:val="28"/>
        </w:rPr>
        <w:t>в</w:t>
      </w:r>
      <w:r>
        <w:rPr>
          <w:spacing w:val="-1"/>
          <w:sz w:val="28"/>
        </w:rPr>
        <w:t xml:space="preserve"> </w:t>
      </w:r>
      <w:r>
        <w:rPr>
          <w:sz w:val="28"/>
        </w:rPr>
        <w:t xml:space="preserve">Турции г. Стамбул. </w:t>
      </w:r>
      <w:r>
        <w:rPr>
          <w:sz w:val="28"/>
          <w:lang w:val="en-US"/>
        </w:rPr>
        <w:t>Results of pancreatoduodenectomy depending on the pancreatic gland texture and pancreatic duct diameter.</w:t>
      </w:r>
    </w:p>
    <w:p w14:paraId="4EBE195B">
      <w:pPr>
        <w:pStyle w:val="10"/>
        <w:numPr>
          <w:ilvl w:val="0"/>
          <w:numId w:val="5"/>
        </w:numPr>
        <w:tabs>
          <w:tab w:val="left" w:pos="988"/>
        </w:tabs>
        <w:ind w:left="0" w:right="3" w:firstLine="706"/>
        <w:rPr>
          <w:sz w:val="28"/>
          <w:lang w:val="en-US"/>
        </w:rPr>
      </w:pPr>
      <w:r>
        <w:rPr>
          <w:sz w:val="28"/>
        </w:rPr>
        <w:t>Постерный</w:t>
      </w:r>
      <w:r>
        <w:rPr>
          <w:sz w:val="28"/>
          <w:lang w:val="en-US"/>
        </w:rPr>
        <w:t xml:space="preserve"> </w:t>
      </w:r>
      <w:r>
        <w:rPr>
          <w:sz w:val="28"/>
        </w:rPr>
        <w:t>доклад</w:t>
      </w:r>
      <w:r>
        <w:rPr>
          <w:sz w:val="28"/>
          <w:lang w:val="en-US"/>
        </w:rPr>
        <w:t xml:space="preserve"> </w:t>
      </w:r>
      <w:r>
        <w:rPr>
          <w:sz w:val="28"/>
        </w:rPr>
        <w:t>на</w:t>
      </w:r>
      <w:r>
        <w:rPr>
          <w:sz w:val="28"/>
          <w:lang w:val="en-US"/>
        </w:rPr>
        <w:t xml:space="preserve"> </w:t>
      </w:r>
      <w:r>
        <w:rPr>
          <w:sz w:val="28"/>
        </w:rPr>
        <w:t>международном</w:t>
      </w:r>
      <w:r>
        <w:rPr>
          <w:sz w:val="28"/>
          <w:lang w:val="en-US"/>
        </w:rPr>
        <w:t xml:space="preserve"> </w:t>
      </w:r>
      <w:r>
        <w:rPr>
          <w:sz w:val="28"/>
        </w:rPr>
        <w:t>конгрессе</w:t>
      </w:r>
      <w:r>
        <w:rPr>
          <w:sz w:val="28"/>
          <w:lang w:val="en-US"/>
        </w:rPr>
        <w:t xml:space="preserve"> «ISLS 2023 Kongresshauz, Switzerland 5th Congress of International Advanced Hepatopancreatobiliary Surgery» </w:t>
      </w:r>
      <w:r>
        <w:rPr>
          <w:sz w:val="28"/>
        </w:rPr>
        <w:t>с</w:t>
      </w:r>
      <w:r>
        <w:rPr>
          <w:sz w:val="28"/>
          <w:lang w:val="en-US"/>
        </w:rPr>
        <w:t xml:space="preserve"> 18 </w:t>
      </w:r>
      <w:r>
        <w:rPr>
          <w:sz w:val="28"/>
        </w:rPr>
        <w:t>октября</w:t>
      </w:r>
      <w:r>
        <w:rPr>
          <w:sz w:val="28"/>
          <w:lang w:val="en-US"/>
        </w:rPr>
        <w:t xml:space="preserve"> </w:t>
      </w:r>
      <w:r>
        <w:rPr>
          <w:sz w:val="28"/>
        </w:rPr>
        <w:t>по</w:t>
      </w:r>
      <w:r>
        <w:rPr>
          <w:sz w:val="28"/>
          <w:lang w:val="en-US"/>
        </w:rPr>
        <w:t xml:space="preserve"> 21 </w:t>
      </w:r>
      <w:r>
        <w:rPr>
          <w:sz w:val="28"/>
        </w:rPr>
        <w:t>октября</w:t>
      </w:r>
      <w:r>
        <w:rPr>
          <w:sz w:val="28"/>
          <w:lang w:val="en-US"/>
        </w:rPr>
        <w:t xml:space="preserve"> 2023 </w:t>
      </w:r>
      <w:r>
        <w:rPr>
          <w:sz w:val="28"/>
        </w:rPr>
        <w:t>года</w:t>
      </w:r>
      <w:r>
        <w:rPr>
          <w:sz w:val="28"/>
          <w:lang w:val="en-US"/>
        </w:rPr>
        <w:t xml:space="preserve"> </w:t>
      </w:r>
      <w:r>
        <w:rPr>
          <w:sz w:val="28"/>
        </w:rPr>
        <w:t>в</w:t>
      </w:r>
      <w:r>
        <w:rPr>
          <w:sz w:val="28"/>
          <w:lang w:val="en-US"/>
        </w:rPr>
        <w:t xml:space="preserve"> </w:t>
      </w:r>
      <w:r>
        <w:rPr>
          <w:sz w:val="28"/>
        </w:rPr>
        <w:t>Швейцарии</w:t>
      </w:r>
      <w:r>
        <w:rPr>
          <w:sz w:val="28"/>
          <w:lang w:val="en-US"/>
        </w:rPr>
        <w:t xml:space="preserve">, </w:t>
      </w:r>
      <w:r>
        <w:rPr>
          <w:sz w:val="28"/>
        </w:rPr>
        <w:t>г</w:t>
      </w:r>
      <w:r>
        <w:rPr>
          <w:sz w:val="28"/>
          <w:lang w:val="en-US"/>
        </w:rPr>
        <w:t xml:space="preserve">. </w:t>
      </w:r>
      <w:r>
        <w:rPr>
          <w:sz w:val="28"/>
        </w:rPr>
        <w:t>Цюрих</w:t>
      </w:r>
      <w:r>
        <w:rPr>
          <w:sz w:val="28"/>
          <w:lang w:val="en-US"/>
        </w:rPr>
        <w:t>.</w:t>
      </w:r>
      <w:r>
        <w:rPr>
          <w:spacing w:val="40"/>
          <w:sz w:val="28"/>
          <w:lang w:val="en-US"/>
        </w:rPr>
        <w:t xml:space="preserve"> </w:t>
      </w:r>
      <w:r>
        <w:rPr>
          <w:sz w:val="28"/>
          <w:lang w:val="en-US"/>
        </w:rPr>
        <w:t>Comparative analysis of laparoscopic and open distal resection of the pancreas.</w:t>
      </w:r>
    </w:p>
    <w:p w14:paraId="6DDF9A83">
      <w:pPr>
        <w:pStyle w:val="10"/>
        <w:numPr>
          <w:ilvl w:val="0"/>
          <w:numId w:val="5"/>
        </w:numPr>
        <w:tabs>
          <w:tab w:val="left" w:pos="709"/>
        </w:tabs>
        <w:spacing w:line="322" w:lineRule="exact"/>
        <w:ind w:left="0" w:right="3" w:firstLine="707"/>
        <w:rPr>
          <w:spacing w:val="-2"/>
          <w:sz w:val="28"/>
        </w:rPr>
      </w:pPr>
      <w:r>
        <w:rPr>
          <w:sz w:val="28"/>
        </w:rPr>
        <w:t>Устный</w:t>
      </w:r>
      <w:r>
        <w:rPr>
          <w:spacing w:val="40"/>
          <w:sz w:val="28"/>
        </w:rPr>
        <w:t xml:space="preserve">  </w:t>
      </w:r>
      <w:r>
        <w:rPr>
          <w:sz w:val="28"/>
        </w:rPr>
        <w:t>доклад</w:t>
      </w:r>
      <w:r>
        <w:rPr>
          <w:spacing w:val="42"/>
          <w:sz w:val="28"/>
        </w:rPr>
        <w:t xml:space="preserve">  </w:t>
      </w:r>
      <w:r>
        <w:rPr>
          <w:sz w:val="28"/>
        </w:rPr>
        <w:t>на</w:t>
      </w:r>
      <w:r>
        <w:rPr>
          <w:spacing w:val="41"/>
          <w:sz w:val="28"/>
        </w:rPr>
        <w:t xml:space="preserve">  </w:t>
      </w:r>
      <w:r>
        <w:rPr>
          <w:sz w:val="28"/>
        </w:rPr>
        <w:t>международной</w:t>
      </w:r>
      <w:r>
        <w:rPr>
          <w:spacing w:val="41"/>
          <w:sz w:val="28"/>
        </w:rPr>
        <w:t xml:space="preserve">  </w:t>
      </w:r>
      <w:r>
        <w:rPr>
          <w:sz w:val="28"/>
        </w:rPr>
        <w:t>Республиканской</w:t>
      </w:r>
      <w:r>
        <w:rPr>
          <w:spacing w:val="41"/>
          <w:sz w:val="28"/>
        </w:rPr>
        <w:t xml:space="preserve">  </w:t>
      </w:r>
      <w:r>
        <w:rPr>
          <w:spacing w:val="-2"/>
          <w:sz w:val="28"/>
        </w:rPr>
        <w:t>конференции «Экстрагенитальная патология и беременность» 28 июня 2024 года в г. Астана. Патология гепатопанкреатобилиарной зоны и беременность.</w:t>
      </w:r>
    </w:p>
    <w:p w14:paraId="3637875B">
      <w:pPr>
        <w:pStyle w:val="10"/>
        <w:numPr>
          <w:ilvl w:val="0"/>
          <w:numId w:val="5"/>
        </w:numPr>
        <w:tabs>
          <w:tab w:val="left" w:pos="709"/>
        </w:tabs>
        <w:spacing w:line="322" w:lineRule="exact"/>
        <w:ind w:left="0" w:right="3" w:firstLine="707"/>
        <w:rPr>
          <w:sz w:val="28"/>
        </w:rPr>
      </w:pPr>
      <w:r>
        <w:rPr>
          <w:spacing w:val="-2"/>
          <w:sz w:val="28"/>
        </w:rPr>
        <w:t>Постерный доклад</w:t>
      </w:r>
      <w:r>
        <w:rPr>
          <w:sz w:val="28"/>
        </w:rPr>
        <w:t xml:space="preserve"> на международном конгрессе «HPB Surgery Week 2024» с 20 марта по 23 марта 2024 года в Южной Корее г. Сеул. The first experience of laparoscopic pancreatoduodenectomy.</w:t>
      </w:r>
    </w:p>
    <w:p w14:paraId="0B5079F7">
      <w:pPr>
        <w:pStyle w:val="10"/>
        <w:numPr>
          <w:ilvl w:val="0"/>
          <w:numId w:val="5"/>
        </w:numPr>
        <w:tabs>
          <w:tab w:val="left" w:pos="978"/>
        </w:tabs>
        <w:ind w:left="0" w:right="3" w:firstLine="709"/>
        <w:rPr>
          <w:sz w:val="28"/>
        </w:rPr>
      </w:pPr>
      <w:r>
        <w:rPr>
          <w:sz w:val="28"/>
        </w:rPr>
        <w:t>Устный</w:t>
      </w:r>
      <w:r>
        <w:rPr>
          <w:spacing w:val="-13"/>
          <w:sz w:val="28"/>
        </w:rPr>
        <w:t xml:space="preserve"> </w:t>
      </w:r>
      <w:r>
        <w:rPr>
          <w:sz w:val="28"/>
        </w:rPr>
        <w:t>доклад</w:t>
      </w:r>
      <w:r>
        <w:rPr>
          <w:spacing w:val="-11"/>
          <w:sz w:val="28"/>
        </w:rPr>
        <w:t xml:space="preserve"> </w:t>
      </w:r>
      <w:r>
        <w:rPr>
          <w:sz w:val="28"/>
        </w:rPr>
        <w:t>на</w:t>
      </w:r>
      <w:r>
        <w:rPr>
          <w:spacing w:val="-12"/>
          <w:sz w:val="28"/>
        </w:rPr>
        <w:t xml:space="preserve"> </w:t>
      </w:r>
      <w:r>
        <w:rPr>
          <w:sz w:val="28"/>
        </w:rPr>
        <w:t>международном</w:t>
      </w:r>
      <w:r>
        <w:rPr>
          <w:spacing w:val="-12"/>
          <w:sz w:val="28"/>
        </w:rPr>
        <w:t xml:space="preserve"> </w:t>
      </w:r>
      <w:r>
        <w:rPr>
          <w:sz w:val="28"/>
        </w:rPr>
        <w:t>конгрессе</w:t>
      </w:r>
      <w:r>
        <w:rPr>
          <w:spacing w:val="-12"/>
          <w:sz w:val="28"/>
        </w:rPr>
        <w:t xml:space="preserve"> </w:t>
      </w:r>
      <w:r>
        <w:rPr>
          <w:sz w:val="28"/>
        </w:rPr>
        <w:t>«TTS</w:t>
      </w:r>
      <w:r>
        <w:rPr>
          <w:spacing w:val="-14"/>
          <w:sz w:val="28"/>
        </w:rPr>
        <w:t xml:space="preserve"> </w:t>
      </w:r>
      <w:r>
        <w:rPr>
          <w:sz w:val="28"/>
        </w:rPr>
        <w:t>2024</w:t>
      </w:r>
      <w:r>
        <w:rPr>
          <w:spacing w:val="-13"/>
          <w:sz w:val="28"/>
        </w:rPr>
        <w:t xml:space="preserve"> </w:t>
      </w:r>
      <w:r>
        <w:rPr>
          <w:sz w:val="28"/>
        </w:rPr>
        <w:t>Istanbul</w:t>
      </w:r>
      <w:r>
        <w:rPr>
          <w:spacing w:val="-12"/>
          <w:sz w:val="28"/>
        </w:rPr>
        <w:t xml:space="preserve"> </w:t>
      </w:r>
      <w:r>
        <w:rPr>
          <w:sz w:val="28"/>
        </w:rPr>
        <w:t>30</w:t>
      </w:r>
      <w:r>
        <w:rPr>
          <w:spacing w:val="-13"/>
          <w:sz w:val="28"/>
        </w:rPr>
        <w:t xml:space="preserve"> </w:t>
      </w:r>
      <w:r>
        <w:rPr>
          <w:sz w:val="28"/>
        </w:rPr>
        <w:t>World Congress of Transplantation» с 22 сентября по 25 сентября 2024 года в Турции г. Стамбул. Extraanatomic arterial reconstruction during liver transplantation.</w:t>
      </w:r>
    </w:p>
    <w:p w14:paraId="6FD51ECB">
      <w:pPr>
        <w:pStyle w:val="10"/>
        <w:numPr>
          <w:ilvl w:val="0"/>
          <w:numId w:val="5"/>
        </w:numPr>
        <w:tabs>
          <w:tab w:val="left" w:pos="1021"/>
          <w:tab w:val="left" w:pos="5103"/>
        </w:tabs>
        <w:spacing w:before="67"/>
        <w:ind w:left="0" w:right="3" w:firstLine="709"/>
        <w:rPr>
          <w:spacing w:val="-2"/>
          <w:sz w:val="28"/>
        </w:rPr>
      </w:pPr>
      <w:r>
        <w:rPr>
          <w:sz w:val="28"/>
        </w:rPr>
        <w:t>Устный доклад на международном конгрессе «Инновации в Хирургии, Онкохирургии</w:t>
      </w:r>
      <w:r>
        <w:rPr>
          <w:spacing w:val="31"/>
          <w:sz w:val="28"/>
        </w:rPr>
        <w:t xml:space="preserve">  </w:t>
      </w:r>
      <w:r>
        <w:rPr>
          <w:sz w:val="28"/>
        </w:rPr>
        <w:t>и</w:t>
      </w:r>
      <w:r>
        <w:rPr>
          <w:spacing w:val="31"/>
          <w:sz w:val="28"/>
        </w:rPr>
        <w:t xml:space="preserve">  </w:t>
      </w:r>
      <w:r>
        <w:rPr>
          <w:sz w:val="28"/>
        </w:rPr>
        <w:t>Трансплантологии»</w:t>
      </w:r>
      <w:r>
        <w:rPr>
          <w:spacing w:val="30"/>
          <w:sz w:val="28"/>
        </w:rPr>
        <w:t xml:space="preserve">  </w:t>
      </w:r>
      <w:r>
        <w:rPr>
          <w:sz w:val="28"/>
        </w:rPr>
        <w:t>посвященный</w:t>
      </w:r>
      <w:r>
        <w:rPr>
          <w:spacing w:val="31"/>
          <w:sz w:val="28"/>
        </w:rPr>
        <w:t xml:space="preserve">  </w:t>
      </w:r>
      <w:r>
        <w:rPr>
          <w:sz w:val="28"/>
        </w:rPr>
        <w:t>300-летию</w:t>
      </w:r>
      <w:r>
        <w:rPr>
          <w:spacing w:val="31"/>
          <w:sz w:val="28"/>
        </w:rPr>
        <w:t xml:space="preserve">  </w:t>
      </w:r>
      <w:r>
        <w:rPr>
          <w:spacing w:val="-2"/>
          <w:sz w:val="28"/>
        </w:rPr>
        <w:t>Российской академии наук с 19 декабря по 20 декабря 2024 года в г. Москва. Результаты открытой и лапароскопической ГПДР.</w:t>
      </w:r>
    </w:p>
    <w:p w14:paraId="5E0B4D60">
      <w:pPr>
        <w:pStyle w:val="10"/>
        <w:numPr>
          <w:ilvl w:val="0"/>
          <w:numId w:val="5"/>
        </w:numPr>
        <w:tabs>
          <w:tab w:val="left" w:pos="1021"/>
        </w:tabs>
        <w:spacing w:before="67"/>
        <w:ind w:left="0" w:right="3" w:firstLine="709"/>
        <w:rPr>
          <w:sz w:val="28"/>
        </w:rPr>
      </w:pPr>
      <w:r>
        <w:rPr>
          <w:spacing w:val="-2"/>
          <w:sz w:val="28"/>
        </w:rPr>
        <w:t>Устный доклад</w:t>
      </w:r>
      <w:r>
        <w:rPr>
          <w:sz w:val="28"/>
        </w:rPr>
        <w:t xml:space="preserve"> на международном конгрессе VIII Конгресс хирургов Казахстана с международным участием «Вклад академика Алиева М.А. в развитие</w:t>
      </w:r>
      <w:r>
        <w:rPr>
          <w:spacing w:val="-8"/>
          <w:sz w:val="28"/>
        </w:rPr>
        <w:t xml:space="preserve"> </w:t>
      </w:r>
      <w:r>
        <w:rPr>
          <w:sz w:val="28"/>
        </w:rPr>
        <w:t>хирургии</w:t>
      </w:r>
      <w:r>
        <w:rPr>
          <w:spacing w:val="-9"/>
          <w:sz w:val="28"/>
        </w:rPr>
        <w:t xml:space="preserve"> </w:t>
      </w:r>
      <w:r>
        <w:rPr>
          <w:sz w:val="28"/>
        </w:rPr>
        <w:t>Казахстана»</w:t>
      </w:r>
      <w:r>
        <w:rPr>
          <w:spacing w:val="-13"/>
          <w:sz w:val="28"/>
        </w:rPr>
        <w:t xml:space="preserve"> </w:t>
      </w:r>
      <w:r>
        <w:rPr>
          <w:sz w:val="28"/>
        </w:rPr>
        <w:t>8</w:t>
      </w:r>
      <w:r>
        <w:rPr>
          <w:spacing w:val="-3"/>
          <w:sz w:val="28"/>
        </w:rPr>
        <w:t xml:space="preserve"> </w:t>
      </w:r>
      <w:r>
        <w:rPr>
          <w:sz w:val="28"/>
        </w:rPr>
        <w:t>–</w:t>
      </w:r>
      <w:r>
        <w:rPr>
          <w:spacing w:val="-8"/>
          <w:sz w:val="28"/>
        </w:rPr>
        <w:t xml:space="preserve"> </w:t>
      </w:r>
      <w:r>
        <w:rPr>
          <w:sz w:val="28"/>
        </w:rPr>
        <w:t>9</w:t>
      </w:r>
      <w:r>
        <w:rPr>
          <w:spacing w:val="-8"/>
          <w:sz w:val="28"/>
        </w:rPr>
        <w:t xml:space="preserve"> </w:t>
      </w:r>
      <w:r>
        <w:rPr>
          <w:sz w:val="28"/>
        </w:rPr>
        <w:t>сентября</w:t>
      </w:r>
      <w:r>
        <w:rPr>
          <w:spacing w:val="-7"/>
          <w:sz w:val="28"/>
        </w:rPr>
        <w:t xml:space="preserve"> </w:t>
      </w:r>
      <w:r>
        <w:rPr>
          <w:sz w:val="28"/>
        </w:rPr>
        <w:t>2023</w:t>
      </w:r>
      <w:r>
        <w:rPr>
          <w:spacing w:val="-8"/>
          <w:sz w:val="28"/>
        </w:rPr>
        <w:t xml:space="preserve"> </w:t>
      </w:r>
      <w:r>
        <w:rPr>
          <w:sz w:val="28"/>
        </w:rPr>
        <w:t>г.,</w:t>
      </w:r>
      <w:r>
        <w:rPr>
          <w:spacing w:val="-11"/>
          <w:sz w:val="28"/>
        </w:rPr>
        <w:t xml:space="preserve"> </w:t>
      </w:r>
      <w:r>
        <w:rPr>
          <w:sz w:val="28"/>
        </w:rPr>
        <w:t>г.</w:t>
      </w:r>
      <w:r>
        <w:rPr>
          <w:spacing w:val="-11"/>
          <w:sz w:val="28"/>
        </w:rPr>
        <w:t xml:space="preserve"> </w:t>
      </w:r>
      <w:r>
        <w:rPr>
          <w:sz w:val="28"/>
        </w:rPr>
        <w:t>Алматы.</w:t>
      </w:r>
      <w:r>
        <w:rPr>
          <w:spacing w:val="-1"/>
          <w:sz w:val="28"/>
        </w:rPr>
        <w:t xml:space="preserve"> </w:t>
      </w:r>
      <w:r>
        <w:rPr>
          <w:sz w:val="28"/>
        </w:rPr>
        <w:t>Coronary</w:t>
      </w:r>
      <w:r>
        <w:rPr>
          <w:spacing w:val="-12"/>
          <w:sz w:val="28"/>
        </w:rPr>
        <w:t xml:space="preserve"> </w:t>
      </w:r>
      <w:r>
        <w:rPr>
          <w:sz w:val="28"/>
        </w:rPr>
        <w:t>portal shunt for total portal vein thrombosis.</w:t>
      </w:r>
    </w:p>
    <w:p w14:paraId="72A450FC">
      <w:pPr>
        <w:pStyle w:val="10"/>
        <w:numPr>
          <w:ilvl w:val="0"/>
          <w:numId w:val="5"/>
        </w:numPr>
        <w:tabs>
          <w:tab w:val="left" w:pos="1069"/>
        </w:tabs>
        <w:spacing w:before="4"/>
        <w:ind w:left="0" w:right="3" w:firstLine="566"/>
        <w:rPr>
          <w:sz w:val="28"/>
        </w:rPr>
      </w:pPr>
      <w:r>
        <w:rPr>
          <w:sz w:val="28"/>
        </w:rPr>
        <w:t>Устный доклад на международном конгрессе IX Конгресс хирургов Казахстана с международным участием посвященный к 80-летию Национального научного центра хирургии им. А.Н.Сызганова 11 – 13 сентября 2025 г., г. Алматы. Гастропанкреатодуоденальная резекция при раке периампулярной зоны: Проблемы и решения.</w:t>
      </w:r>
    </w:p>
    <w:p w14:paraId="24C3D014">
      <w:pPr>
        <w:pStyle w:val="10"/>
        <w:numPr>
          <w:ilvl w:val="0"/>
          <w:numId w:val="5"/>
        </w:numPr>
        <w:tabs>
          <w:tab w:val="left" w:pos="1556"/>
        </w:tabs>
        <w:ind w:left="0" w:right="3" w:firstLine="566"/>
        <w:rPr>
          <w:sz w:val="28"/>
        </w:rPr>
      </w:pPr>
      <w:r>
        <w:rPr>
          <w:sz w:val="28"/>
        </w:rPr>
        <w:t>Устный</w:t>
      </w:r>
      <w:r>
        <w:rPr>
          <w:spacing w:val="-9"/>
          <w:sz w:val="28"/>
        </w:rPr>
        <w:t xml:space="preserve"> </w:t>
      </w:r>
      <w:r>
        <w:rPr>
          <w:sz w:val="28"/>
        </w:rPr>
        <w:t>доклад</w:t>
      </w:r>
      <w:r>
        <w:rPr>
          <w:spacing w:val="-7"/>
          <w:sz w:val="28"/>
        </w:rPr>
        <w:t xml:space="preserve"> </w:t>
      </w:r>
      <w:r>
        <w:rPr>
          <w:sz w:val="28"/>
        </w:rPr>
        <w:t>на</w:t>
      </w:r>
      <w:r>
        <w:rPr>
          <w:spacing w:val="-8"/>
          <w:sz w:val="28"/>
        </w:rPr>
        <w:t xml:space="preserve"> </w:t>
      </w:r>
      <w:r>
        <w:rPr>
          <w:sz w:val="28"/>
        </w:rPr>
        <w:t>1-м</w:t>
      </w:r>
      <w:r>
        <w:rPr>
          <w:spacing w:val="-7"/>
          <w:sz w:val="28"/>
        </w:rPr>
        <w:t xml:space="preserve"> </w:t>
      </w:r>
      <w:r>
        <w:rPr>
          <w:sz w:val="28"/>
        </w:rPr>
        <w:t>Международном</w:t>
      </w:r>
      <w:r>
        <w:rPr>
          <w:spacing w:val="-8"/>
          <w:sz w:val="28"/>
        </w:rPr>
        <w:t xml:space="preserve"> </w:t>
      </w:r>
      <w:r>
        <w:rPr>
          <w:sz w:val="28"/>
        </w:rPr>
        <w:t>форуме</w:t>
      </w:r>
      <w:r>
        <w:rPr>
          <w:spacing w:val="-4"/>
          <w:sz w:val="28"/>
        </w:rPr>
        <w:t xml:space="preserve"> </w:t>
      </w:r>
      <w:r>
        <w:rPr>
          <w:sz w:val="28"/>
        </w:rPr>
        <w:t>«Asfen.Forum,</w:t>
      </w:r>
      <w:r>
        <w:rPr>
          <w:spacing w:val="-6"/>
          <w:sz w:val="28"/>
        </w:rPr>
        <w:t xml:space="preserve"> </w:t>
      </w:r>
      <w:r>
        <w:rPr>
          <w:sz w:val="28"/>
        </w:rPr>
        <w:t>новое поколение-2023» г. Алматы, Казахстан. Тема: Сравнительный анализ открытой и лапароскопической резекции поджелудочной железы.</w:t>
      </w:r>
    </w:p>
    <w:p w14:paraId="071264EA">
      <w:pPr>
        <w:pStyle w:val="10"/>
        <w:numPr>
          <w:ilvl w:val="0"/>
          <w:numId w:val="5"/>
        </w:numPr>
        <w:tabs>
          <w:tab w:val="left" w:pos="1556"/>
        </w:tabs>
        <w:ind w:left="0" w:right="3" w:firstLine="566"/>
        <w:rPr>
          <w:sz w:val="28"/>
        </w:rPr>
      </w:pPr>
      <w:r>
        <w:rPr>
          <w:sz w:val="28"/>
        </w:rPr>
        <w:t>Устный доклад на международной научно-практической конференции молодых ученых «Наука и молодежь: конференция по качеству медицинской</w:t>
      </w:r>
      <w:r>
        <w:rPr>
          <w:spacing w:val="-1"/>
          <w:sz w:val="28"/>
        </w:rPr>
        <w:t xml:space="preserve"> </w:t>
      </w:r>
      <w:r>
        <w:rPr>
          <w:sz w:val="28"/>
        </w:rPr>
        <w:t>помощи и медицинской</w:t>
      </w:r>
      <w:r>
        <w:rPr>
          <w:spacing w:val="-1"/>
          <w:sz w:val="28"/>
        </w:rPr>
        <w:t xml:space="preserve"> </w:t>
      </w:r>
      <w:r>
        <w:rPr>
          <w:sz w:val="28"/>
        </w:rPr>
        <w:t>грамотности»</w:t>
      </w:r>
      <w:r>
        <w:rPr>
          <w:spacing w:val="-5"/>
          <w:sz w:val="28"/>
        </w:rPr>
        <w:t xml:space="preserve"> </w:t>
      </w:r>
      <w:r>
        <w:rPr>
          <w:sz w:val="28"/>
        </w:rPr>
        <w:t>КМУ «ВШОЗ»</w:t>
      </w:r>
      <w:r>
        <w:rPr>
          <w:spacing w:val="-5"/>
          <w:sz w:val="28"/>
        </w:rPr>
        <w:t xml:space="preserve"> </w:t>
      </w:r>
      <w:r>
        <w:rPr>
          <w:sz w:val="28"/>
        </w:rPr>
        <w:t>25.04.2023г. г. Алматы. Тема: Сравнительный анализ открытой и лапароскопической резекции поджелудочной железы.</w:t>
      </w:r>
    </w:p>
    <w:p w14:paraId="67B609B8">
      <w:pPr>
        <w:pStyle w:val="10"/>
        <w:numPr>
          <w:ilvl w:val="0"/>
          <w:numId w:val="5"/>
        </w:numPr>
        <w:tabs>
          <w:tab w:val="left" w:pos="1556"/>
          <w:tab w:val="left" w:pos="5517"/>
        </w:tabs>
        <w:spacing w:before="1"/>
        <w:ind w:left="0" w:right="3" w:firstLine="706"/>
        <w:rPr>
          <w:sz w:val="28"/>
        </w:rPr>
      </w:pPr>
      <w:r>
        <w:rPr>
          <w:sz w:val="28"/>
        </w:rPr>
        <w:t>Устный доклад на международной научно-практической конференции «Актуальные проблемы хирургической практики и науки», посвященная 70-летнему юбилею доктора медицинских наук, профессора С. И. Ботабаева,</w:t>
      </w:r>
      <w:r>
        <w:rPr>
          <w:spacing w:val="80"/>
          <w:sz w:val="28"/>
        </w:rPr>
        <w:t xml:space="preserve">  </w:t>
      </w:r>
      <w:r>
        <w:rPr>
          <w:sz w:val="28"/>
        </w:rPr>
        <w:t>28</w:t>
      </w:r>
      <w:r>
        <w:rPr>
          <w:spacing w:val="80"/>
          <w:sz w:val="28"/>
        </w:rPr>
        <w:t xml:space="preserve">  </w:t>
      </w:r>
      <w:r>
        <w:rPr>
          <w:sz w:val="28"/>
        </w:rPr>
        <w:t>сентября</w:t>
      </w:r>
      <w:r>
        <w:rPr>
          <w:spacing w:val="80"/>
          <w:sz w:val="28"/>
        </w:rPr>
        <w:t xml:space="preserve">  </w:t>
      </w:r>
      <w:r>
        <w:rPr>
          <w:sz w:val="28"/>
        </w:rPr>
        <w:t>2023г.</w:t>
      </w:r>
      <w:r>
        <w:rPr>
          <w:sz w:val="28"/>
        </w:rPr>
        <w:tab/>
      </w:r>
      <w:r>
        <w:rPr>
          <w:sz w:val="28"/>
        </w:rPr>
        <w:t>г. Семей. Тема: Результаты гастропанкреатодуоденальных резекции при опухолях периампулярной зоны.</w:t>
      </w:r>
    </w:p>
    <w:p w14:paraId="4D9FD832">
      <w:pPr>
        <w:pStyle w:val="3"/>
        <w:spacing w:before="3"/>
        <w:ind w:left="707" w:right="3" w:firstLine="0"/>
      </w:pPr>
      <w:r>
        <w:t>Публикация</w:t>
      </w:r>
      <w:r>
        <w:rPr>
          <w:spacing w:val="-15"/>
        </w:rPr>
        <w:t xml:space="preserve"> </w:t>
      </w:r>
      <w:r>
        <w:t>результатов</w:t>
      </w:r>
      <w:r>
        <w:rPr>
          <w:spacing w:val="-14"/>
        </w:rPr>
        <w:t xml:space="preserve"> </w:t>
      </w:r>
      <w:r>
        <w:rPr>
          <w:spacing w:val="-2"/>
        </w:rPr>
        <w:t>исследований</w:t>
      </w:r>
    </w:p>
    <w:p w14:paraId="0835D5C7">
      <w:pPr>
        <w:ind w:right="3" w:firstLine="692"/>
        <w:jc w:val="both"/>
        <w:rPr>
          <w:b/>
          <w:sz w:val="28"/>
        </w:rPr>
      </w:pPr>
      <w:r>
        <w:rPr>
          <w:b/>
          <w:sz w:val="28"/>
        </w:rPr>
        <w:t>Количество опубликованных статей по квартилям: Q2 (70%) – 1, Q4 (2</w:t>
      </w:r>
      <w:r>
        <w:rPr>
          <w:rFonts w:hint="default"/>
          <w:b/>
          <w:sz w:val="28"/>
          <w:lang w:val="ru-RU"/>
        </w:rPr>
        <w:t>5</w:t>
      </w:r>
      <w:r>
        <w:rPr>
          <w:b/>
          <w:sz w:val="28"/>
        </w:rPr>
        <w:t>%) – 1:</w:t>
      </w:r>
    </w:p>
    <w:p w14:paraId="1456DE14">
      <w:pPr>
        <w:pStyle w:val="10"/>
        <w:numPr>
          <w:ilvl w:val="0"/>
          <w:numId w:val="6"/>
        </w:numPr>
        <w:tabs>
          <w:tab w:val="left" w:pos="988"/>
        </w:tabs>
        <w:spacing w:line="242" w:lineRule="auto"/>
        <w:ind w:left="0" w:right="3" w:firstLine="692"/>
        <w:rPr>
          <w:sz w:val="28"/>
          <w:lang w:val="en-US"/>
        </w:rPr>
      </w:pPr>
      <w:r>
        <w:rPr>
          <w:sz w:val="28"/>
          <w:lang w:val="en-US"/>
        </w:rPr>
        <w:t>M.</w:t>
      </w:r>
      <w:r>
        <w:rPr>
          <w:spacing w:val="-1"/>
          <w:sz w:val="28"/>
          <w:lang w:val="en-US"/>
        </w:rPr>
        <w:t xml:space="preserve"> </w:t>
      </w:r>
      <w:r>
        <w:rPr>
          <w:sz w:val="28"/>
          <w:lang w:val="en-US"/>
        </w:rPr>
        <w:t>Doskhanov,</w:t>
      </w:r>
      <w:r>
        <w:rPr>
          <w:spacing w:val="-1"/>
          <w:sz w:val="28"/>
          <w:lang w:val="en-US"/>
        </w:rPr>
        <w:t xml:space="preserve"> </w:t>
      </w:r>
      <w:r>
        <w:rPr>
          <w:sz w:val="28"/>
          <w:lang w:val="en-US"/>
        </w:rPr>
        <w:t>S.</w:t>
      </w:r>
      <w:r>
        <w:rPr>
          <w:spacing w:val="-1"/>
          <w:sz w:val="28"/>
          <w:lang w:val="en-US"/>
        </w:rPr>
        <w:t xml:space="preserve"> </w:t>
      </w:r>
      <w:r>
        <w:rPr>
          <w:sz w:val="28"/>
          <w:lang w:val="en-US"/>
        </w:rPr>
        <w:t>Tileuov, B.</w:t>
      </w:r>
      <w:r>
        <w:rPr>
          <w:spacing w:val="-1"/>
          <w:sz w:val="28"/>
          <w:lang w:val="en-US"/>
        </w:rPr>
        <w:t xml:space="preserve"> </w:t>
      </w:r>
      <w:r>
        <w:rPr>
          <w:sz w:val="28"/>
          <w:lang w:val="en-US"/>
        </w:rPr>
        <w:t>Baimakhanov,</w:t>
      </w:r>
      <w:r>
        <w:rPr>
          <w:spacing w:val="-1"/>
          <w:sz w:val="28"/>
          <w:lang w:val="en-US"/>
        </w:rPr>
        <w:t xml:space="preserve"> </w:t>
      </w:r>
      <w:r>
        <w:rPr>
          <w:sz w:val="28"/>
          <w:lang w:val="en-US"/>
        </w:rPr>
        <w:t>Zh. Baimakhanov,</w:t>
      </w:r>
      <w:r>
        <w:rPr>
          <w:spacing w:val="-1"/>
          <w:sz w:val="28"/>
          <w:lang w:val="en-US"/>
        </w:rPr>
        <w:t xml:space="preserve"> </w:t>
      </w:r>
      <w:r>
        <w:rPr>
          <w:sz w:val="28"/>
          <w:lang w:val="en-US"/>
        </w:rPr>
        <w:t>Y. Serikuly. Results of pancreatoduodenectomy depending on the pancreatic gland texture and pancreatic duct diameter //Georgian Med News. – 2022. - 325. –</w:t>
      </w:r>
      <w:r>
        <w:rPr>
          <w:sz w:val="28"/>
        </w:rPr>
        <w:t>Р</w:t>
      </w:r>
      <w:r>
        <w:rPr>
          <w:sz w:val="28"/>
          <w:lang w:val="en-US"/>
        </w:rPr>
        <w:t>.21-26.</w:t>
      </w:r>
    </w:p>
    <w:p w14:paraId="11F44DEE">
      <w:pPr>
        <w:pStyle w:val="10"/>
        <w:numPr>
          <w:ilvl w:val="0"/>
          <w:numId w:val="6"/>
        </w:numPr>
        <w:tabs>
          <w:tab w:val="left" w:pos="989"/>
        </w:tabs>
        <w:spacing w:line="320" w:lineRule="exact"/>
        <w:ind w:left="0" w:right="3" w:firstLine="692"/>
        <w:rPr>
          <w:sz w:val="28"/>
          <w:szCs w:val="28"/>
          <w:lang w:val="en-US"/>
        </w:rPr>
      </w:pPr>
      <w:r>
        <w:rPr>
          <w:sz w:val="28"/>
          <w:szCs w:val="28"/>
          <w:lang w:val="en-US"/>
        </w:rPr>
        <w:t>S.</w:t>
      </w:r>
      <w:r>
        <w:rPr>
          <w:spacing w:val="-7"/>
          <w:sz w:val="28"/>
          <w:szCs w:val="28"/>
          <w:lang w:val="en-US"/>
        </w:rPr>
        <w:t xml:space="preserve"> </w:t>
      </w:r>
      <w:r>
        <w:rPr>
          <w:sz w:val="28"/>
          <w:szCs w:val="28"/>
          <w:lang w:val="en-US"/>
        </w:rPr>
        <w:t>Tileuov,</w:t>
      </w:r>
      <w:r>
        <w:rPr>
          <w:spacing w:val="-6"/>
          <w:sz w:val="28"/>
          <w:szCs w:val="28"/>
          <w:lang w:val="en-US"/>
        </w:rPr>
        <w:t xml:space="preserve"> </w:t>
      </w:r>
      <w:r>
        <w:rPr>
          <w:sz w:val="28"/>
          <w:szCs w:val="28"/>
          <w:lang w:val="en-US"/>
        </w:rPr>
        <w:t>A.</w:t>
      </w:r>
      <w:r>
        <w:rPr>
          <w:spacing w:val="-7"/>
          <w:sz w:val="28"/>
          <w:szCs w:val="28"/>
          <w:lang w:val="en-US"/>
        </w:rPr>
        <w:t xml:space="preserve"> </w:t>
      </w:r>
      <w:r>
        <w:rPr>
          <w:sz w:val="28"/>
          <w:szCs w:val="28"/>
          <w:lang w:val="en-US"/>
        </w:rPr>
        <w:t>Dzhumabekov,</w:t>
      </w:r>
      <w:r>
        <w:rPr>
          <w:spacing w:val="-6"/>
          <w:sz w:val="28"/>
          <w:szCs w:val="28"/>
          <w:lang w:val="en-US"/>
        </w:rPr>
        <w:t xml:space="preserve"> </w:t>
      </w:r>
      <w:r>
        <w:rPr>
          <w:sz w:val="28"/>
          <w:szCs w:val="28"/>
          <w:lang w:val="en-US"/>
        </w:rPr>
        <w:t>M.</w:t>
      </w:r>
      <w:r>
        <w:rPr>
          <w:spacing w:val="-11"/>
          <w:sz w:val="28"/>
          <w:szCs w:val="28"/>
          <w:lang w:val="en-US"/>
        </w:rPr>
        <w:t xml:space="preserve"> </w:t>
      </w:r>
      <w:r>
        <w:rPr>
          <w:sz w:val="28"/>
          <w:szCs w:val="28"/>
          <w:lang w:val="en-US"/>
        </w:rPr>
        <w:t>Doskhanov,</w:t>
      </w:r>
      <w:r>
        <w:rPr>
          <w:spacing w:val="-6"/>
          <w:sz w:val="28"/>
          <w:szCs w:val="28"/>
          <w:lang w:val="en-US"/>
        </w:rPr>
        <w:t xml:space="preserve"> </w:t>
      </w:r>
      <w:r>
        <w:rPr>
          <w:sz w:val="28"/>
          <w:szCs w:val="28"/>
          <w:lang w:val="en-US"/>
        </w:rPr>
        <w:t>B.</w:t>
      </w:r>
      <w:r>
        <w:rPr>
          <w:spacing w:val="-6"/>
          <w:sz w:val="28"/>
          <w:szCs w:val="28"/>
          <w:lang w:val="en-US"/>
        </w:rPr>
        <w:t xml:space="preserve"> </w:t>
      </w:r>
      <w:r>
        <w:rPr>
          <w:sz w:val="28"/>
          <w:szCs w:val="28"/>
          <w:lang w:val="en-US"/>
        </w:rPr>
        <w:t>Baimakhanov,</w:t>
      </w:r>
      <w:r>
        <w:rPr>
          <w:spacing w:val="-7"/>
          <w:sz w:val="28"/>
          <w:szCs w:val="28"/>
          <w:lang w:val="en-US"/>
        </w:rPr>
        <w:t xml:space="preserve"> </w:t>
      </w:r>
      <w:r>
        <w:rPr>
          <w:sz w:val="28"/>
          <w:szCs w:val="28"/>
          <w:lang w:val="en-US"/>
        </w:rPr>
        <w:t>R.</w:t>
      </w:r>
      <w:r>
        <w:rPr>
          <w:spacing w:val="-6"/>
          <w:sz w:val="28"/>
          <w:szCs w:val="28"/>
          <w:lang w:val="en-US"/>
        </w:rPr>
        <w:t xml:space="preserve"> </w:t>
      </w:r>
      <w:r>
        <w:rPr>
          <w:spacing w:val="-2"/>
          <w:sz w:val="28"/>
          <w:szCs w:val="28"/>
          <w:lang w:val="en-US"/>
        </w:rPr>
        <w:t>Emiroglu,</w:t>
      </w:r>
      <w:r>
        <w:rPr>
          <w:spacing w:val="-2"/>
          <w:sz w:val="28"/>
          <w:szCs w:val="28"/>
          <w:lang w:val="kk-KZ"/>
        </w:rPr>
        <w:t xml:space="preserve"> </w:t>
      </w:r>
      <w:r>
        <w:rPr>
          <w:sz w:val="28"/>
          <w:szCs w:val="28"/>
          <w:lang w:val="en-US"/>
        </w:rPr>
        <w:t>G. Ismailova, Sh. Kaniyev, Zh. Ospan, I. Fakhradiyev, (2025). Risk Factors for Postoperative Pancreatic Fistula after Pancreatoduodenectomy: Role of Pancreatic Texture and Duct Diameter, Journal of Carcinogenesis, Vol.24, No.8s, 122-130</w:t>
      </w:r>
    </w:p>
    <w:p w14:paraId="645E61B9">
      <w:pPr>
        <w:pStyle w:val="3"/>
        <w:spacing w:line="320" w:lineRule="exact"/>
        <w:ind w:left="693" w:firstLine="0"/>
      </w:pPr>
      <w:r>
        <w:t>Количество</w:t>
      </w:r>
      <w:r>
        <w:rPr>
          <w:spacing w:val="-12"/>
        </w:rPr>
        <w:t xml:space="preserve"> </w:t>
      </w:r>
      <w:r>
        <w:t>опубликованных</w:t>
      </w:r>
      <w:r>
        <w:rPr>
          <w:spacing w:val="-12"/>
        </w:rPr>
        <w:t xml:space="preserve"> </w:t>
      </w:r>
      <w:r>
        <w:t>статей</w:t>
      </w:r>
      <w:r>
        <w:rPr>
          <w:spacing w:val="-10"/>
        </w:rPr>
        <w:t xml:space="preserve"> </w:t>
      </w:r>
      <w:r>
        <w:t>КОКСНВО</w:t>
      </w:r>
      <w:r>
        <w:rPr>
          <w:spacing w:val="-3"/>
        </w:rPr>
        <w:t xml:space="preserve"> </w:t>
      </w:r>
      <w:r>
        <w:t>–</w:t>
      </w:r>
      <w:r>
        <w:rPr>
          <w:spacing w:val="-7"/>
        </w:rPr>
        <w:t xml:space="preserve"> </w:t>
      </w:r>
      <w:r>
        <w:rPr>
          <w:spacing w:val="-5"/>
        </w:rPr>
        <w:t>3:</w:t>
      </w:r>
    </w:p>
    <w:p w14:paraId="13D7F43D">
      <w:pPr>
        <w:pStyle w:val="10"/>
        <w:numPr>
          <w:ilvl w:val="0"/>
          <w:numId w:val="7"/>
        </w:numPr>
        <w:tabs>
          <w:tab w:val="left" w:pos="988"/>
        </w:tabs>
        <w:ind w:left="0" w:right="3" w:firstLine="706"/>
        <w:rPr>
          <w:sz w:val="28"/>
        </w:rPr>
      </w:pPr>
      <w:r>
        <w:rPr>
          <w:sz w:val="28"/>
        </w:rPr>
        <w:t>Ospan Zh.R., Doskhanov M.O., Serikuly E., Mukazhanov D.Y., Hadjieva A.A., Tileuov S.T., Skakbayev A.S., Askeev B.T., Baimakhanov Zh.B., Kaniyev Sh.A., Chormanov A.T., Baimakhanov B.B., Seisembayev M.A. Efficacy of percutaneous</w:t>
      </w:r>
      <w:r>
        <w:rPr>
          <w:spacing w:val="-17"/>
          <w:sz w:val="28"/>
        </w:rPr>
        <w:t xml:space="preserve"> </w:t>
      </w:r>
      <w:r>
        <w:rPr>
          <w:sz w:val="28"/>
        </w:rPr>
        <w:t>transhepatic</w:t>
      </w:r>
      <w:r>
        <w:rPr>
          <w:spacing w:val="-14"/>
          <w:sz w:val="28"/>
        </w:rPr>
        <w:t xml:space="preserve"> </w:t>
      </w:r>
      <w:r>
        <w:rPr>
          <w:sz w:val="28"/>
        </w:rPr>
        <w:t>cholecystostomy</w:t>
      </w:r>
      <w:r>
        <w:rPr>
          <w:spacing w:val="-11"/>
          <w:sz w:val="28"/>
        </w:rPr>
        <w:t xml:space="preserve"> </w:t>
      </w:r>
      <w:r>
        <w:rPr>
          <w:sz w:val="28"/>
        </w:rPr>
        <w:t>in</w:t>
      </w:r>
      <w:r>
        <w:rPr>
          <w:spacing w:val="-18"/>
          <w:sz w:val="28"/>
        </w:rPr>
        <w:t xml:space="preserve"> </w:t>
      </w:r>
      <w:r>
        <w:rPr>
          <w:sz w:val="28"/>
        </w:rPr>
        <w:t>acute</w:t>
      </w:r>
      <w:r>
        <w:rPr>
          <w:spacing w:val="-15"/>
          <w:sz w:val="28"/>
        </w:rPr>
        <w:t xml:space="preserve"> </w:t>
      </w:r>
      <w:r>
        <w:rPr>
          <w:sz w:val="28"/>
        </w:rPr>
        <w:t>obstructive</w:t>
      </w:r>
      <w:r>
        <w:rPr>
          <w:spacing w:val="-14"/>
          <w:sz w:val="28"/>
        </w:rPr>
        <w:t xml:space="preserve"> </w:t>
      </w:r>
      <w:r>
        <w:rPr>
          <w:sz w:val="28"/>
        </w:rPr>
        <w:t>cholecystitis</w:t>
      </w:r>
      <w:r>
        <w:rPr>
          <w:spacing w:val="-13"/>
          <w:sz w:val="28"/>
        </w:rPr>
        <w:t xml:space="preserve"> </w:t>
      </w:r>
      <w:r>
        <w:rPr>
          <w:sz w:val="28"/>
        </w:rPr>
        <w:t>//Bulletin of surgery in Kazakhstan. - №7. – 2022.</w:t>
      </w:r>
    </w:p>
    <w:p w14:paraId="5EC18F91">
      <w:pPr>
        <w:pStyle w:val="10"/>
        <w:numPr>
          <w:ilvl w:val="0"/>
          <w:numId w:val="7"/>
        </w:numPr>
        <w:tabs>
          <w:tab w:val="left" w:pos="988"/>
        </w:tabs>
        <w:spacing w:before="67"/>
        <w:ind w:left="0" w:right="3" w:firstLine="709"/>
        <w:rPr>
          <w:sz w:val="28"/>
          <w:lang w:val="en-US"/>
        </w:rPr>
      </w:pPr>
      <w:r>
        <w:rPr>
          <w:sz w:val="28"/>
          <w:lang w:val="en-US"/>
        </w:rPr>
        <w:t>Tileuov S.T., Dzhumabekov A.T., Baimakhanov B.B., Doskhanov M.O., Chormanov A.T., Teipov Sh.M., Askeev B.T.</w:t>
      </w:r>
      <w:r>
        <w:rPr>
          <w:spacing w:val="40"/>
          <w:sz w:val="28"/>
          <w:lang w:val="en-US"/>
        </w:rPr>
        <w:t xml:space="preserve"> </w:t>
      </w:r>
      <w:r>
        <w:rPr>
          <w:sz w:val="28"/>
          <w:lang w:val="en-US"/>
        </w:rPr>
        <w:t>Our experience of laparoscopic pancreatoduodenectomy in tumors of the periampullary zone //Bulletin of surgery in Kazakhstan. -</w:t>
      </w:r>
      <w:r>
        <w:rPr>
          <w:spacing w:val="40"/>
          <w:sz w:val="28"/>
          <w:lang w:val="en-US"/>
        </w:rPr>
        <w:t xml:space="preserve"> </w:t>
      </w:r>
      <w:r>
        <w:rPr>
          <w:sz w:val="28"/>
          <w:lang w:val="en-US"/>
        </w:rPr>
        <w:t>№2. - 2023.</w:t>
      </w:r>
    </w:p>
    <w:p w14:paraId="42AD8B7C">
      <w:pPr>
        <w:pStyle w:val="10"/>
        <w:numPr>
          <w:ilvl w:val="0"/>
          <w:numId w:val="7"/>
        </w:numPr>
        <w:tabs>
          <w:tab w:val="left" w:pos="988"/>
        </w:tabs>
        <w:spacing w:before="4"/>
        <w:ind w:left="0" w:right="3" w:firstLine="709"/>
        <w:rPr>
          <w:sz w:val="28"/>
          <w:lang w:val="en-US"/>
        </w:rPr>
      </w:pPr>
      <w:r>
        <w:rPr>
          <w:sz w:val="28"/>
          <w:lang w:val="en-US"/>
        </w:rPr>
        <w:t>Tileuov S.T., Dzhumabekov A.T., Baimakhanov B.B., Doskhanov M.O., Kaniyev Sh.A., Ospan J.R., Yenin Y.A., Tursynbai M.Q.</w:t>
      </w:r>
      <w:r>
        <w:rPr>
          <w:spacing w:val="80"/>
          <w:sz w:val="28"/>
          <w:lang w:val="en-US"/>
        </w:rPr>
        <w:t xml:space="preserve"> </w:t>
      </w:r>
      <w:r>
        <w:rPr>
          <w:sz w:val="28"/>
          <w:lang w:val="en-US"/>
        </w:rPr>
        <w:t>Fatty liver disease after pancreatoduodenectomy and total pancreatectomy. // Bulletin of surgery in Kazakhstan. -</w:t>
      </w:r>
      <w:r>
        <w:rPr>
          <w:spacing w:val="40"/>
          <w:sz w:val="28"/>
          <w:lang w:val="en-US"/>
        </w:rPr>
        <w:t xml:space="preserve"> </w:t>
      </w:r>
      <w:r>
        <w:rPr>
          <w:sz w:val="28"/>
          <w:lang w:val="en-US"/>
        </w:rPr>
        <w:t>№1. - 2025.</w:t>
      </w:r>
    </w:p>
    <w:p w14:paraId="16CCFDC6">
      <w:pPr>
        <w:pStyle w:val="3"/>
        <w:spacing w:before="4" w:line="320" w:lineRule="exact"/>
        <w:ind w:left="0" w:right="3" w:firstLine="709"/>
      </w:pPr>
      <w:r>
        <w:t>Внедрение</w:t>
      </w:r>
      <w:r>
        <w:rPr>
          <w:spacing w:val="-13"/>
        </w:rPr>
        <w:t xml:space="preserve"> </w:t>
      </w:r>
      <w:r>
        <w:t>результатов</w:t>
      </w:r>
      <w:r>
        <w:rPr>
          <w:spacing w:val="-13"/>
        </w:rPr>
        <w:t xml:space="preserve"> </w:t>
      </w:r>
      <w:r>
        <w:rPr>
          <w:spacing w:val="-2"/>
        </w:rPr>
        <w:t>исследования</w:t>
      </w:r>
    </w:p>
    <w:p w14:paraId="513053B8">
      <w:pPr>
        <w:pStyle w:val="7"/>
        <w:ind w:left="0" w:right="3" w:firstLine="709"/>
      </w:pPr>
      <w:r>
        <w:rPr>
          <w:lang w:val="kk-KZ"/>
        </w:rPr>
        <w:t>А</w:t>
      </w:r>
      <w:r>
        <w:t>кт внедрения результатов научно-исследовательской работы на базе Национального Научного Центра Хирургии им А.Н.Сызганова - Лапароскопическая гастропанкреатодуоденальная резекция при опухолях периампулярной зоны № 22/2025 от 22.04.2025 года</w:t>
      </w:r>
    </w:p>
    <w:p w14:paraId="46089BED">
      <w:pPr>
        <w:pStyle w:val="7"/>
        <w:ind w:left="0" w:right="3" w:firstLine="709"/>
      </w:pPr>
      <w:r>
        <w:t>Свидетельство о внесении сведений в государственный реестр прав на объекты, охраняемые авторским правом: «Метод профилактики аррозивных кровотечений</w:t>
      </w:r>
      <w:r>
        <w:rPr>
          <w:spacing w:val="-18"/>
        </w:rPr>
        <w:t xml:space="preserve"> </w:t>
      </w:r>
      <w:r>
        <w:t>после</w:t>
      </w:r>
      <w:r>
        <w:rPr>
          <w:spacing w:val="-17"/>
        </w:rPr>
        <w:t xml:space="preserve"> </w:t>
      </w:r>
      <w:r>
        <w:t>гастропанкреатодуоденальной</w:t>
      </w:r>
      <w:r>
        <w:rPr>
          <w:spacing w:val="-18"/>
        </w:rPr>
        <w:t xml:space="preserve"> </w:t>
      </w:r>
      <w:r>
        <w:t>резекции»,</w:t>
      </w:r>
      <w:r>
        <w:rPr>
          <w:spacing w:val="-17"/>
        </w:rPr>
        <w:t xml:space="preserve"> </w:t>
      </w:r>
      <w:r>
        <w:t>дата</w:t>
      </w:r>
      <w:r>
        <w:rPr>
          <w:spacing w:val="-18"/>
        </w:rPr>
        <w:t xml:space="preserve"> </w:t>
      </w:r>
      <w:r>
        <w:t>регистрации: 13.05.2025г, номер свидетельства: № 57828.</w:t>
      </w:r>
    </w:p>
    <w:p w14:paraId="5352A405">
      <w:pPr>
        <w:pStyle w:val="7"/>
        <w:ind w:left="0" w:right="3" w:firstLine="709"/>
      </w:pPr>
      <w:r>
        <w:t>Свидетельство о внесении сведений в государственный реестр прав на объекты, охраняемые авторским правом: «Метод двойного дренирования зоны панкреатоеюноанастомоза после гастропанкреатодуоденальной резекции», дата регистрации: 04.12.2025г, номер свидетельства: № 65169.</w:t>
      </w:r>
    </w:p>
    <w:p w14:paraId="246B3440">
      <w:pPr>
        <w:pStyle w:val="7"/>
        <w:ind w:left="0" w:right="3" w:firstLine="709"/>
      </w:pPr>
      <w:r>
        <w:t>Свидетельство о внесении сведений в государственный реестр прав на объекты, охраняемые авторским правом: «Алгоритм профилактики панкреатических свищей после гастропанкреатодуоденальной резекции при опухолях периампулярной зоны», дата регистрации: 04.12.2025г, номер свидетельства: № 65170.</w:t>
      </w:r>
    </w:p>
    <w:p w14:paraId="3FC04C53">
      <w:pPr>
        <w:pStyle w:val="7"/>
        <w:ind w:left="0" w:right="3" w:firstLine="709"/>
      </w:pPr>
      <w:r>
        <w:t>Свидетельство о внесении сведений в государственный реестр прав на объекты, охраняемые авторским правом: «Алгоритм лечения панкреатических свищей после гастропанкреатодуоденальной резекции при опухолях периампулярной зоны», дата регистрации:</w:t>
      </w:r>
      <w:r>
        <w:rPr>
          <w:spacing w:val="-3"/>
        </w:rPr>
        <w:t xml:space="preserve"> </w:t>
      </w:r>
      <w:r>
        <w:t xml:space="preserve">10.12.2025г, номер свидетельства: № </w:t>
      </w:r>
      <w:r>
        <w:rPr>
          <w:spacing w:val="-2"/>
        </w:rPr>
        <w:t>65291.</w:t>
      </w:r>
    </w:p>
    <w:p w14:paraId="4F3CD428">
      <w:pPr>
        <w:pStyle w:val="7"/>
        <w:spacing w:before="1"/>
        <w:ind w:left="0" w:right="3" w:firstLine="709"/>
      </w:pPr>
      <w:r>
        <w:t>Патент на изобретение «Способ формирования панкреатоеюноанастомоза при гастропанкреатодуоденальной резекции», дата регистрации: 08.05.2025г. номер свидетельства: № 37308.</w:t>
      </w:r>
    </w:p>
    <w:p w14:paraId="6BA3F1B9">
      <w:pPr>
        <w:pStyle w:val="3"/>
        <w:spacing w:before="3" w:line="320" w:lineRule="exact"/>
        <w:ind w:left="0" w:right="3" w:firstLine="709"/>
      </w:pPr>
      <w:r>
        <w:t>Объем</w:t>
      </w:r>
      <w:r>
        <w:rPr>
          <w:spacing w:val="-5"/>
        </w:rPr>
        <w:t xml:space="preserve"> </w:t>
      </w:r>
      <w:r>
        <w:t>и</w:t>
      </w:r>
      <w:r>
        <w:rPr>
          <w:spacing w:val="-8"/>
        </w:rPr>
        <w:t xml:space="preserve"> </w:t>
      </w:r>
      <w:r>
        <w:t>структура</w:t>
      </w:r>
      <w:r>
        <w:rPr>
          <w:spacing w:val="-7"/>
        </w:rPr>
        <w:t xml:space="preserve"> </w:t>
      </w:r>
      <w:r>
        <w:rPr>
          <w:spacing w:val="-2"/>
        </w:rPr>
        <w:t>диссертации</w:t>
      </w:r>
    </w:p>
    <w:p w14:paraId="0B7D3554">
      <w:pPr>
        <w:pStyle w:val="7"/>
        <w:ind w:left="0" w:right="3" w:firstLine="709"/>
      </w:pPr>
      <w:r>
        <w:t>Диссертационная работа выполнена в соответствии с общепринятыми стандартами и включает следующие разделы: введение, обзор литературы, описание материалов и методов исследования, результаты собственных исследований, заключение и</w:t>
      </w:r>
      <w:r>
        <w:rPr>
          <w:spacing w:val="-1"/>
        </w:rPr>
        <w:t xml:space="preserve"> </w:t>
      </w:r>
      <w:r>
        <w:t>список</w:t>
      </w:r>
      <w:r>
        <w:rPr>
          <w:spacing w:val="-2"/>
        </w:rPr>
        <w:t xml:space="preserve"> </w:t>
      </w:r>
      <w:r>
        <w:t>использованной</w:t>
      </w:r>
      <w:r>
        <w:rPr>
          <w:spacing w:val="-2"/>
        </w:rPr>
        <w:t xml:space="preserve"> </w:t>
      </w:r>
      <w:r>
        <w:t>литературы, включающего 20</w:t>
      </w:r>
      <w:r>
        <w:rPr>
          <w:lang w:val="kk-KZ"/>
        </w:rPr>
        <w:t>6</w:t>
      </w:r>
      <w:r>
        <w:t xml:space="preserve"> ссылки, из которых 13 казахстанские авторы, 194 - зарубежные авторы. Объём диссертации составляет 158 страниц компьютерного текста, оформленного в соответствии с установленными требованиями. Работа включает 33 таблиц и 36 рисунка, которые визуально дополняют и иллюстрируют представленные данные.</w:t>
      </w:r>
    </w:p>
    <w:p w14:paraId="5D739960">
      <w:pPr>
        <w:pStyle w:val="7"/>
        <w:sectPr>
          <w:pgSz w:w="11910" w:h="16840"/>
          <w:pgMar w:top="1134" w:right="567" w:bottom="1134" w:left="1701" w:header="0" w:footer="936" w:gutter="0"/>
          <w:cols w:space="720" w:num="1"/>
        </w:sectPr>
      </w:pPr>
    </w:p>
    <w:p w14:paraId="36CFEB1E">
      <w:pPr>
        <w:pStyle w:val="2"/>
        <w:numPr>
          <w:ilvl w:val="0"/>
          <w:numId w:val="8"/>
        </w:numPr>
        <w:tabs>
          <w:tab w:val="left" w:pos="1560"/>
        </w:tabs>
        <w:ind w:left="0" w:right="3" w:firstLine="709"/>
        <w:jc w:val="both"/>
      </w:pPr>
      <w:r>
        <w:rPr>
          <w:spacing w:val="-2"/>
        </w:rPr>
        <w:t>СОВРЕМЕННОЕ</w:t>
      </w:r>
      <w:r>
        <w:rPr>
          <w:lang w:val="kk-KZ"/>
        </w:rPr>
        <w:t xml:space="preserve"> </w:t>
      </w:r>
      <w:r>
        <w:rPr>
          <w:spacing w:val="-2"/>
        </w:rPr>
        <w:t>СОСТОЯНИЕ</w:t>
      </w:r>
      <w:r>
        <w:rPr>
          <w:spacing w:val="-2"/>
          <w:lang w:val="kk-KZ"/>
        </w:rPr>
        <w:t xml:space="preserve"> </w:t>
      </w:r>
      <w:r>
        <w:rPr>
          <w:spacing w:val="-2"/>
        </w:rPr>
        <w:t>ПРОБЛЕМЫ</w:t>
      </w:r>
      <w:r>
        <w:rPr>
          <w:spacing w:val="-2"/>
          <w:lang w:val="kk-KZ"/>
        </w:rPr>
        <w:t xml:space="preserve"> </w:t>
      </w:r>
      <w:r>
        <w:t>ПАНКРЕА</w:t>
      </w:r>
      <w:r>
        <w:rPr>
          <w:lang w:val="kk-KZ"/>
        </w:rPr>
        <w:t>-</w:t>
      </w:r>
      <w:r>
        <w:t>ТИЧЕСКИХ СВИЩЕЙ ПОСЛЕ ГПДР ПРИ ОПУХОЛЯХ ПЕРИАМПУЛЯРНОЙ ЗОНЫ</w:t>
      </w:r>
    </w:p>
    <w:p w14:paraId="617B9F4F">
      <w:pPr>
        <w:pStyle w:val="7"/>
        <w:spacing w:before="4"/>
        <w:ind w:left="0" w:right="3" w:firstLine="0"/>
        <w:jc w:val="left"/>
        <w:rPr>
          <w:b/>
        </w:rPr>
      </w:pPr>
    </w:p>
    <w:p w14:paraId="5E9B897E">
      <w:pPr>
        <w:pStyle w:val="3"/>
        <w:numPr>
          <w:ilvl w:val="1"/>
          <w:numId w:val="8"/>
        </w:numPr>
        <w:tabs>
          <w:tab w:val="left" w:pos="1253"/>
        </w:tabs>
        <w:ind w:left="0" w:right="3" w:firstLine="709"/>
      </w:pPr>
      <w:r>
        <w:t>Эпидемиология опухолей периампулярной зоны и ГПДР как стандарт радикального лечения</w:t>
      </w:r>
    </w:p>
    <w:p w14:paraId="0FF680EA">
      <w:pPr>
        <w:pStyle w:val="7"/>
        <w:ind w:left="0" w:right="3" w:firstLine="709"/>
      </w:pPr>
      <w:r>
        <w:t>Периампулярная зона традиционно включает ГПЖ, ТОХ, БДС и прилежащий сегмент нисходящей части ДПК. Опухоли, исходящие из этих анатомических структур, объединяют под термином «опухоли периампулярной зоны» и рассматривают как единую группу ввиду общности клинических проявлений (механическая желтуха, холангит, панкреатит), схожих принципов стадирования и радикального лечения.</w:t>
      </w:r>
    </w:p>
    <w:p w14:paraId="7EBC5830">
      <w:pPr>
        <w:pStyle w:val="7"/>
        <w:ind w:left="0" w:right="3" w:firstLine="709"/>
      </w:pPr>
      <w:r>
        <w:t>РПЖ относится к числу наиболее агрессивных онкологических заболеваний, характеризующихся крайне низкой выживаемостью пациентов. В среднем диагноз устанавливается в возрасте около 71 года, что свидетельствует о преимущественном развитии патологии у лиц пожилого возраста; при этом заболеваемость среди мужчин и женщин остается сопоставимой [18,19]. По данным GLOBOCAN за 2022 год, РПЖ занимает 12-е место по частоте встречаемости и 6-е место по уровню смертности среди всех злокачественных новообразований,</w:t>
      </w:r>
      <w:r>
        <w:rPr>
          <w:spacing w:val="-18"/>
        </w:rPr>
        <w:t xml:space="preserve"> </w:t>
      </w:r>
      <w:r>
        <w:t>которые</w:t>
      </w:r>
      <w:r>
        <w:rPr>
          <w:spacing w:val="-17"/>
        </w:rPr>
        <w:t xml:space="preserve"> </w:t>
      </w:r>
      <w:r>
        <w:t>представлены</w:t>
      </w:r>
      <w:r>
        <w:rPr>
          <w:spacing w:val="-18"/>
        </w:rPr>
        <w:t xml:space="preserve"> </w:t>
      </w:r>
      <w:r>
        <w:t>на</w:t>
      </w:r>
      <w:r>
        <w:rPr>
          <w:spacing w:val="-17"/>
        </w:rPr>
        <w:t xml:space="preserve"> </w:t>
      </w:r>
      <w:r>
        <w:t>рисунке</w:t>
      </w:r>
      <w:r>
        <w:rPr>
          <w:spacing w:val="-18"/>
        </w:rPr>
        <w:t xml:space="preserve"> </w:t>
      </w:r>
      <w:r>
        <w:t>3</w:t>
      </w:r>
      <w:r>
        <w:rPr>
          <w:spacing w:val="-17"/>
        </w:rPr>
        <w:t xml:space="preserve"> </w:t>
      </w:r>
      <w:r>
        <w:t>и</w:t>
      </w:r>
      <w:r>
        <w:rPr>
          <w:spacing w:val="-18"/>
        </w:rPr>
        <w:t xml:space="preserve"> </w:t>
      </w:r>
      <w:r>
        <w:t>4</w:t>
      </w:r>
      <w:r>
        <w:rPr>
          <w:spacing w:val="-17"/>
        </w:rPr>
        <w:t xml:space="preserve"> </w:t>
      </w:r>
      <w:r>
        <w:t>(число</w:t>
      </w:r>
      <w:r>
        <w:rPr>
          <w:spacing w:val="-18"/>
        </w:rPr>
        <w:t xml:space="preserve"> </w:t>
      </w:r>
      <w:r>
        <w:t>случаев</w:t>
      </w:r>
      <w:r>
        <w:rPr>
          <w:spacing w:val="-17"/>
        </w:rPr>
        <w:t xml:space="preserve"> </w:t>
      </w:r>
      <w:r>
        <w:t>указано в</w:t>
      </w:r>
      <w:r>
        <w:rPr>
          <w:spacing w:val="-4"/>
        </w:rPr>
        <w:t xml:space="preserve"> </w:t>
      </w:r>
      <w:r>
        <w:t>миллионах)</w:t>
      </w:r>
      <w:r>
        <w:rPr>
          <w:spacing w:val="-3"/>
        </w:rPr>
        <w:t xml:space="preserve"> </w:t>
      </w:r>
      <w:r>
        <w:t>[20]. Основными</w:t>
      </w:r>
      <w:r>
        <w:rPr>
          <w:spacing w:val="-3"/>
        </w:rPr>
        <w:t xml:space="preserve"> </w:t>
      </w:r>
      <w:r>
        <w:t>причинами</w:t>
      </w:r>
      <w:r>
        <w:rPr>
          <w:spacing w:val="-3"/>
        </w:rPr>
        <w:t xml:space="preserve"> </w:t>
      </w:r>
      <w:r>
        <w:t>заболеваемости</w:t>
      </w:r>
      <w:r>
        <w:rPr>
          <w:spacing w:val="-3"/>
        </w:rPr>
        <w:t xml:space="preserve"> </w:t>
      </w:r>
      <w:r>
        <w:t>РПЖ</w:t>
      </w:r>
      <w:r>
        <w:rPr>
          <w:spacing w:val="-2"/>
        </w:rPr>
        <w:t xml:space="preserve"> </w:t>
      </w:r>
      <w:r>
        <w:t>в</w:t>
      </w:r>
      <w:r>
        <w:rPr>
          <w:spacing w:val="-4"/>
        </w:rPr>
        <w:t xml:space="preserve"> </w:t>
      </w:r>
      <w:r>
        <w:t>значительной степени являются распространённые факторы риска, такие как табакокурение, ожирение, сахарный диабет и злоупотребление алкоголем [20].</w:t>
      </w:r>
    </w:p>
    <w:p w14:paraId="1A9018B5">
      <w:pPr>
        <w:pStyle w:val="7"/>
        <w:spacing w:before="141"/>
        <w:ind w:left="0" w:firstLine="0"/>
        <w:jc w:val="left"/>
        <w:rPr>
          <w:sz w:val="20"/>
        </w:rPr>
      </w:pPr>
      <w:r>
        <w:rPr>
          <w:sz w:val="20"/>
          <w:lang w:eastAsia="ru-RU"/>
        </w:rPr>
        <w:drawing>
          <wp:anchor distT="0" distB="0" distL="0" distR="0" simplePos="0" relativeHeight="251665408" behindDoc="1" locked="0" layoutInCell="1" allowOverlap="1">
            <wp:simplePos x="0" y="0"/>
            <wp:positionH relativeFrom="page">
              <wp:posOffset>1446530</wp:posOffset>
            </wp:positionH>
            <wp:positionV relativeFrom="paragraph">
              <wp:posOffset>247650</wp:posOffset>
            </wp:positionV>
            <wp:extent cx="5386070" cy="3561715"/>
            <wp:effectExtent l="0" t="0" r="5080" b="635"/>
            <wp:wrapTopAndBottom/>
            <wp:docPr id="2" name="Image 2" descr="graphic-asr-inc-both-sexes-in-2022-pancreas"/>
            <wp:cNvGraphicFramePr/>
            <a:graphic xmlns:a="http://schemas.openxmlformats.org/drawingml/2006/main">
              <a:graphicData uri="http://schemas.openxmlformats.org/drawingml/2006/picture">
                <pic:pic xmlns:pic="http://schemas.openxmlformats.org/drawingml/2006/picture">
                  <pic:nvPicPr>
                    <pic:cNvPr id="2" name="Image 2" descr="graphic-asr-inc-both-sexes-in-2022-pancreas"/>
                    <pic:cNvPicPr/>
                  </pic:nvPicPr>
                  <pic:blipFill>
                    <a:blip r:embed="rId13" cstate="print"/>
                    <a:stretch>
                      <a:fillRect/>
                    </a:stretch>
                  </pic:blipFill>
                  <pic:spPr>
                    <a:xfrm>
                      <a:off x="0" y="0"/>
                      <a:ext cx="5386070" cy="3561715"/>
                    </a:xfrm>
                    <a:prstGeom prst="rect">
                      <a:avLst/>
                    </a:prstGeom>
                  </pic:spPr>
                </pic:pic>
              </a:graphicData>
            </a:graphic>
          </wp:anchor>
        </w:drawing>
      </w:r>
    </w:p>
    <w:p w14:paraId="2510A78E">
      <w:pPr>
        <w:pStyle w:val="7"/>
        <w:spacing w:before="286"/>
        <w:ind w:left="0" w:firstLine="0"/>
        <w:jc w:val="center"/>
      </w:pPr>
      <w:r>
        <w:t>Рисунок</w:t>
      </w:r>
      <w:r>
        <w:rPr>
          <w:spacing w:val="-4"/>
        </w:rPr>
        <w:t xml:space="preserve"> </w:t>
      </w:r>
      <w:r>
        <w:t>1</w:t>
      </w:r>
      <w:r>
        <w:rPr>
          <w:spacing w:val="-3"/>
        </w:rPr>
        <w:t xml:space="preserve"> </w:t>
      </w:r>
      <w:r>
        <w:t>-</w:t>
      </w:r>
      <w:r>
        <w:rPr>
          <w:spacing w:val="-5"/>
        </w:rPr>
        <w:t xml:space="preserve"> </w:t>
      </w:r>
      <w:r>
        <w:t>Стандартизованный</w:t>
      </w:r>
      <w:r>
        <w:rPr>
          <w:spacing w:val="-4"/>
        </w:rPr>
        <w:t xml:space="preserve"> </w:t>
      </w:r>
      <w:r>
        <w:t>по</w:t>
      </w:r>
      <w:r>
        <w:rPr>
          <w:spacing w:val="-4"/>
        </w:rPr>
        <w:t xml:space="preserve"> </w:t>
      </w:r>
      <w:r>
        <w:t>возрасту</w:t>
      </w:r>
      <w:r>
        <w:rPr>
          <w:spacing w:val="-8"/>
        </w:rPr>
        <w:t xml:space="preserve"> </w:t>
      </w:r>
      <w:r>
        <w:t>показатель</w:t>
      </w:r>
      <w:r>
        <w:rPr>
          <w:spacing w:val="-6"/>
        </w:rPr>
        <w:t xml:space="preserve"> </w:t>
      </w:r>
      <w:r>
        <w:t>заболеваемости РПЖ (ASR, на 100 000 населения) в мире в 2022 году</w:t>
      </w:r>
    </w:p>
    <w:p w14:paraId="0AF8B739">
      <w:pPr>
        <w:pStyle w:val="7"/>
        <w:jc w:val="left"/>
        <w:sectPr>
          <w:pgSz w:w="11910" w:h="16840"/>
          <w:pgMar w:top="1134" w:right="567" w:bottom="1134" w:left="1701" w:header="0" w:footer="936" w:gutter="0"/>
          <w:cols w:space="720" w:num="1"/>
        </w:sectPr>
      </w:pPr>
    </w:p>
    <w:p w14:paraId="0299C7DF">
      <w:pPr>
        <w:pStyle w:val="7"/>
        <w:tabs>
          <w:tab w:val="left" w:pos="4253"/>
          <w:tab w:val="left" w:pos="4820"/>
        </w:tabs>
        <w:spacing w:before="67"/>
        <w:ind w:left="0" w:right="3" w:firstLine="562"/>
      </w:pPr>
      <w:r>
        <w:t>В указанном году в мире было зарегистрировано 510,992 новых случаев заболевания, при этом 467,409 пациентов скончались. Наибольшая распространённость</w:t>
      </w:r>
      <w:r>
        <w:rPr>
          <w:spacing w:val="-3"/>
        </w:rPr>
        <w:t xml:space="preserve"> </w:t>
      </w:r>
      <w:r>
        <w:t>наблюдается в</w:t>
      </w:r>
      <w:r>
        <w:rPr>
          <w:spacing w:val="-7"/>
        </w:rPr>
        <w:t xml:space="preserve"> </w:t>
      </w:r>
      <w:r>
        <w:t>странах</w:t>
      </w:r>
      <w:r>
        <w:rPr>
          <w:spacing w:val="-1"/>
        </w:rPr>
        <w:t xml:space="preserve"> </w:t>
      </w:r>
      <w:r>
        <w:t>Азии, Европы</w:t>
      </w:r>
      <w:r>
        <w:rPr>
          <w:spacing w:val="-1"/>
        </w:rPr>
        <w:t xml:space="preserve"> </w:t>
      </w:r>
      <w:r>
        <w:t>и</w:t>
      </w:r>
      <w:r>
        <w:rPr>
          <w:spacing w:val="-1"/>
        </w:rPr>
        <w:t xml:space="preserve"> </w:t>
      </w:r>
      <w:r>
        <w:t>Северной</w:t>
      </w:r>
      <w:r>
        <w:rPr>
          <w:spacing w:val="-1"/>
        </w:rPr>
        <w:t xml:space="preserve"> </w:t>
      </w:r>
      <w:r>
        <w:t>Америки, при этом около половины всех случаев приходится на азиатский регион [21]. В США за период с 1999 по 2020 год отмечено увеличение уровня смертности от РПЖ, скорректированного по возрасту, среди пациентов старше 65 лет — показатель достиг 63,9 на 100 000 населения [22].</w:t>
      </w:r>
    </w:p>
    <w:p w14:paraId="60957866">
      <w:pPr>
        <w:pStyle w:val="7"/>
        <w:spacing w:before="162"/>
        <w:ind w:left="0" w:firstLine="0"/>
        <w:jc w:val="left"/>
        <w:rPr>
          <w:sz w:val="20"/>
        </w:rPr>
      </w:pPr>
      <w:r>
        <w:rPr>
          <w:sz w:val="20"/>
          <w:lang w:eastAsia="ru-RU"/>
        </w:rPr>
        <w:drawing>
          <wp:anchor distT="0" distB="0" distL="0" distR="0" simplePos="0" relativeHeight="251666432" behindDoc="1" locked="0" layoutInCell="1" allowOverlap="1">
            <wp:simplePos x="0" y="0"/>
            <wp:positionH relativeFrom="page">
              <wp:posOffset>1435735</wp:posOffset>
            </wp:positionH>
            <wp:positionV relativeFrom="paragraph">
              <wp:posOffset>264160</wp:posOffset>
            </wp:positionV>
            <wp:extent cx="5157470" cy="3053715"/>
            <wp:effectExtent l="0" t="0" r="0" b="0"/>
            <wp:wrapTopAndBottom/>
            <wp:docPr id="3" name="Image 3" descr="graphic-asr-mort-both-sexes-in-2022-pancreas"/>
            <wp:cNvGraphicFramePr/>
            <a:graphic xmlns:a="http://schemas.openxmlformats.org/drawingml/2006/main">
              <a:graphicData uri="http://schemas.openxmlformats.org/drawingml/2006/picture">
                <pic:pic xmlns:pic="http://schemas.openxmlformats.org/drawingml/2006/picture">
                  <pic:nvPicPr>
                    <pic:cNvPr id="3" name="Image 3" descr="graphic-asr-mort-both-sexes-in-2022-pancreas"/>
                    <pic:cNvPicPr/>
                  </pic:nvPicPr>
                  <pic:blipFill>
                    <a:blip r:embed="rId14" cstate="print"/>
                    <a:stretch>
                      <a:fillRect/>
                    </a:stretch>
                  </pic:blipFill>
                  <pic:spPr>
                    <a:xfrm>
                      <a:off x="0" y="0"/>
                      <a:ext cx="5157366" cy="3053905"/>
                    </a:xfrm>
                    <a:prstGeom prst="rect">
                      <a:avLst/>
                    </a:prstGeom>
                  </pic:spPr>
                </pic:pic>
              </a:graphicData>
            </a:graphic>
          </wp:anchor>
        </w:drawing>
      </w:r>
    </w:p>
    <w:p w14:paraId="6138B859">
      <w:pPr>
        <w:pStyle w:val="7"/>
        <w:spacing w:before="280" w:line="242" w:lineRule="auto"/>
        <w:ind w:left="0" w:firstLine="0"/>
        <w:jc w:val="center"/>
      </w:pPr>
      <w:r>
        <w:t>Рисунок</w:t>
      </w:r>
      <w:r>
        <w:rPr>
          <w:spacing w:val="-5"/>
        </w:rPr>
        <w:t xml:space="preserve"> </w:t>
      </w:r>
      <w:r>
        <w:t>2</w:t>
      </w:r>
      <w:r>
        <w:rPr>
          <w:spacing w:val="-4"/>
        </w:rPr>
        <w:t xml:space="preserve"> </w:t>
      </w:r>
      <w:r>
        <w:t>-</w:t>
      </w:r>
      <w:r>
        <w:rPr>
          <w:spacing w:val="-6"/>
        </w:rPr>
        <w:t xml:space="preserve"> </w:t>
      </w:r>
      <w:r>
        <w:t>Стандартизованный</w:t>
      </w:r>
      <w:r>
        <w:rPr>
          <w:spacing w:val="-5"/>
        </w:rPr>
        <w:t xml:space="preserve"> </w:t>
      </w:r>
      <w:r>
        <w:t>по</w:t>
      </w:r>
      <w:r>
        <w:rPr>
          <w:spacing w:val="-5"/>
        </w:rPr>
        <w:t xml:space="preserve"> </w:t>
      </w:r>
      <w:r>
        <w:t>возрасту</w:t>
      </w:r>
      <w:r>
        <w:rPr>
          <w:spacing w:val="-8"/>
        </w:rPr>
        <w:t xml:space="preserve"> </w:t>
      </w:r>
      <w:r>
        <w:t>показатель</w:t>
      </w:r>
      <w:r>
        <w:rPr>
          <w:spacing w:val="-6"/>
        </w:rPr>
        <w:t xml:space="preserve"> </w:t>
      </w:r>
      <w:r>
        <w:t>смертности</w:t>
      </w:r>
      <w:r>
        <w:rPr>
          <w:spacing w:val="-5"/>
        </w:rPr>
        <w:t xml:space="preserve"> </w:t>
      </w:r>
      <w:r>
        <w:t>от РПЖ (ASR, на 100 000 населения) в мире в 2022 году</w:t>
      </w:r>
    </w:p>
    <w:p w14:paraId="58051043">
      <w:pPr>
        <w:pStyle w:val="7"/>
        <w:spacing w:before="66"/>
        <w:ind w:left="0" w:firstLine="0"/>
        <w:jc w:val="left"/>
        <w:rPr>
          <w:sz w:val="20"/>
        </w:rPr>
      </w:pPr>
      <w:r>
        <w:rPr>
          <w:sz w:val="20"/>
          <w:lang w:eastAsia="ru-RU"/>
        </w:rPr>
        <w:drawing>
          <wp:anchor distT="0" distB="0" distL="0" distR="0" simplePos="0" relativeHeight="251667456" behindDoc="1" locked="0" layoutInCell="1" allowOverlap="1">
            <wp:simplePos x="0" y="0"/>
            <wp:positionH relativeFrom="page">
              <wp:posOffset>1443990</wp:posOffset>
            </wp:positionH>
            <wp:positionV relativeFrom="paragraph">
              <wp:posOffset>203200</wp:posOffset>
            </wp:positionV>
            <wp:extent cx="4583430" cy="3025775"/>
            <wp:effectExtent l="0" t="0" r="0" b="0"/>
            <wp:wrapTopAndBottom/>
            <wp:docPr id="4" name="Image 4" descr="graphic-absolute-numbers-inc-both-sexes-in-2022-world"/>
            <wp:cNvGraphicFramePr/>
            <a:graphic xmlns:a="http://schemas.openxmlformats.org/drawingml/2006/main">
              <a:graphicData uri="http://schemas.openxmlformats.org/drawingml/2006/picture">
                <pic:pic xmlns:pic="http://schemas.openxmlformats.org/drawingml/2006/picture">
                  <pic:nvPicPr>
                    <pic:cNvPr id="4" name="Image 4" descr="graphic-absolute-numbers-inc-both-sexes-in-2022-world"/>
                    <pic:cNvPicPr/>
                  </pic:nvPicPr>
                  <pic:blipFill>
                    <a:blip r:embed="rId15" cstate="print"/>
                    <a:stretch>
                      <a:fillRect/>
                    </a:stretch>
                  </pic:blipFill>
                  <pic:spPr>
                    <a:xfrm>
                      <a:off x="0" y="0"/>
                      <a:ext cx="4583705" cy="3025902"/>
                    </a:xfrm>
                    <a:prstGeom prst="rect">
                      <a:avLst/>
                    </a:prstGeom>
                  </pic:spPr>
                </pic:pic>
              </a:graphicData>
            </a:graphic>
          </wp:anchor>
        </w:drawing>
      </w:r>
    </w:p>
    <w:p w14:paraId="554DC3B0">
      <w:pPr>
        <w:pStyle w:val="7"/>
        <w:spacing w:before="319" w:line="322" w:lineRule="exact"/>
        <w:ind w:left="560" w:firstLine="0"/>
        <w:jc w:val="center"/>
      </w:pPr>
      <w:r>
        <w:t>Рисунок</w:t>
      </w:r>
      <w:r>
        <w:rPr>
          <w:spacing w:val="-6"/>
        </w:rPr>
        <w:t xml:space="preserve"> </w:t>
      </w:r>
      <w:r>
        <w:t>3</w:t>
      </w:r>
      <w:r>
        <w:rPr>
          <w:spacing w:val="-3"/>
        </w:rPr>
        <w:t xml:space="preserve"> </w:t>
      </w:r>
      <w:r>
        <w:t>-</w:t>
      </w:r>
      <w:r>
        <w:rPr>
          <w:spacing w:val="-1"/>
        </w:rPr>
        <w:t xml:space="preserve"> </w:t>
      </w:r>
      <w:r>
        <w:t>Абсолютное</w:t>
      </w:r>
      <w:r>
        <w:rPr>
          <w:spacing w:val="-3"/>
        </w:rPr>
        <w:t xml:space="preserve"> </w:t>
      </w:r>
      <w:r>
        <w:t>число</w:t>
      </w:r>
      <w:r>
        <w:rPr>
          <w:spacing w:val="-4"/>
        </w:rPr>
        <w:t xml:space="preserve"> </w:t>
      </w:r>
      <w:r>
        <w:t>новых</w:t>
      </w:r>
      <w:r>
        <w:rPr>
          <w:spacing w:val="-8"/>
        </w:rPr>
        <w:t xml:space="preserve"> </w:t>
      </w:r>
      <w:r>
        <w:t>случаев</w:t>
      </w:r>
      <w:r>
        <w:rPr>
          <w:spacing w:val="-1"/>
        </w:rPr>
        <w:t xml:space="preserve"> </w:t>
      </w:r>
      <w:r>
        <w:t>РПЖ</w:t>
      </w:r>
      <w:r>
        <w:rPr>
          <w:spacing w:val="-3"/>
        </w:rPr>
        <w:t xml:space="preserve"> </w:t>
      </w:r>
      <w:r>
        <w:t>в</w:t>
      </w:r>
      <w:r>
        <w:rPr>
          <w:spacing w:val="-5"/>
        </w:rPr>
        <w:t xml:space="preserve"> </w:t>
      </w:r>
      <w:r>
        <w:t>мире</w:t>
      </w:r>
      <w:r>
        <w:rPr>
          <w:spacing w:val="-3"/>
        </w:rPr>
        <w:t xml:space="preserve"> </w:t>
      </w:r>
      <w:r>
        <w:t>в</w:t>
      </w:r>
      <w:r>
        <w:rPr>
          <w:spacing w:val="-6"/>
        </w:rPr>
        <w:t xml:space="preserve"> </w:t>
      </w:r>
      <w:r>
        <w:t>2022</w:t>
      </w:r>
      <w:r>
        <w:rPr>
          <w:spacing w:val="-4"/>
        </w:rPr>
        <w:t xml:space="preserve"> </w:t>
      </w:r>
      <w:r>
        <w:t>году</w:t>
      </w:r>
      <w:r>
        <w:rPr>
          <w:spacing w:val="-8"/>
        </w:rPr>
        <w:t xml:space="preserve"> </w:t>
      </w:r>
      <w:r>
        <w:rPr>
          <w:spacing w:val="-5"/>
        </w:rPr>
        <w:t>(в</w:t>
      </w:r>
    </w:p>
    <w:p w14:paraId="23591F9D">
      <w:pPr>
        <w:pStyle w:val="7"/>
        <w:ind w:left="-1" w:firstLine="0"/>
        <w:jc w:val="center"/>
      </w:pPr>
      <w:r>
        <w:t>млн</w:t>
      </w:r>
      <w:r>
        <w:rPr>
          <w:spacing w:val="-4"/>
        </w:rPr>
        <w:t xml:space="preserve"> </w:t>
      </w:r>
      <w:r>
        <w:rPr>
          <w:spacing w:val="-2"/>
        </w:rPr>
        <w:t>человек)</w:t>
      </w:r>
    </w:p>
    <w:p w14:paraId="2D1E9A5C">
      <w:pPr>
        <w:pStyle w:val="7"/>
        <w:jc w:val="center"/>
        <w:sectPr>
          <w:pgSz w:w="11910" w:h="16840"/>
          <w:pgMar w:top="1134" w:right="567" w:bottom="1134" w:left="1701" w:header="0" w:footer="936" w:gutter="0"/>
          <w:cols w:space="720" w:num="1"/>
        </w:sectPr>
      </w:pPr>
    </w:p>
    <w:p w14:paraId="0A148A7A">
      <w:pPr>
        <w:pStyle w:val="7"/>
        <w:ind w:left="813" w:firstLine="0"/>
        <w:jc w:val="left"/>
        <w:rPr>
          <w:sz w:val="20"/>
        </w:rPr>
      </w:pPr>
      <w:r>
        <w:rPr>
          <w:sz w:val="20"/>
          <w:lang w:eastAsia="ru-RU"/>
        </w:rPr>
        <w:drawing>
          <wp:inline distT="0" distB="0" distL="0" distR="0">
            <wp:extent cx="4724400" cy="3000375"/>
            <wp:effectExtent l="0" t="0" r="0" b="0"/>
            <wp:docPr id="5" name="Image 5" descr="graphic-absolute-numbers-mort-both-sexes-in-2022-world"/>
            <wp:cNvGraphicFramePr/>
            <a:graphic xmlns:a="http://schemas.openxmlformats.org/drawingml/2006/main">
              <a:graphicData uri="http://schemas.openxmlformats.org/drawingml/2006/picture">
                <pic:pic xmlns:pic="http://schemas.openxmlformats.org/drawingml/2006/picture">
                  <pic:nvPicPr>
                    <pic:cNvPr id="5" name="Image 5" descr="graphic-absolute-numbers-mort-both-sexes-in-2022-world"/>
                    <pic:cNvPicPr/>
                  </pic:nvPicPr>
                  <pic:blipFill>
                    <a:blip r:embed="rId16" cstate="print"/>
                    <a:stretch>
                      <a:fillRect/>
                    </a:stretch>
                  </pic:blipFill>
                  <pic:spPr>
                    <a:xfrm>
                      <a:off x="0" y="0"/>
                      <a:ext cx="4724461" cy="3000755"/>
                    </a:xfrm>
                    <a:prstGeom prst="rect">
                      <a:avLst/>
                    </a:prstGeom>
                  </pic:spPr>
                </pic:pic>
              </a:graphicData>
            </a:graphic>
          </wp:inline>
        </w:drawing>
      </w:r>
    </w:p>
    <w:p w14:paraId="51110FA2">
      <w:pPr>
        <w:pStyle w:val="7"/>
        <w:tabs>
          <w:tab w:val="left" w:pos="2140"/>
        </w:tabs>
        <w:spacing w:before="282" w:line="322" w:lineRule="exact"/>
        <w:ind w:left="0" w:firstLine="0"/>
        <w:jc w:val="center"/>
      </w:pPr>
      <w:r>
        <w:t>Рисунок</w:t>
      </w:r>
      <w:r>
        <w:rPr>
          <w:spacing w:val="-7"/>
        </w:rPr>
        <w:t xml:space="preserve"> </w:t>
      </w:r>
      <w:r>
        <w:t>4</w:t>
      </w:r>
      <w:r>
        <w:rPr>
          <w:spacing w:val="-5"/>
        </w:rPr>
        <w:t xml:space="preserve"> </w:t>
      </w:r>
      <w:r>
        <w:rPr>
          <w:spacing w:val="-10"/>
        </w:rPr>
        <w:t>-</w:t>
      </w:r>
      <w:r>
        <w:rPr>
          <w:lang w:val="kk-KZ"/>
        </w:rPr>
        <w:t xml:space="preserve"> </w:t>
      </w:r>
      <w:r>
        <w:t>Абсолютное</w:t>
      </w:r>
      <w:r>
        <w:rPr>
          <w:spacing w:val="-5"/>
        </w:rPr>
        <w:t xml:space="preserve"> </w:t>
      </w:r>
      <w:r>
        <w:t>число</w:t>
      </w:r>
      <w:r>
        <w:rPr>
          <w:spacing w:val="-5"/>
        </w:rPr>
        <w:t xml:space="preserve"> </w:t>
      </w:r>
      <w:r>
        <w:t>случаев</w:t>
      </w:r>
      <w:r>
        <w:rPr>
          <w:spacing w:val="-7"/>
        </w:rPr>
        <w:t xml:space="preserve"> </w:t>
      </w:r>
      <w:r>
        <w:t>смерти</w:t>
      </w:r>
      <w:r>
        <w:rPr>
          <w:spacing w:val="-5"/>
        </w:rPr>
        <w:t xml:space="preserve"> </w:t>
      </w:r>
      <w:r>
        <w:t>от</w:t>
      </w:r>
      <w:r>
        <w:rPr>
          <w:spacing w:val="-7"/>
        </w:rPr>
        <w:t xml:space="preserve"> </w:t>
      </w:r>
      <w:r>
        <w:t>РПЖ</w:t>
      </w:r>
      <w:r>
        <w:rPr>
          <w:spacing w:val="-5"/>
        </w:rPr>
        <w:t xml:space="preserve"> </w:t>
      </w:r>
      <w:r>
        <w:t>в</w:t>
      </w:r>
      <w:r>
        <w:rPr>
          <w:spacing w:val="-7"/>
        </w:rPr>
        <w:t xml:space="preserve"> </w:t>
      </w:r>
      <w:r>
        <w:t>мире</w:t>
      </w:r>
      <w:r>
        <w:rPr>
          <w:spacing w:val="-5"/>
        </w:rPr>
        <w:t xml:space="preserve"> </w:t>
      </w:r>
      <w:r>
        <w:t>в</w:t>
      </w:r>
      <w:r>
        <w:rPr>
          <w:spacing w:val="-6"/>
        </w:rPr>
        <w:t xml:space="preserve"> </w:t>
      </w:r>
      <w:r>
        <w:t>2022</w:t>
      </w:r>
      <w:r>
        <w:rPr>
          <w:spacing w:val="-6"/>
        </w:rPr>
        <w:t xml:space="preserve"> </w:t>
      </w:r>
      <w:r>
        <w:rPr>
          <w:spacing w:val="-4"/>
        </w:rPr>
        <w:t>году</w:t>
      </w:r>
    </w:p>
    <w:p w14:paraId="1691A53A">
      <w:pPr>
        <w:pStyle w:val="7"/>
        <w:ind w:left="-1" w:right="1" w:firstLine="0"/>
        <w:jc w:val="center"/>
      </w:pPr>
      <w:r>
        <w:t>(в</w:t>
      </w:r>
      <w:r>
        <w:rPr>
          <w:spacing w:val="-5"/>
        </w:rPr>
        <w:t xml:space="preserve"> </w:t>
      </w:r>
      <w:r>
        <w:t>млн</w:t>
      </w:r>
      <w:r>
        <w:rPr>
          <w:spacing w:val="-3"/>
        </w:rPr>
        <w:t xml:space="preserve"> </w:t>
      </w:r>
      <w:r>
        <w:rPr>
          <w:spacing w:val="-2"/>
        </w:rPr>
        <w:t>человек)</w:t>
      </w:r>
    </w:p>
    <w:p w14:paraId="7A96FA42">
      <w:pPr>
        <w:pStyle w:val="7"/>
        <w:spacing w:before="278"/>
        <w:ind w:left="241" w:right="175" w:firstLine="485"/>
      </w:pPr>
      <w:r>
        <w:t>В</w:t>
      </w:r>
      <w:r>
        <w:rPr>
          <w:spacing w:val="-9"/>
        </w:rPr>
        <w:t xml:space="preserve"> </w:t>
      </w:r>
      <w:r>
        <w:t>структуре</w:t>
      </w:r>
      <w:r>
        <w:rPr>
          <w:spacing w:val="-6"/>
        </w:rPr>
        <w:t xml:space="preserve"> </w:t>
      </w:r>
      <w:r>
        <w:t>онкологической</w:t>
      </w:r>
      <w:r>
        <w:rPr>
          <w:spacing w:val="-7"/>
        </w:rPr>
        <w:t xml:space="preserve"> </w:t>
      </w:r>
      <w:r>
        <w:t>смертности</w:t>
      </w:r>
      <w:r>
        <w:rPr>
          <w:spacing w:val="-2"/>
        </w:rPr>
        <w:t xml:space="preserve"> </w:t>
      </w:r>
      <w:r>
        <w:t>в</w:t>
      </w:r>
      <w:r>
        <w:rPr>
          <w:spacing w:val="-8"/>
        </w:rPr>
        <w:t xml:space="preserve"> </w:t>
      </w:r>
      <w:r>
        <w:t>Казахстане</w:t>
      </w:r>
      <w:r>
        <w:rPr>
          <w:spacing w:val="-6"/>
        </w:rPr>
        <w:t xml:space="preserve"> </w:t>
      </w:r>
      <w:r>
        <w:t>РПЖ</w:t>
      </w:r>
      <w:r>
        <w:rPr>
          <w:spacing w:val="-7"/>
        </w:rPr>
        <w:t xml:space="preserve"> </w:t>
      </w:r>
      <w:r>
        <w:t>на</w:t>
      </w:r>
      <w:r>
        <w:rPr>
          <w:spacing w:val="-6"/>
        </w:rPr>
        <w:t xml:space="preserve"> </w:t>
      </w:r>
      <w:r>
        <w:t>протяжении семи лет подряд (с 2017 года)</w:t>
      </w:r>
      <w:r>
        <w:rPr>
          <w:spacing w:val="-4"/>
        </w:rPr>
        <w:t xml:space="preserve"> </w:t>
      </w:r>
      <w:r>
        <w:t>сохраняет 4-е место, достигнув в 2023 году</w:t>
      </w:r>
      <w:r>
        <w:rPr>
          <w:spacing w:val="-2"/>
        </w:rPr>
        <w:t xml:space="preserve"> </w:t>
      </w:r>
      <w:r>
        <w:t>доли 6,2%</w:t>
      </w:r>
      <w:r>
        <w:rPr>
          <w:spacing w:val="-5"/>
        </w:rPr>
        <w:t xml:space="preserve"> </w:t>
      </w:r>
      <w:r>
        <w:t>(против</w:t>
      </w:r>
      <w:r>
        <w:rPr>
          <w:spacing w:val="-6"/>
        </w:rPr>
        <w:t xml:space="preserve"> </w:t>
      </w:r>
      <w:r>
        <w:t>5,7%</w:t>
      </w:r>
      <w:r>
        <w:rPr>
          <w:spacing w:val="-2"/>
        </w:rPr>
        <w:t xml:space="preserve"> </w:t>
      </w:r>
      <w:r>
        <w:t>в</w:t>
      </w:r>
      <w:r>
        <w:rPr>
          <w:spacing w:val="-5"/>
        </w:rPr>
        <w:t xml:space="preserve"> </w:t>
      </w:r>
      <w:r>
        <w:t>2022</w:t>
      </w:r>
      <w:r>
        <w:rPr>
          <w:spacing w:val="-3"/>
        </w:rPr>
        <w:t xml:space="preserve"> </w:t>
      </w:r>
      <w:r>
        <w:t xml:space="preserve">году). </w:t>
      </w:r>
      <w:r>
        <w:rPr>
          <w:spacing w:val="-2"/>
        </w:rPr>
        <w:t>[23,24].</w:t>
      </w:r>
    </w:p>
    <w:p w14:paraId="0D0BB595">
      <w:pPr>
        <w:pStyle w:val="7"/>
        <w:spacing w:before="87"/>
        <w:ind w:left="0" w:firstLine="0"/>
        <w:jc w:val="left"/>
        <w:rPr>
          <w:sz w:val="20"/>
        </w:rPr>
      </w:pPr>
      <w:r>
        <w:rPr>
          <w:sz w:val="20"/>
          <w:lang w:eastAsia="ru-RU"/>
        </w:rPr>
        <w:drawing>
          <wp:anchor distT="0" distB="0" distL="0" distR="0" simplePos="0" relativeHeight="251668480" behindDoc="1" locked="0" layoutInCell="1" allowOverlap="1">
            <wp:simplePos x="0" y="0"/>
            <wp:positionH relativeFrom="page">
              <wp:posOffset>1504315</wp:posOffset>
            </wp:positionH>
            <wp:positionV relativeFrom="paragraph">
              <wp:posOffset>216535</wp:posOffset>
            </wp:positionV>
            <wp:extent cx="5335905" cy="3457575"/>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7" cstate="print"/>
                    <a:stretch>
                      <a:fillRect/>
                    </a:stretch>
                  </pic:blipFill>
                  <pic:spPr>
                    <a:xfrm>
                      <a:off x="0" y="0"/>
                      <a:ext cx="5335709" cy="3457575"/>
                    </a:xfrm>
                    <a:prstGeom prst="rect">
                      <a:avLst/>
                    </a:prstGeom>
                  </pic:spPr>
                </pic:pic>
              </a:graphicData>
            </a:graphic>
          </wp:anchor>
        </w:drawing>
      </w:r>
    </w:p>
    <w:p w14:paraId="1541D57F">
      <w:pPr>
        <w:pStyle w:val="7"/>
        <w:spacing w:before="321"/>
        <w:ind w:left="0" w:right="139" w:firstLine="0"/>
        <w:jc w:val="center"/>
      </w:pPr>
      <w:r>
        <w:t>Рисунок</w:t>
      </w:r>
      <w:r>
        <w:rPr>
          <w:spacing w:val="-16"/>
        </w:rPr>
        <w:t xml:space="preserve"> </w:t>
      </w:r>
      <w:r>
        <w:t>5</w:t>
      </w:r>
      <w:r>
        <w:rPr>
          <w:spacing w:val="-16"/>
        </w:rPr>
        <w:t xml:space="preserve"> </w:t>
      </w:r>
      <w:r>
        <w:t>-</w:t>
      </w:r>
      <w:r>
        <w:rPr>
          <w:spacing w:val="-18"/>
        </w:rPr>
        <w:t xml:space="preserve"> </w:t>
      </w:r>
      <w:r>
        <w:t>Уровень</w:t>
      </w:r>
      <w:r>
        <w:rPr>
          <w:spacing w:val="-17"/>
        </w:rPr>
        <w:t xml:space="preserve"> </w:t>
      </w:r>
      <w:r>
        <w:t>заболеваемости</w:t>
      </w:r>
      <w:r>
        <w:rPr>
          <w:spacing w:val="-13"/>
        </w:rPr>
        <w:t xml:space="preserve"> </w:t>
      </w:r>
      <w:r>
        <w:t>РПЖ</w:t>
      </w:r>
      <w:r>
        <w:rPr>
          <w:spacing w:val="-16"/>
        </w:rPr>
        <w:t xml:space="preserve"> </w:t>
      </w:r>
      <w:r>
        <w:t>на</w:t>
      </w:r>
      <w:r>
        <w:rPr>
          <w:spacing w:val="-16"/>
        </w:rPr>
        <w:t xml:space="preserve"> </w:t>
      </w:r>
      <w:r>
        <w:t>100</w:t>
      </w:r>
      <w:r>
        <w:rPr>
          <w:spacing w:val="-17"/>
        </w:rPr>
        <w:t xml:space="preserve"> </w:t>
      </w:r>
      <w:r>
        <w:t>000</w:t>
      </w:r>
      <w:r>
        <w:rPr>
          <w:spacing w:val="-17"/>
        </w:rPr>
        <w:t xml:space="preserve"> </w:t>
      </w:r>
      <w:r>
        <w:t>населения</w:t>
      </w:r>
      <w:r>
        <w:rPr>
          <w:spacing w:val="-12"/>
        </w:rPr>
        <w:t xml:space="preserve"> </w:t>
      </w:r>
      <w:r>
        <w:t>в</w:t>
      </w:r>
      <w:r>
        <w:rPr>
          <w:spacing w:val="-18"/>
        </w:rPr>
        <w:t xml:space="preserve"> </w:t>
      </w:r>
      <w:r>
        <w:t>2014–2017 гг. (A), 2018–2021 гг. (B) и 2022–2023 гг. (C), а также показатель смертности на 1000 человека в год (D) в различных регионах Казахстана</w:t>
      </w:r>
    </w:p>
    <w:p w14:paraId="19A81DBD">
      <w:pPr>
        <w:pStyle w:val="7"/>
        <w:sectPr>
          <w:pgSz w:w="11910" w:h="16840"/>
          <w:pgMar w:top="1134" w:right="567" w:bottom="1134" w:left="1701" w:header="0" w:footer="936" w:gutter="0"/>
          <w:cols w:space="720" w:num="1"/>
        </w:sectPr>
      </w:pPr>
    </w:p>
    <w:p w14:paraId="6189A2C4">
      <w:pPr>
        <w:pStyle w:val="7"/>
        <w:spacing w:before="67"/>
        <w:ind w:left="0" w:right="3"/>
      </w:pPr>
      <w:r>
        <w:t>В Казахстане уровень заболеваемости РПЖ увеличился с 5,9 на 100 000 населения в 2014 году до 6,9 в 2023 году, что соответствует общемировым тенденциям, описанным в литературе. В мировом масштабе в 2020 году показатель заболеваемости составлял 6,4 случая на 100 000 человек, а в странах Европы этот уровень был значительно выше — 18,7 на 100 000 населения [25]. На рисунке 5 отражены показатели заболеваемости и смертности РПЖ в регионах Казахстана. По итогам рассматриваемого периода наиболее высокие показатели заболеваемости на 100000 человек были зафиксированы в Карагандинской, Костанайской, Северо-Казахстанской и Павлодарской областях. Анализ смертности на 1000 человек показал, что максимальные значения</w:t>
      </w:r>
      <w:r>
        <w:rPr>
          <w:spacing w:val="-15"/>
        </w:rPr>
        <w:t xml:space="preserve"> </w:t>
      </w:r>
      <w:r>
        <w:t>данного</w:t>
      </w:r>
      <w:r>
        <w:rPr>
          <w:spacing w:val="-15"/>
        </w:rPr>
        <w:t xml:space="preserve"> </w:t>
      </w:r>
      <w:r>
        <w:t>показателя</w:t>
      </w:r>
      <w:r>
        <w:rPr>
          <w:spacing w:val="-14"/>
        </w:rPr>
        <w:t xml:space="preserve"> </w:t>
      </w:r>
      <w:r>
        <w:t>отмечались</w:t>
      </w:r>
      <w:r>
        <w:rPr>
          <w:spacing w:val="-14"/>
        </w:rPr>
        <w:t xml:space="preserve"> </w:t>
      </w:r>
      <w:r>
        <w:t>в</w:t>
      </w:r>
      <w:r>
        <w:rPr>
          <w:spacing w:val="-17"/>
        </w:rPr>
        <w:t xml:space="preserve"> </w:t>
      </w:r>
      <w:r>
        <w:t>Атырауской,</w:t>
      </w:r>
      <w:r>
        <w:rPr>
          <w:spacing w:val="-14"/>
        </w:rPr>
        <w:t xml:space="preserve"> </w:t>
      </w:r>
      <w:r>
        <w:t>Западно-Казахстанской, Павлодарской и Абайской области. Отмечается выраженная возрастная зависимость заболеваемости раком поджелудочной железы: показатели возрастают</w:t>
      </w:r>
      <w:r>
        <w:rPr>
          <w:spacing w:val="50"/>
          <w:w w:val="150"/>
        </w:rPr>
        <w:t xml:space="preserve"> </w:t>
      </w:r>
      <w:r>
        <w:t>с</w:t>
      </w:r>
      <w:r>
        <w:rPr>
          <w:spacing w:val="53"/>
          <w:w w:val="150"/>
        </w:rPr>
        <w:t xml:space="preserve"> </w:t>
      </w:r>
      <w:r>
        <w:t>0,18</w:t>
      </w:r>
      <w:r>
        <w:rPr>
          <w:spacing w:val="48"/>
          <w:w w:val="150"/>
        </w:rPr>
        <w:t xml:space="preserve"> </w:t>
      </w:r>
      <w:r>
        <w:t>на</w:t>
      </w:r>
      <w:r>
        <w:rPr>
          <w:spacing w:val="53"/>
          <w:w w:val="150"/>
        </w:rPr>
        <w:t xml:space="preserve"> </w:t>
      </w:r>
      <w:r>
        <w:t>100</w:t>
      </w:r>
      <w:r>
        <w:rPr>
          <w:spacing w:val="47"/>
          <w:w w:val="150"/>
        </w:rPr>
        <w:t xml:space="preserve"> </w:t>
      </w:r>
      <w:r>
        <w:t>000</w:t>
      </w:r>
      <w:r>
        <w:rPr>
          <w:spacing w:val="52"/>
          <w:w w:val="150"/>
        </w:rPr>
        <w:t xml:space="preserve"> </w:t>
      </w:r>
      <w:r>
        <w:t>населения</w:t>
      </w:r>
      <w:r>
        <w:rPr>
          <w:spacing w:val="53"/>
          <w:w w:val="150"/>
        </w:rPr>
        <w:t xml:space="preserve"> </w:t>
      </w:r>
      <w:r>
        <w:t>в</w:t>
      </w:r>
      <w:r>
        <w:rPr>
          <w:spacing w:val="51"/>
          <w:w w:val="150"/>
        </w:rPr>
        <w:t xml:space="preserve"> </w:t>
      </w:r>
      <w:r>
        <w:t>группе</w:t>
      </w:r>
      <w:r>
        <w:rPr>
          <w:spacing w:val="52"/>
          <w:w w:val="150"/>
        </w:rPr>
        <w:t xml:space="preserve"> </w:t>
      </w:r>
      <w:r>
        <w:t>35–39</w:t>
      </w:r>
      <w:r>
        <w:rPr>
          <w:spacing w:val="52"/>
          <w:w w:val="150"/>
        </w:rPr>
        <w:t xml:space="preserve"> </w:t>
      </w:r>
      <w:r>
        <w:t>лет</w:t>
      </w:r>
      <w:r>
        <w:rPr>
          <w:spacing w:val="51"/>
          <w:w w:val="150"/>
        </w:rPr>
        <w:t xml:space="preserve"> </w:t>
      </w:r>
      <w:r>
        <w:t>и</w:t>
      </w:r>
      <w:r>
        <w:rPr>
          <w:spacing w:val="47"/>
          <w:w w:val="150"/>
        </w:rPr>
        <w:t xml:space="preserve"> </w:t>
      </w:r>
      <w:r>
        <w:rPr>
          <w:spacing w:val="-2"/>
        </w:rPr>
        <w:t>достигают</w:t>
      </w:r>
    </w:p>
    <w:p w14:paraId="78362180">
      <w:pPr>
        <w:pStyle w:val="7"/>
        <w:spacing w:before="2" w:line="322" w:lineRule="exact"/>
        <w:ind w:left="0" w:firstLine="0"/>
      </w:pPr>
      <w:r>
        <w:t>максимума</w:t>
      </w:r>
      <w:r>
        <w:rPr>
          <w:spacing w:val="-1"/>
        </w:rPr>
        <w:t xml:space="preserve"> </w:t>
      </w:r>
      <w:r>
        <w:t>—</w:t>
      </w:r>
      <w:r>
        <w:rPr>
          <w:spacing w:val="-4"/>
        </w:rPr>
        <w:t xml:space="preserve"> </w:t>
      </w:r>
      <w:r>
        <w:t>25,0</w:t>
      </w:r>
      <w:r>
        <w:rPr>
          <w:spacing w:val="-5"/>
        </w:rPr>
        <w:t xml:space="preserve"> </w:t>
      </w:r>
      <w:r>
        <w:t>на</w:t>
      </w:r>
      <w:r>
        <w:rPr>
          <w:spacing w:val="-4"/>
        </w:rPr>
        <w:t xml:space="preserve"> </w:t>
      </w:r>
      <w:r>
        <w:t>100</w:t>
      </w:r>
      <w:r>
        <w:rPr>
          <w:spacing w:val="-4"/>
        </w:rPr>
        <w:t xml:space="preserve"> </w:t>
      </w:r>
      <w:r>
        <w:t>000</w:t>
      </w:r>
      <w:r>
        <w:rPr>
          <w:spacing w:val="-3"/>
        </w:rPr>
        <w:t xml:space="preserve"> </w:t>
      </w:r>
      <w:r>
        <w:t>—</w:t>
      </w:r>
      <w:r>
        <w:rPr>
          <w:spacing w:val="-4"/>
        </w:rPr>
        <w:t xml:space="preserve"> </w:t>
      </w:r>
      <w:r>
        <w:t>в</w:t>
      </w:r>
      <w:r>
        <w:rPr>
          <w:spacing w:val="-5"/>
        </w:rPr>
        <w:t xml:space="preserve"> </w:t>
      </w:r>
      <w:r>
        <w:t>возрастной</w:t>
      </w:r>
      <w:r>
        <w:rPr>
          <w:spacing w:val="-5"/>
        </w:rPr>
        <w:t xml:space="preserve"> </w:t>
      </w:r>
      <w:r>
        <w:t>категории</w:t>
      </w:r>
      <w:r>
        <w:rPr>
          <w:spacing w:val="-5"/>
        </w:rPr>
        <w:t xml:space="preserve"> </w:t>
      </w:r>
      <w:r>
        <w:t>85</w:t>
      </w:r>
      <w:r>
        <w:rPr>
          <w:spacing w:val="-1"/>
        </w:rPr>
        <w:t xml:space="preserve"> </w:t>
      </w:r>
      <w:r>
        <w:t>лет</w:t>
      </w:r>
      <w:r>
        <w:rPr>
          <w:spacing w:val="-5"/>
        </w:rPr>
        <w:t xml:space="preserve"> </w:t>
      </w:r>
      <w:r>
        <w:t>и</w:t>
      </w:r>
      <w:r>
        <w:rPr>
          <w:spacing w:val="-5"/>
        </w:rPr>
        <w:t xml:space="preserve"> </w:t>
      </w:r>
      <w:r>
        <w:t>старше</w:t>
      </w:r>
      <w:r>
        <w:rPr>
          <w:spacing w:val="-1"/>
        </w:rPr>
        <w:t xml:space="preserve"> </w:t>
      </w:r>
      <w:r>
        <w:rPr>
          <w:spacing w:val="-2"/>
        </w:rPr>
        <w:t>[26].</w:t>
      </w:r>
    </w:p>
    <w:p w14:paraId="4FB025B5">
      <w:pPr>
        <w:pStyle w:val="7"/>
        <w:ind w:left="0" w:right="3" w:firstLine="0"/>
      </w:pPr>
      <w:r>
        <w:t xml:space="preserve">         Наиболее высокий уровень смертности отмечается среди пожилого населения, при этом различий по половому признаку практически не наблюдается. Ситуация с ранней диагностикой схожа с общемировой: в отдельных регионах доля выявления РПЖ на начальных стадиях составляет лишь около 26%, тогда как метастатические формы выявляются примерно в каждой третьей диагностируемой ситуации.</w:t>
      </w:r>
    </w:p>
    <w:p w14:paraId="33A3747C">
      <w:pPr>
        <w:pStyle w:val="7"/>
        <w:spacing w:before="32"/>
        <w:ind w:left="0" w:firstLine="0"/>
        <w:jc w:val="left"/>
        <w:rPr>
          <w:sz w:val="20"/>
        </w:rPr>
      </w:pPr>
      <w:r>
        <w:rPr>
          <w:sz w:val="20"/>
          <w:lang w:eastAsia="ru-RU"/>
        </w:rPr>
        <w:drawing>
          <wp:anchor distT="0" distB="0" distL="0" distR="0" simplePos="0" relativeHeight="251669504" behindDoc="1" locked="0" layoutInCell="1" allowOverlap="1">
            <wp:simplePos x="0" y="0"/>
            <wp:positionH relativeFrom="page">
              <wp:posOffset>1435735</wp:posOffset>
            </wp:positionH>
            <wp:positionV relativeFrom="paragraph">
              <wp:posOffset>181610</wp:posOffset>
            </wp:positionV>
            <wp:extent cx="5261610" cy="3033395"/>
            <wp:effectExtent l="0" t="0" r="0" b="0"/>
            <wp:wrapTopAndBottom/>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8" cstate="print"/>
                    <a:stretch>
                      <a:fillRect/>
                    </a:stretch>
                  </pic:blipFill>
                  <pic:spPr>
                    <a:xfrm>
                      <a:off x="0" y="0"/>
                      <a:ext cx="5261702" cy="3033712"/>
                    </a:xfrm>
                    <a:prstGeom prst="rect">
                      <a:avLst/>
                    </a:prstGeom>
                  </pic:spPr>
                </pic:pic>
              </a:graphicData>
            </a:graphic>
          </wp:anchor>
        </w:drawing>
      </w:r>
    </w:p>
    <w:p w14:paraId="20B889D2">
      <w:pPr>
        <w:pStyle w:val="7"/>
        <w:spacing w:before="272"/>
        <w:ind w:right="139"/>
        <w:jc w:val="center"/>
      </w:pPr>
      <w:r>
        <w:t>Рисунок</w:t>
      </w:r>
      <w:r>
        <w:rPr>
          <w:spacing w:val="-18"/>
        </w:rPr>
        <w:t xml:space="preserve"> </w:t>
      </w:r>
      <w:r>
        <w:t>6</w:t>
      </w:r>
      <w:r>
        <w:rPr>
          <w:spacing w:val="-15"/>
        </w:rPr>
        <w:t xml:space="preserve"> </w:t>
      </w:r>
      <w:r>
        <w:t>-</w:t>
      </w:r>
      <w:r>
        <w:rPr>
          <w:spacing w:val="-13"/>
        </w:rPr>
        <w:t xml:space="preserve"> </w:t>
      </w:r>
      <w:r>
        <w:t>Показатель</w:t>
      </w:r>
      <w:r>
        <w:rPr>
          <w:spacing w:val="-18"/>
        </w:rPr>
        <w:t xml:space="preserve"> </w:t>
      </w:r>
      <w:r>
        <w:t>общей</w:t>
      </w:r>
      <w:r>
        <w:rPr>
          <w:spacing w:val="-16"/>
        </w:rPr>
        <w:t xml:space="preserve"> </w:t>
      </w:r>
      <w:r>
        <w:t>смертности</w:t>
      </w:r>
      <w:r>
        <w:rPr>
          <w:spacing w:val="-17"/>
        </w:rPr>
        <w:t xml:space="preserve"> </w:t>
      </w:r>
      <w:r>
        <w:t>(от</w:t>
      </w:r>
      <w:r>
        <w:rPr>
          <w:spacing w:val="-14"/>
        </w:rPr>
        <w:t xml:space="preserve"> </w:t>
      </w:r>
      <w:r>
        <w:t>всех</w:t>
      </w:r>
      <w:r>
        <w:rPr>
          <w:spacing w:val="-18"/>
        </w:rPr>
        <w:t xml:space="preserve"> </w:t>
      </w:r>
      <w:r>
        <w:t>причин)</w:t>
      </w:r>
      <w:r>
        <w:rPr>
          <w:spacing w:val="-17"/>
        </w:rPr>
        <w:t xml:space="preserve"> </w:t>
      </w:r>
      <w:r>
        <w:t>среди</w:t>
      </w:r>
      <w:r>
        <w:rPr>
          <w:spacing w:val="-17"/>
        </w:rPr>
        <w:t xml:space="preserve"> </w:t>
      </w:r>
      <w:r>
        <w:t xml:space="preserve">пациентов с РПЖ на 1000 человеко-лет наблюдения в Республике Казахстан за 2014–2023 </w:t>
      </w:r>
      <w:r>
        <w:rPr>
          <w:spacing w:val="-4"/>
        </w:rPr>
        <w:t>гг.</w:t>
      </w:r>
    </w:p>
    <w:p w14:paraId="628C0FC9">
      <w:pPr>
        <w:pStyle w:val="7"/>
        <w:spacing w:before="278" w:line="242" w:lineRule="auto"/>
        <w:ind w:left="0" w:firstLine="702"/>
        <w:jc w:val="left"/>
      </w:pPr>
      <w:r>
        <w:t>На рисунке 6 представлен уровень общей смертности пациентов с РПЖ на 1000</w:t>
      </w:r>
      <w:r>
        <w:rPr>
          <w:spacing w:val="37"/>
        </w:rPr>
        <w:t xml:space="preserve"> </w:t>
      </w:r>
      <w:r>
        <w:t>человек</w:t>
      </w:r>
      <w:r>
        <w:rPr>
          <w:spacing w:val="37"/>
        </w:rPr>
        <w:t xml:space="preserve"> </w:t>
      </w:r>
      <w:r>
        <w:t>в</w:t>
      </w:r>
      <w:r>
        <w:rPr>
          <w:spacing w:val="36"/>
        </w:rPr>
        <w:t xml:space="preserve"> </w:t>
      </w:r>
      <w:r>
        <w:t>год.</w:t>
      </w:r>
      <w:r>
        <w:rPr>
          <w:spacing w:val="40"/>
        </w:rPr>
        <w:t xml:space="preserve"> </w:t>
      </w:r>
      <w:r>
        <w:t>В</w:t>
      </w:r>
      <w:r>
        <w:rPr>
          <w:spacing w:val="35"/>
        </w:rPr>
        <w:t xml:space="preserve"> </w:t>
      </w:r>
      <w:r>
        <w:t>2014–2017</w:t>
      </w:r>
      <w:r>
        <w:rPr>
          <w:spacing w:val="37"/>
        </w:rPr>
        <w:t xml:space="preserve"> </w:t>
      </w:r>
      <w:r>
        <w:t>гг.</w:t>
      </w:r>
      <w:r>
        <w:rPr>
          <w:spacing w:val="35"/>
        </w:rPr>
        <w:t xml:space="preserve"> </w:t>
      </w:r>
      <w:r>
        <w:t>данный</w:t>
      </w:r>
      <w:r>
        <w:rPr>
          <w:spacing w:val="37"/>
        </w:rPr>
        <w:t xml:space="preserve"> </w:t>
      </w:r>
      <w:r>
        <w:t>показатель</w:t>
      </w:r>
      <w:r>
        <w:rPr>
          <w:spacing w:val="36"/>
        </w:rPr>
        <w:t xml:space="preserve"> </w:t>
      </w:r>
      <w:r>
        <w:t>снизился</w:t>
      </w:r>
      <w:r>
        <w:rPr>
          <w:spacing w:val="39"/>
        </w:rPr>
        <w:t xml:space="preserve"> </w:t>
      </w:r>
      <w:r>
        <w:t>с</w:t>
      </w:r>
      <w:r>
        <w:rPr>
          <w:spacing w:val="38"/>
        </w:rPr>
        <w:t xml:space="preserve"> </w:t>
      </w:r>
      <w:r>
        <w:t>1256,8</w:t>
      </w:r>
      <w:r>
        <w:rPr>
          <w:spacing w:val="33"/>
        </w:rPr>
        <w:t xml:space="preserve"> </w:t>
      </w:r>
      <w:r>
        <w:rPr>
          <w:spacing w:val="-5"/>
        </w:rPr>
        <w:t xml:space="preserve">до </w:t>
      </w:r>
      <w:r>
        <w:t>661,5, после чего вновь начал увеличиваться, за исключением умеренного снижения в 2021 году, и к 2023 году достиг 1743,7.</w:t>
      </w:r>
    </w:p>
    <w:p w14:paraId="32466B56">
      <w:pPr>
        <w:pStyle w:val="7"/>
        <w:ind w:left="0" w:right="3" w:firstLine="702"/>
      </w:pPr>
      <w:r>
        <w:t>В Российской Федерации аналогичные тенденции подтверждаются ежегодными государственными отчётами:</w:t>
      </w:r>
      <w:r>
        <w:rPr>
          <w:spacing w:val="-2"/>
        </w:rPr>
        <w:t xml:space="preserve"> </w:t>
      </w:r>
      <w:r>
        <w:t>за последнее десятилетие отмечается устойчивый рост заболеваемости РПЖ, а сама локализация прочно удерживает место</w:t>
      </w:r>
      <w:r>
        <w:rPr>
          <w:spacing w:val="-3"/>
        </w:rPr>
        <w:t xml:space="preserve"> </w:t>
      </w:r>
      <w:r>
        <w:t>среди основных</w:t>
      </w:r>
      <w:r>
        <w:rPr>
          <w:spacing w:val="-7"/>
        </w:rPr>
        <w:t xml:space="preserve"> </w:t>
      </w:r>
      <w:r>
        <w:t>причин</w:t>
      </w:r>
      <w:r>
        <w:rPr>
          <w:spacing w:val="-3"/>
        </w:rPr>
        <w:t xml:space="preserve"> </w:t>
      </w:r>
      <w:r>
        <w:t>онкологической</w:t>
      </w:r>
      <w:r>
        <w:rPr>
          <w:spacing w:val="-3"/>
        </w:rPr>
        <w:t xml:space="preserve"> </w:t>
      </w:r>
      <w:r>
        <w:t>смертности. В</w:t>
      </w:r>
      <w:r>
        <w:rPr>
          <w:spacing w:val="-6"/>
        </w:rPr>
        <w:t xml:space="preserve"> </w:t>
      </w:r>
      <w:r>
        <w:t>документах</w:t>
      </w:r>
      <w:r>
        <w:rPr>
          <w:spacing w:val="-7"/>
        </w:rPr>
        <w:t xml:space="preserve"> </w:t>
      </w:r>
      <w:r>
        <w:t>также отражены особенности стадирования и региональные различия, подтверждающие неоднородность эпидемиологических показателей [27-29].</w:t>
      </w:r>
    </w:p>
    <w:p w14:paraId="52908980">
      <w:pPr>
        <w:pStyle w:val="7"/>
        <w:tabs>
          <w:tab w:val="left" w:pos="1473"/>
          <w:tab w:val="left" w:pos="1646"/>
          <w:tab w:val="left" w:pos="1703"/>
          <w:tab w:val="left" w:pos="2457"/>
          <w:tab w:val="left" w:pos="3205"/>
          <w:tab w:val="left" w:pos="3310"/>
          <w:tab w:val="left" w:pos="3530"/>
          <w:tab w:val="left" w:pos="4558"/>
          <w:tab w:val="left" w:pos="4690"/>
          <w:tab w:val="left" w:pos="5113"/>
          <w:tab w:val="left" w:pos="5341"/>
          <w:tab w:val="left" w:pos="5393"/>
          <w:tab w:val="left" w:pos="5778"/>
          <w:tab w:val="left" w:pos="5898"/>
          <w:tab w:val="left" w:pos="6368"/>
          <w:tab w:val="left" w:pos="7107"/>
          <w:tab w:val="left" w:pos="7266"/>
          <w:tab w:val="left" w:pos="7845"/>
          <w:tab w:val="left" w:pos="8188"/>
          <w:tab w:val="left" w:pos="8589"/>
          <w:tab w:val="left" w:pos="8647"/>
          <w:tab w:val="left" w:pos="9639"/>
        </w:tabs>
        <w:spacing w:before="3"/>
        <w:ind w:left="0" w:right="3" w:firstLine="702"/>
      </w:pPr>
      <w:r>
        <w:t>Рак</w:t>
      </w:r>
      <w:r>
        <w:rPr>
          <w:spacing w:val="31"/>
        </w:rPr>
        <w:t xml:space="preserve"> </w:t>
      </w:r>
      <w:r>
        <w:t>БДС</w:t>
      </w:r>
      <w:r>
        <w:rPr>
          <w:spacing w:val="33"/>
        </w:rPr>
        <w:t xml:space="preserve"> </w:t>
      </w:r>
      <w:r>
        <w:t>относится</w:t>
      </w:r>
      <w:r>
        <w:rPr>
          <w:spacing w:val="33"/>
        </w:rPr>
        <w:t xml:space="preserve"> </w:t>
      </w:r>
      <w:r>
        <w:t>к</w:t>
      </w:r>
      <w:r>
        <w:rPr>
          <w:spacing w:val="31"/>
        </w:rPr>
        <w:t xml:space="preserve"> </w:t>
      </w:r>
      <w:r>
        <w:t>редким</w:t>
      </w:r>
      <w:r>
        <w:rPr>
          <w:spacing w:val="33"/>
        </w:rPr>
        <w:t xml:space="preserve"> </w:t>
      </w:r>
      <w:r>
        <w:t>злокачественным</w:t>
      </w:r>
      <w:r>
        <w:rPr>
          <w:spacing w:val="33"/>
        </w:rPr>
        <w:t xml:space="preserve"> </w:t>
      </w:r>
      <w:r>
        <w:t>новообразованиям</w:t>
      </w:r>
      <w:r>
        <w:rPr>
          <w:spacing w:val="33"/>
        </w:rPr>
        <w:t xml:space="preserve"> </w:t>
      </w:r>
      <w:r>
        <w:t>ЖКТ</w:t>
      </w:r>
      <w:r>
        <w:rPr>
          <w:spacing w:val="30"/>
        </w:rPr>
        <w:t xml:space="preserve"> </w:t>
      </w:r>
      <w:r>
        <w:t xml:space="preserve">и </w:t>
      </w:r>
      <w:r>
        <w:rPr>
          <w:spacing w:val="-2"/>
        </w:rPr>
        <w:t>составляет</w:t>
      </w:r>
      <w:r>
        <w:tab/>
      </w:r>
      <w:r>
        <w:tab/>
      </w:r>
      <w:r>
        <w:rPr>
          <w:spacing w:val="-4"/>
        </w:rPr>
        <w:t>0,2%</w:t>
      </w:r>
      <w:r>
        <w:tab/>
      </w:r>
      <w:r>
        <w:rPr>
          <w:spacing w:val="-4"/>
        </w:rPr>
        <w:t>всех</w:t>
      </w:r>
      <w:r>
        <w:tab/>
      </w:r>
      <w:r>
        <w:rPr>
          <w:spacing w:val="-2"/>
        </w:rPr>
        <w:t>опухолей</w:t>
      </w:r>
      <w:r>
        <w:tab/>
      </w:r>
      <w:r>
        <w:rPr>
          <w:spacing w:val="-4"/>
        </w:rPr>
        <w:t>ЖКТ</w:t>
      </w:r>
      <w:r>
        <w:tab/>
      </w:r>
      <w:r>
        <w:tab/>
      </w:r>
      <w:r>
        <w:rPr>
          <w:spacing w:val="-10"/>
        </w:rPr>
        <w:t>и</w:t>
      </w:r>
      <w:r>
        <w:tab/>
      </w:r>
      <w:r>
        <w:rPr>
          <w:spacing w:val="-6"/>
        </w:rPr>
        <w:t>6%</w:t>
      </w:r>
      <w:r>
        <w:tab/>
      </w:r>
      <w:r>
        <w:rPr>
          <w:spacing w:val="-61"/>
        </w:rPr>
        <w:t xml:space="preserve"> </w:t>
      </w:r>
      <w:r>
        <w:rPr>
          <w:spacing w:val="-2"/>
        </w:rPr>
        <w:t>злокачественных</w:t>
      </w:r>
      <w:r>
        <w:t xml:space="preserve"> </w:t>
      </w:r>
      <w:r>
        <w:rPr>
          <w:spacing w:val="-2"/>
        </w:rPr>
        <w:t xml:space="preserve">опухолей </w:t>
      </w:r>
      <w:r>
        <w:t>периампулярной</w:t>
      </w:r>
      <w:r>
        <w:rPr>
          <w:spacing w:val="40"/>
        </w:rPr>
        <w:t xml:space="preserve"> </w:t>
      </w:r>
      <w:r>
        <w:t>зоны</w:t>
      </w:r>
      <w:r>
        <w:rPr>
          <w:spacing w:val="40"/>
        </w:rPr>
        <w:t xml:space="preserve"> </w:t>
      </w:r>
      <w:r>
        <w:t>[30,31].</w:t>
      </w:r>
      <w:r>
        <w:rPr>
          <w:spacing w:val="40"/>
        </w:rPr>
        <w:t xml:space="preserve"> </w:t>
      </w:r>
      <w:r>
        <w:t>Эпидемиологические</w:t>
      </w:r>
      <w:r>
        <w:rPr>
          <w:spacing w:val="40"/>
        </w:rPr>
        <w:t xml:space="preserve"> </w:t>
      </w:r>
      <w:r>
        <w:t>оценки</w:t>
      </w:r>
      <w:r>
        <w:rPr>
          <w:spacing w:val="40"/>
        </w:rPr>
        <w:t xml:space="preserve"> </w:t>
      </w:r>
      <w:r>
        <w:t>показывают,</w:t>
      </w:r>
      <w:r>
        <w:rPr>
          <w:spacing w:val="40"/>
        </w:rPr>
        <w:t xml:space="preserve"> </w:t>
      </w:r>
      <w:r>
        <w:t>что заболеваемость</w:t>
      </w:r>
      <w:r>
        <w:rPr>
          <w:spacing w:val="40"/>
        </w:rPr>
        <w:t xml:space="preserve"> </w:t>
      </w:r>
      <w:r>
        <w:t>раком</w:t>
      </w:r>
      <w:r>
        <w:rPr>
          <w:spacing w:val="40"/>
        </w:rPr>
        <w:t xml:space="preserve"> </w:t>
      </w:r>
      <w:r>
        <w:t>БДС</w:t>
      </w:r>
      <w:r>
        <w:rPr>
          <w:spacing w:val="40"/>
        </w:rPr>
        <w:t xml:space="preserve"> </w:t>
      </w:r>
      <w:r>
        <w:t>колеблется</w:t>
      </w:r>
      <w:r>
        <w:rPr>
          <w:spacing w:val="40"/>
        </w:rPr>
        <w:t xml:space="preserve"> </w:t>
      </w:r>
      <w:r>
        <w:t>в</w:t>
      </w:r>
      <w:r>
        <w:rPr>
          <w:spacing w:val="40"/>
        </w:rPr>
        <w:t xml:space="preserve"> </w:t>
      </w:r>
      <w:r>
        <w:t>пределах</w:t>
      </w:r>
      <w:r>
        <w:rPr>
          <w:spacing w:val="40"/>
        </w:rPr>
        <w:t xml:space="preserve"> </w:t>
      </w:r>
      <w:r>
        <w:t>0,5–0,9</w:t>
      </w:r>
      <w:r>
        <w:rPr>
          <w:spacing w:val="40"/>
        </w:rPr>
        <w:t xml:space="preserve"> </w:t>
      </w:r>
      <w:r>
        <w:t>случая</w:t>
      </w:r>
      <w:r>
        <w:rPr>
          <w:spacing w:val="40"/>
        </w:rPr>
        <w:t xml:space="preserve"> </w:t>
      </w:r>
      <w:r>
        <w:t>на</w:t>
      </w:r>
      <w:r>
        <w:rPr>
          <w:spacing w:val="40"/>
        </w:rPr>
        <w:t xml:space="preserve"> </w:t>
      </w:r>
      <w:r>
        <w:t>100</w:t>
      </w:r>
      <w:r>
        <w:rPr>
          <w:spacing w:val="40"/>
        </w:rPr>
        <w:t xml:space="preserve"> </w:t>
      </w:r>
      <w:r>
        <w:t>000 населения</w:t>
      </w:r>
      <w:r>
        <w:rPr>
          <w:spacing w:val="40"/>
        </w:rPr>
        <w:t xml:space="preserve"> </w:t>
      </w:r>
      <w:r>
        <w:t>в</w:t>
      </w:r>
      <w:r>
        <w:rPr>
          <w:spacing w:val="40"/>
        </w:rPr>
        <w:t xml:space="preserve"> </w:t>
      </w:r>
      <w:r>
        <w:t>год,</w:t>
      </w:r>
      <w:r>
        <w:rPr>
          <w:spacing w:val="40"/>
        </w:rPr>
        <w:t xml:space="preserve"> </w:t>
      </w:r>
      <w:r>
        <w:t>с</w:t>
      </w:r>
      <w:r>
        <w:rPr>
          <w:spacing w:val="40"/>
        </w:rPr>
        <w:t xml:space="preserve"> </w:t>
      </w:r>
      <w:r>
        <w:t>тенденцией</w:t>
      </w:r>
      <w:r>
        <w:rPr>
          <w:spacing w:val="40"/>
        </w:rPr>
        <w:t xml:space="preserve"> </w:t>
      </w:r>
      <w:r>
        <w:t>к</w:t>
      </w:r>
      <w:r>
        <w:rPr>
          <w:spacing w:val="39"/>
        </w:rPr>
        <w:t xml:space="preserve"> </w:t>
      </w:r>
      <w:r>
        <w:t>постепенному</w:t>
      </w:r>
      <w:r>
        <w:rPr>
          <w:spacing w:val="39"/>
        </w:rPr>
        <w:t xml:space="preserve"> </w:t>
      </w:r>
      <w:r>
        <w:t>росту,</w:t>
      </w:r>
      <w:r>
        <w:rPr>
          <w:spacing w:val="40"/>
        </w:rPr>
        <w:t xml:space="preserve"> </w:t>
      </w:r>
      <w:r>
        <w:t>что</w:t>
      </w:r>
      <w:r>
        <w:rPr>
          <w:spacing w:val="40"/>
        </w:rPr>
        <w:t xml:space="preserve"> </w:t>
      </w:r>
      <w:r>
        <w:t>связывают</w:t>
      </w:r>
      <w:r>
        <w:rPr>
          <w:spacing w:val="40"/>
        </w:rPr>
        <w:t xml:space="preserve"> </w:t>
      </w:r>
      <w:r>
        <w:t>с</w:t>
      </w:r>
      <w:r>
        <w:rPr>
          <w:spacing w:val="40"/>
        </w:rPr>
        <w:t xml:space="preserve"> </w:t>
      </w:r>
      <w:r>
        <w:t>более широким</w:t>
      </w:r>
      <w:r>
        <w:rPr>
          <w:spacing w:val="80"/>
        </w:rPr>
        <w:t xml:space="preserve"> </w:t>
      </w:r>
      <w:r>
        <w:t>использованием</w:t>
      </w:r>
      <w:r>
        <w:rPr>
          <w:spacing w:val="80"/>
        </w:rPr>
        <w:t xml:space="preserve"> </w:t>
      </w:r>
      <w:r>
        <w:t>эндоскопии,</w:t>
      </w:r>
      <w:r>
        <w:rPr>
          <w:spacing w:val="80"/>
        </w:rPr>
        <w:t xml:space="preserve"> </w:t>
      </w:r>
      <w:r>
        <w:t>ЭРХПГ</w:t>
      </w:r>
      <w:r>
        <w:rPr>
          <w:spacing w:val="80"/>
        </w:rPr>
        <w:t xml:space="preserve"> </w:t>
      </w:r>
      <w:r>
        <w:t>и</w:t>
      </w:r>
      <w:r>
        <w:rPr>
          <w:spacing w:val="80"/>
        </w:rPr>
        <w:t xml:space="preserve"> </w:t>
      </w:r>
      <w:r>
        <w:t>скрининга</w:t>
      </w:r>
      <w:r>
        <w:rPr>
          <w:spacing w:val="80"/>
        </w:rPr>
        <w:t xml:space="preserve"> </w:t>
      </w:r>
      <w:r>
        <w:t>у</w:t>
      </w:r>
      <w:r>
        <w:rPr>
          <w:spacing w:val="80"/>
        </w:rPr>
        <w:t xml:space="preserve"> </w:t>
      </w:r>
      <w:r>
        <w:t>групп</w:t>
      </w:r>
      <w:r>
        <w:rPr>
          <w:spacing w:val="80"/>
        </w:rPr>
        <w:t xml:space="preserve"> </w:t>
      </w:r>
      <w:r>
        <w:t>риска (семейный</w:t>
      </w:r>
      <w:r>
        <w:rPr>
          <w:spacing w:val="40"/>
        </w:rPr>
        <w:t xml:space="preserve"> </w:t>
      </w:r>
      <w:r>
        <w:t>аденоматозный</w:t>
      </w:r>
      <w:r>
        <w:rPr>
          <w:spacing w:val="40"/>
        </w:rPr>
        <w:t xml:space="preserve"> </w:t>
      </w:r>
      <w:r>
        <w:t>полипоз,</w:t>
      </w:r>
      <w:r>
        <w:rPr>
          <w:spacing w:val="40"/>
        </w:rPr>
        <w:t xml:space="preserve"> </w:t>
      </w:r>
      <w:r>
        <w:t>синдром</w:t>
      </w:r>
      <w:r>
        <w:rPr>
          <w:spacing w:val="40"/>
        </w:rPr>
        <w:t xml:space="preserve"> </w:t>
      </w:r>
      <w:r>
        <w:t>Линча</w:t>
      </w:r>
      <w:r>
        <w:rPr>
          <w:spacing w:val="40"/>
        </w:rPr>
        <w:t xml:space="preserve"> </w:t>
      </w:r>
      <w:r>
        <w:t>и</w:t>
      </w:r>
      <w:r>
        <w:rPr>
          <w:spacing w:val="40"/>
        </w:rPr>
        <w:t xml:space="preserve"> </w:t>
      </w:r>
      <w:r>
        <w:t>др.)</w:t>
      </w:r>
      <w:r>
        <w:rPr>
          <w:spacing w:val="40"/>
        </w:rPr>
        <w:t xml:space="preserve"> </w:t>
      </w:r>
      <w:r>
        <w:t>[32].</w:t>
      </w:r>
      <w:r>
        <w:rPr>
          <w:spacing w:val="40"/>
        </w:rPr>
        <w:t xml:space="preserve"> </w:t>
      </w:r>
      <w:r>
        <w:t>По</w:t>
      </w:r>
      <w:r>
        <w:rPr>
          <w:spacing w:val="40"/>
        </w:rPr>
        <w:t xml:space="preserve"> </w:t>
      </w:r>
      <w:r>
        <w:t>данным</w:t>
      </w:r>
      <w:r>
        <w:rPr>
          <w:spacing w:val="40"/>
        </w:rPr>
        <w:t xml:space="preserve"> </w:t>
      </w:r>
      <w:r>
        <w:t>популяционных</w:t>
      </w:r>
      <w:r>
        <w:rPr>
          <w:spacing w:val="-13"/>
        </w:rPr>
        <w:t xml:space="preserve"> </w:t>
      </w:r>
      <w:r>
        <w:t>регистров</w:t>
      </w:r>
      <w:r>
        <w:rPr>
          <w:spacing w:val="-11"/>
        </w:rPr>
        <w:t xml:space="preserve"> </w:t>
      </w:r>
      <w:r>
        <w:t>(SEER),</w:t>
      </w:r>
      <w:r>
        <w:rPr>
          <w:spacing w:val="-7"/>
        </w:rPr>
        <w:t xml:space="preserve"> </w:t>
      </w:r>
      <w:r>
        <w:t>пациенты</w:t>
      </w:r>
      <w:r>
        <w:rPr>
          <w:spacing w:val="-9"/>
        </w:rPr>
        <w:t xml:space="preserve"> </w:t>
      </w:r>
      <w:r>
        <w:t>с</w:t>
      </w:r>
      <w:r>
        <w:rPr>
          <w:spacing w:val="-9"/>
        </w:rPr>
        <w:t xml:space="preserve"> </w:t>
      </w:r>
      <w:r>
        <w:t>раком</w:t>
      </w:r>
      <w:r>
        <w:rPr>
          <w:spacing w:val="-8"/>
        </w:rPr>
        <w:t xml:space="preserve"> </w:t>
      </w:r>
      <w:r>
        <w:t>БДС</w:t>
      </w:r>
      <w:r>
        <w:rPr>
          <w:spacing w:val="-13"/>
        </w:rPr>
        <w:t xml:space="preserve"> </w:t>
      </w:r>
      <w:r>
        <w:t>обычно</w:t>
      </w:r>
      <w:r>
        <w:rPr>
          <w:spacing w:val="-9"/>
        </w:rPr>
        <w:t xml:space="preserve"> </w:t>
      </w:r>
      <w:r>
        <w:t>старше</w:t>
      </w:r>
      <w:r>
        <w:rPr>
          <w:spacing w:val="-9"/>
        </w:rPr>
        <w:t xml:space="preserve"> </w:t>
      </w:r>
      <w:r>
        <w:t>60</w:t>
      </w:r>
      <w:r>
        <w:rPr>
          <w:spacing w:val="-13"/>
        </w:rPr>
        <w:t xml:space="preserve"> </w:t>
      </w:r>
      <w:r>
        <w:t>лет (медиана</w:t>
      </w:r>
      <w:r>
        <w:rPr>
          <w:spacing w:val="-10"/>
        </w:rPr>
        <w:t xml:space="preserve"> </w:t>
      </w:r>
      <w:r>
        <w:t>возраста</w:t>
      </w:r>
      <w:r>
        <w:rPr>
          <w:spacing w:val="-10"/>
        </w:rPr>
        <w:t xml:space="preserve"> </w:t>
      </w:r>
      <w:r>
        <w:t>65–70</w:t>
      </w:r>
      <w:r>
        <w:rPr>
          <w:spacing w:val="-10"/>
        </w:rPr>
        <w:t xml:space="preserve"> </w:t>
      </w:r>
      <w:r>
        <w:t>лет),</w:t>
      </w:r>
      <w:r>
        <w:rPr>
          <w:spacing w:val="-8"/>
        </w:rPr>
        <w:t xml:space="preserve"> </w:t>
      </w:r>
      <w:r>
        <w:t>отмечается</w:t>
      </w:r>
      <w:r>
        <w:rPr>
          <w:spacing w:val="-9"/>
        </w:rPr>
        <w:t xml:space="preserve"> </w:t>
      </w:r>
      <w:r>
        <w:t>небольшое</w:t>
      </w:r>
      <w:r>
        <w:rPr>
          <w:spacing w:val="-10"/>
        </w:rPr>
        <w:t xml:space="preserve"> </w:t>
      </w:r>
      <w:r>
        <w:t>преобладание</w:t>
      </w:r>
      <w:r>
        <w:rPr>
          <w:spacing w:val="-15"/>
        </w:rPr>
        <w:t xml:space="preserve"> </w:t>
      </w:r>
      <w:r>
        <w:t xml:space="preserve">мужчин. </w:t>
      </w:r>
      <w:r>
        <w:rPr>
          <w:spacing w:val="-2"/>
        </w:rPr>
        <w:t>Согласно</w:t>
      </w:r>
      <w:r>
        <w:tab/>
      </w:r>
      <w:r>
        <w:tab/>
      </w:r>
      <w:r>
        <w:rPr>
          <w:spacing w:val="-2"/>
        </w:rPr>
        <w:t>современным</w:t>
      </w:r>
      <w:r>
        <w:tab/>
      </w:r>
      <w:r>
        <w:tab/>
      </w:r>
      <w:r>
        <w:rPr>
          <w:spacing w:val="-2"/>
        </w:rPr>
        <w:t>клиническим</w:t>
      </w:r>
      <w:r>
        <w:tab/>
      </w:r>
      <w:r>
        <w:rPr>
          <w:spacing w:val="-2"/>
        </w:rPr>
        <w:t>рекомендациям,</w:t>
      </w:r>
      <w:r>
        <w:tab/>
      </w:r>
      <w:r>
        <w:tab/>
      </w:r>
      <w:r>
        <w:rPr>
          <w:spacing w:val="-4"/>
        </w:rPr>
        <w:t>ГПДР</w:t>
      </w:r>
      <w:r>
        <w:tab/>
      </w:r>
      <w:r>
        <w:rPr>
          <w:spacing w:val="-2"/>
        </w:rPr>
        <w:t>является стандартом</w:t>
      </w:r>
      <w:r>
        <w:tab/>
      </w:r>
      <w:r>
        <w:tab/>
      </w:r>
      <w:r>
        <w:rPr>
          <w:spacing w:val="-2"/>
        </w:rPr>
        <w:t>радикального</w:t>
      </w:r>
      <w:r>
        <w:tab/>
      </w:r>
      <w:r>
        <w:tab/>
      </w:r>
      <w:r>
        <w:rPr>
          <w:spacing w:val="-2"/>
        </w:rPr>
        <w:t>лечения</w:t>
      </w:r>
      <w:r>
        <w:tab/>
      </w:r>
      <w:r>
        <w:tab/>
      </w:r>
      <w:r>
        <w:rPr>
          <w:spacing w:val="-2"/>
        </w:rPr>
        <w:t>инвазивного</w:t>
      </w:r>
      <w:r>
        <w:tab/>
      </w:r>
      <w:r>
        <w:rPr>
          <w:spacing w:val="-56"/>
        </w:rPr>
        <w:t xml:space="preserve"> </w:t>
      </w:r>
      <w:r>
        <w:t>рака</w:t>
      </w:r>
      <w:r>
        <w:tab/>
      </w:r>
      <w:r>
        <w:rPr>
          <w:spacing w:val="-4"/>
        </w:rPr>
        <w:t>БДС</w:t>
      </w:r>
      <w:r>
        <w:tab/>
      </w:r>
      <w:r>
        <w:rPr>
          <w:spacing w:val="-4"/>
        </w:rPr>
        <w:t>(T1b</w:t>
      </w:r>
      <w:r>
        <w:tab/>
      </w:r>
      <w:r>
        <w:rPr>
          <w:spacing w:val="-10"/>
        </w:rPr>
        <w:t>и</w:t>
      </w:r>
      <w:r>
        <w:rPr>
          <w:spacing w:val="-2"/>
        </w:rPr>
        <w:t xml:space="preserve">выше). </w:t>
      </w:r>
      <w:r>
        <w:t>Эндоскопическая</w:t>
      </w:r>
      <w:r>
        <w:rPr>
          <w:spacing w:val="-4"/>
        </w:rPr>
        <w:t xml:space="preserve"> </w:t>
      </w:r>
      <w:r>
        <w:t>папиллэктомия</w:t>
      </w:r>
      <w:r>
        <w:rPr>
          <w:spacing w:val="-5"/>
        </w:rPr>
        <w:t xml:space="preserve"> </w:t>
      </w:r>
      <w:r>
        <w:t>допустима</w:t>
      </w:r>
      <w:r>
        <w:rPr>
          <w:spacing w:val="-5"/>
        </w:rPr>
        <w:t xml:space="preserve"> </w:t>
      </w:r>
      <w:r>
        <w:t>только</w:t>
      </w:r>
      <w:r>
        <w:rPr>
          <w:spacing w:val="-6"/>
        </w:rPr>
        <w:t xml:space="preserve"> </w:t>
      </w:r>
      <w:r>
        <w:t>при</w:t>
      </w:r>
      <w:r>
        <w:rPr>
          <w:spacing w:val="-6"/>
        </w:rPr>
        <w:t xml:space="preserve"> </w:t>
      </w:r>
      <w:r>
        <w:t>аденомах</w:t>
      </w:r>
      <w:r>
        <w:rPr>
          <w:spacing w:val="-10"/>
        </w:rPr>
        <w:t xml:space="preserve"> </w:t>
      </w:r>
      <w:r>
        <w:t>и</w:t>
      </w:r>
      <w:r>
        <w:rPr>
          <w:spacing w:val="-6"/>
        </w:rPr>
        <w:t xml:space="preserve"> </w:t>
      </w:r>
      <w:r>
        <w:t>ранних</w:t>
      </w:r>
      <w:r>
        <w:rPr>
          <w:spacing w:val="-10"/>
        </w:rPr>
        <w:t xml:space="preserve"> </w:t>
      </w:r>
      <w:r>
        <w:t>T1a- опухолях</w:t>
      </w:r>
      <w:r>
        <w:rPr>
          <w:spacing w:val="-18"/>
        </w:rPr>
        <w:t xml:space="preserve"> </w:t>
      </w:r>
      <w:r>
        <w:t>при</w:t>
      </w:r>
      <w:r>
        <w:rPr>
          <w:spacing w:val="-18"/>
        </w:rPr>
        <w:t xml:space="preserve"> </w:t>
      </w:r>
      <w:r>
        <w:t>строгом</w:t>
      </w:r>
      <w:r>
        <w:rPr>
          <w:spacing w:val="-17"/>
        </w:rPr>
        <w:t xml:space="preserve"> </w:t>
      </w:r>
      <w:r>
        <w:t>отборе</w:t>
      </w:r>
      <w:r>
        <w:rPr>
          <w:spacing w:val="-18"/>
        </w:rPr>
        <w:t xml:space="preserve"> </w:t>
      </w:r>
      <w:r>
        <w:t>и</w:t>
      </w:r>
      <w:r>
        <w:rPr>
          <w:spacing w:val="-17"/>
        </w:rPr>
        <w:t xml:space="preserve"> </w:t>
      </w:r>
      <w:r>
        <w:t>подтверждённой</w:t>
      </w:r>
      <w:r>
        <w:rPr>
          <w:spacing w:val="-18"/>
        </w:rPr>
        <w:t xml:space="preserve"> </w:t>
      </w:r>
      <w:r>
        <w:t>R0-резекции</w:t>
      </w:r>
      <w:r>
        <w:rPr>
          <w:spacing w:val="-17"/>
        </w:rPr>
        <w:t xml:space="preserve"> </w:t>
      </w:r>
      <w:r>
        <w:t>[33].</w:t>
      </w:r>
      <w:r>
        <w:rPr>
          <w:spacing w:val="-18"/>
        </w:rPr>
        <w:t xml:space="preserve"> </w:t>
      </w:r>
      <w:r>
        <w:t>По</w:t>
      </w:r>
      <w:r>
        <w:rPr>
          <w:spacing w:val="-17"/>
        </w:rPr>
        <w:t xml:space="preserve"> </w:t>
      </w:r>
      <w:r>
        <w:t>данным многоцентровых</w:t>
      </w:r>
      <w:r>
        <w:rPr>
          <w:spacing w:val="-18"/>
        </w:rPr>
        <w:t xml:space="preserve"> </w:t>
      </w:r>
      <w:r>
        <w:t>и</w:t>
      </w:r>
      <w:r>
        <w:rPr>
          <w:spacing w:val="-18"/>
        </w:rPr>
        <w:t xml:space="preserve"> </w:t>
      </w:r>
      <w:r>
        <w:t>популяционных</w:t>
      </w:r>
      <w:r>
        <w:rPr>
          <w:spacing w:val="-18"/>
        </w:rPr>
        <w:t xml:space="preserve"> </w:t>
      </w:r>
      <w:r>
        <w:t>исследований,</w:t>
      </w:r>
      <w:r>
        <w:rPr>
          <w:spacing w:val="-17"/>
        </w:rPr>
        <w:t xml:space="preserve"> </w:t>
      </w:r>
      <w:r>
        <w:t>5-летняя</w:t>
      </w:r>
      <w:r>
        <w:rPr>
          <w:spacing w:val="-18"/>
        </w:rPr>
        <w:t xml:space="preserve"> </w:t>
      </w:r>
      <w:r>
        <w:t>общая</w:t>
      </w:r>
      <w:r>
        <w:rPr>
          <w:spacing w:val="-17"/>
        </w:rPr>
        <w:t xml:space="preserve"> </w:t>
      </w:r>
      <w:r>
        <w:t>выживаемость при</w:t>
      </w:r>
      <w:r>
        <w:rPr>
          <w:spacing w:val="40"/>
        </w:rPr>
        <w:t xml:space="preserve"> </w:t>
      </w:r>
      <w:r>
        <w:t>операбельном</w:t>
      </w:r>
      <w:r>
        <w:rPr>
          <w:spacing w:val="40"/>
        </w:rPr>
        <w:t xml:space="preserve"> </w:t>
      </w:r>
      <w:r>
        <w:t>раке</w:t>
      </w:r>
      <w:r>
        <w:rPr>
          <w:spacing w:val="40"/>
        </w:rPr>
        <w:t xml:space="preserve"> </w:t>
      </w:r>
      <w:r>
        <w:t>БДС</w:t>
      </w:r>
      <w:r>
        <w:rPr>
          <w:spacing w:val="40"/>
        </w:rPr>
        <w:t xml:space="preserve"> </w:t>
      </w:r>
      <w:r>
        <w:t>после</w:t>
      </w:r>
      <w:r>
        <w:rPr>
          <w:spacing w:val="40"/>
        </w:rPr>
        <w:t xml:space="preserve"> </w:t>
      </w:r>
      <w:r>
        <w:t>R0-ГПДР</w:t>
      </w:r>
      <w:r>
        <w:rPr>
          <w:spacing w:val="40"/>
        </w:rPr>
        <w:t xml:space="preserve"> </w:t>
      </w:r>
      <w:r>
        <w:t>может</w:t>
      </w:r>
      <w:r>
        <w:rPr>
          <w:spacing w:val="40"/>
        </w:rPr>
        <w:t xml:space="preserve"> </w:t>
      </w:r>
      <w:r>
        <w:t>достигать</w:t>
      </w:r>
      <w:r>
        <w:rPr>
          <w:spacing w:val="40"/>
        </w:rPr>
        <w:t xml:space="preserve"> </w:t>
      </w:r>
      <w:r>
        <w:t>40–45%.</w:t>
      </w:r>
      <w:r>
        <w:rPr>
          <w:spacing w:val="40"/>
        </w:rPr>
        <w:t xml:space="preserve"> </w:t>
      </w:r>
      <w:r>
        <w:rPr>
          <w:spacing w:val="-2"/>
        </w:rPr>
        <w:t>Анализ</w:t>
      </w:r>
      <w:r>
        <w:tab/>
      </w:r>
      <w:r>
        <w:rPr>
          <w:spacing w:val="-2"/>
        </w:rPr>
        <w:t>SEER-когорт</w:t>
      </w:r>
      <w:r>
        <w:tab/>
      </w:r>
      <w:r>
        <w:rPr>
          <w:spacing w:val="-54"/>
        </w:rPr>
        <w:t xml:space="preserve"> </w:t>
      </w:r>
      <w:r>
        <w:t>демонстрирует</w:t>
      </w:r>
      <w:r>
        <w:tab/>
      </w:r>
      <w:r>
        <w:tab/>
      </w:r>
      <w:r>
        <w:rPr>
          <w:spacing w:val="-6"/>
        </w:rPr>
        <w:t>1-</w:t>
      </w:r>
      <w:r>
        <w:tab/>
      </w:r>
      <w:r>
        <w:tab/>
      </w:r>
      <w:r>
        <w:rPr>
          <w:spacing w:val="-10"/>
        </w:rPr>
        <w:t>и</w:t>
      </w:r>
      <w:r>
        <w:tab/>
      </w:r>
      <w:r>
        <w:rPr>
          <w:spacing w:val="-2"/>
        </w:rPr>
        <w:t>5-летнюю</w:t>
      </w:r>
      <w:r>
        <w:t xml:space="preserve"> специфическую выживаемость 71,7% и 38,8% соответственно, медиана выживаемости — около 31</w:t>
      </w:r>
      <w:r>
        <w:rPr>
          <w:spacing w:val="47"/>
        </w:rPr>
        <w:t xml:space="preserve"> </w:t>
      </w:r>
      <w:r>
        <w:t>месяца;</w:t>
      </w:r>
      <w:r>
        <w:rPr>
          <w:spacing w:val="43"/>
        </w:rPr>
        <w:t xml:space="preserve"> </w:t>
      </w:r>
      <w:r>
        <w:t>отказ</w:t>
      </w:r>
      <w:r>
        <w:rPr>
          <w:spacing w:val="47"/>
        </w:rPr>
        <w:t xml:space="preserve"> </w:t>
      </w:r>
      <w:r>
        <w:t>от</w:t>
      </w:r>
      <w:r>
        <w:rPr>
          <w:spacing w:val="45"/>
        </w:rPr>
        <w:t xml:space="preserve"> </w:t>
      </w:r>
      <w:r>
        <w:t>хирургического</w:t>
      </w:r>
      <w:r>
        <w:rPr>
          <w:spacing w:val="48"/>
        </w:rPr>
        <w:t xml:space="preserve"> </w:t>
      </w:r>
      <w:r>
        <w:t>вмешательства</w:t>
      </w:r>
      <w:r>
        <w:rPr>
          <w:spacing w:val="48"/>
        </w:rPr>
        <w:t xml:space="preserve"> </w:t>
      </w:r>
      <w:r>
        <w:t>увеличивает</w:t>
      </w:r>
      <w:r>
        <w:rPr>
          <w:spacing w:val="45"/>
        </w:rPr>
        <w:t xml:space="preserve"> </w:t>
      </w:r>
      <w:r>
        <w:t>риск</w:t>
      </w:r>
      <w:r>
        <w:rPr>
          <w:spacing w:val="47"/>
        </w:rPr>
        <w:t xml:space="preserve"> </w:t>
      </w:r>
      <w:r>
        <w:rPr>
          <w:spacing w:val="-2"/>
        </w:rPr>
        <w:t>смерти</w:t>
      </w:r>
    </w:p>
    <w:p w14:paraId="0DF7C360">
      <w:pPr>
        <w:pStyle w:val="7"/>
        <w:spacing w:line="322" w:lineRule="exact"/>
        <w:ind w:firstLine="0"/>
      </w:pPr>
      <w:r>
        <w:t>более</w:t>
      </w:r>
      <w:r>
        <w:rPr>
          <w:spacing w:val="-2"/>
        </w:rPr>
        <w:t xml:space="preserve"> </w:t>
      </w:r>
      <w:r>
        <w:t>чем в</w:t>
      </w:r>
      <w:r>
        <w:rPr>
          <w:spacing w:val="-4"/>
        </w:rPr>
        <w:t xml:space="preserve"> </w:t>
      </w:r>
      <w:r>
        <w:t>4</w:t>
      </w:r>
      <w:r>
        <w:rPr>
          <w:spacing w:val="-2"/>
        </w:rPr>
        <w:t xml:space="preserve"> </w:t>
      </w:r>
      <w:r>
        <w:t>раза</w:t>
      </w:r>
      <w:r>
        <w:rPr>
          <w:spacing w:val="-2"/>
        </w:rPr>
        <w:t>.</w:t>
      </w:r>
    </w:p>
    <w:p w14:paraId="750F057A">
      <w:pPr>
        <w:pStyle w:val="7"/>
        <w:ind w:left="0" w:right="3" w:firstLine="562"/>
      </w:pPr>
      <w:r>
        <w:t xml:space="preserve">   Рак ТОХ или дистальная холангиокарцинома — злокачественная эпителиальная опухоль, исходящая из слизистой оболочки общего жёлчного протока ниже места впадения пузырного протока и распространяющаяся до уровня ампулы Фатера; в клинической классификации относится к внепечёночной холангиокарциноме, наряду с перихилярной формой. Критерии разграничения перихилярной и дистальной локализации в современных рекомендациях основаны именно на анатомическом уровне (ориентир — впадение пузырного протока) [34].</w:t>
      </w:r>
    </w:p>
    <w:p w14:paraId="5C51FDB9">
      <w:pPr>
        <w:pStyle w:val="7"/>
        <w:spacing w:before="3"/>
        <w:ind w:left="0" w:right="3" w:firstLine="702"/>
      </w:pPr>
      <w:r>
        <w:t>Рак ТОХ в целом является относительно редким заболеванием, однако её заболеваемость и смертность в ряде регионов демонстрируют тенденцию к росту. В обзорной работе Banales et al. приводится диапазон общей заболеваемости холангиокарциномой 0,3–6 на 100 000 населения в год [35].</w:t>
      </w:r>
    </w:p>
    <w:p w14:paraId="507F8B55">
      <w:pPr>
        <w:pStyle w:val="7"/>
        <w:ind w:left="0" w:right="3" w:firstLine="702"/>
      </w:pPr>
      <w:r>
        <w:t>По</w:t>
      </w:r>
      <w:r>
        <w:rPr>
          <w:spacing w:val="-6"/>
        </w:rPr>
        <w:t xml:space="preserve"> </w:t>
      </w:r>
      <w:r>
        <w:t>данным</w:t>
      </w:r>
      <w:r>
        <w:rPr>
          <w:spacing w:val="-5"/>
        </w:rPr>
        <w:t xml:space="preserve"> </w:t>
      </w:r>
      <w:r>
        <w:t>анализа</w:t>
      </w:r>
      <w:r>
        <w:rPr>
          <w:spacing w:val="-4"/>
        </w:rPr>
        <w:t xml:space="preserve"> </w:t>
      </w:r>
      <w:r>
        <w:t>регистров</w:t>
      </w:r>
      <w:r>
        <w:rPr>
          <w:spacing w:val="-7"/>
        </w:rPr>
        <w:t xml:space="preserve"> </w:t>
      </w:r>
      <w:r>
        <w:t>США</w:t>
      </w:r>
      <w:r>
        <w:rPr>
          <w:spacing w:val="-10"/>
        </w:rPr>
        <w:t xml:space="preserve"> </w:t>
      </w:r>
      <w:r>
        <w:t>(SEER,</w:t>
      </w:r>
      <w:r>
        <w:rPr>
          <w:spacing w:val="-3"/>
        </w:rPr>
        <w:t xml:space="preserve"> </w:t>
      </w:r>
      <w:r>
        <w:t>2001–2017)</w:t>
      </w:r>
      <w:r>
        <w:rPr>
          <w:spacing w:val="-7"/>
        </w:rPr>
        <w:t xml:space="preserve"> </w:t>
      </w:r>
      <w:r>
        <w:t>суммарная</w:t>
      </w:r>
      <w:r>
        <w:rPr>
          <w:spacing w:val="-4"/>
        </w:rPr>
        <w:t xml:space="preserve"> </w:t>
      </w:r>
      <w:r>
        <w:t>возраст- стандартизированная заболеваемость опухолью ТОХ составила 2,32 на 100 000 человек в год, из них внепечёночная холангиокарцинома — 0,78 на 100 000 человек в год [36]. Отдельно для «рака внепечёночных жёлчных протоков» в США сообщалась оценка заболеваемости около 0,96 на 100 000 [37].</w:t>
      </w:r>
    </w:p>
    <w:p w14:paraId="48110FA6">
      <w:pPr>
        <w:pStyle w:val="7"/>
        <w:sectPr>
          <w:pgSz w:w="11910" w:h="16840"/>
          <w:pgMar w:top="1134" w:right="567" w:bottom="1134" w:left="1701" w:header="0" w:footer="936" w:gutter="0"/>
          <w:cols w:space="720" w:num="1"/>
        </w:sectPr>
      </w:pPr>
    </w:p>
    <w:p w14:paraId="51922FFE">
      <w:pPr>
        <w:pStyle w:val="7"/>
        <w:tabs>
          <w:tab w:val="left" w:pos="7088"/>
        </w:tabs>
        <w:spacing w:before="67"/>
        <w:ind w:right="3" w:firstLine="562"/>
      </w:pPr>
      <w:r>
        <w:t xml:space="preserve">Клинически рак ТОХ, в отличие от рака ГПЖ, часто манифестирует безболезненной механической желтухой, зудом кожи, эпизодами холангита; значительная часть пациентов требует билиарной декомпрессии до операции </w:t>
      </w:r>
      <w:r>
        <w:rPr>
          <w:spacing w:val="-2"/>
        </w:rPr>
        <w:t>[38].</w:t>
      </w:r>
    </w:p>
    <w:p w14:paraId="7047F132">
      <w:pPr>
        <w:pStyle w:val="7"/>
        <w:tabs>
          <w:tab w:val="left" w:pos="7088"/>
        </w:tabs>
        <w:spacing w:before="4"/>
        <w:ind w:right="3" w:firstLine="562"/>
      </w:pPr>
      <w:r>
        <w:t>Факторами риска развития рака ТОХ являются холедохеальные кисты, первичный склерозирующий холангит, генетически обусловленные мутации, включая синдром Линча, холедохолитиаз и холангит, а также курение и хроническое употребление алкоголя. Поскольку опухоль ТОХ располагается в интрапанкреатическом</w:t>
      </w:r>
      <w:r>
        <w:rPr>
          <w:spacing w:val="-18"/>
        </w:rPr>
        <w:t xml:space="preserve"> </w:t>
      </w:r>
      <w:r>
        <w:t>сегменте</w:t>
      </w:r>
      <w:r>
        <w:rPr>
          <w:spacing w:val="-17"/>
        </w:rPr>
        <w:t xml:space="preserve"> </w:t>
      </w:r>
      <w:r>
        <w:t>общего</w:t>
      </w:r>
      <w:r>
        <w:rPr>
          <w:spacing w:val="-18"/>
        </w:rPr>
        <w:t xml:space="preserve"> </w:t>
      </w:r>
      <w:r>
        <w:t>жёлчного</w:t>
      </w:r>
      <w:r>
        <w:rPr>
          <w:spacing w:val="-17"/>
        </w:rPr>
        <w:t xml:space="preserve"> </w:t>
      </w:r>
      <w:r>
        <w:t>протока</w:t>
      </w:r>
      <w:r>
        <w:rPr>
          <w:spacing w:val="-18"/>
        </w:rPr>
        <w:t xml:space="preserve"> </w:t>
      </w:r>
      <w:r>
        <w:t>и</w:t>
      </w:r>
      <w:r>
        <w:rPr>
          <w:spacing w:val="-17"/>
        </w:rPr>
        <w:t xml:space="preserve"> </w:t>
      </w:r>
      <w:r>
        <w:t>анатомически</w:t>
      </w:r>
      <w:r>
        <w:rPr>
          <w:spacing w:val="-18"/>
        </w:rPr>
        <w:t xml:space="preserve"> </w:t>
      </w:r>
      <w:r>
        <w:t>тесно связана с панкреатодуоденальным комплексом и регионарными лимфатическими</w:t>
      </w:r>
      <w:r>
        <w:rPr>
          <w:spacing w:val="-11"/>
        </w:rPr>
        <w:t xml:space="preserve"> </w:t>
      </w:r>
      <w:r>
        <w:t>путями</w:t>
      </w:r>
      <w:r>
        <w:rPr>
          <w:spacing w:val="-11"/>
        </w:rPr>
        <w:t xml:space="preserve"> </w:t>
      </w:r>
      <w:r>
        <w:t>оттока,</w:t>
      </w:r>
      <w:r>
        <w:rPr>
          <w:spacing w:val="-9"/>
        </w:rPr>
        <w:t xml:space="preserve"> </w:t>
      </w:r>
      <w:r>
        <w:t>операцией</w:t>
      </w:r>
      <w:r>
        <w:rPr>
          <w:spacing w:val="-11"/>
        </w:rPr>
        <w:t xml:space="preserve"> </w:t>
      </w:r>
      <w:r>
        <w:t>выбора</w:t>
      </w:r>
      <w:r>
        <w:rPr>
          <w:spacing w:val="-11"/>
        </w:rPr>
        <w:t xml:space="preserve"> </w:t>
      </w:r>
      <w:r>
        <w:t>при</w:t>
      </w:r>
      <w:r>
        <w:rPr>
          <w:spacing w:val="-12"/>
        </w:rPr>
        <w:t xml:space="preserve"> </w:t>
      </w:r>
      <w:r>
        <w:t>резектабельной</w:t>
      </w:r>
      <w:r>
        <w:rPr>
          <w:spacing w:val="-11"/>
        </w:rPr>
        <w:t xml:space="preserve"> </w:t>
      </w:r>
      <w:r>
        <w:t>опухоли ТОХ является ГПДР с регионарной лимфодиссекцией, направленная на достижение R0-резекции. Этот подход отражён в современных клинических руководствах и обзорах по внепечёночной холангиокарциноме [39].</w:t>
      </w:r>
    </w:p>
    <w:p w14:paraId="12FD07C6">
      <w:pPr>
        <w:pStyle w:val="7"/>
        <w:tabs>
          <w:tab w:val="left" w:pos="7088"/>
        </w:tabs>
        <w:ind w:right="3" w:firstLine="562"/>
      </w:pPr>
      <w:r>
        <w:t xml:space="preserve"> Ключевым предиктором онкологического результата является краевой статус. В</w:t>
      </w:r>
      <w:r>
        <w:rPr>
          <w:spacing w:val="-3"/>
        </w:rPr>
        <w:t xml:space="preserve"> </w:t>
      </w:r>
      <w:r>
        <w:t>крупнейшем европейском одноцентровом исследовании показано, что при медиане общей выживаемости 36,8 месяца 5-летняя выживаемость достигала</w:t>
      </w:r>
      <w:r>
        <w:rPr>
          <w:spacing w:val="-9"/>
        </w:rPr>
        <w:t xml:space="preserve"> </w:t>
      </w:r>
      <w:r>
        <w:t>40,3%,</w:t>
      </w:r>
      <w:r>
        <w:rPr>
          <w:spacing w:val="-8"/>
        </w:rPr>
        <w:t xml:space="preserve"> </w:t>
      </w:r>
      <w:r>
        <w:t>а</w:t>
      </w:r>
      <w:r>
        <w:rPr>
          <w:spacing w:val="-12"/>
        </w:rPr>
        <w:t xml:space="preserve"> </w:t>
      </w:r>
      <w:r>
        <w:t>при</w:t>
      </w:r>
      <w:r>
        <w:rPr>
          <w:spacing w:val="-10"/>
        </w:rPr>
        <w:t xml:space="preserve"> </w:t>
      </w:r>
      <w:r>
        <w:t>«истинной»</w:t>
      </w:r>
      <w:r>
        <w:rPr>
          <w:spacing w:val="-13"/>
        </w:rPr>
        <w:t xml:space="preserve"> </w:t>
      </w:r>
      <w:r>
        <w:t>R0-резекции</w:t>
      </w:r>
      <w:r>
        <w:rPr>
          <w:spacing w:val="-10"/>
        </w:rPr>
        <w:t xml:space="preserve"> </w:t>
      </w:r>
      <w:r>
        <w:t>с</w:t>
      </w:r>
      <w:r>
        <w:rPr>
          <w:spacing w:val="-9"/>
        </w:rPr>
        <w:t xml:space="preserve"> </w:t>
      </w:r>
      <w:r>
        <w:t>опухоль-негативными</w:t>
      </w:r>
      <w:r>
        <w:rPr>
          <w:spacing w:val="-10"/>
        </w:rPr>
        <w:t xml:space="preserve"> </w:t>
      </w:r>
      <w:r>
        <w:rPr>
          <w:spacing w:val="-2"/>
        </w:rPr>
        <w:t>краями</w:t>
      </w:r>
    </w:p>
    <w:p w14:paraId="101FED1B">
      <w:pPr>
        <w:pStyle w:val="7"/>
        <w:spacing w:before="1"/>
        <w:ind w:left="0" w:right="3" w:firstLine="140"/>
      </w:pPr>
      <w:r>
        <w:t>&gt;1 мм 5-летняя выживаемость повышалась до 52,2% (и медиана общей выживаемости - до 77,5 месяца).</w:t>
      </w:r>
    </w:p>
    <w:p w14:paraId="33D7E4CC">
      <w:pPr>
        <w:pStyle w:val="7"/>
        <w:ind w:left="0" w:right="3" w:firstLine="140"/>
      </w:pPr>
      <w:r>
        <w:t xml:space="preserve">        Даже при сравнительно более благоприятных патологических характеристиках по сравнению с опухолью ГПЖ, после ГПДР у пациентов с раком ТОХ остаются актуальными хирургические осложнения, включая ПС. В систематическом обзоре сравнительных исходов после ГПДР для рака ТОХ и ГПЖ</w:t>
      </w:r>
      <w:r>
        <w:rPr>
          <w:spacing w:val="-16"/>
        </w:rPr>
        <w:t xml:space="preserve"> </w:t>
      </w:r>
      <w:r>
        <w:t>отмечено,</w:t>
      </w:r>
      <w:r>
        <w:rPr>
          <w:spacing w:val="-14"/>
        </w:rPr>
        <w:t xml:space="preserve"> </w:t>
      </w:r>
      <w:r>
        <w:t>что</w:t>
      </w:r>
      <w:r>
        <w:rPr>
          <w:spacing w:val="-16"/>
        </w:rPr>
        <w:t xml:space="preserve"> </w:t>
      </w:r>
      <w:r>
        <w:t>послеоперационные</w:t>
      </w:r>
      <w:r>
        <w:rPr>
          <w:spacing w:val="-15"/>
        </w:rPr>
        <w:t xml:space="preserve"> </w:t>
      </w:r>
      <w:r>
        <w:t>осложнения,</w:t>
      </w:r>
      <w:r>
        <w:rPr>
          <w:spacing w:val="-14"/>
        </w:rPr>
        <w:t xml:space="preserve"> </w:t>
      </w:r>
      <w:r>
        <w:t>в</w:t>
      </w:r>
      <w:r>
        <w:rPr>
          <w:spacing w:val="-17"/>
        </w:rPr>
        <w:t xml:space="preserve"> </w:t>
      </w:r>
      <w:r>
        <w:t>том</w:t>
      </w:r>
      <w:r>
        <w:rPr>
          <w:spacing w:val="-15"/>
        </w:rPr>
        <w:t xml:space="preserve"> </w:t>
      </w:r>
      <w:r>
        <w:t>числе</w:t>
      </w:r>
      <w:r>
        <w:rPr>
          <w:spacing w:val="-15"/>
        </w:rPr>
        <w:t xml:space="preserve"> </w:t>
      </w:r>
      <w:r>
        <w:t>ПС,</w:t>
      </w:r>
      <w:r>
        <w:rPr>
          <w:spacing w:val="-18"/>
        </w:rPr>
        <w:t xml:space="preserve"> </w:t>
      </w:r>
      <w:r>
        <w:t>сохраняют клиническую значимость и требуют стандартизации профилактических подходов [40].</w:t>
      </w:r>
    </w:p>
    <w:p w14:paraId="7C714497">
      <w:pPr>
        <w:pStyle w:val="7"/>
        <w:ind w:left="0" w:right="3" w:firstLine="140"/>
      </w:pPr>
      <w:r>
        <w:t xml:space="preserve">        Рак ДПК относится к редким злокачественным новообразованиям ЖКТ и составляет менее 1% всех опухолей ЖКТ [41]. Вместе с тем среди злокачественных новообразований тонкой кишки дуоденальная локализация встречается</w:t>
      </w:r>
      <w:r>
        <w:rPr>
          <w:spacing w:val="-2"/>
        </w:rPr>
        <w:t xml:space="preserve"> </w:t>
      </w:r>
      <w:r>
        <w:t>наиболее</w:t>
      </w:r>
      <w:r>
        <w:rPr>
          <w:spacing w:val="-3"/>
        </w:rPr>
        <w:t xml:space="preserve"> </w:t>
      </w:r>
      <w:r>
        <w:t>часто</w:t>
      </w:r>
      <w:r>
        <w:rPr>
          <w:spacing w:val="-4"/>
        </w:rPr>
        <w:t xml:space="preserve"> </w:t>
      </w:r>
      <w:r>
        <w:t>и</w:t>
      </w:r>
      <w:r>
        <w:rPr>
          <w:spacing w:val="-4"/>
        </w:rPr>
        <w:t xml:space="preserve"> </w:t>
      </w:r>
      <w:r>
        <w:t>составляет 50–60%</w:t>
      </w:r>
      <w:r>
        <w:rPr>
          <w:spacing w:val="-1"/>
        </w:rPr>
        <w:t xml:space="preserve"> </w:t>
      </w:r>
      <w:r>
        <w:t>всех</w:t>
      </w:r>
      <w:r>
        <w:rPr>
          <w:spacing w:val="-8"/>
        </w:rPr>
        <w:t xml:space="preserve"> </w:t>
      </w:r>
      <w:r>
        <w:t>случаев [42].</w:t>
      </w:r>
      <w:r>
        <w:rPr>
          <w:spacing w:val="-2"/>
        </w:rPr>
        <w:t xml:space="preserve"> </w:t>
      </w:r>
      <w:r>
        <w:t>Заболевание преимущественно диагностируется у пациентов старше 50 лет, с пиком заболеваемости в возрастной группе 60–70 лет, при умеренном преобладании мужчин (соотношение мужчин и женщин 1,2–1,5:1) [43].</w:t>
      </w:r>
    </w:p>
    <w:p w14:paraId="206156EF">
      <w:pPr>
        <w:pStyle w:val="7"/>
        <w:ind w:left="0" w:right="3" w:firstLine="140"/>
      </w:pPr>
      <w:r>
        <w:t xml:space="preserve">        К основным факторам риска развития рака ДПК относят наследственные синдромы, включая семейный аденоматозный полипоз и синдром Линча, при которых риск развития рака ДПК увеличивается в 4–15 раз по сравнению с общей популяцией [44,45]. Существенное значение также имеют целиакия, хронические воспалительные заболевания кишечника, наличие аденоматозных полипов, а также модифицируемые факторы риска — курение, ожирение и особенности питания [46,47].</w:t>
      </w:r>
    </w:p>
    <w:p w14:paraId="5150CEE3">
      <w:pPr>
        <w:pStyle w:val="7"/>
        <w:ind w:left="0" w:right="3" w:firstLine="702"/>
      </w:pPr>
      <w:r>
        <w:t>Клиническая картина заболевания нередко носит неспецифический характер</w:t>
      </w:r>
      <w:r>
        <w:rPr>
          <w:spacing w:val="-17"/>
        </w:rPr>
        <w:t xml:space="preserve"> </w:t>
      </w:r>
      <w:r>
        <w:t>и</w:t>
      </w:r>
      <w:r>
        <w:rPr>
          <w:spacing w:val="-17"/>
        </w:rPr>
        <w:t xml:space="preserve"> </w:t>
      </w:r>
      <w:r>
        <w:t>включает</w:t>
      </w:r>
      <w:r>
        <w:rPr>
          <w:spacing w:val="-18"/>
        </w:rPr>
        <w:t xml:space="preserve"> </w:t>
      </w:r>
      <w:r>
        <w:t>симптомы</w:t>
      </w:r>
      <w:r>
        <w:rPr>
          <w:spacing w:val="-16"/>
        </w:rPr>
        <w:t xml:space="preserve"> </w:t>
      </w:r>
      <w:r>
        <w:t>дуоденальной</w:t>
      </w:r>
      <w:r>
        <w:rPr>
          <w:spacing w:val="-17"/>
        </w:rPr>
        <w:t xml:space="preserve"> </w:t>
      </w:r>
      <w:r>
        <w:t>обструкции,</w:t>
      </w:r>
      <w:r>
        <w:rPr>
          <w:spacing w:val="-15"/>
        </w:rPr>
        <w:t xml:space="preserve"> </w:t>
      </w:r>
      <w:r>
        <w:t>хроническую</w:t>
      </w:r>
      <w:r>
        <w:rPr>
          <w:spacing w:val="-18"/>
        </w:rPr>
        <w:t xml:space="preserve"> </w:t>
      </w:r>
      <w:r>
        <w:t>анемию вследствие скрытых кровотечений, снижение массы тела, болевой синдром и возможно развитие механической желтухи.</w:t>
      </w:r>
    </w:p>
    <w:p w14:paraId="241DBFEB">
      <w:pPr>
        <w:pStyle w:val="7"/>
        <w:spacing w:before="67"/>
        <w:ind w:left="0" w:right="3" w:firstLine="702"/>
      </w:pPr>
      <w:r>
        <w:t>Хирургическое</w:t>
      </w:r>
      <w:r>
        <w:rPr>
          <w:spacing w:val="-5"/>
        </w:rPr>
        <w:t xml:space="preserve"> </w:t>
      </w:r>
      <w:r>
        <w:t>лечение</w:t>
      </w:r>
      <w:r>
        <w:rPr>
          <w:spacing w:val="-5"/>
        </w:rPr>
        <w:t xml:space="preserve"> </w:t>
      </w:r>
      <w:r>
        <w:t>остаётся</w:t>
      </w:r>
      <w:r>
        <w:rPr>
          <w:spacing w:val="-4"/>
        </w:rPr>
        <w:t xml:space="preserve"> </w:t>
      </w:r>
      <w:r>
        <w:t>основным</w:t>
      </w:r>
      <w:r>
        <w:rPr>
          <w:spacing w:val="-4"/>
        </w:rPr>
        <w:t xml:space="preserve"> </w:t>
      </w:r>
      <w:r>
        <w:t>радикальным</w:t>
      </w:r>
      <w:r>
        <w:rPr>
          <w:spacing w:val="-4"/>
        </w:rPr>
        <w:t xml:space="preserve"> </w:t>
      </w:r>
      <w:r>
        <w:t>методом</w:t>
      </w:r>
      <w:r>
        <w:rPr>
          <w:spacing w:val="-4"/>
        </w:rPr>
        <w:t xml:space="preserve"> </w:t>
      </w:r>
      <w:r>
        <w:t>терапии. При опухолях нисходящей части ДПК и периампулярной локализации стандартом</w:t>
      </w:r>
      <w:r>
        <w:rPr>
          <w:spacing w:val="-9"/>
        </w:rPr>
        <w:t xml:space="preserve"> </w:t>
      </w:r>
      <w:r>
        <w:t>лечения</w:t>
      </w:r>
      <w:r>
        <w:rPr>
          <w:spacing w:val="-10"/>
        </w:rPr>
        <w:t xml:space="preserve"> </w:t>
      </w:r>
      <w:r>
        <w:t>является</w:t>
      </w:r>
      <w:r>
        <w:rPr>
          <w:spacing w:val="-9"/>
        </w:rPr>
        <w:t xml:space="preserve"> </w:t>
      </w:r>
      <w:r>
        <w:t>ГПДР,</w:t>
      </w:r>
      <w:r>
        <w:rPr>
          <w:spacing w:val="-8"/>
        </w:rPr>
        <w:t xml:space="preserve"> </w:t>
      </w:r>
      <w:r>
        <w:t>тогда</w:t>
      </w:r>
      <w:r>
        <w:rPr>
          <w:spacing w:val="-10"/>
        </w:rPr>
        <w:t xml:space="preserve"> </w:t>
      </w:r>
      <w:r>
        <w:t>как</w:t>
      </w:r>
      <w:r>
        <w:rPr>
          <w:spacing w:val="-11"/>
        </w:rPr>
        <w:t xml:space="preserve"> </w:t>
      </w:r>
      <w:r>
        <w:t>при</w:t>
      </w:r>
      <w:r>
        <w:rPr>
          <w:spacing w:val="-11"/>
        </w:rPr>
        <w:t xml:space="preserve"> </w:t>
      </w:r>
      <w:r>
        <w:t>проксимальных</w:t>
      </w:r>
      <w:r>
        <w:rPr>
          <w:spacing w:val="-14"/>
        </w:rPr>
        <w:t xml:space="preserve"> </w:t>
      </w:r>
      <w:r>
        <w:t>и</w:t>
      </w:r>
      <w:r>
        <w:rPr>
          <w:spacing w:val="-10"/>
        </w:rPr>
        <w:t xml:space="preserve"> </w:t>
      </w:r>
      <w:r>
        <w:t>дистальных отделах возможно выполнение сегментарной резекции [48]. Несмотря на совершенствование</w:t>
      </w:r>
      <w:r>
        <w:rPr>
          <w:spacing w:val="-6"/>
        </w:rPr>
        <w:t xml:space="preserve"> </w:t>
      </w:r>
      <w:r>
        <w:t>хирургических</w:t>
      </w:r>
      <w:r>
        <w:rPr>
          <w:spacing w:val="-10"/>
        </w:rPr>
        <w:t xml:space="preserve"> </w:t>
      </w:r>
      <w:r>
        <w:t>технологий,</w:t>
      </w:r>
      <w:r>
        <w:rPr>
          <w:spacing w:val="-5"/>
        </w:rPr>
        <w:t xml:space="preserve"> </w:t>
      </w:r>
      <w:r>
        <w:t>отдалённые</w:t>
      </w:r>
      <w:r>
        <w:rPr>
          <w:spacing w:val="-6"/>
        </w:rPr>
        <w:t xml:space="preserve"> </w:t>
      </w:r>
      <w:r>
        <w:t>результаты</w:t>
      </w:r>
      <w:r>
        <w:rPr>
          <w:spacing w:val="-6"/>
        </w:rPr>
        <w:t xml:space="preserve"> </w:t>
      </w:r>
      <w:r>
        <w:t>лечения остаются ограниченными: пятилетняя общая выживаемость варьирует от 30 до 60%</w:t>
      </w:r>
      <w:r>
        <w:rPr>
          <w:spacing w:val="-6"/>
        </w:rPr>
        <w:t xml:space="preserve"> </w:t>
      </w:r>
      <w:r>
        <w:t>и</w:t>
      </w:r>
      <w:r>
        <w:rPr>
          <w:spacing w:val="-6"/>
        </w:rPr>
        <w:t xml:space="preserve"> </w:t>
      </w:r>
      <w:r>
        <w:t>напрямую</w:t>
      </w:r>
      <w:r>
        <w:rPr>
          <w:spacing w:val="-7"/>
        </w:rPr>
        <w:t xml:space="preserve"> </w:t>
      </w:r>
      <w:r>
        <w:t>зависит</w:t>
      </w:r>
      <w:r>
        <w:rPr>
          <w:spacing w:val="-7"/>
        </w:rPr>
        <w:t xml:space="preserve"> </w:t>
      </w:r>
      <w:r>
        <w:t>от</w:t>
      </w:r>
      <w:r>
        <w:rPr>
          <w:spacing w:val="-7"/>
        </w:rPr>
        <w:t xml:space="preserve"> </w:t>
      </w:r>
      <w:r>
        <w:t>стадии</w:t>
      </w:r>
      <w:r>
        <w:rPr>
          <w:spacing w:val="-6"/>
        </w:rPr>
        <w:t xml:space="preserve"> </w:t>
      </w:r>
      <w:r>
        <w:t>заболевания,</w:t>
      </w:r>
      <w:r>
        <w:rPr>
          <w:spacing w:val="-4"/>
        </w:rPr>
        <w:t xml:space="preserve"> </w:t>
      </w:r>
      <w:r>
        <w:t>статуса</w:t>
      </w:r>
      <w:r>
        <w:rPr>
          <w:spacing w:val="-5"/>
        </w:rPr>
        <w:t xml:space="preserve"> </w:t>
      </w:r>
      <w:r>
        <w:t>лимфатических</w:t>
      </w:r>
      <w:r>
        <w:rPr>
          <w:spacing w:val="-6"/>
        </w:rPr>
        <w:t xml:space="preserve"> </w:t>
      </w:r>
      <w:r>
        <w:t>узлов</w:t>
      </w:r>
      <w:r>
        <w:rPr>
          <w:spacing w:val="-7"/>
        </w:rPr>
        <w:t xml:space="preserve"> </w:t>
      </w:r>
      <w:r>
        <w:t>и радикальности вмешательства (R0-резекция) [49].</w:t>
      </w:r>
    </w:p>
    <w:p w14:paraId="245871F7">
      <w:pPr>
        <w:pStyle w:val="7"/>
        <w:spacing w:before="3"/>
        <w:ind w:left="0" w:right="3" w:firstLine="702"/>
      </w:pPr>
      <w:r>
        <w:t>Впервые успешная ГПДР была выполнена А.О. Уипплом в 1935 году при лечении опухоли БДС, что стало отправной точкой в развитии хирургии периампулярной зоны [50]. Однако вплоть до конца XX века данное вмешательство оставалось высокотравматичным и сопровождалось значительной послеоперационной летальностью, которая в ранних сериях достигала</w:t>
      </w:r>
      <w:r>
        <w:rPr>
          <w:spacing w:val="-11"/>
        </w:rPr>
        <w:t xml:space="preserve"> </w:t>
      </w:r>
      <w:r>
        <w:t>20–30%,</w:t>
      </w:r>
      <w:r>
        <w:rPr>
          <w:spacing w:val="-10"/>
        </w:rPr>
        <w:t xml:space="preserve"> </w:t>
      </w:r>
      <w:r>
        <w:t>что</w:t>
      </w:r>
      <w:r>
        <w:rPr>
          <w:spacing w:val="-12"/>
        </w:rPr>
        <w:t xml:space="preserve"> </w:t>
      </w:r>
      <w:r>
        <w:t>существенно</w:t>
      </w:r>
      <w:r>
        <w:rPr>
          <w:spacing w:val="-13"/>
        </w:rPr>
        <w:t xml:space="preserve"> </w:t>
      </w:r>
      <w:r>
        <w:t>ограничивало</w:t>
      </w:r>
      <w:r>
        <w:rPr>
          <w:spacing w:val="-12"/>
        </w:rPr>
        <w:t xml:space="preserve"> </w:t>
      </w:r>
      <w:r>
        <w:t>широкое</w:t>
      </w:r>
      <w:r>
        <w:rPr>
          <w:spacing w:val="-12"/>
        </w:rPr>
        <w:t xml:space="preserve"> </w:t>
      </w:r>
      <w:r>
        <w:t>внедрение</w:t>
      </w:r>
      <w:r>
        <w:rPr>
          <w:spacing w:val="-12"/>
        </w:rPr>
        <w:t xml:space="preserve"> </w:t>
      </w:r>
      <w:r>
        <w:t>операции в клиническую практику [51].</w:t>
      </w:r>
    </w:p>
    <w:p w14:paraId="7018D12B">
      <w:pPr>
        <w:pStyle w:val="7"/>
        <w:ind w:left="0" w:right="3" w:firstLine="702"/>
      </w:pPr>
      <w:r>
        <w:t>Классическая операция Уиппла предусматривает резекцию антрального отдела желудка, ДПК, ГПЖ, ТОХ и регионарных лимфатических узлов с последующим восстановлением непрерывности ЖКТ путём формирования панкреатоеюноанастомоза (ПЕА), гепатикоеюноанастомоза (ГЕА) и гастроэнтероанастомоза (ГЭА) [52]. В большинстве стран Австрии, Германии, Нидерландов, Великобритании, США и Японии организованы либо национальные клинические регистры, либо специализированные аудиты, позволяющие оценить реальные объёмы операций и исходы.</w:t>
      </w:r>
    </w:p>
    <w:p w14:paraId="031D408E">
      <w:pPr>
        <w:pStyle w:val="7"/>
        <w:spacing w:before="1"/>
        <w:ind w:left="0" w:right="3" w:firstLine="702"/>
      </w:pPr>
      <w:r>
        <w:t>По данным современных национальных регистров и многоцентровых исследований, суммарная частота осложнений после ГПДР составляет 40–60%, при</w:t>
      </w:r>
      <w:r>
        <w:rPr>
          <w:spacing w:val="-2"/>
        </w:rPr>
        <w:t xml:space="preserve"> </w:t>
      </w:r>
      <w:r>
        <w:t>этом доля тяжёлых</w:t>
      </w:r>
      <w:r>
        <w:rPr>
          <w:spacing w:val="-6"/>
        </w:rPr>
        <w:t xml:space="preserve"> </w:t>
      </w:r>
      <w:r>
        <w:t>осложнений (Clavien–Dindo</w:t>
      </w:r>
      <w:r>
        <w:rPr>
          <w:spacing w:val="-2"/>
        </w:rPr>
        <w:t xml:space="preserve"> </w:t>
      </w:r>
      <w:r>
        <w:t>≥III)</w:t>
      </w:r>
      <w:r>
        <w:rPr>
          <w:spacing w:val="-3"/>
        </w:rPr>
        <w:t xml:space="preserve"> </w:t>
      </w:r>
      <w:r>
        <w:t>достигает 25–35%</w:t>
      </w:r>
      <w:r>
        <w:rPr>
          <w:spacing w:val="-2"/>
        </w:rPr>
        <w:t xml:space="preserve"> </w:t>
      </w:r>
      <w:r>
        <w:t>[53– 55].</w:t>
      </w:r>
      <w:r>
        <w:rPr>
          <w:spacing w:val="-10"/>
        </w:rPr>
        <w:t xml:space="preserve"> </w:t>
      </w:r>
      <w:r>
        <w:t>Наиболее</w:t>
      </w:r>
      <w:r>
        <w:rPr>
          <w:spacing w:val="-11"/>
        </w:rPr>
        <w:t xml:space="preserve"> </w:t>
      </w:r>
      <w:r>
        <w:t>клинически</w:t>
      </w:r>
      <w:r>
        <w:rPr>
          <w:spacing w:val="-11"/>
        </w:rPr>
        <w:t xml:space="preserve"> </w:t>
      </w:r>
      <w:r>
        <w:t>значимыми</w:t>
      </w:r>
      <w:r>
        <w:rPr>
          <w:spacing w:val="-11"/>
        </w:rPr>
        <w:t xml:space="preserve"> </w:t>
      </w:r>
      <w:r>
        <w:t>специфическими</w:t>
      </w:r>
      <w:r>
        <w:rPr>
          <w:spacing w:val="-11"/>
        </w:rPr>
        <w:t xml:space="preserve"> </w:t>
      </w:r>
      <w:r>
        <w:t>осложнениями</w:t>
      </w:r>
      <w:r>
        <w:rPr>
          <w:spacing w:val="-11"/>
        </w:rPr>
        <w:t xml:space="preserve"> </w:t>
      </w:r>
      <w:r>
        <w:t>остаются ПС, гастростаз, аррозивные кровотечения, билиарные свищи и внутрибрюшные инфекционные осложнения [56-58].</w:t>
      </w:r>
    </w:p>
    <w:p w14:paraId="14424AA6">
      <w:pPr>
        <w:pStyle w:val="7"/>
        <w:spacing w:before="2"/>
        <w:ind w:left="0" w:right="3" w:firstLine="702"/>
      </w:pPr>
      <w:r>
        <w:t>Несмотря на сохраняющуюся высокую частоту послеоперационных осложнений, показатели летальности после ГПДР в специализированных центрах за последние годы существенно снизились. По данным национального аудита Нидерландов внутрибольничная летальность после ГПДР составляет в среднем 3,5–4,5%, при этом частота тяжёлых осложнений (Clavien–Dindo ≥III) достигает 28–32%, а медиана длительности госпитализации варьирует в пределах 11–14 суток [59].</w:t>
      </w:r>
    </w:p>
    <w:p w14:paraId="4E368B96">
      <w:pPr>
        <w:pStyle w:val="7"/>
        <w:ind w:left="0" w:right="3" w:firstLine="702"/>
      </w:pPr>
      <w:r>
        <w:t>Аналогичные тенденции представлены в скандинавских регистрах: согласно данным шведского национального регистра, 30-дневная летальность после ГПДР составляет 2,0–3,8%, а 90-дневная летальность — 3,5–5,5%, при этом общая частота осложнений превышает 45% [60]. В европейских многоцентровых сериях показатели госпитальной летальности колеблются в диапазоне 2–6%, при выраженной межцентровой вариабельности и различиях в структуре тяжёлых осложнений [61].</w:t>
      </w:r>
    </w:p>
    <w:p w14:paraId="1D95DCB3">
      <w:pPr>
        <w:pStyle w:val="7"/>
        <w:spacing w:before="2"/>
        <w:ind w:left="0" w:right="3" w:firstLine="702"/>
      </w:pPr>
      <w:r>
        <w:t>В</w:t>
      </w:r>
      <w:r>
        <w:rPr>
          <w:spacing w:val="-3"/>
        </w:rPr>
        <w:t xml:space="preserve"> </w:t>
      </w:r>
      <w:r>
        <w:t>Азии крупнейшим источником популяционных</w:t>
      </w:r>
      <w:r>
        <w:rPr>
          <w:spacing w:val="-5"/>
        </w:rPr>
        <w:t xml:space="preserve"> </w:t>
      </w:r>
      <w:r>
        <w:t>данных</w:t>
      </w:r>
      <w:r>
        <w:rPr>
          <w:spacing w:val="-5"/>
        </w:rPr>
        <w:t xml:space="preserve"> </w:t>
      </w:r>
      <w:r>
        <w:t>является National Clinical</w:t>
      </w:r>
      <w:r>
        <w:rPr>
          <w:spacing w:val="-6"/>
        </w:rPr>
        <w:t xml:space="preserve"> </w:t>
      </w:r>
      <w:r>
        <w:t>Database</w:t>
      </w:r>
      <w:r>
        <w:rPr>
          <w:spacing w:val="1"/>
        </w:rPr>
        <w:t xml:space="preserve"> </w:t>
      </w:r>
      <w:r>
        <w:t>(NCD)</w:t>
      </w:r>
      <w:r>
        <w:rPr>
          <w:spacing w:val="-2"/>
        </w:rPr>
        <w:t xml:space="preserve"> </w:t>
      </w:r>
      <w:r>
        <w:t>Японии.</w:t>
      </w:r>
      <w:r>
        <w:rPr>
          <w:spacing w:val="1"/>
        </w:rPr>
        <w:t xml:space="preserve"> </w:t>
      </w:r>
      <w:r>
        <w:t>Согласно национальным отчётам</w:t>
      </w:r>
      <w:r>
        <w:rPr>
          <w:spacing w:val="1"/>
        </w:rPr>
        <w:t xml:space="preserve"> </w:t>
      </w:r>
      <w:r>
        <w:t>за</w:t>
      </w:r>
      <w:r>
        <w:rPr>
          <w:spacing w:val="1"/>
        </w:rPr>
        <w:t xml:space="preserve"> </w:t>
      </w:r>
      <w:r>
        <w:rPr>
          <w:spacing w:val="-2"/>
        </w:rPr>
        <w:t>2019–2021</w:t>
      </w:r>
      <w:r>
        <w:t xml:space="preserve"> гг., операционная летальность после ГПДР снижена до 1,8–2,0%, при этом частота серьёзных осложнений остаётся на уровне 20–30%, что связывают с централизацией хирургической помощи, стандартизацией техники и развитием систем контроля качества [62,63]. В аналогичных</w:t>
      </w:r>
      <w:r>
        <w:rPr>
          <w:spacing w:val="-2"/>
        </w:rPr>
        <w:t xml:space="preserve"> </w:t>
      </w:r>
      <w:r>
        <w:t>исследованиях</w:t>
      </w:r>
      <w:r>
        <w:rPr>
          <w:spacing w:val="-2"/>
        </w:rPr>
        <w:t xml:space="preserve"> </w:t>
      </w:r>
      <w:r>
        <w:t>из Республики Корея и Китая сообщается о госпитальной летальности 2,0–4,5%, при общей частоте осложнений 40–55% и более благоприятных результатах в специализированных центрах [64,65].</w:t>
      </w:r>
    </w:p>
    <w:p w14:paraId="19408563">
      <w:pPr>
        <w:pStyle w:val="7"/>
        <w:spacing w:before="3"/>
        <w:ind w:left="0" w:right="3" w:firstLine="702"/>
      </w:pPr>
      <w:r>
        <w:t>В США анализ национальных баз данных демонстрирует устойчивую зависимость исходов от объёма хирургической активности. В высокообъёмных центрах</w:t>
      </w:r>
      <w:r>
        <w:rPr>
          <w:spacing w:val="-2"/>
        </w:rPr>
        <w:t xml:space="preserve"> </w:t>
      </w:r>
      <w:r>
        <w:t>летальность после ГПДР составляет 1,8–3,0%, тогда как в учреждениях с низким годовым объёмом операций этот показатель достигает 5–10% и более [66,67]. При этом ключевое значение имеет показатель failure-to-rescue (FTR), отражающий смертность после развития тяжёлых осложнений: по данным многоцентровых</w:t>
      </w:r>
      <w:r>
        <w:rPr>
          <w:spacing w:val="-4"/>
        </w:rPr>
        <w:t xml:space="preserve"> </w:t>
      </w:r>
      <w:r>
        <w:t>исследований, уровень FTR после ГПДР варьирует</w:t>
      </w:r>
      <w:r>
        <w:rPr>
          <w:spacing w:val="-1"/>
        </w:rPr>
        <w:t xml:space="preserve"> </w:t>
      </w:r>
      <w:r>
        <w:t>от</w:t>
      </w:r>
      <w:r>
        <w:rPr>
          <w:spacing w:val="-1"/>
        </w:rPr>
        <w:t xml:space="preserve"> </w:t>
      </w:r>
      <w:r>
        <w:t>8–12% в высокоэффективных центрах до 18–25% в учреждениях с ограниченным организационным и реанимационным ресурсом [68].</w:t>
      </w:r>
    </w:p>
    <w:p w14:paraId="5B49EFF2">
      <w:pPr>
        <w:pStyle w:val="7"/>
        <w:ind w:left="0" w:right="3" w:firstLine="702"/>
      </w:pPr>
      <w:r>
        <w:t>Современное периоперационное ведение пациентов после ГПДР основано на принципах ERAS-протоколов. Рекомендации ERAS включают предоперационную нутритивную оптимизацию, ограничение рутинного предоперационного голодания, целенаправленную инфузионную терапию, мультимодальную аналгезию с уменьшением опиоидной нагрузки, раннюю мобилизацию пациентов и раннее энтеральное питание, что ассоциировано со снижением частоты инфекционных осложнений на 20–35%, уменьшением общей частоты осложнений на 15–25% и сокращением длительности госпитализации</w:t>
      </w:r>
      <w:r>
        <w:rPr>
          <w:spacing w:val="-3"/>
        </w:rPr>
        <w:t xml:space="preserve"> </w:t>
      </w:r>
      <w:r>
        <w:t>в</w:t>
      </w:r>
      <w:r>
        <w:rPr>
          <w:spacing w:val="-4"/>
        </w:rPr>
        <w:t xml:space="preserve"> </w:t>
      </w:r>
      <w:r>
        <w:t>среднем</w:t>
      </w:r>
      <w:r>
        <w:rPr>
          <w:spacing w:val="-1"/>
        </w:rPr>
        <w:t xml:space="preserve"> </w:t>
      </w:r>
      <w:r>
        <w:t>на</w:t>
      </w:r>
      <w:r>
        <w:rPr>
          <w:spacing w:val="-2"/>
        </w:rPr>
        <w:t xml:space="preserve"> </w:t>
      </w:r>
      <w:r>
        <w:t>2–4</w:t>
      </w:r>
      <w:r>
        <w:rPr>
          <w:spacing w:val="-3"/>
        </w:rPr>
        <w:t xml:space="preserve"> </w:t>
      </w:r>
      <w:r>
        <w:t>суток по</w:t>
      </w:r>
      <w:r>
        <w:rPr>
          <w:spacing w:val="-3"/>
        </w:rPr>
        <w:t xml:space="preserve"> </w:t>
      </w:r>
      <w:r>
        <w:t>сравнению</w:t>
      </w:r>
      <w:r>
        <w:rPr>
          <w:spacing w:val="-4"/>
        </w:rPr>
        <w:t xml:space="preserve"> </w:t>
      </w:r>
      <w:r>
        <w:t>со</w:t>
      </w:r>
      <w:r>
        <w:rPr>
          <w:spacing w:val="-3"/>
        </w:rPr>
        <w:t xml:space="preserve"> </w:t>
      </w:r>
      <w:r>
        <w:t>стандартным ведением пациентов [69,70]. Российские клинические исследования также подтверждают безопасность внедрения ERAS при ГПДР и демонстрируют сокращение сроков стационарного лечения на 20–30% без увеличения послеоперационной летальности [71].</w:t>
      </w:r>
    </w:p>
    <w:p w14:paraId="3E86ED9B">
      <w:pPr>
        <w:pStyle w:val="7"/>
        <w:spacing w:before="3"/>
        <w:ind w:left="0" w:right="3" w:firstLine="702"/>
      </w:pPr>
      <w:r>
        <w:t>В последние годы активно развивается минимально инвазивная ГПДР (лапароскопическая и робот-ассистированная). Современные метаанализы показывают сопоставимые показатели послеоперационной летальности (1,5– 3,5%) и онкологической радикальности (R0-резекции 75–90%) по сравнению с открытой операцией при наличии преимуществ в виде снижения интраоперационной</w:t>
      </w:r>
      <w:r>
        <w:rPr>
          <w:spacing w:val="-9"/>
        </w:rPr>
        <w:t xml:space="preserve"> </w:t>
      </w:r>
      <w:r>
        <w:t>кровопотери</w:t>
      </w:r>
      <w:r>
        <w:rPr>
          <w:spacing w:val="-9"/>
        </w:rPr>
        <w:t xml:space="preserve"> </w:t>
      </w:r>
      <w:r>
        <w:t>в</w:t>
      </w:r>
      <w:r>
        <w:rPr>
          <w:spacing w:val="-11"/>
        </w:rPr>
        <w:t xml:space="preserve"> </w:t>
      </w:r>
      <w:r>
        <w:t>среднем</w:t>
      </w:r>
      <w:r>
        <w:rPr>
          <w:spacing w:val="-8"/>
        </w:rPr>
        <w:t xml:space="preserve"> </w:t>
      </w:r>
      <w:r>
        <w:t>на</w:t>
      </w:r>
      <w:r>
        <w:rPr>
          <w:spacing w:val="-9"/>
        </w:rPr>
        <w:t xml:space="preserve"> </w:t>
      </w:r>
      <w:r>
        <w:t>150–300</w:t>
      </w:r>
      <w:r>
        <w:rPr>
          <w:spacing w:val="-9"/>
        </w:rPr>
        <w:t xml:space="preserve"> </w:t>
      </w:r>
      <w:r>
        <w:t>мл,</w:t>
      </w:r>
      <w:r>
        <w:rPr>
          <w:spacing w:val="-7"/>
        </w:rPr>
        <w:t xml:space="preserve"> </w:t>
      </w:r>
      <w:r>
        <w:t>уменьшения</w:t>
      </w:r>
      <w:r>
        <w:rPr>
          <w:spacing w:val="-9"/>
        </w:rPr>
        <w:t xml:space="preserve"> </w:t>
      </w:r>
      <w:r>
        <w:t>частоты инфекционных</w:t>
      </w:r>
      <w:r>
        <w:rPr>
          <w:spacing w:val="-4"/>
        </w:rPr>
        <w:t xml:space="preserve"> </w:t>
      </w:r>
      <w:r>
        <w:t>осложнений на 10–20%</w:t>
      </w:r>
      <w:r>
        <w:rPr>
          <w:spacing w:val="-1"/>
        </w:rPr>
        <w:t xml:space="preserve"> </w:t>
      </w:r>
      <w:r>
        <w:t>и сокращения сроков</w:t>
      </w:r>
      <w:r>
        <w:rPr>
          <w:spacing w:val="-1"/>
        </w:rPr>
        <w:t xml:space="preserve"> </w:t>
      </w:r>
      <w:r>
        <w:t>госпитализации на 2–5 суток [72,73].</w:t>
      </w:r>
    </w:p>
    <w:p w14:paraId="59563337">
      <w:pPr>
        <w:pStyle w:val="7"/>
        <w:tabs>
          <w:tab w:val="left" w:pos="9072"/>
        </w:tabs>
        <w:ind w:left="0" w:right="3" w:firstLine="562"/>
      </w:pPr>
      <w:r>
        <w:t>Современные</w:t>
      </w:r>
      <w:r>
        <w:rPr>
          <w:spacing w:val="-10"/>
        </w:rPr>
        <w:t xml:space="preserve"> </w:t>
      </w:r>
      <w:r>
        <w:t>малоинвазивные</w:t>
      </w:r>
      <w:r>
        <w:rPr>
          <w:spacing w:val="-10"/>
        </w:rPr>
        <w:t xml:space="preserve"> </w:t>
      </w:r>
      <w:r>
        <w:t>технологии,</w:t>
      </w:r>
      <w:r>
        <w:rPr>
          <w:spacing w:val="-9"/>
        </w:rPr>
        <w:t xml:space="preserve"> </w:t>
      </w:r>
      <w:r>
        <w:t>в</w:t>
      </w:r>
      <w:r>
        <w:rPr>
          <w:spacing w:val="-12"/>
        </w:rPr>
        <w:t xml:space="preserve"> </w:t>
      </w:r>
      <w:r>
        <w:t>частности</w:t>
      </w:r>
      <w:r>
        <w:rPr>
          <w:spacing w:val="-10"/>
        </w:rPr>
        <w:t xml:space="preserve"> </w:t>
      </w:r>
      <w:r>
        <w:t xml:space="preserve">лапароскопический доступ, рассматриваются как дополнительный фактор снижения риска послеоперационных ПС за счёт уменьшения хирургической травмы и кровопотери, что подтверждено результатами отечественных клинических наблюдений [74]. Национальные клинические протоколы Министерства здравоохранения Республики Казахстан (2023) определяют ГПДР как стандарт радикального лечения резектабельных опухолей ПЖ и периампулярной зоны </w:t>
      </w:r>
      <w:r>
        <w:rPr>
          <w:spacing w:val="-2"/>
        </w:rPr>
        <w:t>[75].</w:t>
      </w:r>
    </w:p>
    <w:p w14:paraId="5AF7B200">
      <w:pPr>
        <w:pStyle w:val="7"/>
        <w:spacing w:before="67"/>
        <w:ind w:left="0" w:right="3" w:firstLine="709"/>
      </w:pPr>
      <w:r>
        <w:t>В отечественных клинических наблюдениях подчёркивается, что классическая операция Уиппла остаётся стандартным методом хирургического лечения операбельного рака ГПЖ [76].</w:t>
      </w:r>
    </w:p>
    <w:p w14:paraId="6B748EDA">
      <w:pPr>
        <w:pStyle w:val="7"/>
        <w:ind w:left="0" w:right="3" w:firstLine="709"/>
      </w:pPr>
      <w:r>
        <w:t>Наряду с этим показано, что ГПДР может быть технически и клинически реализована даже у пациентов с тяжёлой сопутствующей патологией, включая терминальную стадию хронической болезни почек, при условии комплексного периоперационного ведения и междисциплинарного подхода [77].</w:t>
      </w:r>
    </w:p>
    <w:p w14:paraId="71992DC4">
      <w:pPr>
        <w:pStyle w:val="7"/>
        <w:spacing w:before="3"/>
        <w:ind w:left="0" w:right="3" w:firstLine="709"/>
      </w:pPr>
      <w:r>
        <w:t>В</w:t>
      </w:r>
      <w:r>
        <w:rPr>
          <w:spacing w:val="-18"/>
        </w:rPr>
        <w:t xml:space="preserve"> </w:t>
      </w:r>
      <w:r>
        <w:t>исследовании</w:t>
      </w:r>
      <w:r>
        <w:rPr>
          <w:spacing w:val="-13"/>
        </w:rPr>
        <w:t xml:space="preserve"> </w:t>
      </w:r>
      <w:r>
        <w:t>В.И.</w:t>
      </w:r>
      <w:r>
        <w:rPr>
          <w:spacing w:val="-13"/>
        </w:rPr>
        <w:t xml:space="preserve"> </w:t>
      </w:r>
      <w:r>
        <w:t>Егорова</w:t>
      </w:r>
      <w:r>
        <w:rPr>
          <w:spacing w:val="-14"/>
        </w:rPr>
        <w:t xml:space="preserve"> </w:t>
      </w:r>
      <w:r>
        <w:t>у</w:t>
      </w:r>
      <w:r>
        <w:rPr>
          <w:spacing w:val="-18"/>
        </w:rPr>
        <w:t xml:space="preserve"> </w:t>
      </w:r>
      <w:r>
        <w:t>пациентов</w:t>
      </w:r>
      <w:r>
        <w:rPr>
          <w:spacing w:val="-17"/>
        </w:rPr>
        <w:t xml:space="preserve"> </w:t>
      </w:r>
      <w:r>
        <w:t>старческого</w:t>
      </w:r>
      <w:r>
        <w:rPr>
          <w:spacing w:val="-15"/>
        </w:rPr>
        <w:t xml:space="preserve"> </w:t>
      </w:r>
      <w:r>
        <w:t>возраста</w:t>
      </w:r>
      <w:r>
        <w:rPr>
          <w:spacing w:val="-14"/>
        </w:rPr>
        <w:t xml:space="preserve"> </w:t>
      </w:r>
      <w:r>
        <w:t>осложнения после</w:t>
      </w:r>
      <w:r>
        <w:rPr>
          <w:spacing w:val="-14"/>
        </w:rPr>
        <w:t xml:space="preserve"> </w:t>
      </w:r>
      <w:r>
        <w:t>ГПДР</w:t>
      </w:r>
      <w:r>
        <w:rPr>
          <w:spacing w:val="-15"/>
        </w:rPr>
        <w:t xml:space="preserve"> </w:t>
      </w:r>
      <w:r>
        <w:t>отмечены</w:t>
      </w:r>
      <w:r>
        <w:rPr>
          <w:spacing w:val="-14"/>
        </w:rPr>
        <w:t xml:space="preserve"> </w:t>
      </w:r>
      <w:r>
        <w:t>более</w:t>
      </w:r>
      <w:r>
        <w:rPr>
          <w:spacing w:val="-13"/>
        </w:rPr>
        <w:t xml:space="preserve"> </w:t>
      </w:r>
      <w:r>
        <w:t>чем</w:t>
      </w:r>
      <w:r>
        <w:rPr>
          <w:spacing w:val="-13"/>
        </w:rPr>
        <w:t xml:space="preserve"> </w:t>
      </w:r>
      <w:r>
        <w:t>у</w:t>
      </w:r>
      <w:r>
        <w:rPr>
          <w:spacing w:val="-18"/>
        </w:rPr>
        <w:t xml:space="preserve"> </w:t>
      </w:r>
      <w:r>
        <w:t>60%</w:t>
      </w:r>
      <w:r>
        <w:rPr>
          <w:spacing w:val="-15"/>
        </w:rPr>
        <w:t xml:space="preserve"> </w:t>
      </w:r>
      <w:r>
        <w:t>больных,</w:t>
      </w:r>
      <w:r>
        <w:rPr>
          <w:spacing w:val="-12"/>
        </w:rPr>
        <w:t xml:space="preserve"> </w:t>
      </w:r>
      <w:r>
        <w:t>частота</w:t>
      </w:r>
      <w:r>
        <w:rPr>
          <w:spacing w:val="-13"/>
        </w:rPr>
        <w:t xml:space="preserve"> </w:t>
      </w:r>
      <w:r>
        <w:t>КЗ-ПС</w:t>
      </w:r>
      <w:r>
        <w:rPr>
          <w:spacing w:val="-13"/>
        </w:rPr>
        <w:t xml:space="preserve"> </w:t>
      </w:r>
      <w:r>
        <w:t>превысила</w:t>
      </w:r>
      <w:r>
        <w:rPr>
          <w:spacing w:val="-13"/>
        </w:rPr>
        <w:t xml:space="preserve"> </w:t>
      </w:r>
      <w:r>
        <w:t>20%, а послеоперационная летальность составила около 12%, при этом её независимыми предикторами выступили релапаротомия, большая кровопотеря, несостоятельность панкреатодигестивного и билиодигестивного анастомозов и аррозивные кровотечения [78].</w:t>
      </w:r>
    </w:p>
    <w:p w14:paraId="1C7D99B0">
      <w:pPr>
        <w:pStyle w:val="7"/>
        <w:ind w:left="0" w:right="3" w:firstLine="709"/>
      </w:pPr>
      <w:r>
        <w:t>Таким образом, современные данные свидетельствуют, что оптимизация результатов ГПДР достигается прежде всего за счёт централизации хирургической помощи и внедрения стандартизированных протоколов периоперационного ведения [79].</w:t>
      </w:r>
    </w:p>
    <w:p w14:paraId="197DB48E">
      <w:pPr>
        <w:pStyle w:val="7"/>
        <w:spacing w:before="7"/>
        <w:ind w:left="0" w:firstLine="0"/>
        <w:jc w:val="left"/>
      </w:pPr>
    </w:p>
    <w:p w14:paraId="0684673C">
      <w:pPr>
        <w:pStyle w:val="3"/>
        <w:numPr>
          <w:ilvl w:val="1"/>
          <w:numId w:val="8"/>
        </w:numPr>
        <w:tabs>
          <w:tab w:val="left" w:pos="1200"/>
        </w:tabs>
        <w:ind w:left="0" w:right="3" w:firstLine="706"/>
      </w:pPr>
      <w:r>
        <w:t>Панкреатические свищи после ГПДР: классификация, факторы риска развития, клиническая значимость</w:t>
      </w:r>
    </w:p>
    <w:p w14:paraId="20790C64">
      <w:pPr>
        <w:pStyle w:val="7"/>
        <w:ind w:left="0" w:right="3" w:firstLine="706"/>
      </w:pPr>
      <w:r>
        <w:t>ПС остаётся ведущей причиной осложнений после ГПДР. Согласно классификации ISGPS, КЗ-ПС (степени B и C) определяется как отделяемое по дренажу с активностью амилазы &gt;3× верхней границы нормы сыворотки, сопровождающееся клиническими последствиями; Степень A трактуется как биохимическая утечка. По данным современных обзоров и метаанализов, частота ПС после ГПДР составляет 10–30%, при этом объединённая оценка клинически значимых форм достигает около 26% [80,81].</w:t>
      </w:r>
    </w:p>
    <w:p w14:paraId="5EDD1684">
      <w:pPr>
        <w:pStyle w:val="7"/>
        <w:spacing w:line="320" w:lineRule="exact"/>
        <w:ind w:left="0" w:right="3" w:firstLine="706"/>
      </w:pPr>
      <w:r>
        <w:t>По</w:t>
      </w:r>
      <w:r>
        <w:rPr>
          <w:spacing w:val="-7"/>
        </w:rPr>
        <w:t xml:space="preserve"> </w:t>
      </w:r>
      <w:r>
        <w:t>классификации</w:t>
      </w:r>
      <w:r>
        <w:rPr>
          <w:spacing w:val="-6"/>
        </w:rPr>
        <w:t xml:space="preserve"> </w:t>
      </w:r>
      <w:r>
        <w:t>ISGPS</w:t>
      </w:r>
      <w:r>
        <w:rPr>
          <w:spacing w:val="-7"/>
        </w:rPr>
        <w:t xml:space="preserve"> </w:t>
      </w:r>
      <w:r>
        <w:t>2016</w:t>
      </w:r>
      <w:r>
        <w:rPr>
          <w:spacing w:val="-6"/>
        </w:rPr>
        <w:t xml:space="preserve"> </w:t>
      </w:r>
      <w:r>
        <w:t>выделяют</w:t>
      </w:r>
      <w:r>
        <w:rPr>
          <w:spacing w:val="-7"/>
        </w:rPr>
        <w:t xml:space="preserve"> </w:t>
      </w:r>
      <w:r>
        <w:t>3</w:t>
      </w:r>
      <w:r>
        <w:rPr>
          <w:spacing w:val="-6"/>
        </w:rPr>
        <w:t xml:space="preserve"> </w:t>
      </w:r>
      <w:r>
        <w:t>вида</w:t>
      </w:r>
      <w:r>
        <w:rPr>
          <w:spacing w:val="1"/>
        </w:rPr>
        <w:t xml:space="preserve"> </w:t>
      </w:r>
      <w:r>
        <w:rPr>
          <w:spacing w:val="-5"/>
        </w:rPr>
        <w:t>ПС:</w:t>
      </w:r>
    </w:p>
    <w:p w14:paraId="62B5BD03">
      <w:pPr>
        <w:pStyle w:val="10"/>
        <w:numPr>
          <w:ilvl w:val="0"/>
          <w:numId w:val="9"/>
        </w:numPr>
        <w:tabs>
          <w:tab w:val="left" w:pos="898"/>
        </w:tabs>
        <w:ind w:left="0" w:right="3" w:firstLine="706"/>
        <w:rPr>
          <w:sz w:val="28"/>
        </w:rPr>
      </w:pPr>
      <w:r>
        <w:rPr>
          <w:sz w:val="28"/>
        </w:rPr>
        <w:t>ПС степень А или биохимическая утечка — лабораторный феномен без клинической значимости (не требует изменения тактики лечения, не удлиняет госпитализацию и не ассоциируется с осложнениями напрямую). Частота биохимической</w:t>
      </w:r>
      <w:r>
        <w:rPr>
          <w:spacing w:val="-17"/>
          <w:sz w:val="28"/>
        </w:rPr>
        <w:t xml:space="preserve"> </w:t>
      </w:r>
      <w:r>
        <w:rPr>
          <w:sz w:val="28"/>
        </w:rPr>
        <w:t>утечки</w:t>
      </w:r>
      <w:r>
        <w:rPr>
          <w:spacing w:val="-18"/>
          <w:sz w:val="28"/>
        </w:rPr>
        <w:t xml:space="preserve"> </w:t>
      </w:r>
      <w:r>
        <w:rPr>
          <w:sz w:val="28"/>
        </w:rPr>
        <w:t>в</w:t>
      </w:r>
      <w:r>
        <w:rPr>
          <w:spacing w:val="-17"/>
          <w:sz w:val="28"/>
        </w:rPr>
        <w:t xml:space="preserve"> </w:t>
      </w:r>
      <w:r>
        <w:rPr>
          <w:sz w:val="28"/>
        </w:rPr>
        <w:t>клинической</w:t>
      </w:r>
      <w:r>
        <w:rPr>
          <w:spacing w:val="-18"/>
          <w:sz w:val="28"/>
        </w:rPr>
        <w:t xml:space="preserve"> </w:t>
      </w:r>
      <w:r>
        <w:rPr>
          <w:sz w:val="28"/>
        </w:rPr>
        <w:t>практике</w:t>
      </w:r>
      <w:r>
        <w:rPr>
          <w:spacing w:val="-11"/>
          <w:sz w:val="28"/>
        </w:rPr>
        <w:t xml:space="preserve"> </w:t>
      </w:r>
      <w:r>
        <w:rPr>
          <w:sz w:val="28"/>
        </w:rPr>
        <w:t>достигает</w:t>
      </w:r>
      <w:r>
        <w:rPr>
          <w:spacing w:val="-17"/>
          <w:sz w:val="28"/>
        </w:rPr>
        <w:t xml:space="preserve"> </w:t>
      </w:r>
      <w:r>
        <w:rPr>
          <w:sz w:val="28"/>
        </w:rPr>
        <w:t>20–35%,</w:t>
      </w:r>
      <w:r>
        <w:rPr>
          <w:spacing w:val="-17"/>
          <w:sz w:val="28"/>
        </w:rPr>
        <w:t xml:space="preserve"> </w:t>
      </w:r>
      <w:r>
        <w:rPr>
          <w:sz w:val="28"/>
        </w:rPr>
        <w:t>однако</w:t>
      </w:r>
      <w:r>
        <w:rPr>
          <w:spacing w:val="-18"/>
          <w:sz w:val="28"/>
        </w:rPr>
        <w:t xml:space="preserve"> </w:t>
      </w:r>
      <w:r>
        <w:rPr>
          <w:sz w:val="28"/>
        </w:rPr>
        <w:t>она</w:t>
      </w:r>
      <w:r>
        <w:rPr>
          <w:spacing w:val="-17"/>
          <w:sz w:val="28"/>
        </w:rPr>
        <w:t xml:space="preserve"> </w:t>
      </w:r>
      <w:r>
        <w:rPr>
          <w:sz w:val="28"/>
        </w:rPr>
        <w:t>не сопровождается увеличением летальности и тяжёлых осложнений [82,83].</w:t>
      </w:r>
    </w:p>
    <w:p w14:paraId="71210DFA">
      <w:pPr>
        <w:pStyle w:val="10"/>
        <w:numPr>
          <w:ilvl w:val="0"/>
          <w:numId w:val="9"/>
        </w:numPr>
        <w:tabs>
          <w:tab w:val="left" w:pos="912"/>
          <w:tab w:val="left" w:pos="3532"/>
          <w:tab w:val="left" w:pos="5648"/>
          <w:tab w:val="left" w:pos="8733"/>
        </w:tabs>
        <w:ind w:left="0" w:right="3" w:firstLine="706"/>
        <w:rPr>
          <w:sz w:val="28"/>
        </w:rPr>
      </w:pPr>
      <w:r>
        <w:rPr>
          <w:sz w:val="28"/>
        </w:rPr>
        <w:t xml:space="preserve">ПС степень B — свищ, приводящий к изменению послеоперационного ведения: необходимость длительного стояния/перестановки дренажей, </w:t>
      </w:r>
      <w:r>
        <w:rPr>
          <w:spacing w:val="-2"/>
          <w:sz w:val="28"/>
        </w:rPr>
        <w:t>антибактериальной</w:t>
      </w:r>
      <w:r>
        <w:rPr>
          <w:sz w:val="28"/>
        </w:rPr>
        <w:tab/>
      </w:r>
      <w:r>
        <w:rPr>
          <w:spacing w:val="-2"/>
          <w:sz w:val="28"/>
        </w:rPr>
        <w:t>терапии,</w:t>
      </w:r>
      <w:r>
        <w:rPr>
          <w:sz w:val="28"/>
        </w:rPr>
        <w:tab/>
      </w:r>
      <w:r>
        <w:rPr>
          <w:spacing w:val="-2"/>
          <w:sz w:val="28"/>
        </w:rPr>
        <w:t>парентерального</w:t>
      </w:r>
      <w:r>
        <w:rPr>
          <w:sz w:val="28"/>
        </w:rPr>
        <w:tab/>
      </w:r>
      <w:r>
        <w:rPr>
          <w:spacing w:val="-2"/>
          <w:sz w:val="28"/>
        </w:rPr>
        <w:t xml:space="preserve">питания, </w:t>
      </w:r>
      <w:r>
        <w:rPr>
          <w:sz w:val="28"/>
        </w:rPr>
        <w:t>эндоскопических/перкутанных вмешательств, а также возможное повышение уровня интенсивности терапии. Частота ПС степени В после ГПДР, по данным многоцентровых регистров, составляет 8–18% [84,85].</w:t>
      </w:r>
    </w:p>
    <w:p w14:paraId="1C22339F">
      <w:pPr>
        <w:pStyle w:val="10"/>
        <w:numPr>
          <w:ilvl w:val="0"/>
          <w:numId w:val="9"/>
        </w:numPr>
        <w:tabs>
          <w:tab w:val="left" w:pos="898"/>
        </w:tabs>
        <w:ind w:left="0" w:right="3" w:firstLine="702"/>
        <w:rPr>
          <w:sz w:val="28"/>
        </w:rPr>
      </w:pPr>
      <w:r>
        <w:rPr>
          <w:sz w:val="28"/>
        </w:rPr>
        <w:t>ПС степень C — наиболее тяжёлая форма, ассоциированная с органной недостаточностью, сепсисом, аррозивным кровотечением, необходимостью повторной операции и/или летальным исходом. Несмотря на относительно низкую частоту (2–7%), именно эта категория определяет основную долю послеоперационной летальности [86–88].</w:t>
      </w:r>
    </w:p>
    <w:p w14:paraId="672321B7">
      <w:pPr>
        <w:pStyle w:val="7"/>
        <w:ind w:left="0" w:firstLine="709"/>
      </w:pPr>
      <w:r>
        <w:t>Практически</w:t>
      </w:r>
      <w:r>
        <w:rPr>
          <w:spacing w:val="51"/>
        </w:rPr>
        <w:t xml:space="preserve"> </w:t>
      </w:r>
      <w:r>
        <w:t>важно,</w:t>
      </w:r>
      <w:r>
        <w:rPr>
          <w:spacing w:val="54"/>
        </w:rPr>
        <w:t xml:space="preserve"> </w:t>
      </w:r>
      <w:r>
        <w:t>что</w:t>
      </w:r>
      <w:r>
        <w:rPr>
          <w:spacing w:val="56"/>
        </w:rPr>
        <w:t xml:space="preserve"> </w:t>
      </w:r>
      <w:r>
        <w:t>в</w:t>
      </w:r>
      <w:r>
        <w:rPr>
          <w:spacing w:val="50"/>
        </w:rPr>
        <w:t xml:space="preserve"> </w:t>
      </w:r>
      <w:r>
        <w:t>клинике</w:t>
      </w:r>
      <w:r>
        <w:rPr>
          <w:spacing w:val="53"/>
        </w:rPr>
        <w:t xml:space="preserve"> </w:t>
      </w:r>
      <w:r>
        <w:t>наибольшее</w:t>
      </w:r>
      <w:r>
        <w:rPr>
          <w:spacing w:val="52"/>
        </w:rPr>
        <w:t xml:space="preserve"> </w:t>
      </w:r>
      <w:r>
        <w:t>значение</w:t>
      </w:r>
      <w:r>
        <w:rPr>
          <w:spacing w:val="53"/>
        </w:rPr>
        <w:t xml:space="preserve"> </w:t>
      </w:r>
      <w:r>
        <w:t>имеют</w:t>
      </w:r>
      <w:r>
        <w:rPr>
          <w:spacing w:val="50"/>
        </w:rPr>
        <w:t xml:space="preserve"> </w:t>
      </w:r>
      <w:r>
        <w:t>КЗ-</w:t>
      </w:r>
      <w:r>
        <w:rPr>
          <w:spacing w:val="-5"/>
        </w:rPr>
        <w:t>ПС</w:t>
      </w:r>
      <w:r>
        <w:t xml:space="preserve"> (степень B и C), поскольку именно они ассоциируются с увеличением длительности стационарного лечения, затрат на лечение, частоты повторных вмешательств и послеоперационной летальности. Например, при ПС степени C наблюдаются значительное увеличение госпитализации и высокая летальность, а</w:t>
      </w:r>
      <w:r>
        <w:rPr>
          <w:spacing w:val="-3"/>
        </w:rPr>
        <w:t xml:space="preserve"> </w:t>
      </w:r>
      <w:r>
        <w:t>пациенты</w:t>
      </w:r>
      <w:r>
        <w:rPr>
          <w:spacing w:val="-4"/>
        </w:rPr>
        <w:t xml:space="preserve"> </w:t>
      </w:r>
      <w:r>
        <w:t>с</w:t>
      </w:r>
      <w:r>
        <w:rPr>
          <w:spacing w:val="-3"/>
        </w:rPr>
        <w:t xml:space="preserve"> </w:t>
      </w:r>
      <w:r>
        <w:t>КЗ-ПС</w:t>
      </w:r>
      <w:r>
        <w:rPr>
          <w:spacing w:val="-3"/>
        </w:rPr>
        <w:t xml:space="preserve"> </w:t>
      </w:r>
      <w:r>
        <w:t>демонстрируют</w:t>
      </w:r>
      <w:r>
        <w:rPr>
          <w:spacing w:val="-5"/>
        </w:rPr>
        <w:t xml:space="preserve"> </w:t>
      </w:r>
      <w:r>
        <w:t>более</w:t>
      </w:r>
      <w:r>
        <w:rPr>
          <w:spacing w:val="-3"/>
        </w:rPr>
        <w:t xml:space="preserve"> </w:t>
      </w:r>
      <w:r>
        <w:t>частые</w:t>
      </w:r>
      <w:r>
        <w:rPr>
          <w:spacing w:val="-3"/>
        </w:rPr>
        <w:t xml:space="preserve"> </w:t>
      </w:r>
      <w:r>
        <w:t>осложнения</w:t>
      </w:r>
      <w:r>
        <w:rPr>
          <w:spacing w:val="-3"/>
        </w:rPr>
        <w:t xml:space="preserve"> </w:t>
      </w:r>
      <w:r>
        <w:t>и</w:t>
      </w:r>
      <w:r>
        <w:rPr>
          <w:spacing w:val="-4"/>
        </w:rPr>
        <w:t xml:space="preserve"> </w:t>
      </w:r>
      <w:r>
        <w:t>необходимость релапаротомии по сравнению с пациентами без свища [89–91].</w:t>
      </w:r>
    </w:p>
    <w:p w14:paraId="49D16A35">
      <w:pPr>
        <w:pStyle w:val="7"/>
        <w:spacing w:before="3"/>
        <w:ind w:left="0" w:firstLine="0"/>
        <w:jc w:val="left"/>
      </w:pPr>
    </w:p>
    <w:p w14:paraId="01E44F58">
      <w:pPr>
        <w:pStyle w:val="7"/>
        <w:ind w:left="0" w:firstLine="0"/>
      </w:pPr>
      <w:r>
        <w:t>Таблица</w:t>
      </w:r>
      <w:r>
        <w:rPr>
          <w:spacing w:val="-7"/>
        </w:rPr>
        <w:t xml:space="preserve"> </w:t>
      </w:r>
      <w:r>
        <w:t>1</w:t>
      </w:r>
      <w:r>
        <w:rPr>
          <w:spacing w:val="-6"/>
        </w:rPr>
        <w:t xml:space="preserve"> </w:t>
      </w:r>
      <w:r>
        <w:t>-</w:t>
      </w:r>
      <w:r>
        <w:rPr>
          <w:spacing w:val="-9"/>
        </w:rPr>
        <w:t xml:space="preserve"> </w:t>
      </w:r>
      <w:r>
        <w:rPr>
          <w:color w:val="221F1F"/>
        </w:rPr>
        <w:t>Классификация</w:t>
      </w:r>
      <w:r>
        <w:rPr>
          <w:color w:val="221F1F"/>
          <w:spacing w:val="-7"/>
        </w:rPr>
        <w:t xml:space="preserve"> </w:t>
      </w:r>
      <w:r>
        <w:rPr>
          <w:color w:val="221F1F"/>
        </w:rPr>
        <w:t>панкреатических</w:t>
      </w:r>
      <w:r>
        <w:rPr>
          <w:color w:val="221F1F"/>
          <w:spacing w:val="-11"/>
        </w:rPr>
        <w:t xml:space="preserve"> </w:t>
      </w:r>
      <w:r>
        <w:rPr>
          <w:color w:val="221F1F"/>
        </w:rPr>
        <w:t>свищей</w:t>
      </w:r>
      <w:r>
        <w:rPr>
          <w:color w:val="221F1F"/>
          <w:spacing w:val="-8"/>
        </w:rPr>
        <w:t xml:space="preserve"> </w:t>
      </w:r>
      <w:r>
        <w:rPr>
          <w:color w:val="221F1F"/>
        </w:rPr>
        <w:t>по</w:t>
      </w:r>
      <w:r>
        <w:rPr>
          <w:color w:val="221F1F"/>
          <w:spacing w:val="-2"/>
        </w:rPr>
        <w:t xml:space="preserve"> </w:t>
      </w:r>
      <w:r>
        <w:rPr>
          <w:color w:val="221F1F"/>
        </w:rPr>
        <w:t>ISGPS</w:t>
      </w:r>
      <w:r>
        <w:rPr>
          <w:color w:val="221F1F"/>
          <w:spacing w:val="-8"/>
        </w:rPr>
        <w:t xml:space="preserve"> </w:t>
      </w:r>
      <w:r>
        <w:rPr>
          <w:color w:val="221F1F"/>
          <w:spacing w:val="-2"/>
        </w:rPr>
        <w:t>(2016)</w:t>
      </w:r>
    </w:p>
    <w:p w14:paraId="2EC49F83">
      <w:pPr>
        <w:pStyle w:val="7"/>
        <w:spacing w:before="98" w:after="1"/>
        <w:ind w:left="0" w:firstLine="0"/>
        <w:jc w:val="left"/>
        <w:rPr>
          <w:sz w:val="20"/>
        </w:rPr>
      </w:pPr>
    </w:p>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721"/>
        <w:gridCol w:w="1517"/>
        <w:gridCol w:w="1700"/>
        <w:gridCol w:w="1701"/>
      </w:tblGrid>
      <w:tr w14:paraId="682CC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4721" w:type="dxa"/>
          </w:tcPr>
          <w:p w14:paraId="48283571">
            <w:pPr>
              <w:pStyle w:val="11"/>
              <w:spacing w:line="315" w:lineRule="exact"/>
              <w:ind w:left="8"/>
              <w:rPr>
                <w:sz w:val="28"/>
              </w:rPr>
            </w:pPr>
            <w:r>
              <w:rPr>
                <w:spacing w:val="-2"/>
                <w:sz w:val="28"/>
              </w:rPr>
              <w:t>Событие</w:t>
            </w:r>
          </w:p>
        </w:tc>
        <w:tc>
          <w:tcPr>
            <w:tcW w:w="1517" w:type="dxa"/>
          </w:tcPr>
          <w:p w14:paraId="4996FA28">
            <w:pPr>
              <w:pStyle w:val="11"/>
              <w:spacing w:line="315" w:lineRule="exact"/>
              <w:ind w:left="11" w:right="3"/>
              <w:rPr>
                <w:sz w:val="28"/>
              </w:rPr>
            </w:pPr>
            <w:r>
              <w:rPr>
                <w:sz w:val="28"/>
              </w:rPr>
              <w:t>Степень</w:t>
            </w:r>
            <w:r>
              <w:rPr>
                <w:spacing w:val="-8"/>
                <w:sz w:val="28"/>
              </w:rPr>
              <w:t xml:space="preserve"> </w:t>
            </w:r>
            <w:r>
              <w:rPr>
                <w:spacing w:val="-10"/>
                <w:sz w:val="28"/>
              </w:rPr>
              <w:t>А</w:t>
            </w:r>
          </w:p>
        </w:tc>
        <w:tc>
          <w:tcPr>
            <w:tcW w:w="1700" w:type="dxa"/>
          </w:tcPr>
          <w:p w14:paraId="40079CA9">
            <w:pPr>
              <w:pStyle w:val="11"/>
              <w:spacing w:line="315" w:lineRule="exact"/>
              <w:ind w:left="12" w:right="10"/>
              <w:rPr>
                <w:sz w:val="28"/>
              </w:rPr>
            </w:pPr>
            <w:r>
              <w:rPr>
                <w:sz w:val="28"/>
              </w:rPr>
              <w:t>Степень</w:t>
            </w:r>
            <w:r>
              <w:rPr>
                <w:spacing w:val="-8"/>
                <w:sz w:val="28"/>
              </w:rPr>
              <w:t xml:space="preserve"> </w:t>
            </w:r>
            <w:r>
              <w:rPr>
                <w:spacing w:val="-10"/>
                <w:sz w:val="28"/>
              </w:rPr>
              <w:t>В</w:t>
            </w:r>
          </w:p>
        </w:tc>
        <w:tc>
          <w:tcPr>
            <w:tcW w:w="1701" w:type="dxa"/>
          </w:tcPr>
          <w:p w14:paraId="7F11C7D9">
            <w:pPr>
              <w:pStyle w:val="11"/>
              <w:spacing w:line="315" w:lineRule="exact"/>
              <w:ind w:left="33" w:right="26"/>
              <w:rPr>
                <w:sz w:val="28"/>
              </w:rPr>
            </w:pPr>
            <w:r>
              <w:rPr>
                <w:sz w:val="28"/>
              </w:rPr>
              <w:t>Степень</w:t>
            </w:r>
            <w:r>
              <w:rPr>
                <w:spacing w:val="-13"/>
                <w:sz w:val="28"/>
              </w:rPr>
              <w:t xml:space="preserve"> </w:t>
            </w:r>
            <w:r>
              <w:rPr>
                <w:spacing w:val="-10"/>
                <w:sz w:val="28"/>
              </w:rPr>
              <w:t>С</w:t>
            </w:r>
          </w:p>
        </w:tc>
      </w:tr>
      <w:tr w14:paraId="0D085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721" w:type="dxa"/>
          </w:tcPr>
          <w:p w14:paraId="182D7281">
            <w:pPr>
              <w:pStyle w:val="11"/>
              <w:spacing w:line="240" w:lineRule="auto"/>
              <w:ind w:left="110"/>
              <w:jc w:val="left"/>
              <w:rPr>
                <w:sz w:val="28"/>
              </w:rPr>
            </w:pPr>
            <w:r>
              <w:rPr>
                <w:sz w:val="28"/>
              </w:rPr>
              <w:t>Уровень амилазной активности дренажа</w:t>
            </w:r>
            <w:r>
              <w:rPr>
                <w:spacing w:val="-7"/>
                <w:sz w:val="28"/>
              </w:rPr>
              <w:t xml:space="preserve"> </w:t>
            </w:r>
            <w:r>
              <w:rPr>
                <w:sz w:val="28"/>
              </w:rPr>
              <w:t>&gt;</w:t>
            </w:r>
            <w:r>
              <w:rPr>
                <w:spacing w:val="-7"/>
                <w:sz w:val="28"/>
              </w:rPr>
              <w:t xml:space="preserve"> </w:t>
            </w:r>
            <w:r>
              <w:rPr>
                <w:sz w:val="28"/>
              </w:rPr>
              <w:t>3</w:t>
            </w:r>
            <w:r>
              <w:rPr>
                <w:spacing w:val="-8"/>
                <w:sz w:val="28"/>
              </w:rPr>
              <w:t xml:space="preserve"> </w:t>
            </w:r>
            <w:r>
              <w:rPr>
                <w:sz w:val="28"/>
              </w:rPr>
              <w:t>раз</w:t>
            </w:r>
            <w:r>
              <w:rPr>
                <w:spacing w:val="-12"/>
                <w:sz w:val="28"/>
              </w:rPr>
              <w:t xml:space="preserve"> </w:t>
            </w:r>
            <w:r>
              <w:rPr>
                <w:sz w:val="28"/>
              </w:rPr>
              <w:t>уровня</w:t>
            </w:r>
            <w:r>
              <w:rPr>
                <w:spacing w:val="-7"/>
                <w:sz w:val="28"/>
              </w:rPr>
              <w:t xml:space="preserve"> </w:t>
            </w:r>
            <w:r>
              <w:rPr>
                <w:sz w:val="28"/>
              </w:rPr>
              <w:t>в</w:t>
            </w:r>
            <w:r>
              <w:rPr>
                <w:spacing w:val="-9"/>
                <w:sz w:val="28"/>
              </w:rPr>
              <w:t xml:space="preserve"> </w:t>
            </w:r>
            <w:r>
              <w:rPr>
                <w:sz w:val="28"/>
              </w:rPr>
              <w:t>сыворотке</w:t>
            </w:r>
          </w:p>
          <w:p w14:paraId="228E6A79">
            <w:pPr>
              <w:pStyle w:val="11"/>
              <w:ind w:left="110"/>
              <w:jc w:val="left"/>
              <w:rPr>
                <w:sz w:val="28"/>
              </w:rPr>
            </w:pPr>
            <w:r>
              <w:rPr>
                <w:spacing w:val="-2"/>
                <w:sz w:val="28"/>
              </w:rPr>
              <w:t>крови</w:t>
            </w:r>
          </w:p>
        </w:tc>
        <w:tc>
          <w:tcPr>
            <w:tcW w:w="1517" w:type="dxa"/>
          </w:tcPr>
          <w:p w14:paraId="4C9772DB">
            <w:pPr>
              <w:pStyle w:val="11"/>
              <w:spacing w:line="315" w:lineRule="exact"/>
              <w:ind w:left="11"/>
              <w:rPr>
                <w:sz w:val="28"/>
              </w:rPr>
            </w:pPr>
            <w:r>
              <w:rPr>
                <w:spacing w:val="-5"/>
                <w:sz w:val="28"/>
              </w:rPr>
              <w:t>да</w:t>
            </w:r>
          </w:p>
        </w:tc>
        <w:tc>
          <w:tcPr>
            <w:tcW w:w="1700" w:type="dxa"/>
          </w:tcPr>
          <w:p w14:paraId="691E1FA9">
            <w:pPr>
              <w:pStyle w:val="11"/>
              <w:spacing w:line="315" w:lineRule="exact"/>
              <w:ind w:left="12"/>
              <w:rPr>
                <w:sz w:val="28"/>
              </w:rPr>
            </w:pPr>
            <w:r>
              <w:rPr>
                <w:spacing w:val="-5"/>
                <w:sz w:val="28"/>
              </w:rPr>
              <w:t>да</w:t>
            </w:r>
          </w:p>
        </w:tc>
        <w:tc>
          <w:tcPr>
            <w:tcW w:w="1701" w:type="dxa"/>
          </w:tcPr>
          <w:p w14:paraId="43B18A02">
            <w:pPr>
              <w:pStyle w:val="11"/>
              <w:spacing w:line="315" w:lineRule="exact"/>
              <w:ind w:left="33" w:right="22"/>
              <w:rPr>
                <w:sz w:val="28"/>
              </w:rPr>
            </w:pPr>
            <w:r>
              <w:rPr>
                <w:spacing w:val="-5"/>
                <w:sz w:val="28"/>
              </w:rPr>
              <w:t>да</w:t>
            </w:r>
          </w:p>
        </w:tc>
      </w:tr>
      <w:tr w14:paraId="40370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4721" w:type="dxa"/>
          </w:tcPr>
          <w:p w14:paraId="13644260">
            <w:pPr>
              <w:pStyle w:val="11"/>
              <w:spacing w:line="315" w:lineRule="exact"/>
              <w:ind w:left="110"/>
              <w:jc w:val="left"/>
              <w:rPr>
                <w:sz w:val="28"/>
              </w:rPr>
            </w:pPr>
            <w:r>
              <w:rPr>
                <w:sz w:val="28"/>
              </w:rPr>
              <w:t>Пролонгация</w:t>
            </w:r>
            <w:r>
              <w:rPr>
                <w:spacing w:val="-9"/>
                <w:sz w:val="28"/>
              </w:rPr>
              <w:t xml:space="preserve"> </w:t>
            </w:r>
            <w:r>
              <w:rPr>
                <w:sz w:val="28"/>
              </w:rPr>
              <w:t>дренажной</w:t>
            </w:r>
            <w:r>
              <w:rPr>
                <w:spacing w:val="-10"/>
                <w:sz w:val="28"/>
              </w:rPr>
              <w:t xml:space="preserve"> </w:t>
            </w:r>
            <w:r>
              <w:rPr>
                <w:sz w:val="28"/>
              </w:rPr>
              <w:t>трубки</w:t>
            </w:r>
            <w:r>
              <w:rPr>
                <w:spacing w:val="-10"/>
                <w:sz w:val="28"/>
              </w:rPr>
              <w:t xml:space="preserve"> </w:t>
            </w:r>
            <w:r>
              <w:rPr>
                <w:sz w:val="28"/>
              </w:rPr>
              <w:t>&gt;</w:t>
            </w:r>
            <w:r>
              <w:rPr>
                <w:spacing w:val="-8"/>
                <w:sz w:val="28"/>
              </w:rPr>
              <w:t xml:space="preserve"> </w:t>
            </w:r>
            <w:r>
              <w:rPr>
                <w:spacing w:val="-10"/>
                <w:sz w:val="28"/>
              </w:rPr>
              <w:t>3</w:t>
            </w:r>
          </w:p>
          <w:p w14:paraId="08531287">
            <w:pPr>
              <w:pStyle w:val="11"/>
              <w:ind w:left="110"/>
              <w:jc w:val="left"/>
              <w:rPr>
                <w:sz w:val="28"/>
              </w:rPr>
            </w:pPr>
            <w:r>
              <w:rPr>
                <w:spacing w:val="-2"/>
                <w:sz w:val="28"/>
              </w:rPr>
              <w:t>недель</w:t>
            </w:r>
          </w:p>
        </w:tc>
        <w:tc>
          <w:tcPr>
            <w:tcW w:w="1517" w:type="dxa"/>
          </w:tcPr>
          <w:p w14:paraId="75FA7A9D">
            <w:pPr>
              <w:pStyle w:val="11"/>
              <w:spacing w:line="315" w:lineRule="exact"/>
              <w:ind w:left="11"/>
              <w:rPr>
                <w:sz w:val="28"/>
              </w:rPr>
            </w:pPr>
            <w:r>
              <w:rPr>
                <w:spacing w:val="-5"/>
                <w:sz w:val="28"/>
              </w:rPr>
              <w:t>нет</w:t>
            </w:r>
          </w:p>
        </w:tc>
        <w:tc>
          <w:tcPr>
            <w:tcW w:w="1700" w:type="dxa"/>
          </w:tcPr>
          <w:p w14:paraId="253ED45E">
            <w:pPr>
              <w:pStyle w:val="11"/>
              <w:spacing w:line="315" w:lineRule="exact"/>
              <w:ind w:left="12"/>
              <w:rPr>
                <w:sz w:val="28"/>
              </w:rPr>
            </w:pPr>
            <w:r>
              <w:rPr>
                <w:spacing w:val="-5"/>
                <w:sz w:val="28"/>
              </w:rPr>
              <w:t>да</w:t>
            </w:r>
          </w:p>
        </w:tc>
        <w:tc>
          <w:tcPr>
            <w:tcW w:w="1701" w:type="dxa"/>
          </w:tcPr>
          <w:p w14:paraId="7665F363">
            <w:pPr>
              <w:pStyle w:val="11"/>
              <w:spacing w:line="315" w:lineRule="exact"/>
              <w:ind w:left="33" w:right="22"/>
              <w:rPr>
                <w:sz w:val="28"/>
              </w:rPr>
            </w:pPr>
            <w:r>
              <w:rPr>
                <w:spacing w:val="-5"/>
                <w:sz w:val="28"/>
              </w:rPr>
              <w:t>да</w:t>
            </w:r>
          </w:p>
        </w:tc>
      </w:tr>
      <w:tr w14:paraId="42676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721" w:type="dxa"/>
          </w:tcPr>
          <w:p w14:paraId="1992988C">
            <w:pPr>
              <w:pStyle w:val="11"/>
              <w:spacing w:line="315" w:lineRule="exact"/>
              <w:ind w:left="110"/>
              <w:jc w:val="left"/>
              <w:rPr>
                <w:sz w:val="28"/>
              </w:rPr>
            </w:pPr>
            <w:r>
              <w:rPr>
                <w:sz w:val="28"/>
              </w:rPr>
              <w:t>Клинически</w:t>
            </w:r>
            <w:r>
              <w:rPr>
                <w:spacing w:val="-11"/>
                <w:sz w:val="28"/>
              </w:rPr>
              <w:t xml:space="preserve"> </w:t>
            </w:r>
            <w:r>
              <w:rPr>
                <w:sz w:val="28"/>
              </w:rPr>
              <w:t>значимое</w:t>
            </w:r>
            <w:r>
              <w:rPr>
                <w:spacing w:val="-6"/>
                <w:sz w:val="28"/>
              </w:rPr>
              <w:t xml:space="preserve"> </w:t>
            </w:r>
            <w:r>
              <w:rPr>
                <w:spacing w:val="-2"/>
                <w:sz w:val="28"/>
              </w:rPr>
              <w:t>изменение</w:t>
            </w:r>
          </w:p>
          <w:p w14:paraId="27F2E5AA">
            <w:pPr>
              <w:pStyle w:val="11"/>
              <w:ind w:left="110"/>
              <w:jc w:val="left"/>
              <w:rPr>
                <w:sz w:val="28"/>
              </w:rPr>
            </w:pPr>
            <w:r>
              <w:rPr>
                <w:sz w:val="28"/>
              </w:rPr>
              <w:t>тактики</w:t>
            </w:r>
            <w:r>
              <w:rPr>
                <w:spacing w:val="-10"/>
                <w:sz w:val="28"/>
              </w:rPr>
              <w:t xml:space="preserve"> </w:t>
            </w:r>
            <w:r>
              <w:rPr>
                <w:sz w:val="28"/>
              </w:rPr>
              <w:t>ведения</w:t>
            </w:r>
            <w:r>
              <w:rPr>
                <w:spacing w:val="-8"/>
                <w:sz w:val="28"/>
              </w:rPr>
              <w:t xml:space="preserve"> </w:t>
            </w:r>
            <w:r>
              <w:rPr>
                <w:spacing w:val="-2"/>
                <w:sz w:val="28"/>
              </w:rPr>
              <w:t>(лечения)</w:t>
            </w:r>
          </w:p>
        </w:tc>
        <w:tc>
          <w:tcPr>
            <w:tcW w:w="1517" w:type="dxa"/>
          </w:tcPr>
          <w:p w14:paraId="2C616414">
            <w:pPr>
              <w:pStyle w:val="11"/>
              <w:spacing w:line="315" w:lineRule="exact"/>
              <w:ind w:left="11"/>
              <w:rPr>
                <w:sz w:val="28"/>
              </w:rPr>
            </w:pPr>
            <w:r>
              <w:rPr>
                <w:spacing w:val="-5"/>
                <w:sz w:val="28"/>
              </w:rPr>
              <w:t>нет</w:t>
            </w:r>
          </w:p>
        </w:tc>
        <w:tc>
          <w:tcPr>
            <w:tcW w:w="1700" w:type="dxa"/>
          </w:tcPr>
          <w:p w14:paraId="2F492B62">
            <w:pPr>
              <w:pStyle w:val="11"/>
              <w:spacing w:line="315" w:lineRule="exact"/>
              <w:ind w:left="12"/>
              <w:rPr>
                <w:sz w:val="28"/>
              </w:rPr>
            </w:pPr>
            <w:r>
              <w:rPr>
                <w:spacing w:val="-5"/>
                <w:sz w:val="28"/>
              </w:rPr>
              <w:t>да</w:t>
            </w:r>
          </w:p>
        </w:tc>
        <w:tc>
          <w:tcPr>
            <w:tcW w:w="1701" w:type="dxa"/>
          </w:tcPr>
          <w:p w14:paraId="25121975">
            <w:pPr>
              <w:pStyle w:val="11"/>
              <w:spacing w:line="315" w:lineRule="exact"/>
              <w:ind w:left="33" w:right="22"/>
              <w:rPr>
                <w:sz w:val="28"/>
              </w:rPr>
            </w:pPr>
            <w:r>
              <w:rPr>
                <w:spacing w:val="-5"/>
                <w:sz w:val="28"/>
              </w:rPr>
              <w:t>да</w:t>
            </w:r>
          </w:p>
        </w:tc>
      </w:tr>
      <w:tr w14:paraId="71F3A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721" w:type="dxa"/>
          </w:tcPr>
          <w:p w14:paraId="133E0078">
            <w:pPr>
              <w:pStyle w:val="11"/>
              <w:spacing w:line="322" w:lineRule="exact"/>
              <w:ind w:left="110" w:right="504"/>
              <w:jc w:val="left"/>
              <w:rPr>
                <w:sz w:val="28"/>
              </w:rPr>
            </w:pPr>
            <w:r>
              <w:rPr>
                <w:sz w:val="28"/>
              </w:rPr>
              <w:t>Необходимость в чрескожных и эндоскопических</w:t>
            </w:r>
            <w:r>
              <w:rPr>
                <w:spacing w:val="-18"/>
                <w:sz w:val="28"/>
              </w:rPr>
              <w:t xml:space="preserve"> </w:t>
            </w:r>
            <w:r>
              <w:rPr>
                <w:sz w:val="28"/>
              </w:rPr>
              <w:t>дренированиях</w:t>
            </w:r>
          </w:p>
        </w:tc>
        <w:tc>
          <w:tcPr>
            <w:tcW w:w="1517" w:type="dxa"/>
          </w:tcPr>
          <w:p w14:paraId="4CA4A541">
            <w:pPr>
              <w:pStyle w:val="11"/>
              <w:spacing w:line="320" w:lineRule="exact"/>
              <w:ind w:left="11"/>
              <w:rPr>
                <w:sz w:val="28"/>
              </w:rPr>
            </w:pPr>
            <w:r>
              <w:rPr>
                <w:spacing w:val="-5"/>
                <w:sz w:val="28"/>
              </w:rPr>
              <w:t>нет</w:t>
            </w:r>
          </w:p>
        </w:tc>
        <w:tc>
          <w:tcPr>
            <w:tcW w:w="1700" w:type="dxa"/>
          </w:tcPr>
          <w:p w14:paraId="63648827">
            <w:pPr>
              <w:pStyle w:val="11"/>
              <w:spacing w:line="320" w:lineRule="exact"/>
              <w:ind w:left="12"/>
              <w:rPr>
                <w:sz w:val="28"/>
              </w:rPr>
            </w:pPr>
            <w:r>
              <w:rPr>
                <w:spacing w:val="-5"/>
                <w:sz w:val="28"/>
              </w:rPr>
              <w:t>да</w:t>
            </w:r>
          </w:p>
        </w:tc>
        <w:tc>
          <w:tcPr>
            <w:tcW w:w="1701" w:type="dxa"/>
          </w:tcPr>
          <w:p w14:paraId="22C81C55">
            <w:pPr>
              <w:pStyle w:val="11"/>
              <w:spacing w:line="320" w:lineRule="exact"/>
              <w:ind w:left="33" w:right="22"/>
              <w:rPr>
                <w:sz w:val="28"/>
              </w:rPr>
            </w:pPr>
            <w:r>
              <w:rPr>
                <w:spacing w:val="-5"/>
                <w:sz w:val="28"/>
              </w:rPr>
              <w:t>да</w:t>
            </w:r>
          </w:p>
        </w:tc>
      </w:tr>
      <w:tr w14:paraId="5E46DE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721" w:type="dxa"/>
          </w:tcPr>
          <w:p w14:paraId="2C29450E">
            <w:pPr>
              <w:pStyle w:val="11"/>
              <w:spacing w:line="315" w:lineRule="exact"/>
              <w:ind w:left="110"/>
              <w:jc w:val="left"/>
              <w:rPr>
                <w:sz w:val="28"/>
              </w:rPr>
            </w:pPr>
            <w:r>
              <w:rPr>
                <w:sz w:val="28"/>
              </w:rPr>
              <w:t>Ангиография</w:t>
            </w:r>
            <w:r>
              <w:rPr>
                <w:spacing w:val="-8"/>
                <w:sz w:val="28"/>
              </w:rPr>
              <w:t xml:space="preserve"> </w:t>
            </w:r>
            <w:r>
              <w:rPr>
                <w:sz w:val="28"/>
              </w:rPr>
              <w:t>с</w:t>
            </w:r>
            <w:r>
              <w:rPr>
                <w:spacing w:val="-8"/>
                <w:sz w:val="28"/>
              </w:rPr>
              <w:t xml:space="preserve"> </w:t>
            </w:r>
            <w:r>
              <w:rPr>
                <w:spacing w:val="-2"/>
                <w:sz w:val="28"/>
              </w:rPr>
              <w:t>эмболизацией</w:t>
            </w:r>
          </w:p>
          <w:p w14:paraId="464B03ED">
            <w:pPr>
              <w:pStyle w:val="11"/>
              <w:spacing w:line="322" w:lineRule="exact"/>
              <w:ind w:left="110"/>
              <w:jc w:val="left"/>
              <w:rPr>
                <w:sz w:val="28"/>
              </w:rPr>
            </w:pPr>
            <w:r>
              <w:rPr>
                <w:sz w:val="28"/>
              </w:rPr>
              <w:t>сосудов</w:t>
            </w:r>
            <w:r>
              <w:rPr>
                <w:spacing w:val="-11"/>
                <w:sz w:val="28"/>
              </w:rPr>
              <w:t xml:space="preserve"> </w:t>
            </w:r>
            <w:r>
              <w:rPr>
                <w:sz w:val="28"/>
              </w:rPr>
              <w:t>при</w:t>
            </w:r>
            <w:r>
              <w:rPr>
                <w:spacing w:val="-10"/>
                <w:sz w:val="28"/>
              </w:rPr>
              <w:t xml:space="preserve"> </w:t>
            </w:r>
            <w:r>
              <w:rPr>
                <w:sz w:val="28"/>
              </w:rPr>
              <w:t>кровотечениях</w:t>
            </w:r>
            <w:r>
              <w:rPr>
                <w:spacing w:val="-14"/>
                <w:sz w:val="28"/>
              </w:rPr>
              <w:t xml:space="preserve"> </w:t>
            </w:r>
            <w:r>
              <w:rPr>
                <w:sz w:val="28"/>
              </w:rPr>
              <w:t>на</w:t>
            </w:r>
            <w:r>
              <w:rPr>
                <w:spacing w:val="-9"/>
                <w:sz w:val="28"/>
              </w:rPr>
              <w:t xml:space="preserve"> </w:t>
            </w:r>
            <w:r>
              <w:rPr>
                <w:sz w:val="28"/>
              </w:rPr>
              <w:t xml:space="preserve">фоне </w:t>
            </w:r>
            <w:r>
              <w:rPr>
                <w:spacing w:val="-2"/>
                <w:sz w:val="28"/>
              </w:rPr>
              <w:t>свища</w:t>
            </w:r>
          </w:p>
        </w:tc>
        <w:tc>
          <w:tcPr>
            <w:tcW w:w="1517" w:type="dxa"/>
          </w:tcPr>
          <w:p w14:paraId="46E26CC5">
            <w:pPr>
              <w:pStyle w:val="11"/>
              <w:spacing w:line="315" w:lineRule="exact"/>
              <w:ind w:left="11"/>
              <w:rPr>
                <w:sz w:val="28"/>
              </w:rPr>
            </w:pPr>
            <w:r>
              <w:rPr>
                <w:spacing w:val="-5"/>
                <w:sz w:val="28"/>
              </w:rPr>
              <w:t>нет</w:t>
            </w:r>
          </w:p>
        </w:tc>
        <w:tc>
          <w:tcPr>
            <w:tcW w:w="1700" w:type="dxa"/>
          </w:tcPr>
          <w:p w14:paraId="77739AF4">
            <w:pPr>
              <w:pStyle w:val="11"/>
              <w:spacing w:line="315" w:lineRule="exact"/>
              <w:ind w:left="12"/>
              <w:rPr>
                <w:sz w:val="28"/>
              </w:rPr>
            </w:pPr>
            <w:r>
              <w:rPr>
                <w:spacing w:val="-5"/>
                <w:sz w:val="28"/>
              </w:rPr>
              <w:t>да</w:t>
            </w:r>
          </w:p>
        </w:tc>
        <w:tc>
          <w:tcPr>
            <w:tcW w:w="1701" w:type="dxa"/>
          </w:tcPr>
          <w:p w14:paraId="290C773B">
            <w:pPr>
              <w:pStyle w:val="11"/>
              <w:spacing w:line="315" w:lineRule="exact"/>
              <w:ind w:left="33" w:right="22"/>
              <w:rPr>
                <w:sz w:val="28"/>
              </w:rPr>
            </w:pPr>
            <w:r>
              <w:rPr>
                <w:spacing w:val="-5"/>
                <w:sz w:val="28"/>
              </w:rPr>
              <w:t>да</w:t>
            </w:r>
          </w:p>
        </w:tc>
      </w:tr>
      <w:tr w14:paraId="6D02F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721" w:type="dxa"/>
          </w:tcPr>
          <w:p w14:paraId="5FC6A36A">
            <w:pPr>
              <w:pStyle w:val="11"/>
              <w:spacing w:line="301" w:lineRule="exact"/>
              <w:ind w:left="110"/>
              <w:jc w:val="left"/>
              <w:rPr>
                <w:sz w:val="28"/>
              </w:rPr>
            </w:pPr>
            <w:r>
              <w:rPr>
                <w:sz w:val="28"/>
              </w:rPr>
              <w:t>Повторная</w:t>
            </w:r>
            <w:r>
              <w:rPr>
                <w:spacing w:val="-7"/>
                <w:sz w:val="28"/>
              </w:rPr>
              <w:t xml:space="preserve"> </w:t>
            </w:r>
            <w:r>
              <w:rPr>
                <w:sz w:val="28"/>
              </w:rPr>
              <w:t>операция</w:t>
            </w:r>
            <w:r>
              <w:rPr>
                <w:spacing w:val="-8"/>
                <w:sz w:val="28"/>
              </w:rPr>
              <w:t xml:space="preserve"> </w:t>
            </w:r>
            <w:r>
              <w:rPr>
                <w:sz w:val="28"/>
              </w:rPr>
              <w:t>из-за</w:t>
            </w:r>
            <w:r>
              <w:rPr>
                <w:spacing w:val="-7"/>
                <w:sz w:val="28"/>
              </w:rPr>
              <w:t xml:space="preserve"> </w:t>
            </w:r>
            <w:r>
              <w:rPr>
                <w:spacing w:val="-4"/>
                <w:sz w:val="28"/>
              </w:rPr>
              <w:t>свища</w:t>
            </w:r>
          </w:p>
        </w:tc>
        <w:tc>
          <w:tcPr>
            <w:tcW w:w="1517" w:type="dxa"/>
          </w:tcPr>
          <w:p w14:paraId="6277FA63">
            <w:pPr>
              <w:pStyle w:val="11"/>
              <w:spacing w:line="301" w:lineRule="exact"/>
              <w:ind w:left="11"/>
              <w:rPr>
                <w:sz w:val="28"/>
              </w:rPr>
            </w:pPr>
            <w:r>
              <w:rPr>
                <w:spacing w:val="-5"/>
                <w:sz w:val="28"/>
              </w:rPr>
              <w:t>нет</w:t>
            </w:r>
          </w:p>
        </w:tc>
        <w:tc>
          <w:tcPr>
            <w:tcW w:w="1700" w:type="dxa"/>
          </w:tcPr>
          <w:p w14:paraId="2FCDA2D9">
            <w:pPr>
              <w:pStyle w:val="11"/>
              <w:spacing w:line="301" w:lineRule="exact"/>
              <w:ind w:left="12" w:right="10"/>
              <w:rPr>
                <w:sz w:val="28"/>
              </w:rPr>
            </w:pPr>
            <w:r>
              <w:rPr>
                <w:spacing w:val="-5"/>
                <w:sz w:val="28"/>
              </w:rPr>
              <w:t>нет</w:t>
            </w:r>
          </w:p>
        </w:tc>
        <w:tc>
          <w:tcPr>
            <w:tcW w:w="1701" w:type="dxa"/>
          </w:tcPr>
          <w:p w14:paraId="7EED3479">
            <w:pPr>
              <w:pStyle w:val="11"/>
              <w:spacing w:line="301" w:lineRule="exact"/>
              <w:ind w:left="33" w:right="22"/>
              <w:rPr>
                <w:sz w:val="28"/>
              </w:rPr>
            </w:pPr>
            <w:r>
              <w:rPr>
                <w:spacing w:val="-5"/>
                <w:sz w:val="28"/>
              </w:rPr>
              <w:t>да</w:t>
            </w:r>
          </w:p>
        </w:tc>
      </w:tr>
      <w:tr w14:paraId="5B160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1" w:hRule="atLeast"/>
        </w:trPr>
        <w:tc>
          <w:tcPr>
            <w:tcW w:w="4721" w:type="dxa"/>
          </w:tcPr>
          <w:p w14:paraId="25D9DE32">
            <w:pPr>
              <w:pStyle w:val="11"/>
              <w:spacing w:before="314" w:line="240" w:lineRule="auto"/>
              <w:ind w:left="110"/>
              <w:jc w:val="left"/>
              <w:rPr>
                <w:sz w:val="28"/>
              </w:rPr>
            </w:pPr>
            <w:r>
              <w:rPr>
                <w:sz w:val="28"/>
              </w:rPr>
              <w:t>Инфекция</w:t>
            </w:r>
            <w:r>
              <w:rPr>
                <w:spacing w:val="-5"/>
                <w:sz w:val="28"/>
              </w:rPr>
              <w:t xml:space="preserve"> </w:t>
            </w:r>
            <w:r>
              <w:rPr>
                <w:sz w:val="28"/>
              </w:rPr>
              <w:t>на</w:t>
            </w:r>
            <w:r>
              <w:rPr>
                <w:spacing w:val="-5"/>
                <w:sz w:val="28"/>
              </w:rPr>
              <w:t xml:space="preserve"> </w:t>
            </w:r>
            <w:r>
              <w:rPr>
                <w:sz w:val="28"/>
              </w:rPr>
              <w:t>фоне</w:t>
            </w:r>
            <w:r>
              <w:rPr>
                <w:spacing w:val="-2"/>
                <w:sz w:val="28"/>
              </w:rPr>
              <w:t xml:space="preserve"> </w:t>
            </w:r>
            <w:r>
              <w:rPr>
                <w:spacing w:val="-4"/>
                <w:sz w:val="28"/>
              </w:rPr>
              <w:t>свища</w:t>
            </w:r>
          </w:p>
        </w:tc>
        <w:tc>
          <w:tcPr>
            <w:tcW w:w="1517" w:type="dxa"/>
          </w:tcPr>
          <w:p w14:paraId="322DEB6C">
            <w:pPr>
              <w:pStyle w:val="11"/>
              <w:spacing w:line="315" w:lineRule="exact"/>
              <w:ind w:left="11"/>
              <w:rPr>
                <w:sz w:val="28"/>
              </w:rPr>
            </w:pPr>
            <w:r>
              <w:rPr>
                <w:spacing w:val="-5"/>
                <w:sz w:val="28"/>
              </w:rPr>
              <w:t>нет</w:t>
            </w:r>
          </w:p>
        </w:tc>
        <w:tc>
          <w:tcPr>
            <w:tcW w:w="1700" w:type="dxa"/>
          </w:tcPr>
          <w:p w14:paraId="26AD5E1C">
            <w:pPr>
              <w:pStyle w:val="11"/>
              <w:spacing w:line="240" w:lineRule="auto"/>
              <w:ind w:left="177" w:right="171" w:firstLine="4"/>
              <w:rPr>
                <w:sz w:val="28"/>
              </w:rPr>
            </w:pPr>
            <w:r>
              <w:rPr>
                <w:sz w:val="28"/>
              </w:rPr>
              <w:t xml:space="preserve">да, без </w:t>
            </w:r>
            <w:r>
              <w:rPr>
                <w:spacing w:val="-2"/>
                <w:sz w:val="28"/>
              </w:rPr>
              <w:t>нарушений</w:t>
            </w:r>
          </w:p>
          <w:p w14:paraId="640023C6">
            <w:pPr>
              <w:pStyle w:val="11"/>
              <w:spacing w:line="322" w:lineRule="exact"/>
              <w:ind w:left="12" w:right="5"/>
              <w:rPr>
                <w:sz w:val="28"/>
              </w:rPr>
            </w:pPr>
            <w:r>
              <w:rPr>
                <w:spacing w:val="-2"/>
                <w:sz w:val="28"/>
              </w:rPr>
              <w:t>функции органа</w:t>
            </w:r>
          </w:p>
        </w:tc>
        <w:tc>
          <w:tcPr>
            <w:tcW w:w="1701" w:type="dxa"/>
          </w:tcPr>
          <w:p w14:paraId="74694755">
            <w:pPr>
              <w:pStyle w:val="11"/>
              <w:spacing w:line="240" w:lineRule="auto"/>
              <w:ind w:left="33" w:right="18"/>
              <w:rPr>
                <w:sz w:val="28"/>
              </w:rPr>
            </w:pPr>
            <w:r>
              <w:rPr>
                <w:sz w:val="28"/>
              </w:rPr>
              <w:t>да,</w:t>
            </w:r>
            <w:r>
              <w:rPr>
                <w:spacing w:val="-18"/>
                <w:sz w:val="28"/>
              </w:rPr>
              <w:t xml:space="preserve"> </w:t>
            </w:r>
            <w:r>
              <w:rPr>
                <w:sz w:val="28"/>
              </w:rPr>
              <w:t>с</w:t>
            </w:r>
            <w:r>
              <w:rPr>
                <w:spacing w:val="-17"/>
                <w:sz w:val="28"/>
              </w:rPr>
              <w:t xml:space="preserve"> </w:t>
            </w:r>
            <w:r>
              <w:rPr>
                <w:sz w:val="28"/>
              </w:rPr>
              <w:t xml:space="preserve">наруше- </w:t>
            </w:r>
            <w:r>
              <w:rPr>
                <w:spacing w:val="-4"/>
                <w:sz w:val="28"/>
              </w:rPr>
              <w:t>нием</w:t>
            </w:r>
          </w:p>
          <w:p w14:paraId="05E27102">
            <w:pPr>
              <w:pStyle w:val="11"/>
              <w:spacing w:line="322" w:lineRule="exact"/>
              <w:ind w:left="33" w:right="16"/>
              <w:rPr>
                <w:sz w:val="28"/>
              </w:rPr>
            </w:pPr>
            <w:r>
              <w:rPr>
                <w:spacing w:val="-2"/>
                <w:sz w:val="28"/>
              </w:rPr>
              <w:t>функции органа</w:t>
            </w:r>
          </w:p>
        </w:tc>
      </w:tr>
      <w:tr w14:paraId="5E21D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721" w:type="dxa"/>
          </w:tcPr>
          <w:p w14:paraId="771F5FE8">
            <w:pPr>
              <w:pStyle w:val="11"/>
              <w:spacing w:line="301" w:lineRule="exact"/>
              <w:ind w:left="110"/>
              <w:jc w:val="left"/>
              <w:rPr>
                <w:sz w:val="28"/>
              </w:rPr>
            </w:pPr>
            <w:r>
              <w:rPr>
                <w:sz w:val="28"/>
              </w:rPr>
              <w:t>Органная</w:t>
            </w:r>
            <w:r>
              <w:rPr>
                <w:spacing w:val="-10"/>
                <w:sz w:val="28"/>
              </w:rPr>
              <w:t xml:space="preserve"> </w:t>
            </w:r>
            <w:r>
              <w:rPr>
                <w:spacing w:val="-2"/>
                <w:sz w:val="28"/>
              </w:rPr>
              <w:t>недостаточность</w:t>
            </w:r>
          </w:p>
        </w:tc>
        <w:tc>
          <w:tcPr>
            <w:tcW w:w="1517" w:type="dxa"/>
          </w:tcPr>
          <w:p w14:paraId="09AF3774">
            <w:pPr>
              <w:pStyle w:val="11"/>
              <w:spacing w:line="301" w:lineRule="exact"/>
              <w:ind w:left="11"/>
              <w:rPr>
                <w:sz w:val="28"/>
              </w:rPr>
            </w:pPr>
            <w:r>
              <w:rPr>
                <w:spacing w:val="-5"/>
                <w:sz w:val="28"/>
              </w:rPr>
              <w:t>нет</w:t>
            </w:r>
          </w:p>
        </w:tc>
        <w:tc>
          <w:tcPr>
            <w:tcW w:w="1700" w:type="dxa"/>
          </w:tcPr>
          <w:p w14:paraId="21EF0D79">
            <w:pPr>
              <w:pStyle w:val="11"/>
              <w:spacing w:line="301" w:lineRule="exact"/>
              <w:ind w:left="12" w:right="10"/>
              <w:rPr>
                <w:sz w:val="28"/>
              </w:rPr>
            </w:pPr>
            <w:r>
              <w:rPr>
                <w:spacing w:val="-5"/>
                <w:sz w:val="28"/>
              </w:rPr>
              <w:t>нет</w:t>
            </w:r>
          </w:p>
        </w:tc>
        <w:tc>
          <w:tcPr>
            <w:tcW w:w="1701" w:type="dxa"/>
          </w:tcPr>
          <w:p w14:paraId="6AE49480">
            <w:pPr>
              <w:pStyle w:val="11"/>
              <w:spacing w:line="301" w:lineRule="exact"/>
              <w:ind w:left="33" w:right="22"/>
              <w:rPr>
                <w:sz w:val="28"/>
              </w:rPr>
            </w:pPr>
            <w:r>
              <w:rPr>
                <w:spacing w:val="-5"/>
                <w:sz w:val="28"/>
              </w:rPr>
              <w:t>да</w:t>
            </w:r>
          </w:p>
        </w:tc>
      </w:tr>
      <w:tr w14:paraId="3BBBC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721" w:type="dxa"/>
          </w:tcPr>
          <w:p w14:paraId="5488D63E">
            <w:pPr>
              <w:pStyle w:val="11"/>
              <w:spacing w:line="301" w:lineRule="exact"/>
              <w:ind w:left="110"/>
              <w:jc w:val="left"/>
              <w:rPr>
                <w:sz w:val="28"/>
              </w:rPr>
            </w:pPr>
            <w:r>
              <w:rPr>
                <w:sz w:val="28"/>
              </w:rPr>
              <w:t>Смерть</w:t>
            </w:r>
            <w:r>
              <w:rPr>
                <w:spacing w:val="-7"/>
                <w:sz w:val="28"/>
              </w:rPr>
              <w:t xml:space="preserve"> </w:t>
            </w:r>
            <w:r>
              <w:rPr>
                <w:sz w:val="28"/>
              </w:rPr>
              <w:t>на</w:t>
            </w:r>
            <w:r>
              <w:rPr>
                <w:spacing w:val="-3"/>
                <w:sz w:val="28"/>
              </w:rPr>
              <w:t xml:space="preserve"> </w:t>
            </w:r>
            <w:r>
              <w:rPr>
                <w:sz w:val="28"/>
              </w:rPr>
              <w:t>фоне</w:t>
            </w:r>
            <w:r>
              <w:rPr>
                <w:spacing w:val="-4"/>
                <w:sz w:val="28"/>
              </w:rPr>
              <w:t xml:space="preserve"> свища</w:t>
            </w:r>
          </w:p>
        </w:tc>
        <w:tc>
          <w:tcPr>
            <w:tcW w:w="1517" w:type="dxa"/>
          </w:tcPr>
          <w:p w14:paraId="208FFC11">
            <w:pPr>
              <w:pStyle w:val="11"/>
              <w:spacing w:line="301" w:lineRule="exact"/>
              <w:ind w:left="11"/>
              <w:rPr>
                <w:sz w:val="28"/>
              </w:rPr>
            </w:pPr>
            <w:r>
              <w:rPr>
                <w:spacing w:val="-5"/>
                <w:sz w:val="28"/>
              </w:rPr>
              <w:t>нет</w:t>
            </w:r>
          </w:p>
        </w:tc>
        <w:tc>
          <w:tcPr>
            <w:tcW w:w="1700" w:type="dxa"/>
          </w:tcPr>
          <w:p w14:paraId="4EC5CF19">
            <w:pPr>
              <w:pStyle w:val="11"/>
              <w:spacing w:line="301" w:lineRule="exact"/>
              <w:ind w:left="12" w:right="10"/>
              <w:rPr>
                <w:sz w:val="28"/>
              </w:rPr>
            </w:pPr>
            <w:r>
              <w:rPr>
                <w:spacing w:val="-5"/>
                <w:sz w:val="28"/>
              </w:rPr>
              <w:t>нет</w:t>
            </w:r>
          </w:p>
        </w:tc>
        <w:tc>
          <w:tcPr>
            <w:tcW w:w="1701" w:type="dxa"/>
          </w:tcPr>
          <w:p w14:paraId="15A6D165">
            <w:pPr>
              <w:pStyle w:val="11"/>
              <w:spacing w:line="301" w:lineRule="exact"/>
              <w:ind w:left="33" w:right="22"/>
              <w:rPr>
                <w:sz w:val="28"/>
              </w:rPr>
            </w:pPr>
            <w:r>
              <w:rPr>
                <w:spacing w:val="-5"/>
                <w:sz w:val="28"/>
              </w:rPr>
              <w:t>да</w:t>
            </w:r>
          </w:p>
        </w:tc>
      </w:tr>
    </w:tbl>
    <w:p w14:paraId="2D801731">
      <w:pPr>
        <w:pStyle w:val="7"/>
        <w:spacing w:before="319"/>
        <w:ind w:left="0" w:right="3" w:firstLine="706"/>
      </w:pPr>
      <w:r>
        <w:t>Одной из наиболее значимых работ, посвященных прогнозированию возникновения ПС, является исследование M. Callery</w:t>
      </w:r>
      <w:r>
        <w:rPr>
          <w:spacing w:val="-4"/>
        </w:rPr>
        <w:t xml:space="preserve"> </w:t>
      </w:r>
      <w:r>
        <w:t>[92] et al. опубликованное в 2013 г., в котором оценивались ближайшие результаты лечения 445 больных, перенесших ГПДР. На основании полученных данных была разработана 10- балльная прогностическая шкала развития ПС, которая прогнозирует ПС на основе консистенции ПЖ (плотная или мягкая), патологии (протоковая аденокарцинома, опухоль БДС, ДПК, ТОХ), диаметр протока ПП и интраоперационная кровопотеря. Оценка риска была разделена на четыре категории:</w:t>
      </w:r>
      <w:r>
        <w:rPr>
          <w:spacing w:val="-13"/>
        </w:rPr>
        <w:t xml:space="preserve"> </w:t>
      </w:r>
      <w:r>
        <w:t>0</w:t>
      </w:r>
      <w:r>
        <w:rPr>
          <w:spacing w:val="-12"/>
        </w:rPr>
        <w:t xml:space="preserve"> </w:t>
      </w:r>
      <w:r>
        <w:t>баллов</w:t>
      </w:r>
      <w:r>
        <w:rPr>
          <w:spacing w:val="-13"/>
        </w:rPr>
        <w:t xml:space="preserve"> </w:t>
      </w:r>
      <w:r>
        <w:t>за</w:t>
      </w:r>
      <w:r>
        <w:rPr>
          <w:spacing w:val="-11"/>
        </w:rPr>
        <w:t xml:space="preserve"> </w:t>
      </w:r>
      <w:r>
        <w:t>незначительный</w:t>
      </w:r>
      <w:r>
        <w:rPr>
          <w:spacing w:val="-12"/>
        </w:rPr>
        <w:t xml:space="preserve"> </w:t>
      </w:r>
      <w:r>
        <w:t>риск,</w:t>
      </w:r>
      <w:r>
        <w:rPr>
          <w:spacing w:val="-10"/>
        </w:rPr>
        <w:t xml:space="preserve"> </w:t>
      </w:r>
      <w:r>
        <w:t>1-2</w:t>
      </w:r>
      <w:r>
        <w:rPr>
          <w:spacing w:val="-12"/>
        </w:rPr>
        <w:t xml:space="preserve"> </w:t>
      </w:r>
      <w:r>
        <w:t>балла</w:t>
      </w:r>
      <w:r>
        <w:rPr>
          <w:spacing w:val="-11"/>
        </w:rPr>
        <w:t xml:space="preserve"> </w:t>
      </w:r>
      <w:r>
        <w:t>за</w:t>
      </w:r>
      <w:r>
        <w:rPr>
          <w:spacing w:val="-11"/>
        </w:rPr>
        <w:t xml:space="preserve"> </w:t>
      </w:r>
      <w:r>
        <w:t>низкий</w:t>
      </w:r>
      <w:r>
        <w:rPr>
          <w:spacing w:val="-12"/>
        </w:rPr>
        <w:t xml:space="preserve"> </w:t>
      </w:r>
      <w:r>
        <w:t>риск,</w:t>
      </w:r>
      <w:r>
        <w:rPr>
          <w:spacing w:val="-10"/>
        </w:rPr>
        <w:t xml:space="preserve"> </w:t>
      </w:r>
      <w:r>
        <w:t>3-6</w:t>
      </w:r>
      <w:r>
        <w:rPr>
          <w:spacing w:val="-12"/>
        </w:rPr>
        <w:t xml:space="preserve"> </w:t>
      </w:r>
      <w:r>
        <w:t>баллы за средний риск и 7-10 баллов за высокий риск.</w:t>
      </w:r>
    </w:p>
    <w:p w14:paraId="26067603">
      <w:pPr>
        <w:pStyle w:val="7"/>
        <w:spacing w:before="2"/>
        <w:ind w:left="0" w:right="3" w:firstLine="706"/>
      </w:pPr>
      <w:r>
        <w:t>Риск</w:t>
      </w:r>
      <w:r>
        <w:rPr>
          <w:spacing w:val="-16"/>
        </w:rPr>
        <w:t xml:space="preserve"> </w:t>
      </w:r>
      <w:r>
        <w:t>формирования</w:t>
      </w:r>
      <w:r>
        <w:rPr>
          <w:spacing w:val="-14"/>
        </w:rPr>
        <w:t xml:space="preserve"> </w:t>
      </w:r>
      <w:r>
        <w:t>клинически</w:t>
      </w:r>
      <w:r>
        <w:rPr>
          <w:spacing w:val="-15"/>
        </w:rPr>
        <w:t xml:space="preserve"> </w:t>
      </w:r>
      <w:r>
        <w:t>КЗ-ПС</w:t>
      </w:r>
      <w:r>
        <w:rPr>
          <w:spacing w:val="-14"/>
        </w:rPr>
        <w:t xml:space="preserve"> </w:t>
      </w:r>
      <w:r>
        <w:t>после</w:t>
      </w:r>
      <w:r>
        <w:rPr>
          <w:spacing w:val="-14"/>
        </w:rPr>
        <w:t xml:space="preserve"> </w:t>
      </w:r>
      <w:r>
        <w:t>ГПДР</w:t>
      </w:r>
      <w:r>
        <w:rPr>
          <w:spacing w:val="-16"/>
        </w:rPr>
        <w:t xml:space="preserve"> </w:t>
      </w:r>
      <w:r>
        <w:t>носит</w:t>
      </w:r>
      <w:r>
        <w:rPr>
          <w:spacing w:val="-16"/>
        </w:rPr>
        <w:t xml:space="preserve"> </w:t>
      </w:r>
      <w:r>
        <w:t>многофакторный характер и определяется совокупным влиянием анатомо-тканевых характеристик ПЖ (консистенция ПЖ, диаметр ПП), интраоперационных факторов</w:t>
      </w:r>
      <w:r>
        <w:rPr>
          <w:spacing w:val="28"/>
        </w:rPr>
        <w:t xml:space="preserve">  </w:t>
      </w:r>
      <w:r>
        <w:t>(техническая</w:t>
      </w:r>
      <w:r>
        <w:rPr>
          <w:spacing w:val="29"/>
        </w:rPr>
        <w:t xml:space="preserve">  </w:t>
      </w:r>
      <w:r>
        <w:t>сложность</w:t>
      </w:r>
      <w:r>
        <w:rPr>
          <w:spacing w:val="27"/>
        </w:rPr>
        <w:t xml:space="preserve">  </w:t>
      </w:r>
      <w:r>
        <w:t>реконструкции,</w:t>
      </w:r>
      <w:r>
        <w:rPr>
          <w:spacing w:val="29"/>
        </w:rPr>
        <w:t xml:space="preserve">  </w:t>
      </w:r>
      <w:r>
        <w:t>кровопотеря)</w:t>
      </w:r>
      <w:r>
        <w:rPr>
          <w:spacing w:val="27"/>
        </w:rPr>
        <w:t xml:space="preserve">  </w:t>
      </w:r>
      <w:r>
        <w:t>и</w:t>
      </w:r>
      <w:r>
        <w:rPr>
          <w:spacing w:val="32"/>
        </w:rPr>
        <w:t xml:space="preserve">  </w:t>
      </w:r>
      <w:r>
        <w:rPr>
          <w:spacing w:val="-2"/>
        </w:rPr>
        <w:t>ранних</w:t>
      </w:r>
      <w:r>
        <w:t xml:space="preserve"> послеоперационных маркеров неблагоприятного течения (прежде всего повышенная ААД), что подтверждено валидированными шкалами риска и данными многоцентровых исследований [93–98].</w:t>
      </w:r>
    </w:p>
    <w:p w14:paraId="60EA284E">
      <w:pPr>
        <w:pStyle w:val="7"/>
        <w:spacing w:before="4"/>
        <w:ind w:left="0" w:firstLine="0"/>
        <w:jc w:val="left"/>
      </w:pPr>
    </w:p>
    <w:p w14:paraId="121922AA">
      <w:pPr>
        <w:pStyle w:val="7"/>
        <w:ind w:left="0" w:firstLine="0"/>
      </w:pPr>
      <w:r>
        <w:t>Таблица</w:t>
      </w:r>
      <w:r>
        <w:rPr>
          <w:spacing w:val="-3"/>
        </w:rPr>
        <w:t xml:space="preserve"> </w:t>
      </w:r>
      <w:r>
        <w:t>2</w:t>
      </w:r>
      <w:r>
        <w:rPr>
          <w:spacing w:val="-2"/>
        </w:rPr>
        <w:t xml:space="preserve"> </w:t>
      </w:r>
      <w:r>
        <w:t>-</w:t>
      </w:r>
      <w:r>
        <w:rPr>
          <w:spacing w:val="-5"/>
        </w:rPr>
        <w:t xml:space="preserve"> </w:t>
      </w:r>
      <w:r>
        <w:t>Шкала</w:t>
      </w:r>
      <w:r>
        <w:rPr>
          <w:spacing w:val="-3"/>
        </w:rPr>
        <w:t xml:space="preserve"> </w:t>
      </w:r>
      <w:r>
        <w:t>оценки</w:t>
      </w:r>
      <w:r>
        <w:rPr>
          <w:spacing w:val="-4"/>
        </w:rPr>
        <w:t xml:space="preserve"> </w:t>
      </w:r>
      <w:r>
        <w:t>риска</w:t>
      </w:r>
      <w:r>
        <w:rPr>
          <w:spacing w:val="-3"/>
        </w:rPr>
        <w:t xml:space="preserve"> </w:t>
      </w:r>
      <w:r>
        <w:t>панкреатического</w:t>
      </w:r>
      <w:r>
        <w:rPr>
          <w:spacing w:val="-4"/>
        </w:rPr>
        <w:t xml:space="preserve"> </w:t>
      </w:r>
      <w:r>
        <w:t>свища</w:t>
      </w:r>
      <w:r>
        <w:rPr>
          <w:spacing w:val="-3"/>
        </w:rPr>
        <w:t xml:space="preserve"> </w:t>
      </w:r>
      <w:r>
        <w:t>(Fistula</w:t>
      </w:r>
      <w:r>
        <w:rPr>
          <w:spacing w:val="-3"/>
        </w:rPr>
        <w:t xml:space="preserve"> </w:t>
      </w:r>
      <w:r>
        <w:t>Risk</w:t>
      </w:r>
      <w:r>
        <w:rPr>
          <w:spacing w:val="-4"/>
        </w:rPr>
        <w:t xml:space="preserve"> </w:t>
      </w:r>
      <w:r>
        <w:t>Score, FRS) после ГПДР</w:t>
      </w:r>
    </w:p>
    <w:p w14:paraId="69537D91">
      <w:pPr>
        <w:pStyle w:val="7"/>
        <w:spacing w:before="98"/>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82"/>
        <w:gridCol w:w="5368"/>
        <w:gridCol w:w="1389"/>
      </w:tblGrid>
      <w:tr w14:paraId="07625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tcPr>
          <w:p w14:paraId="43050B27">
            <w:pPr>
              <w:pStyle w:val="11"/>
              <w:spacing w:line="301" w:lineRule="exact"/>
              <w:ind w:left="557"/>
              <w:jc w:val="left"/>
              <w:rPr>
                <w:sz w:val="28"/>
              </w:rPr>
            </w:pPr>
            <w:r>
              <w:rPr>
                <w:sz w:val="28"/>
              </w:rPr>
              <w:t>Фактор</w:t>
            </w:r>
            <w:r>
              <w:rPr>
                <w:spacing w:val="-11"/>
                <w:sz w:val="28"/>
              </w:rPr>
              <w:t xml:space="preserve"> </w:t>
            </w:r>
            <w:r>
              <w:rPr>
                <w:spacing w:val="-4"/>
                <w:sz w:val="28"/>
              </w:rPr>
              <w:t>риска</w:t>
            </w:r>
          </w:p>
        </w:tc>
        <w:tc>
          <w:tcPr>
            <w:tcW w:w="5368" w:type="dxa"/>
          </w:tcPr>
          <w:p w14:paraId="3389AB17">
            <w:pPr>
              <w:pStyle w:val="11"/>
              <w:spacing w:line="301" w:lineRule="exact"/>
              <w:ind w:left="6" w:right="10"/>
              <w:rPr>
                <w:sz w:val="28"/>
              </w:rPr>
            </w:pPr>
            <w:r>
              <w:rPr>
                <w:spacing w:val="-2"/>
                <w:sz w:val="28"/>
              </w:rPr>
              <w:t>Параметры</w:t>
            </w:r>
          </w:p>
        </w:tc>
        <w:tc>
          <w:tcPr>
            <w:tcW w:w="1389" w:type="dxa"/>
          </w:tcPr>
          <w:p w14:paraId="4375559E">
            <w:pPr>
              <w:pStyle w:val="11"/>
              <w:spacing w:line="301" w:lineRule="exact"/>
              <w:ind w:left="5" w:right="5"/>
              <w:rPr>
                <w:sz w:val="28"/>
              </w:rPr>
            </w:pPr>
            <w:r>
              <w:rPr>
                <w:spacing w:val="-2"/>
                <w:sz w:val="28"/>
              </w:rPr>
              <w:t>Баллы</w:t>
            </w:r>
          </w:p>
        </w:tc>
      </w:tr>
      <w:tr w14:paraId="3B04F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vMerge w:val="restart"/>
          </w:tcPr>
          <w:p w14:paraId="6240809E">
            <w:pPr>
              <w:pStyle w:val="11"/>
              <w:spacing w:line="315" w:lineRule="exact"/>
              <w:ind w:left="8" w:right="1"/>
              <w:rPr>
                <w:sz w:val="28"/>
              </w:rPr>
            </w:pPr>
            <w:r>
              <w:rPr>
                <w:spacing w:val="-2"/>
                <w:sz w:val="28"/>
              </w:rPr>
              <w:t>Консистенция</w:t>
            </w:r>
          </w:p>
          <w:p w14:paraId="5F93292E">
            <w:pPr>
              <w:pStyle w:val="11"/>
              <w:spacing w:line="318" w:lineRule="exact"/>
              <w:ind w:left="8"/>
              <w:rPr>
                <w:sz w:val="28"/>
              </w:rPr>
            </w:pPr>
            <w:r>
              <w:rPr>
                <w:spacing w:val="-2"/>
                <w:sz w:val="28"/>
              </w:rPr>
              <w:t>железы</w:t>
            </w:r>
          </w:p>
        </w:tc>
        <w:tc>
          <w:tcPr>
            <w:tcW w:w="5368" w:type="dxa"/>
          </w:tcPr>
          <w:p w14:paraId="2B9FA640">
            <w:pPr>
              <w:pStyle w:val="11"/>
              <w:spacing w:line="301" w:lineRule="exact"/>
              <w:ind w:left="6" w:right="10"/>
              <w:rPr>
                <w:sz w:val="28"/>
              </w:rPr>
            </w:pPr>
            <w:r>
              <w:rPr>
                <w:spacing w:val="-2"/>
                <w:sz w:val="28"/>
              </w:rPr>
              <w:t>Плотная</w:t>
            </w:r>
          </w:p>
        </w:tc>
        <w:tc>
          <w:tcPr>
            <w:tcW w:w="1389" w:type="dxa"/>
          </w:tcPr>
          <w:p w14:paraId="26B9A53E">
            <w:pPr>
              <w:pStyle w:val="11"/>
              <w:spacing w:line="301" w:lineRule="exact"/>
              <w:ind w:left="5"/>
              <w:rPr>
                <w:sz w:val="28"/>
              </w:rPr>
            </w:pPr>
            <w:r>
              <w:rPr>
                <w:spacing w:val="-10"/>
                <w:sz w:val="28"/>
              </w:rPr>
              <w:t>0</w:t>
            </w:r>
          </w:p>
        </w:tc>
      </w:tr>
      <w:tr w14:paraId="46789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vMerge w:val="continue"/>
            <w:tcBorders>
              <w:top w:val="nil"/>
            </w:tcBorders>
          </w:tcPr>
          <w:p w14:paraId="4803DCA7">
            <w:pPr>
              <w:rPr>
                <w:sz w:val="2"/>
                <w:szCs w:val="2"/>
              </w:rPr>
            </w:pPr>
          </w:p>
        </w:tc>
        <w:tc>
          <w:tcPr>
            <w:tcW w:w="5368" w:type="dxa"/>
          </w:tcPr>
          <w:p w14:paraId="5734D918">
            <w:pPr>
              <w:pStyle w:val="11"/>
              <w:spacing w:line="302" w:lineRule="exact"/>
              <w:ind w:left="6" w:right="6"/>
              <w:rPr>
                <w:sz w:val="28"/>
              </w:rPr>
            </w:pPr>
            <w:r>
              <w:rPr>
                <w:spacing w:val="-2"/>
                <w:sz w:val="28"/>
              </w:rPr>
              <w:t>Мягкая</w:t>
            </w:r>
          </w:p>
        </w:tc>
        <w:tc>
          <w:tcPr>
            <w:tcW w:w="1389" w:type="dxa"/>
          </w:tcPr>
          <w:p w14:paraId="2179532D">
            <w:pPr>
              <w:pStyle w:val="11"/>
              <w:spacing w:line="302" w:lineRule="exact"/>
              <w:ind w:left="5"/>
              <w:rPr>
                <w:sz w:val="28"/>
              </w:rPr>
            </w:pPr>
            <w:r>
              <w:rPr>
                <w:spacing w:val="-10"/>
                <w:sz w:val="28"/>
              </w:rPr>
              <w:t>2</w:t>
            </w:r>
          </w:p>
        </w:tc>
      </w:tr>
      <w:tr w14:paraId="21B04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882" w:type="dxa"/>
            <w:vMerge w:val="restart"/>
          </w:tcPr>
          <w:p w14:paraId="1B356C35">
            <w:pPr>
              <w:pStyle w:val="11"/>
              <w:spacing w:line="315" w:lineRule="exact"/>
              <w:ind w:left="739"/>
              <w:jc w:val="left"/>
              <w:rPr>
                <w:sz w:val="28"/>
              </w:rPr>
            </w:pPr>
            <w:r>
              <w:rPr>
                <w:spacing w:val="-2"/>
                <w:sz w:val="28"/>
              </w:rPr>
              <w:t>Патология</w:t>
            </w:r>
          </w:p>
        </w:tc>
        <w:tc>
          <w:tcPr>
            <w:tcW w:w="5368" w:type="dxa"/>
          </w:tcPr>
          <w:p w14:paraId="6B84E8D2">
            <w:pPr>
              <w:pStyle w:val="11"/>
              <w:spacing w:line="315" w:lineRule="exact"/>
              <w:ind w:left="6" w:right="6"/>
              <w:rPr>
                <w:sz w:val="28"/>
              </w:rPr>
            </w:pPr>
            <w:r>
              <w:rPr>
                <w:sz w:val="28"/>
              </w:rPr>
              <w:t>Протоковая</w:t>
            </w:r>
            <w:r>
              <w:rPr>
                <w:spacing w:val="-16"/>
                <w:sz w:val="28"/>
              </w:rPr>
              <w:t xml:space="preserve"> </w:t>
            </w:r>
            <w:r>
              <w:rPr>
                <w:sz w:val="28"/>
              </w:rPr>
              <w:t>аденокарцинома</w:t>
            </w:r>
            <w:r>
              <w:rPr>
                <w:spacing w:val="-16"/>
                <w:sz w:val="28"/>
              </w:rPr>
              <w:t xml:space="preserve"> </w:t>
            </w:r>
            <w:r>
              <w:rPr>
                <w:spacing w:val="-5"/>
                <w:sz w:val="28"/>
              </w:rPr>
              <w:t>или</w:t>
            </w:r>
          </w:p>
          <w:p w14:paraId="64E4A9A3">
            <w:pPr>
              <w:pStyle w:val="11"/>
              <w:spacing w:line="313" w:lineRule="exact"/>
              <w:ind w:left="6" w:right="8"/>
              <w:rPr>
                <w:sz w:val="28"/>
              </w:rPr>
            </w:pPr>
            <w:r>
              <w:rPr>
                <w:spacing w:val="-2"/>
                <w:sz w:val="28"/>
              </w:rPr>
              <w:t>панкреатит</w:t>
            </w:r>
          </w:p>
        </w:tc>
        <w:tc>
          <w:tcPr>
            <w:tcW w:w="1389" w:type="dxa"/>
          </w:tcPr>
          <w:p w14:paraId="334CBB0A">
            <w:pPr>
              <w:pStyle w:val="11"/>
              <w:spacing w:line="315" w:lineRule="exact"/>
              <w:ind w:left="5"/>
              <w:rPr>
                <w:sz w:val="28"/>
              </w:rPr>
            </w:pPr>
            <w:r>
              <w:rPr>
                <w:spacing w:val="-10"/>
                <w:sz w:val="28"/>
              </w:rPr>
              <w:t>0</w:t>
            </w:r>
          </w:p>
        </w:tc>
      </w:tr>
      <w:tr w14:paraId="2D975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882" w:type="dxa"/>
            <w:vMerge w:val="continue"/>
            <w:tcBorders>
              <w:top w:val="nil"/>
            </w:tcBorders>
          </w:tcPr>
          <w:p w14:paraId="0382B401">
            <w:pPr>
              <w:rPr>
                <w:sz w:val="2"/>
                <w:szCs w:val="2"/>
              </w:rPr>
            </w:pPr>
          </w:p>
        </w:tc>
        <w:tc>
          <w:tcPr>
            <w:tcW w:w="5368" w:type="dxa"/>
          </w:tcPr>
          <w:p w14:paraId="4840306D">
            <w:pPr>
              <w:pStyle w:val="11"/>
              <w:spacing w:line="315" w:lineRule="exact"/>
              <w:ind w:left="6" w:right="10"/>
              <w:rPr>
                <w:sz w:val="28"/>
              </w:rPr>
            </w:pPr>
            <w:r>
              <w:rPr>
                <w:sz w:val="28"/>
              </w:rPr>
              <w:t>Ампулярная,</w:t>
            </w:r>
            <w:r>
              <w:rPr>
                <w:spacing w:val="-13"/>
                <w:sz w:val="28"/>
              </w:rPr>
              <w:t xml:space="preserve"> </w:t>
            </w:r>
            <w:r>
              <w:rPr>
                <w:sz w:val="28"/>
              </w:rPr>
              <w:t>дуоденальная,</w:t>
            </w:r>
            <w:r>
              <w:rPr>
                <w:spacing w:val="-13"/>
                <w:sz w:val="28"/>
              </w:rPr>
              <w:t xml:space="preserve"> </w:t>
            </w:r>
            <w:r>
              <w:rPr>
                <w:spacing w:val="-2"/>
                <w:sz w:val="28"/>
              </w:rPr>
              <w:t>кистозная,</w:t>
            </w:r>
          </w:p>
          <w:p w14:paraId="618EA9ED">
            <w:pPr>
              <w:pStyle w:val="11"/>
              <w:ind w:left="6" w:right="7"/>
              <w:rPr>
                <w:sz w:val="28"/>
              </w:rPr>
            </w:pPr>
            <w:r>
              <w:rPr>
                <w:sz w:val="28"/>
              </w:rPr>
              <w:t>островковых</w:t>
            </w:r>
            <w:r>
              <w:rPr>
                <w:spacing w:val="-17"/>
                <w:sz w:val="28"/>
              </w:rPr>
              <w:t xml:space="preserve"> </w:t>
            </w:r>
            <w:r>
              <w:rPr>
                <w:spacing w:val="-2"/>
                <w:sz w:val="28"/>
              </w:rPr>
              <w:t>клеток</w:t>
            </w:r>
          </w:p>
        </w:tc>
        <w:tc>
          <w:tcPr>
            <w:tcW w:w="1389" w:type="dxa"/>
          </w:tcPr>
          <w:p w14:paraId="3919CB41">
            <w:pPr>
              <w:pStyle w:val="11"/>
              <w:spacing w:line="315" w:lineRule="exact"/>
              <w:ind w:left="5"/>
              <w:rPr>
                <w:sz w:val="28"/>
              </w:rPr>
            </w:pPr>
            <w:r>
              <w:rPr>
                <w:spacing w:val="-10"/>
                <w:sz w:val="28"/>
              </w:rPr>
              <w:t>1</w:t>
            </w:r>
          </w:p>
        </w:tc>
      </w:tr>
      <w:tr w14:paraId="78D4A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vMerge w:val="restart"/>
          </w:tcPr>
          <w:p w14:paraId="2191B52D">
            <w:pPr>
              <w:pStyle w:val="11"/>
              <w:spacing w:line="240" w:lineRule="auto"/>
              <w:ind w:left="302" w:right="293" w:firstLine="5"/>
              <w:rPr>
                <w:sz w:val="28"/>
              </w:rPr>
            </w:pPr>
            <w:r>
              <w:rPr>
                <w:spacing w:val="-2"/>
                <w:sz w:val="28"/>
              </w:rPr>
              <w:t xml:space="preserve">Диаметр панкреатического </w:t>
            </w:r>
            <w:r>
              <w:rPr>
                <w:sz w:val="28"/>
              </w:rPr>
              <w:t>протока, мм</w:t>
            </w:r>
          </w:p>
        </w:tc>
        <w:tc>
          <w:tcPr>
            <w:tcW w:w="5368" w:type="dxa"/>
          </w:tcPr>
          <w:p w14:paraId="6DE050CB">
            <w:pPr>
              <w:pStyle w:val="11"/>
              <w:spacing w:line="302" w:lineRule="exact"/>
              <w:ind w:left="10" w:right="4"/>
              <w:rPr>
                <w:sz w:val="28"/>
              </w:rPr>
            </w:pPr>
            <w:r>
              <w:rPr>
                <w:spacing w:val="-5"/>
                <w:sz w:val="28"/>
              </w:rPr>
              <w:t>≥5</w:t>
            </w:r>
          </w:p>
        </w:tc>
        <w:tc>
          <w:tcPr>
            <w:tcW w:w="1389" w:type="dxa"/>
          </w:tcPr>
          <w:p w14:paraId="51886698">
            <w:pPr>
              <w:pStyle w:val="11"/>
              <w:spacing w:line="302" w:lineRule="exact"/>
              <w:ind w:left="5"/>
              <w:rPr>
                <w:sz w:val="28"/>
              </w:rPr>
            </w:pPr>
            <w:r>
              <w:rPr>
                <w:spacing w:val="-10"/>
                <w:sz w:val="28"/>
              </w:rPr>
              <w:t>0</w:t>
            </w:r>
          </w:p>
        </w:tc>
      </w:tr>
      <w:tr w14:paraId="55DD2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vMerge w:val="continue"/>
            <w:tcBorders>
              <w:top w:val="nil"/>
            </w:tcBorders>
          </w:tcPr>
          <w:p w14:paraId="126F2293">
            <w:pPr>
              <w:rPr>
                <w:sz w:val="2"/>
                <w:szCs w:val="2"/>
              </w:rPr>
            </w:pPr>
          </w:p>
        </w:tc>
        <w:tc>
          <w:tcPr>
            <w:tcW w:w="5368" w:type="dxa"/>
          </w:tcPr>
          <w:p w14:paraId="4C8E097D">
            <w:pPr>
              <w:pStyle w:val="11"/>
              <w:spacing w:line="301" w:lineRule="exact"/>
              <w:ind w:left="9" w:right="4"/>
              <w:rPr>
                <w:sz w:val="28"/>
              </w:rPr>
            </w:pPr>
            <w:r>
              <w:rPr>
                <w:spacing w:val="-10"/>
                <w:sz w:val="28"/>
              </w:rPr>
              <w:t>4</w:t>
            </w:r>
          </w:p>
        </w:tc>
        <w:tc>
          <w:tcPr>
            <w:tcW w:w="1389" w:type="dxa"/>
          </w:tcPr>
          <w:p w14:paraId="000EE112">
            <w:pPr>
              <w:pStyle w:val="11"/>
              <w:spacing w:line="301" w:lineRule="exact"/>
              <w:ind w:left="5"/>
              <w:rPr>
                <w:sz w:val="28"/>
              </w:rPr>
            </w:pPr>
            <w:r>
              <w:rPr>
                <w:spacing w:val="-10"/>
                <w:sz w:val="28"/>
              </w:rPr>
              <w:t>1</w:t>
            </w:r>
          </w:p>
        </w:tc>
      </w:tr>
      <w:tr w14:paraId="0D4C1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vMerge w:val="continue"/>
            <w:tcBorders>
              <w:top w:val="nil"/>
            </w:tcBorders>
          </w:tcPr>
          <w:p w14:paraId="2166CD2E">
            <w:pPr>
              <w:rPr>
                <w:sz w:val="2"/>
                <w:szCs w:val="2"/>
              </w:rPr>
            </w:pPr>
          </w:p>
        </w:tc>
        <w:tc>
          <w:tcPr>
            <w:tcW w:w="5368" w:type="dxa"/>
          </w:tcPr>
          <w:p w14:paraId="7FDA0EEF">
            <w:pPr>
              <w:pStyle w:val="11"/>
              <w:spacing w:line="301" w:lineRule="exact"/>
              <w:ind w:left="9" w:right="4"/>
              <w:rPr>
                <w:sz w:val="28"/>
              </w:rPr>
            </w:pPr>
            <w:r>
              <w:rPr>
                <w:spacing w:val="-10"/>
                <w:sz w:val="28"/>
              </w:rPr>
              <w:t>3</w:t>
            </w:r>
          </w:p>
        </w:tc>
        <w:tc>
          <w:tcPr>
            <w:tcW w:w="1389" w:type="dxa"/>
          </w:tcPr>
          <w:p w14:paraId="6B7BF3FD">
            <w:pPr>
              <w:pStyle w:val="11"/>
              <w:spacing w:line="301" w:lineRule="exact"/>
              <w:ind w:left="5"/>
              <w:rPr>
                <w:sz w:val="28"/>
              </w:rPr>
            </w:pPr>
            <w:r>
              <w:rPr>
                <w:spacing w:val="-10"/>
                <w:sz w:val="28"/>
              </w:rPr>
              <w:t>2</w:t>
            </w:r>
          </w:p>
        </w:tc>
      </w:tr>
      <w:tr w14:paraId="1AE38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vMerge w:val="continue"/>
            <w:tcBorders>
              <w:top w:val="nil"/>
            </w:tcBorders>
          </w:tcPr>
          <w:p w14:paraId="3A7BAB88">
            <w:pPr>
              <w:rPr>
                <w:sz w:val="2"/>
                <w:szCs w:val="2"/>
              </w:rPr>
            </w:pPr>
          </w:p>
        </w:tc>
        <w:tc>
          <w:tcPr>
            <w:tcW w:w="5368" w:type="dxa"/>
          </w:tcPr>
          <w:p w14:paraId="357049B0">
            <w:pPr>
              <w:pStyle w:val="11"/>
              <w:spacing w:line="301" w:lineRule="exact"/>
              <w:ind w:left="9" w:right="4"/>
              <w:rPr>
                <w:sz w:val="28"/>
              </w:rPr>
            </w:pPr>
            <w:r>
              <w:rPr>
                <w:spacing w:val="-10"/>
                <w:sz w:val="28"/>
              </w:rPr>
              <w:t>2</w:t>
            </w:r>
          </w:p>
        </w:tc>
        <w:tc>
          <w:tcPr>
            <w:tcW w:w="1389" w:type="dxa"/>
          </w:tcPr>
          <w:p w14:paraId="2FC7B124">
            <w:pPr>
              <w:pStyle w:val="11"/>
              <w:spacing w:line="301" w:lineRule="exact"/>
              <w:ind w:left="5"/>
              <w:rPr>
                <w:sz w:val="28"/>
              </w:rPr>
            </w:pPr>
            <w:r>
              <w:rPr>
                <w:spacing w:val="-10"/>
                <w:sz w:val="28"/>
              </w:rPr>
              <w:t>3</w:t>
            </w:r>
          </w:p>
        </w:tc>
      </w:tr>
      <w:tr w14:paraId="02F02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882" w:type="dxa"/>
            <w:vMerge w:val="continue"/>
            <w:tcBorders>
              <w:top w:val="nil"/>
            </w:tcBorders>
          </w:tcPr>
          <w:p w14:paraId="24EBFA05">
            <w:pPr>
              <w:rPr>
                <w:sz w:val="2"/>
                <w:szCs w:val="2"/>
              </w:rPr>
            </w:pPr>
          </w:p>
        </w:tc>
        <w:tc>
          <w:tcPr>
            <w:tcW w:w="5368" w:type="dxa"/>
          </w:tcPr>
          <w:p w14:paraId="0BE36896">
            <w:pPr>
              <w:pStyle w:val="11"/>
              <w:spacing w:line="306" w:lineRule="exact"/>
              <w:ind w:left="9" w:right="4"/>
              <w:rPr>
                <w:sz w:val="28"/>
              </w:rPr>
            </w:pPr>
            <w:r>
              <w:rPr>
                <w:spacing w:val="-5"/>
                <w:sz w:val="28"/>
              </w:rPr>
              <w:t>≥1</w:t>
            </w:r>
          </w:p>
        </w:tc>
        <w:tc>
          <w:tcPr>
            <w:tcW w:w="1389" w:type="dxa"/>
          </w:tcPr>
          <w:p w14:paraId="2E300302">
            <w:pPr>
              <w:pStyle w:val="11"/>
              <w:spacing w:line="306" w:lineRule="exact"/>
              <w:ind w:left="5"/>
              <w:rPr>
                <w:sz w:val="28"/>
              </w:rPr>
            </w:pPr>
            <w:r>
              <w:rPr>
                <w:spacing w:val="-10"/>
                <w:sz w:val="28"/>
              </w:rPr>
              <w:t>4</w:t>
            </w:r>
          </w:p>
        </w:tc>
      </w:tr>
      <w:tr w14:paraId="37E8B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vMerge w:val="restart"/>
          </w:tcPr>
          <w:p w14:paraId="51F8BD91">
            <w:pPr>
              <w:pStyle w:val="11"/>
              <w:spacing w:line="240" w:lineRule="auto"/>
              <w:ind w:left="398" w:hanging="231"/>
              <w:jc w:val="left"/>
              <w:rPr>
                <w:sz w:val="28"/>
              </w:rPr>
            </w:pPr>
            <w:r>
              <w:rPr>
                <w:spacing w:val="-2"/>
                <w:sz w:val="28"/>
              </w:rPr>
              <w:t xml:space="preserve">Интраоперационная </w:t>
            </w:r>
            <w:r>
              <w:rPr>
                <w:sz w:val="28"/>
              </w:rPr>
              <w:t>кровопотеря, мл</w:t>
            </w:r>
          </w:p>
        </w:tc>
        <w:tc>
          <w:tcPr>
            <w:tcW w:w="5368" w:type="dxa"/>
          </w:tcPr>
          <w:p w14:paraId="4E8D4CBA">
            <w:pPr>
              <w:pStyle w:val="11"/>
              <w:spacing w:line="302" w:lineRule="exact"/>
              <w:ind w:left="7" w:right="4"/>
              <w:rPr>
                <w:sz w:val="28"/>
              </w:rPr>
            </w:pPr>
            <w:r>
              <w:rPr>
                <w:spacing w:val="-4"/>
                <w:sz w:val="28"/>
              </w:rPr>
              <w:t>≥400</w:t>
            </w:r>
          </w:p>
        </w:tc>
        <w:tc>
          <w:tcPr>
            <w:tcW w:w="1389" w:type="dxa"/>
          </w:tcPr>
          <w:p w14:paraId="1DC55F61">
            <w:pPr>
              <w:pStyle w:val="11"/>
              <w:spacing w:line="302" w:lineRule="exact"/>
              <w:ind w:left="5"/>
              <w:rPr>
                <w:sz w:val="28"/>
              </w:rPr>
            </w:pPr>
            <w:r>
              <w:rPr>
                <w:spacing w:val="-10"/>
                <w:sz w:val="28"/>
              </w:rPr>
              <w:t>0</w:t>
            </w:r>
          </w:p>
        </w:tc>
      </w:tr>
      <w:tr w14:paraId="2B46C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vMerge w:val="continue"/>
            <w:tcBorders>
              <w:top w:val="nil"/>
            </w:tcBorders>
          </w:tcPr>
          <w:p w14:paraId="76BF24C5">
            <w:pPr>
              <w:rPr>
                <w:sz w:val="2"/>
                <w:szCs w:val="2"/>
              </w:rPr>
            </w:pPr>
          </w:p>
        </w:tc>
        <w:tc>
          <w:tcPr>
            <w:tcW w:w="5368" w:type="dxa"/>
          </w:tcPr>
          <w:p w14:paraId="1DF2999F">
            <w:pPr>
              <w:pStyle w:val="11"/>
              <w:spacing w:line="301" w:lineRule="exact"/>
              <w:ind w:left="6" w:right="8"/>
              <w:rPr>
                <w:sz w:val="28"/>
              </w:rPr>
            </w:pPr>
            <w:r>
              <w:rPr>
                <w:spacing w:val="-2"/>
                <w:sz w:val="28"/>
              </w:rPr>
              <w:t>401-</w:t>
            </w:r>
            <w:r>
              <w:rPr>
                <w:spacing w:val="-5"/>
                <w:sz w:val="28"/>
              </w:rPr>
              <w:t>700</w:t>
            </w:r>
          </w:p>
        </w:tc>
        <w:tc>
          <w:tcPr>
            <w:tcW w:w="1389" w:type="dxa"/>
          </w:tcPr>
          <w:p w14:paraId="7EFC2C91">
            <w:pPr>
              <w:pStyle w:val="11"/>
              <w:spacing w:line="301" w:lineRule="exact"/>
              <w:ind w:left="5"/>
              <w:rPr>
                <w:sz w:val="28"/>
              </w:rPr>
            </w:pPr>
            <w:r>
              <w:rPr>
                <w:spacing w:val="-10"/>
                <w:sz w:val="28"/>
              </w:rPr>
              <w:t>1</w:t>
            </w:r>
          </w:p>
        </w:tc>
      </w:tr>
      <w:tr w14:paraId="6709D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vMerge w:val="continue"/>
            <w:tcBorders>
              <w:top w:val="nil"/>
            </w:tcBorders>
          </w:tcPr>
          <w:p w14:paraId="5518EDEF">
            <w:pPr>
              <w:rPr>
                <w:sz w:val="2"/>
                <w:szCs w:val="2"/>
              </w:rPr>
            </w:pPr>
          </w:p>
        </w:tc>
        <w:tc>
          <w:tcPr>
            <w:tcW w:w="5368" w:type="dxa"/>
          </w:tcPr>
          <w:p w14:paraId="386CBCFF">
            <w:pPr>
              <w:pStyle w:val="11"/>
              <w:spacing w:line="301" w:lineRule="exact"/>
              <w:ind w:left="6" w:right="8"/>
              <w:rPr>
                <w:sz w:val="28"/>
              </w:rPr>
            </w:pPr>
            <w:r>
              <w:rPr>
                <w:spacing w:val="-2"/>
                <w:sz w:val="28"/>
              </w:rPr>
              <w:t>701-</w:t>
            </w:r>
            <w:r>
              <w:rPr>
                <w:spacing w:val="-4"/>
                <w:sz w:val="28"/>
              </w:rPr>
              <w:t>1000</w:t>
            </w:r>
          </w:p>
        </w:tc>
        <w:tc>
          <w:tcPr>
            <w:tcW w:w="1389" w:type="dxa"/>
          </w:tcPr>
          <w:p w14:paraId="3E9B4DF1">
            <w:pPr>
              <w:pStyle w:val="11"/>
              <w:spacing w:line="301" w:lineRule="exact"/>
              <w:ind w:left="5"/>
              <w:rPr>
                <w:sz w:val="28"/>
              </w:rPr>
            </w:pPr>
            <w:r>
              <w:rPr>
                <w:spacing w:val="-10"/>
                <w:sz w:val="28"/>
              </w:rPr>
              <w:t>2</w:t>
            </w:r>
          </w:p>
        </w:tc>
      </w:tr>
      <w:tr w14:paraId="62878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82" w:type="dxa"/>
            <w:vMerge w:val="continue"/>
            <w:tcBorders>
              <w:top w:val="nil"/>
            </w:tcBorders>
          </w:tcPr>
          <w:p w14:paraId="00BFFBE1">
            <w:pPr>
              <w:rPr>
                <w:sz w:val="2"/>
                <w:szCs w:val="2"/>
              </w:rPr>
            </w:pPr>
          </w:p>
        </w:tc>
        <w:tc>
          <w:tcPr>
            <w:tcW w:w="5368" w:type="dxa"/>
          </w:tcPr>
          <w:p w14:paraId="602E92A5">
            <w:pPr>
              <w:pStyle w:val="11"/>
              <w:spacing w:line="301" w:lineRule="exact"/>
              <w:ind w:left="6" w:right="8"/>
              <w:rPr>
                <w:sz w:val="28"/>
              </w:rPr>
            </w:pPr>
            <w:r>
              <w:rPr>
                <w:spacing w:val="-2"/>
                <w:sz w:val="28"/>
              </w:rPr>
              <w:t>&gt;1000</w:t>
            </w:r>
          </w:p>
        </w:tc>
        <w:tc>
          <w:tcPr>
            <w:tcW w:w="1389" w:type="dxa"/>
          </w:tcPr>
          <w:p w14:paraId="75BCAEB6">
            <w:pPr>
              <w:pStyle w:val="11"/>
              <w:spacing w:line="301" w:lineRule="exact"/>
              <w:ind w:left="5"/>
              <w:rPr>
                <w:sz w:val="28"/>
              </w:rPr>
            </w:pPr>
            <w:r>
              <w:rPr>
                <w:spacing w:val="-10"/>
                <w:sz w:val="28"/>
              </w:rPr>
              <w:t>3</w:t>
            </w:r>
          </w:p>
        </w:tc>
      </w:tr>
      <w:tr w14:paraId="3B6F8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639" w:type="dxa"/>
            <w:gridSpan w:val="3"/>
          </w:tcPr>
          <w:p w14:paraId="03825E7D">
            <w:pPr>
              <w:pStyle w:val="11"/>
              <w:spacing w:line="301" w:lineRule="exact"/>
              <w:ind w:left="677"/>
              <w:jc w:val="left"/>
              <w:rPr>
                <w:sz w:val="28"/>
              </w:rPr>
            </w:pPr>
            <w:r>
              <w:rPr>
                <w:sz w:val="28"/>
              </w:rPr>
              <w:t>Итого</w:t>
            </w:r>
            <w:r>
              <w:rPr>
                <w:spacing w:val="-3"/>
                <w:sz w:val="28"/>
              </w:rPr>
              <w:t xml:space="preserve"> </w:t>
            </w:r>
            <w:r>
              <w:rPr>
                <w:sz w:val="28"/>
              </w:rPr>
              <w:t>от</w:t>
            </w:r>
            <w:r>
              <w:rPr>
                <w:spacing w:val="-4"/>
                <w:sz w:val="28"/>
              </w:rPr>
              <w:t xml:space="preserve"> </w:t>
            </w:r>
            <w:r>
              <w:rPr>
                <w:sz w:val="28"/>
              </w:rPr>
              <w:t>0</w:t>
            </w:r>
            <w:r>
              <w:rPr>
                <w:spacing w:val="-2"/>
                <w:sz w:val="28"/>
              </w:rPr>
              <w:t xml:space="preserve"> </w:t>
            </w:r>
            <w:r>
              <w:rPr>
                <w:sz w:val="28"/>
              </w:rPr>
              <w:t>до</w:t>
            </w:r>
            <w:r>
              <w:rPr>
                <w:spacing w:val="-3"/>
                <w:sz w:val="28"/>
              </w:rPr>
              <w:t xml:space="preserve"> </w:t>
            </w:r>
            <w:r>
              <w:rPr>
                <w:sz w:val="28"/>
              </w:rPr>
              <w:t>10</w:t>
            </w:r>
            <w:r>
              <w:rPr>
                <w:spacing w:val="-2"/>
                <w:sz w:val="28"/>
              </w:rPr>
              <w:t xml:space="preserve"> баллов</w:t>
            </w:r>
          </w:p>
        </w:tc>
      </w:tr>
    </w:tbl>
    <w:p w14:paraId="40AD1149">
      <w:pPr>
        <w:pStyle w:val="7"/>
        <w:spacing w:before="3"/>
        <w:ind w:left="0" w:firstLine="0"/>
        <w:jc w:val="left"/>
      </w:pPr>
    </w:p>
    <w:p w14:paraId="4A7CFFAD">
      <w:pPr>
        <w:pStyle w:val="7"/>
        <w:ind w:left="0" w:right="3" w:firstLine="709"/>
      </w:pPr>
      <w:r>
        <w:t>Систематические обзоры, мета-анализы подтверждают, что наиболее устойчивыми</w:t>
      </w:r>
      <w:r>
        <w:rPr>
          <w:spacing w:val="-1"/>
        </w:rPr>
        <w:t xml:space="preserve"> </w:t>
      </w:r>
      <w:r>
        <w:t>и</w:t>
      </w:r>
      <w:r>
        <w:rPr>
          <w:spacing w:val="-1"/>
        </w:rPr>
        <w:t xml:space="preserve"> </w:t>
      </w:r>
      <w:r>
        <w:t>воспроизводимыми</w:t>
      </w:r>
      <w:r>
        <w:rPr>
          <w:spacing w:val="-1"/>
        </w:rPr>
        <w:t xml:space="preserve"> </w:t>
      </w:r>
      <w:r>
        <w:t>предикторами</w:t>
      </w:r>
      <w:r>
        <w:rPr>
          <w:spacing w:val="-1"/>
        </w:rPr>
        <w:t xml:space="preserve"> </w:t>
      </w:r>
      <w:r>
        <w:t>КЗ-ПС после ГПДР</w:t>
      </w:r>
      <w:r>
        <w:rPr>
          <w:spacing w:val="-2"/>
        </w:rPr>
        <w:t xml:space="preserve"> </w:t>
      </w:r>
      <w:r>
        <w:t xml:space="preserve">являются мягкая консистенция ПЖ, маленький диаметр ПП и характер первичной патологии, что неоднократно продемонстрировано как в многоцентровых зарубежных анализах, так и в российских и отечественных клинических сериях </w:t>
      </w:r>
      <w:r>
        <w:rPr>
          <w:spacing w:val="-2"/>
        </w:rPr>
        <w:t>[99–102].</w:t>
      </w:r>
    </w:p>
    <w:p w14:paraId="386967BD">
      <w:pPr>
        <w:pStyle w:val="7"/>
        <w:ind w:left="0" w:right="3" w:firstLine="709"/>
      </w:pPr>
      <w:r>
        <w:t>При мягкой консистенции ПЖ риск развития КЗ-ПС существенно выше: в одной из современных серий после ГПДР КЗ-ПС отмечен у 44,4% пациентов с мягкой железой против 16,7% при плотной паренхиме, что подчёркивает ведущую роль тканевых характеристик в несостоятельности панкреатодигестивного анастомоза [103,104].</w:t>
      </w:r>
    </w:p>
    <w:p w14:paraId="3EBD99F9">
      <w:pPr>
        <w:pStyle w:val="7"/>
        <w:spacing w:line="242" w:lineRule="auto"/>
        <w:ind w:left="0" w:right="3" w:firstLine="709"/>
      </w:pPr>
      <w:r>
        <w:t>Диаметр ПП является критическим анатомическим фактором риска КЗ-ПС после ГПДР: в серии пациентов с протоком ≤ 3 мм частота ПС достигает до 57,8%,</w:t>
      </w:r>
      <w:r>
        <w:rPr>
          <w:spacing w:val="-4"/>
        </w:rPr>
        <w:t xml:space="preserve"> </w:t>
      </w:r>
      <w:r>
        <w:t>тогда</w:t>
      </w:r>
      <w:r>
        <w:rPr>
          <w:spacing w:val="-5"/>
        </w:rPr>
        <w:t xml:space="preserve"> </w:t>
      </w:r>
      <w:r>
        <w:t>как</w:t>
      </w:r>
      <w:r>
        <w:rPr>
          <w:spacing w:val="-6"/>
        </w:rPr>
        <w:t xml:space="preserve"> </w:t>
      </w:r>
      <w:r>
        <w:t>у</w:t>
      </w:r>
      <w:r>
        <w:rPr>
          <w:spacing w:val="-10"/>
        </w:rPr>
        <w:t xml:space="preserve"> </w:t>
      </w:r>
      <w:r>
        <w:t>пациентов</w:t>
      </w:r>
      <w:r>
        <w:rPr>
          <w:spacing w:val="-7"/>
        </w:rPr>
        <w:t xml:space="preserve"> </w:t>
      </w:r>
      <w:r>
        <w:t>с</w:t>
      </w:r>
      <w:r>
        <w:rPr>
          <w:spacing w:val="-5"/>
        </w:rPr>
        <w:t xml:space="preserve"> </w:t>
      </w:r>
      <w:r>
        <w:t>протоком</w:t>
      </w:r>
      <w:r>
        <w:rPr>
          <w:spacing w:val="-1"/>
        </w:rPr>
        <w:t xml:space="preserve"> </w:t>
      </w:r>
      <w:r>
        <w:t>&gt;</w:t>
      </w:r>
      <w:r>
        <w:rPr>
          <w:spacing w:val="-9"/>
        </w:rPr>
        <w:t xml:space="preserve"> </w:t>
      </w:r>
      <w:r>
        <w:t>3</w:t>
      </w:r>
      <w:r>
        <w:rPr>
          <w:spacing w:val="-6"/>
        </w:rPr>
        <w:t xml:space="preserve"> </w:t>
      </w:r>
      <w:r>
        <w:t>мм</w:t>
      </w:r>
      <w:r>
        <w:rPr>
          <w:spacing w:val="-9"/>
        </w:rPr>
        <w:t xml:space="preserve"> </w:t>
      </w:r>
      <w:r>
        <w:t>частота</w:t>
      </w:r>
      <w:r>
        <w:rPr>
          <w:spacing w:val="-5"/>
        </w:rPr>
        <w:t xml:space="preserve"> </w:t>
      </w:r>
      <w:r>
        <w:t>ПС</w:t>
      </w:r>
      <w:r>
        <w:rPr>
          <w:spacing w:val="-6"/>
        </w:rPr>
        <w:t xml:space="preserve"> </w:t>
      </w:r>
      <w:r>
        <w:t>составляла</w:t>
      </w:r>
      <w:r>
        <w:rPr>
          <w:spacing w:val="4"/>
        </w:rPr>
        <w:t xml:space="preserve"> </w:t>
      </w:r>
      <w:r>
        <w:t>38,4%</w:t>
      </w:r>
      <w:r>
        <w:rPr>
          <w:spacing w:val="-6"/>
        </w:rPr>
        <w:t xml:space="preserve"> </w:t>
      </w:r>
      <w:r>
        <w:rPr>
          <w:spacing w:val="-5"/>
        </w:rPr>
        <w:t>(p</w:t>
      </w:r>
    </w:p>
    <w:p w14:paraId="0AC8B6E8">
      <w:pPr>
        <w:pStyle w:val="7"/>
        <w:ind w:left="0" w:right="3" w:firstLine="0"/>
      </w:pPr>
      <w:r>
        <w:t>&lt; 0,001), а узкий проток оставался независимым фактором риска (OR ≈ 2,06) [105].</w:t>
      </w:r>
      <w:r>
        <w:rPr>
          <w:spacing w:val="-18"/>
        </w:rPr>
        <w:t xml:space="preserve"> </w:t>
      </w:r>
      <w:r>
        <w:t>Другие</w:t>
      </w:r>
      <w:r>
        <w:rPr>
          <w:spacing w:val="-17"/>
        </w:rPr>
        <w:t xml:space="preserve"> </w:t>
      </w:r>
      <w:r>
        <w:t>исследования</w:t>
      </w:r>
      <w:r>
        <w:rPr>
          <w:spacing w:val="-18"/>
        </w:rPr>
        <w:t xml:space="preserve"> </w:t>
      </w:r>
      <w:r>
        <w:t>подтверждают,</w:t>
      </w:r>
      <w:r>
        <w:rPr>
          <w:spacing w:val="-17"/>
        </w:rPr>
        <w:t xml:space="preserve"> </w:t>
      </w:r>
      <w:r>
        <w:t>что</w:t>
      </w:r>
      <w:r>
        <w:rPr>
          <w:spacing w:val="-18"/>
        </w:rPr>
        <w:t xml:space="preserve"> </w:t>
      </w:r>
      <w:r>
        <w:t>риск</w:t>
      </w:r>
      <w:r>
        <w:rPr>
          <w:spacing w:val="-17"/>
        </w:rPr>
        <w:t xml:space="preserve"> </w:t>
      </w:r>
      <w:r>
        <w:t>ПС</w:t>
      </w:r>
      <w:r>
        <w:rPr>
          <w:spacing w:val="-18"/>
        </w:rPr>
        <w:t xml:space="preserve"> </w:t>
      </w:r>
      <w:r>
        <w:t>может</w:t>
      </w:r>
      <w:r>
        <w:rPr>
          <w:spacing w:val="-17"/>
        </w:rPr>
        <w:t xml:space="preserve"> </w:t>
      </w:r>
      <w:r>
        <w:t>быть</w:t>
      </w:r>
      <w:r>
        <w:rPr>
          <w:spacing w:val="-18"/>
        </w:rPr>
        <w:t xml:space="preserve"> </w:t>
      </w:r>
      <w:r>
        <w:t>значительно выше</w:t>
      </w:r>
      <w:r>
        <w:rPr>
          <w:spacing w:val="-4"/>
        </w:rPr>
        <w:t xml:space="preserve"> </w:t>
      </w:r>
      <w:r>
        <w:t>(до</w:t>
      </w:r>
      <w:r>
        <w:rPr>
          <w:spacing w:val="-6"/>
        </w:rPr>
        <w:t xml:space="preserve"> </w:t>
      </w:r>
      <w:r>
        <w:t>≈7,9</w:t>
      </w:r>
      <w:r>
        <w:rPr>
          <w:spacing w:val="-6"/>
        </w:rPr>
        <w:t xml:space="preserve"> </w:t>
      </w:r>
      <w:r>
        <w:t>раза)</w:t>
      </w:r>
      <w:r>
        <w:rPr>
          <w:spacing w:val="-8"/>
        </w:rPr>
        <w:t xml:space="preserve"> </w:t>
      </w:r>
      <w:r>
        <w:t>при</w:t>
      </w:r>
      <w:r>
        <w:rPr>
          <w:spacing w:val="-7"/>
        </w:rPr>
        <w:t xml:space="preserve"> </w:t>
      </w:r>
      <w:r>
        <w:t>протоке</w:t>
      </w:r>
      <w:r>
        <w:rPr>
          <w:spacing w:val="-6"/>
        </w:rPr>
        <w:t xml:space="preserve"> </w:t>
      </w:r>
      <w:r>
        <w:t>≤</w:t>
      </w:r>
      <w:r>
        <w:rPr>
          <w:spacing w:val="-6"/>
        </w:rPr>
        <w:t xml:space="preserve"> </w:t>
      </w:r>
      <w:r>
        <w:t>3</w:t>
      </w:r>
      <w:r>
        <w:rPr>
          <w:spacing w:val="-6"/>
        </w:rPr>
        <w:t xml:space="preserve"> </w:t>
      </w:r>
      <w:r>
        <w:t>мм</w:t>
      </w:r>
      <w:r>
        <w:rPr>
          <w:spacing w:val="-5"/>
        </w:rPr>
        <w:t xml:space="preserve"> </w:t>
      </w:r>
      <w:r>
        <w:t>по</w:t>
      </w:r>
      <w:r>
        <w:rPr>
          <w:spacing w:val="-6"/>
        </w:rPr>
        <w:t xml:space="preserve"> </w:t>
      </w:r>
      <w:r>
        <w:t>сравнению</w:t>
      </w:r>
      <w:r>
        <w:rPr>
          <w:spacing w:val="-8"/>
        </w:rPr>
        <w:t xml:space="preserve"> </w:t>
      </w:r>
      <w:r>
        <w:t>с</w:t>
      </w:r>
      <w:r>
        <w:rPr>
          <w:spacing w:val="-6"/>
        </w:rPr>
        <w:t xml:space="preserve"> </w:t>
      </w:r>
      <w:r>
        <w:t>протоком</w:t>
      </w:r>
      <w:r>
        <w:rPr>
          <w:spacing w:val="-5"/>
        </w:rPr>
        <w:t xml:space="preserve"> </w:t>
      </w:r>
      <w:r>
        <w:t>&gt;</w:t>
      </w:r>
      <w:r>
        <w:rPr>
          <w:spacing w:val="-5"/>
        </w:rPr>
        <w:t xml:space="preserve"> </w:t>
      </w:r>
      <w:r>
        <w:t>3</w:t>
      </w:r>
      <w:r>
        <w:rPr>
          <w:spacing w:val="-6"/>
        </w:rPr>
        <w:t xml:space="preserve"> </w:t>
      </w:r>
      <w:r>
        <w:t>мм</w:t>
      </w:r>
      <w:r>
        <w:rPr>
          <w:spacing w:val="-5"/>
        </w:rPr>
        <w:t xml:space="preserve"> </w:t>
      </w:r>
      <w:r>
        <w:t>[106],</w:t>
      </w:r>
      <w:r>
        <w:rPr>
          <w:spacing w:val="-4"/>
        </w:rPr>
        <w:t xml:space="preserve"> </w:t>
      </w:r>
      <w:r>
        <w:t>и в российских клинических исследованиях, где маленький диаметр ПП достоверно ассоциирован с развитием ПС после ГПДР .</w:t>
      </w:r>
    </w:p>
    <w:p w14:paraId="511DA6C4">
      <w:pPr>
        <w:pStyle w:val="7"/>
        <w:spacing w:before="67"/>
        <w:ind w:left="0" w:right="3" w:firstLine="709"/>
      </w:pPr>
      <w:r>
        <w:t>Наиболее неблагоприятной считается комбинация мягкой консистенции ПЖ и узкого диаметра ПП (≤3–4 мм), при которой риск формирования КЗ-ПС увеличивается в 3–4 раза по сравнению с пациентами с плотной железой и расширенным</w:t>
      </w:r>
      <w:r>
        <w:rPr>
          <w:spacing w:val="-5"/>
        </w:rPr>
        <w:t xml:space="preserve"> </w:t>
      </w:r>
      <w:r>
        <w:t>протоком,</w:t>
      </w:r>
      <w:r>
        <w:rPr>
          <w:spacing w:val="-3"/>
        </w:rPr>
        <w:t xml:space="preserve"> </w:t>
      </w:r>
      <w:r>
        <w:t>что</w:t>
      </w:r>
      <w:r>
        <w:rPr>
          <w:spacing w:val="-6"/>
        </w:rPr>
        <w:t xml:space="preserve"> </w:t>
      </w:r>
      <w:r>
        <w:t>подтверждено</w:t>
      </w:r>
      <w:r>
        <w:rPr>
          <w:spacing w:val="-6"/>
        </w:rPr>
        <w:t xml:space="preserve"> </w:t>
      </w:r>
      <w:r>
        <w:t>данными</w:t>
      </w:r>
      <w:r>
        <w:rPr>
          <w:spacing w:val="-6"/>
        </w:rPr>
        <w:t xml:space="preserve"> </w:t>
      </w:r>
      <w:r>
        <w:t>национальных</w:t>
      </w:r>
      <w:r>
        <w:rPr>
          <w:spacing w:val="-10"/>
        </w:rPr>
        <w:t xml:space="preserve"> </w:t>
      </w:r>
      <w:r>
        <w:t>регистров</w:t>
      </w:r>
      <w:r>
        <w:rPr>
          <w:spacing w:val="-7"/>
        </w:rPr>
        <w:t xml:space="preserve"> </w:t>
      </w:r>
      <w:r>
        <w:t>и многоцентровых исследований [107–109].</w:t>
      </w:r>
    </w:p>
    <w:p w14:paraId="799387CA">
      <w:pPr>
        <w:pStyle w:val="7"/>
        <w:spacing w:before="4"/>
        <w:ind w:left="0" w:right="3" w:firstLine="709"/>
      </w:pPr>
      <w:r>
        <w:t>Согласно данным оригинальной валидации и последующих многоцентровых исследований, частота КЗ-ПС составляет около 2–5% в группе низкого риска, 10–20% — в группе умеренного риска и достигает 30–60% у пациентов высокого риска, что подтверждает клиническую значимость данной стратификации FRS [110].</w:t>
      </w:r>
    </w:p>
    <w:p w14:paraId="2BCD4160">
      <w:pPr>
        <w:pStyle w:val="7"/>
        <w:ind w:left="0" w:right="3" w:firstLine="709"/>
      </w:pPr>
      <w:r>
        <w:t>В дальнейшем была предложена упрощённая модель — Альтернативный Fistula Risk Score (a-FRS), основанный на консистенции ПЖ, диаметре ПП и ИМТ, демонстрирует сопоставимую с классической шкалой прогностическую точность. По данным внешних валидирующих исследований частота КЗ-ПС составляет 6% в группе низкого риска, возрастает до 20–25% при промежуточном риске и может достигать ≥50% в группе высокого риска, что подтверждает клиническую значимость риск-стратификации [111,112].</w:t>
      </w:r>
    </w:p>
    <w:p w14:paraId="7C51D66A">
      <w:pPr>
        <w:pStyle w:val="7"/>
        <w:spacing w:before="1"/>
        <w:ind w:left="0" w:right="3" w:firstLine="709"/>
      </w:pPr>
      <w:r>
        <w:t>Среди интраоперационных факторов существенное значение имеют объём кровопотери, необходимость трансфузий и длительность операции, которые ассоциированы с увеличением частоты КЗ-ПС на 1,5–2 раза по сравнению с неосложнёнными вмешательствами [113,114].</w:t>
      </w:r>
    </w:p>
    <w:p w14:paraId="6A9B98D7">
      <w:pPr>
        <w:pStyle w:val="7"/>
        <w:ind w:left="0" w:right="3" w:firstLine="709"/>
      </w:pPr>
      <w:r>
        <w:t>Техника формирования ПЕА оказывает существенное влияние на риск КЗ- ПС. В современных сравнительных исследованиях показано, что модифицированные варианты анастомоза типа Блюмгарт обеспечивают более низкую частоту КЗ-ПС по сравнению с традиционными методиками реконструкции.</w:t>
      </w:r>
      <w:r>
        <w:rPr>
          <w:spacing w:val="-1"/>
        </w:rPr>
        <w:t xml:space="preserve"> </w:t>
      </w:r>
      <w:r>
        <w:t>Так, Ye et</w:t>
      </w:r>
      <w:r>
        <w:rPr>
          <w:spacing w:val="-3"/>
        </w:rPr>
        <w:t xml:space="preserve"> </w:t>
      </w:r>
      <w:r>
        <w:t>al. сообщили</w:t>
      </w:r>
      <w:r>
        <w:rPr>
          <w:spacing w:val="-3"/>
        </w:rPr>
        <w:t xml:space="preserve"> </w:t>
      </w:r>
      <w:r>
        <w:t>о</w:t>
      </w:r>
      <w:r>
        <w:rPr>
          <w:spacing w:val="-3"/>
        </w:rPr>
        <w:t xml:space="preserve"> </w:t>
      </w:r>
      <w:r>
        <w:t>снижении</w:t>
      </w:r>
      <w:r>
        <w:rPr>
          <w:spacing w:val="-3"/>
        </w:rPr>
        <w:t xml:space="preserve"> </w:t>
      </w:r>
      <w:r>
        <w:t>частоты</w:t>
      </w:r>
      <w:r>
        <w:rPr>
          <w:spacing w:val="-3"/>
        </w:rPr>
        <w:t xml:space="preserve"> </w:t>
      </w:r>
      <w:r>
        <w:t>КЗ-ПС</w:t>
      </w:r>
      <w:r>
        <w:rPr>
          <w:spacing w:val="-2"/>
        </w:rPr>
        <w:t xml:space="preserve"> </w:t>
      </w:r>
      <w:r>
        <w:t>до</w:t>
      </w:r>
      <w:r>
        <w:rPr>
          <w:spacing w:val="-2"/>
        </w:rPr>
        <w:t xml:space="preserve"> </w:t>
      </w:r>
      <w:r>
        <w:t>6,4%</w:t>
      </w:r>
      <w:r>
        <w:rPr>
          <w:spacing w:val="-3"/>
        </w:rPr>
        <w:t xml:space="preserve"> </w:t>
      </w:r>
      <w:r>
        <w:t>при использовании модифицированного Блюмгарт по сравнению с 15,6% со стандартным методами (p = 0,031) [115]. Аналогичные результаты получены в клинических сериях Satoi et al., где применение модифицированного Блюмгарт анастомоза без стентирования ПП сопровождалось уменьшением частоты ПС [116].</w:t>
      </w:r>
      <w:r>
        <w:rPr>
          <w:spacing w:val="-17"/>
        </w:rPr>
        <w:t xml:space="preserve"> </w:t>
      </w:r>
      <w:r>
        <w:t>Ранние</w:t>
      </w:r>
      <w:r>
        <w:rPr>
          <w:spacing w:val="-17"/>
        </w:rPr>
        <w:t xml:space="preserve"> </w:t>
      </w:r>
      <w:r>
        <w:t>сравнительные</w:t>
      </w:r>
      <w:r>
        <w:rPr>
          <w:spacing w:val="-17"/>
        </w:rPr>
        <w:t xml:space="preserve"> </w:t>
      </w:r>
      <w:r>
        <w:t>исследования</w:t>
      </w:r>
      <w:r>
        <w:rPr>
          <w:spacing w:val="-17"/>
        </w:rPr>
        <w:t xml:space="preserve"> </w:t>
      </w:r>
      <w:r>
        <w:t>Fujii</w:t>
      </w:r>
      <w:r>
        <w:rPr>
          <w:spacing w:val="-17"/>
        </w:rPr>
        <w:t xml:space="preserve"> </w:t>
      </w:r>
      <w:r>
        <w:t>et</w:t>
      </w:r>
      <w:r>
        <w:rPr>
          <w:spacing w:val="-18"/>
        </w:rPr>
        <w:t xml:space="preserve"> </w:t>
      </w:r>
      <w:r>
        <w:t>al.</w:t>
      </w:r>
      <w:r>
        <w:rPr>
          <w:spacing w:val="-16"/>
        </w:rPr>
        <w:t xml:space="preserve"> </w:t>
      </w:r>
      <w:r>
        <w:t>также</w:t>
      </w:r>
      <w:r>
        <w:rPr>
          <w:spacing w:val="-17"/>
        </w:rPr>
        <w:t xml:space="preserve"> </w:t>
      </w:r>
      <w:r>
        <w:t>продемонстрировали выраженное преимущество техники Блюмгарт по сравнению с Kakita анастомозом (2,5% против 36% КЗ-ПС) [117].</w:t>
      </w:r>
    </w:p>
    <w:p w14:paraId="6E436584">
      <w:pPr>
        <w:pStyle w:val="7"/>
        <w:spacing w:before="1"/>
        <w:ind w:left="0" w:right="3" w:firstLine="709"/>
      </w:pPr>
      <w:r>
        <w:t>ААД на первые сутки после ГПДР показывает высокую прогностическую ценность</w:t>
      </w:r>
      <w:r>
        <w:rPr>
          <w:spacing w:val="-15"/>
        </w:rPr>
        <w:t xml:space="preserve"> </w:t>
      </w:r>
      <w:r>
        <w:t>для</w:t>
      </w:r>
      <w:r>
        <w:rPr>
          <w:spacing w:val="-11"/>
        </w:rPr>
        <w:t xml:space="preserve"> </w:t>
      </w:r>
      <w:r>
        <w:t>выявления</w:t>
      </w:r>
      <w:r>
        <w:rPr>
          <w:spacing w:val="-12"/>
        </w:rPr>
        <w:t xml:space="preserve"> </w:t>
      </w:r>
      <w:r>
        <w:t>пациентов</w:t>
      </w:r>
      <w:r>
        <w:rPr>
          <w:spacing w:val="-15"/>
        </w:rPr>
        <w:t xml:space="preserve"> </w:t>
      </w:r>
      <w:r>
        <w:t>с</w:t>
      </w:r>
      <w:r>
        <w:rPr>
          <w:spacing w:val="-9"/>
        </w:rPr>
        <w:t xml:space="preserve"> </w:t>
      </w:r>
      <w:r>
        <w:t>повышенным</w:t>
      </w:r>
      <w:r>
        <w:rPr>
          <w:spacing w:val="-12"/>
        </w:rPr>
        <w:t xml:space="preserve"> </w:t>
      </w:r>
      <w:r>
        <w:t>риском</w:t>
      </w:r>
      <w:r>
        <w:rPr>
          <w:spacing w:val="-12"/>
        </w:rPr>
        <w:t xml:space="preserve"> </w:t>
      </w:r>
      <w:r>
        <w:t>КЗ-ПС.</w:t>
      </w:r>
      <w:r>
        <w:rPr>
          <w:spacing w:val="-11"/>
        </w:rPr>
        <w:t xml:space="preserve"> </w:t>
      </w:r>
      <w:r>
        <w:t xml:space="preserve">Современные клинические исследования продемонстрировали, что повышенные уровни ААД на на первые сутки тесно коррелируют с частотой развития КЗ-ПС, а определение пороговых значений позволяет существенно улучшить стратификацию риска и планирование послеоперационного ведения пациентов </w:t>
      </w:r>
      <w:r>
        <w:rPr>
          <w:spacing w:val="-2"/>
        </w:rPr>
        <w:t>[118–120].</w:t>
      </w:r>
    </w:p>
    <w:p w14:paraId="2A9A6AFF">
      <w:pPr>
        <w:pStyle w:val="7"/>
        <w:ind w:left="0" w:right="3" w:firstLine="709"/>
      </w:pPr>
      <w:r>
        <w:t>КЗ-ПС после ГПДР сопровождаются существенным ухудшением послеоперационных исходов, увеличением частоты внутрибрюшных инфекций и абсцессов, ростом потребности в повторных операциях, удлинением сроков госпитализации и повышением риска септических осложнений [121–125].</w:t>
      </w:r>
    </w:p>
    <w:p w14:paraId="01077DCD">
      <w:pPr>
        <w:pStyle w:val="7"/>
        <w:spacing w:before="1"/>
        <w:ind w:left="0" w:firstLine="709"/>
      </w:pPr>
      <w:r>
        <w:t>Особую</w:t>
      </w:r>
      <w:r>
        <w:rPr>
          <w:spacing w:val="-13"/>
        </w:rPr>
        <w:t xml:space="preserve"> </w:t>
      </w:r>
      <w:r>
        <w:t>опасность</w:t>
      </w:r>
      <w:r>
        <w:rPr>
          <w:spacing w:val="-14"/>
        </w:rPr>
        <w:t xml:space="preserve"> </w:t>
      </w:r>
      <w:r>
        <w:t>представляет</w:t>
      </w:r>
      <w:r>
        <w:rPr>
          <w:spacing w:val="-13"/>
        </w:rPr>
        <w:t xml:space="preserve"> </w:t>
      </w:r>
      <w:r>
        <w:t>связь</w:t>
      </w:r>
      <w:r>
        <w:rPr>
          <w:spacing w:val="-13"/>
        </w:rPr>
        <w:t xml:space="preserve"> </w:t>
      </w:r>
      <w:r>
        <w:t>КЗ-ПС</w:t>
      </w:r>
      <w:r>
        <w:rPr>
          <w:spacing w:val="-10"/>
        </w:rPr>
        <w:t xml:space="preserve"> </w:t>
      </w:r>
      <w:r>
        <w:t>с</w:t>
      </w:r>
      <w:r>
        <w:rPr>
          <w:spacing w:val="-12"/>
        </w:rPr>
        <w:t xml:space="preserve"> </w:t>
      </w:r>
      <w:r>
        <w:t>аррозивным</w:t>
      </w:r>
      <w:r>
        <w:rPr>
          <w:spacing w:val="-10"/>
        </w:rPr>
        <w:t xml:space="preserve"> </w:t>
      </w:r>
      <w:r>
        <w:rPr>
          <w:spacing w:val="-2"/>
        </w:rPr>
        <w:t>кровотечением.</w:t>
      </w:r>
    </w:p>
    <w:p w14:paraId="1771C7B0">
      <w:pPr>
        <w:pStyle w:val="7"/>
        <w:spacing w:before="67"/>
        <w:ind w:left="0" w:right="3" w:firstLine="709"/>
      </w:pPr>
      <w:r>
        <w:t>По</w:t>
      </w:r>
      <w:r>
        <w:rPr>
          <w:spacing w:val="-2"/>
        </w:rPr>
        <w:t xml:space="preserve"> </w:t>
      </w:r>
      <w:r>
        <w:t>данным</w:t>
      </w:r>
      <w:r>
        <w:rPr>
          <w:spacing w:val="-1"/>
        </w:rPr>
        <w:t xml:space="preserve"> </w:t>
      </w:r>
      <w:r>
        <w:t>современных</w:t>
      </w:r>
      <w:r>
        <w:rPr>
          <w:spacing w:val="-6"/>
        </w:rPr>
        <w:t xml:space="preserve"> </w:t>
      </w:r>
      <w:r>
        <w:t>исследований, аррозивное</w:t>
      </w:r>
      <w:r>
        <w:rPr>
          <w:spacing w:val="-1"/>
        </w:rPr>
        <w:t xml:space="preserve"> </w:t>
      </w:r>
      <w:r>
        <w:t>кровотечение развивается</w:t>
      </w:r>
      <w:r>
        <w:rPr>
          <w:spacing w:val="-1"/>
        </w:rPr>
        <w:t xml:space="preserve"> </w:t>
      </w:r>
      <w:r>
        <w:t>у 8–16% пациентов после ГПДР, при этом большинство случаев позднего кровотечения</w:t>
      </w:r>
      <w:r>
        <w:rPr>
          <w:spacing w:val="-18"/>
        </w:rPr>
        <w:t xml:space="preserve"> </w:t>
      </w:r>
      <w:r>
        <w:t>ассоциировано</w:t>
      </w:r>
      <w:r>
        <w:rPr>
          <w:spacing w:val="-17"/>
        </w:rPr>
        <w:t xml:space="preserve"> </w:t>
      </w:r>
      <w:r>
        <w:t>с</w:t>
      </w:r>
      <w:r>
        <w:rPr>
          <w:spacing w:val="-18"/>
        </w:rPr>
        <w:t xml:space="preserve"> </w:t>
      </w:r>
      <w:r>
        <w:t>наличием</w:t>
      </w:r>
      <w:r>
        <w:rPr>
          <w:spacing w:val="-17"/>
        </w:rPr>
        <w:t xml:space="preserve"> </w:t>
      </w:r>
      <w:r>
        <w:t>КЗ-ПС.</w:t>
      </w:r>
      <w:r>
        <w:rPr>
          <w:spacing w:val="-18"/>
        </w:rPr>
        <w:t xml:space="preserve"> </w:t>
      </w:r>
      <w:r>
        <w:t>В</w:t>
      </w:r>
      <w:r>
        <w:rPr>
          <w:spacing w:val="-17"/>
        </w:rPr>
        <w:t xml:space="preserve"> </w:t>
      </w:r>
      <w:r>
        <w:t>группе</w:t>
      </w:r>
      <w:r>
        <w:rPr>
          <w:spacing w:val="-18"/>
        </w:rPr>
        <w:t xml:space="preserve"> </w:t>
      </w:r>
      <w:r>
        <w:t>пациентов</w:t>
      </w:r>
      <w:r>
        <w:rPr>
          <w:spacing w:val="-17"/>
        </w:rPr>
        <w:t xml:space="preserve"> </w:t>
      </w:r>
      <w:r>
        <w:t>со</w:t>
      </w:r>
      <w:r>
        <w:rPr>
          <w:spacing w:val="-18"/>
        </w:rPr>
        <w:t xml:space="preserve"> </w:t>
      </w:r>
      <w:r>
        <w:t>свищами частота тяжёлых кровотечений достигает 20–30%, а развитие кровотечения сопровождается кратным увеличением послеоперационной летальности, достигающей 20–30%, что подчёркивает клиническую значимость данного осложнения [126–129].</w:t>
      </w:r>
    </w:p>
    <w:p w14:paraId="030676D8">
      <w:pPr>
        <w:pStyle w:val="7"/>
        <w:spacing w:before="3"/>
        <w:ind w:left="0" w:right="3" w:firstLine="709"/>
      </w:pPr>
      <w:r>
        <w:t>Кроме того, развитие КЗ-ПС приводит к увеличению длительности госпитализации в среднем на 10–20 суток, росту частоты повторных госпитализаций и значительному увеличению экономических затрат. В онкологической практике КЗ-ПС ассоциированы с задержкой начала адъювантной терапии у 30–40% пациентов, что негативно отражается на комплексных результатах лечения [130–133].</w:t>
      </w:r>
    </w:p>
    <w:p w14:paraId="2A09FB86">
      <w:pPr>
        <w:pStyle w:val="7"/>
        <w:spacing w:before="3"/>
        <w:ind w:left="0" w:firstLine="709"/>
        <w:jc w:val="left"/>
      </w:pPr>
    </w:p>
    <w:p w14:paraId="5C03049B">
      <w:pPr>
        <w:pStyle w:val="3"/>
        <w:numPr>
          <w:ilvl w:val="1"/>
          <w:numId w:val="8"/>
        </w:numPr>
        <w:tabs>
          <w:tab w:val="left" w:pos="1555"/>
        </w:tabs>
        <w:ind w:left="0" w:right="3" w:firstLine="709"/>
      </w:pPr>
      <w:r>
        <w:t>Профилактика панкреатических свищей после ГПДР при опухолях периампулярной зоны</w:t>
      </w:r>
    </w:p>
    <w:p w14:paraId="7AD49AFD">
      <w:pPr>
        <w:pStyle w:val="7"/>
        <w:ind w:left="0" w:right="3" w:firstLine="709"/>
      </w:pPr>
      <w:r>
        <w:t xml:space="preserve">ПС остаётся ведущим специфическим осложнением ГПДР и одной из основных причин тяжёлых послеоперационных осложнений, повторных хирургических вмешательств, внутрибольничной летальности и увеличения продолжительности госпитализации [134,135]. Согласно данным многоцентровых регистров и метаанализов, частота КЗ-ПС варьирует от 10 до 25% даже в специализированных высокообъёмных центрах, что подчёркивает сохраняющуюся актуальность проблемы профилактики данного осложнения </w:t>
      </w:r>
      <w:r>
        <w:rPr>
          <w:spacing w:val="-2"/>
        </w:rPr>
        <w:t>[136,137].</w:t>
      </w:r>
    </w:p>
    <w:p w14:paraId="494ADAFD">
      <w:pPr>
        <w:pStyle w:val="7"/>
        <w:ind w:left="0" w:right="3" w:firstLine="709"/>
      </w:pPr>
      <w:r>
        <w:t>Современная</w:t>
      </w:r>
      <w:r>
        <w:rPr>
          <w:spacing w:val="-18"/>
        </w:rPr>
        <w:t xml:space="preserve"> </w:t>
      </w:r>
      <w:r>
        <w:t>концепция</w:t>
      </w:r>
      <w:r>
        <w:rPr>
          <w:spacing w:val="-17"/>
        </w:rPr>
        <w:t xml:space="preserve"> </w:t>
      </w:r>
      <w:r>
        <w:t>профилактики</w:t>
      </w:r>
      <w:r>
        <w:rPr>
          <w:spacing w:val="-18"/>
        </w:rPr>
        <w:t xml:space="preserve"> </w:t>
      </w:r>
      <w:r>
        <w:t>ПС</w:t>
      </w:r>
      <w:r>
        <w:rPr>
          <w:spacing w:val="-17"/>
        </w:rPr>
        <w:t xml:space="preserve"> </w:t>
      </w:r>
      <w:r>
        <w:t>базируется</w:t>
      </w:r>
      <w:r>
        <w:rPr>
          <w:spacing w:val="-18"/>
        </w:rPr>
        <w:t xml:space="preserve"> </w:t>
      </w:r>
      <w:r>
        <w:t>на</w:t>
      </w:r>
      <w:r>
        <w:rPr>
          <w:spacing w:val="-17"/>
        </w:rPr>
        <w:t xml:space="preserve"> </w:t>
      </w:r>
      <w:r>
        <w:t>многофакторном и риск-адаптированном подходе, включающем оптимизацию состояния пациента, совершенствование хирургической техники, рациональное использование вспомогательных технологий и динамическое послеоперационное наблюдение [138,139]. Многочисленные исследования показывают, что исход формирования ПЕА определяется не только техническими аспектами операции, но и совокупным влиянием системных, анатомических и интраоперационных факторов [140,141].</w:t>
      </w:r>
    </w:p>
    <w:p w14:paraId="57BFF825">
      <w:pPr>
        <w:pStyle w:val="7"/>
        <w:ind w:left="0" w:right="3" w:firstLine="709"/>
      </w:pPr>
      <w:r>
        <w:t>Существенное значение в профилактике ПС имеет предоперационная оптимизация пациентов. Установлено, что гипоальбуминемия, нутритивная недостаточность, саркопения, выраженная механическая желтуха и системное воспаление ассоциированы с повышенным риском несостоятельности ПЕА и развитием КЗ-ПС [142–144]. Проведение целенаправленной нутритивной поддержки, коррекция анемии и электролитных нарушений, а также оптимизация гликемического контроля у пациентов с сахарным диабетом способствуют улучшению репаративных процессов и снижению частоты инфекционных осложнений [145].</w:t>
      </w:r>
    </w:p>
    <w:p w14:paraId="7A9F9448">
      <w:pPr>
        <w:pStyle w:val="7"/>
        <w:ind w:left="0" w:right="3" w:firstLine="709"/>
      </w:pPr>
      <w:r>
        <w:t>Роль предоперационного билиарного дренирования остаётся предметом дискуссий. Рандомизированные исследования и метаанализы показали, что рутинное дренирование при опухолях ГПЖ не снижает частоту ПС, но сопровождается</w:t>
      </w:r>
      <w:r>
        <w:rPr>
          <w:spacing w:val="80"/>
        </w:rPr>
        <w:t xml:space="preserve"> </w:t>
      </w:r>
      <w:r>
        <w:t>повышением</w:t>
      </w:r>
      <w:r>
        <w:rPr>
          <w:spacing w:val="80"/>
        </w:rPr>
        <w:t xml:space="preserve"> </w:t>
      </w:r>
      <w:r>
        <w:t>риска</w:t>
      </w:r>
      <w:r>
        <w:rPr>
          <w:spacing w:val="80"/>
        </w:rPr>
        <w:t xml:space="preserve"> </w:t>
      </w:r>
      <w:r>
        <w:t>бактериальной</w:t>
      </w:r>
      <w:r>
        <w:rPr>
          <w:spacing w:val="80"/>
        </w:rPr>
        <w:t xml:space="preserve"> </w:t>
      </w:r>
      <w:r>
        <w:t>контаминации</w:t>
      </w:r>
      <w:r>
        <w:rPr>
          <w:spacing w:val="80"/>
        </w:rPr>
        <w:t xml:space="preserve"> </w:t>
      </w:r>
      <w:r>
        <w:t>желчи</w:t>
      </w:r>
      <w:r>
        <w:rPr>
          <w:spacing w:val="80"/>
        </w:rPr>
        <w:t xml:space="preserve"> </w:t>
      </w:r>
      <w:r>
        <w:t>и</w:t>
      </w:r>
    </w:p>
    <w:p w14:paraId="57087D20">
      <w:pPr>
        <w:pStyle w:val="7"/>
        <w:spacing w:before="67"/>
        <w:ind w:left="0" w:right="3" w:firstLine="0"/>
      </w:pPr>
      <w:r>
        <w:t>послеоперационных инфекционных осложнений [146,147]. В настоящее время билиарное дренирование рекомендуется выполнять селективно — при наличии холангита, тяжёлой гипербилирубинемии и необходимости отсрочки оперативного вмешательства [148].</w:t>
      </w:r>
    </w:p>
    <w:p w14:paraId="7BB50EE9">
      <w:pPr>
        <w:pStyle w:val="7"/>
        <w:spacing w:before="4"/>
        <w:ind w:left="0" w:right="3" w:firstLine="720"/>
      </w:pPr>
      <w:r>
        <w:t>Ключевое</w:t>
      </w:r>
      <w:r>
        <w:rPr>
          <w:spacing w:val="-14"/>
        </w:rPr>
        <w:t xml:space="preserve"> </w:t>
      </w:r>
      <w:r>
        <w:t>значение</w:t>
      </w:r>
      <w:r>
        <w:rPr>
          <w:spacing w:val="-11"/>
        </w:rPr>
        <w:t xml:space="preserve"> </w:t>
      </w:r>
      <w:r>
        <w:t>в</w:t>
      </w:r>
      <w:r>
        <w:rPr>
          <w:spacing w:val="-17"/>
        </w:rPr>
        <w:t xml:space="preserve"> </w:t>
      </w:r>
      <w:r>
        <w:t>профилактике</w:t>
      </w:r>
      <w:r>
        <w:rPr>
          <w:spacing w:val="-11"/>
        </w:rPr>
        <w:t xml:space="preserve"> </w:t>
      </w:r>
      <w:r>
        <w:t>ПС</w:t>
      </w:r>
      <w:r>
        <w:rPr>
          <w:spacing w:val="-14"/>
        </w:rPr>
        <w:t xml:space="preserve"> </w:t>
      </w:r>
      <w:r>
        <w:t>принадлежит</w:t>
      </w:r>
      <w:r>
        <w:rPr>
          <w:spacing w:val="-14"/>
        </w:rPr>
        <w:t xml:space="preserve"> </w:t>
      </w:r>
      <w:r>
        <w:t>интраоперационным техническим факторам. Выбор метода формирования ПЕА</w:t>
      </w:r>
      <w:r>
        <w:rPr>
          <w:spacing w:val="-1"/>
        </w:rPr>
        <w:t xml:space="preserve"> </w:t>
      </w:r>
      <w:r>
        <w:t>рассматривается как один</w:t>
      </w:r>
      <w:r>
        <w:rPr>
          <w:spacing w:val="-12"/>
        </w:rPr>
        <w:t xml:space="preserve"> </w:t>
      </w:r>
      <w:r>
        <w:t>из</w:t>
      </w:r>
      <w:r>
        <w:rPr>
          <w:spacing w:val="-11"/>
        </w:rPr>
        <w:t xml:space="preserve"> </w:t>
      </w:r>
      <w:r>
        <w:t>наиболее</w:t>
      </w:r>
      <w:r>
        <w:rPr>
          <w:spacing w:val="-15"/>
        </w:rPr>
        <w:t xml:space="preserve"> </w:t>
      </w:r>
      <w:r>
        <w:t>значимых</w:t>
      </w:r>
      <w:r>
        <w:rPr>
          <w:spacing w:val="-16"/>
        </w:rPr>
        <w:t xml:space="preserve"> </w:t>
      </w:r>
      <w:r>
        <w:t>элементов</w:t>
      </w:r>
      <w:r>
        <w:rPr>
          <w:spacing w:val="-9"/>
        </w:rPr>
        <w:t xml:space="preserve"> </w:t>
      </w:r>
      <w:r>
        <w:t>хирургической</w:t>
      </w:r>
      <w:r>
        <w:rPr>
          <w:spacing w:val="-11"/>
        </w:rPr>
        <w:t xml:space="preserve"> </w:t>
      </w:r>
      <w:r>
        <w:t>стратегии</w:t>
      </w:r>
      <w:r>
        <w:rPr>
          <w:spacing w:val="-12"/>
        </w:rPr>
        <w:t xml:space="preserve"> </w:t>
      </w:r>
      <w:r>
        <w:t>[149].</w:t>
      </w:r>
      <w:r>
        <w:rPr>
          <w:spacing w:val="-9"/>
        </w:rPr>
        <w:t xml:space="preserve"> </w:t>
      </w:r>
      <w:r>
        <w:t>Наиболее распространёнными техниками являются протоково-слизистый ПЕА, инвагинационные</w:t>
      </w:r>
      <w:r>
        <w:rPr>
          <w:spacing w:val="-14"/>
        </w:rPr>
        <w:t xml:space="preserve"> </w:t>
      </w:r>
      <w:r>
        <w:t>методики</w:t>
      </w:r>
      <w:r>
        <w:rPr>
          <w:spacing w:val="-14"/>
        </w:rPr>
        <w:t xml:space="preserve"> </w:t>
      </w:r>
      <w:r>
        <w:t>и</w:t>
      </w:r>
      <w:r>
        <w:rPr>
          <w:spacing w:val="-14"/>
        </w:rPr>
        <w:t xml:space="preserve"> </w:t>
      </w:r>
      <w:r>
        <w:t>различные</w:t>
      </w:r>
      <w:r>
        <w:rPr>
          <w:spacing w:val="-9"/>
        </w:rPr>
        <w:t xml:space="preserve"> </w:t>
      </w:r>
      <w:r>
        <w:t>модификации</w:t>
      </w:r>
      <w:r>
        <w:rPr>
          <w:spacing w:val="-14"/>
        </w:rPr>
        <w:t xml:space="preserve"> </w:t>
      </w:r>
      <w:r>
        <w:t>анастомозов</w:t>
      </w:r>
      <w:r>
        <w:rPr>
          <w:spacing w:val="-15"/>
        </w:rPr>
        <w:t xml:space="preserve"> </w:t>
      </w:r>
      <w:r>
        <w:t>с</w:t>
      </w:r>
      <w:r>
        <w:rPr>
          <w:spacing w:val="-13"/>
        </w:rPr>
        <w:t xml:space="preserve"> </w:t>
      </w:r>
      <w:r>
        <w:t>опорными трансфиксационными швами (Blumgart, Kakita) [150–152]. Метаанализы последних лет демонстрируют, что модифицированные техники с фиксацией культи</w:t>
      </w:r>
      <w:r>
        <w:rPr>
          <w:spacing w:val="-18"/>
        </w:rPr>
        <w:t xml:space="preserve"> </w:t>
      </w:r>
      <w:r>
        <w:t>ПЖ</w:t>
      </w:r>
      <w:r>
        <w:rPr>
          <w:spacing w:val="-16"/>
        </w:rPr>
        <w:t xml:space="preserve"> </w:t>
      </w:r>
      <w:r>
        <w:t>к</w:t>
      </w:r>
      <w:r>
        <w:rPr>
          <w:spacing w:val="-17"/>
        </w:rPr>
        <w:t xml:space="preserve"> </w:t>
      </w:r>
      <w:r>
        <w:t>серозно-мышечному</w:t>
      </w:r>
      <w:r>
        <w:rPr>
          <w:spacing w:val="-18"/>
        </w:rPr>
        <w:t xml:space="preserve"> </w:t>
      </w:r>
      <w:r>
        <w:t>слою</w:t>
      </w:r>
      <w:r>
        <w:rPr>
          <w:spacing w:val="-14"/>
        </w:rPr>
        <w:t xml:space="preserve"> </w:t>
      </w:r>
      <w:r>
        <w:t>кишки</w:t>
      </w:r>
      <w:r>
        <w:rPr>
          <w:spacing w:val="-18"/>
        </w:rPr>
        <w:t xml:space="preserve"> </w:t>
      </w:r>
      <w:r>
        <w:t>обеспечивают</w:t>
      </w:r>
      <w:r>
        <w:rPr>
          <w:spacing w:val="-17"/>
        </w:rPr>
        <w:t xml:space="preserve"> </w:t>
      </w:r>
      <w:r>
        <w:t>более</w:t>
      </w:r>
      <w:r>
        <w:rPr>
          <w:spacing w:val="-17"/>
        </w:rPr>
        <w:t xml:space="preserve"> </w:t>
      </w:r>
      <w:r>
        <w:t>равномерное распределение механической нагрузки и ассоциированы со снижением частоты КЗ-ПС, особенно у пациентов с мягкой консистенцией ПЖ и маленьким диаметром ПП [153,154].</w:t>
      </w:r>
    </w:p>
    <w:p w14:paraId="6C09FC20">
      <w:pPr>
        <w:pStyle w:val="7"/>
        <w:ind w:left="0" w:right="3" w:firstLine="720"/>
      </w:pPr>
      <w:r>
        <w:t>Отдельного внимания заслуживает стентирование ПП. Рандомизированные исследования показали, что наружное дренирование ПП может снижать частоту ПС у пациентов группы высокого риска, однако универсальное применение данной методики не рекомендуется в связи с отсутствием убедительных преимуществ у пациентов с низким риском формирования</w:t>
      </w:r>
      <w:r>
        <w:rPr>
          <w:spacing w:val="-1"/>
        </w:rPr>
        <w:t xml:space="preserve"> </w:t>
      </w:r>
      <w:r>
        <w:t>ПС</w:t>
      </w:r>
      <w:r>
        <w:rPr>
          <w:spacing w:val="-6"/>
        </w:rPr>
        <w:t xml:space="preserve"> </w:t>
      </w:r>
      <w:r>
        <w:t>[155–157].</w:t>
      </w:r>
      <w:r>
        <w:rPr>
          <w:spacing w:val="-4"/>
        </w:rPr>
        <w:t xml:space="preserve"> </w:t>
      </w:r>
      <w:r>
        <w:t>В</w:t>
      </w:r>
      <w:r>
        <w:rPr>
          <w:spacing w:val="-9"/>
        </w:rPr>
        <w:t xml:space="preserve"> </w:t>
      </w:r>
      <w:r>
        <w:t>настоящее</w:t>
      </w:r>
      <w:r>
        <w:rPr>
          <w:spacing w:val="-6"/>
        </w:rPr>
        <w:t xml:space="preserve"> </w:t>
      </w:r>
      <w:r>
        <w:t>время</w:t>
      </w:r>
      <w:r>
        <w:rPr>
          <w:spacing w:val="-9"/>
        </w:rPr>
        <w:t xml:space="preserve"> </w:t>
      </w:r>
      <w:r>
        <w:t>большинство</w:t>
      </w:r>
      <w:r>
        <w:rPr>
          <w:spacing w:val="-7"/>
        </w:rPr>
        <w:t xml:space="preserve"> </w:t>
      </w:r>
      <w:r>
        <w:t>авторов</w:t>
      </w:r>
      <w:r>
        <w:rPr>
          <w:spacing w:val="-8"/>
        </w:rPr>
        <w:t xml:space="preserve"> </w:t>
      </w:r>
      <w:r>
        <w:t>сходятся во мнении о целесообразности использования стентов в рамках индивидуализированного</w:t>
      </w:r>
      <w:r>
        <w:rPr>
          <w:spacing w:val="-13"/>
        </w:rPr>
        <w:t xml:space="preserve"> </w:t>
      </w:r>
      <w:r>
        <w:t>подхода</w:t>
      </w:r>
      <w:r>
        <w:rPr>
          <w:spacing w:val="-13"/>
        </w:rPr>
        <w:t xml:space="preserve"> </w:t>
      </w:r>
      <w:r>
        <w:t>с</w:t>
      </w:r>
      <w:r>
        <w:rPr>
          <w:spacing w:val="-13"/>
        </w:rPr>
        <w:t xml:space="preserve"> </w:t>
      </w:r>
      <w:r>
        <w:t>учётом</w:t>
      </w:r>
      <w:r>
        <w:rPr>
          <w:spacing w:val="-12"/>
        </w:rPr>
        <w:t xml:space="preserve"> </w:t>
      </w:r>
      <w:r>
        <w:t>анатомических</w:t>
      </w:r>
      <w:r>
        <w:rPr>
          <w:spacing w:val="-17"/>
        </w:rPr>
        <w:t xml:space="preserve"> </w:t>
      </w:r>
      <w:r>
        <w:t>особенностей</w:t>
      </w:r>
      <w:r>
        <w:rPr>
          <w:spacing w:val="-13"/>
        </w:rPr>
        <w:t xml:space="preserve"> </w:t>
      </w:r>
      <w:r>
        <w:t>культи ПЖ [158].</w:t>
      </w:r>
    </w:p>
    <w:p w14:paraId="561A3EA6">
      <w:pPr>
        <w:pStyle w:val="7"/>
        <w:ind w:left="0" w:right="3" w:firstLine="720"/>
      </w:pPr>
      <w:r>
        <w:t>Интраоперационная</w:t>
      </w:r>
      <w:r>
        <w:rPr>
          <w:spacing w:val="-18"/>
        </w:rPr>
        <w:t xml:space="preserve"> </w:t>
      </w:r>
      <w:r>
        <w:t>кровопотеря</w:t>
      </w:r>
      <w:r>
        <w:rPr>
          <w:spacing w:val="-17"/>
        </w:rPr>
        <w:t xml:space="preserve"> </w:t>
      </w:r>
      <w:r>
        <w:t>и</w:t>
      </w:r>
      <w:r>
        <w:rPr>
          <w:spacing w:val="-18"/>
        </w:rPr>
        <w:t xml:space="preserve"> </w:t>
      </w:r>
      <w:r>
        <w:t>ишемия</w:t>
      </w:r>
      <w:r>
        <w:rPr>
          <w:spacing w:val="-17"/>
        </w:rPr>
        <w:t xml:space="preserve"> </w:t>
      </w:r>
      <w:r>
        <w:t>тканей</w:t>
      </w:r>
      <w:r>
        <w:rPr>
          <w:spacing w:val="-18"/>
        </w:rPr>
        <w:t xml:space="preserve"> </w:t>
      </w:r>
      <w:r>
        <w:t>также</w:t>
      </w:r>
      <w:r>
        <w:rPr>
          <w:spacing w:val="-17"/>
        </w:rPr>
        <w:t xml:space="preserve"> </w:t>
      </w:r>
      <w:r>
        <w:t>рассматриваются как</w:t>
      </w:r>
      <w:r>
        <w:rPr>
          <w:spacing w:val="-12"/>
        </w:rPr>
        <w:t xml:space="preserve"> </w:t>
      </w:r>
      <w:r>
        <w:t>важные</w:t>
      </w:r>
      <w:r>
        <w:rPr>
          <w:spacing w:val="-11"/>
        </w:rPr>
        <w:t xml:space="preserve"> </w:t>
      </w:r>
      <w:r>
        <w:t>модифицируемые</w:t>
      </w:r>
      <w:r>
        <w:rPr>
          <w:spacing w:val="-10"/>
        </w:rPr>
        <w:t xml:space="preserve"> </w:t>
      </w:r>
      <w:r>
        <w:t>факторы</w:t>
      </w:r>
      <w:r>
        <w:rPr>
          <w:spacing w:val="-11"/>
        </w:rPr>
        <w:t xml:space="preserve"> </w:t>
      </w:r>
      <w:r>
        <w:t>риска</w:t>
      </w:r>
      <w:r>
        <w:rPr>
          <w:spacing w:val="-11"/>
        </w:rPr>
        <w:t xml:space="preserve"> </w:t>
      </w:r>
      <w:r>
        <w:t>ПС.</w:t>
      </w:r>
      <w:r>
        <w:rPr>
          <w:spacing w:val="-9"/>
        </w:rPr>
        <w:t xml:space="preserve"> </w:t>
      </w:r>
      <w:r>
        <w:t>Установлено,</w:t>
      </w:r>
      <w:r>
        <w:rPr>
          <w:spacing w:val="-9"/>
        </w:rPr>
        <w:t xml:space="preserve"> </w:t>
      </w:r>
      <w:r>
        <w:t>что</w:t>
      </w:r>
      <w:r>
        <w:rPr>
          <w:spacing w:val="-11"/>
        </w:rPr>
        <w:t xml:space="preserve"> </w:t>
      </w:r>
      <w:r>
        <w:t>кровопотеря более 400–500 мл и увеличение продолжительности операции ассоциированы с ростом частоты несостоятельности анастомоза и септических осложнений [159,160]. Это обусловливает необходимость прецизионного гемостаза, минимизации термического повреждения тканей и бережной мобилизации культи ПЖ [161].</w:t>
      </w:r>
    </w:p>
    <w:p w14:paraId="47E25D37">
      <w:pPr>
        <w:pStyle w:val="7"/>
        <w:spacing w:before="2"/>
        <w:ind w:left="0" w:right="3" w:firstLine="709"/>
      </w:pPr>
      <w:r>
        <w:t>Несмотря на</w:t>
      </w:r>
      <w:r>
        <w:rPr>
          <w:spacing w:val="-1"/>
        </w:rPr>
        <w:t xml:space="preserve"> </w:t>
      </w:r>
      <w:r>
        <w:t>активное изучение различных</w:t>
      </w:r>
      <w:r>
        <w:rPr>
          <w:spacing w:val="-6"/>
        </w:rPr>
        <w:t xml:space="preserve"> </w:t>
      </w:r>
      <w:r>
        <w:t>герметизирующих</w:t>
      </w:r>
      <w:r>
        <w:rPr>
          <w:spacing w:val="-6"/>
        </w:rPr>
        <w:t xml:space="preserve"> </w:t>
      </w:r>
      <w:r>
        <w:t>материалов (фибриновые клеи, коллагеновые матрицы, биологические покрытия), большинство современных метаанализов не выявили достоверного снижения частоты КЗ-ПС при их рутинном использовании, что ограничивает применение данных технологий в стандартной клинической практике [162,163].</w:t>
      </w:r>
    </w:p>
    <w:p w14:paraId="521EEAEF">
      <w:pPr>
        <w:pStyle w:val="7"/>
        <w:ind w:left="0" w:right="3" w:firstLine="709"/>
      </w:pPr>
      <w:r>
        <w:t xml:space="preserve">Послеоперационное ведение пациентов также играет важную роль в профилактике осложнений. Современные рекомендации предполагают селективный подход к дренированию брюшной полости. Раннее удаление дренажей при низкой ААД на первые сутки после операции ассоциировано со снижением инфекционных осложнений и уменьшением частоты КЗ-ПС </w:t>
      </w:r>
      <w:r>
        <w:rPr>
          <w:spacing w:val="-2"/>
        </w:rPr>
        <w:t>[164,165].</w:t>
      </w:r>
    </w:p>
    <w:p w14:paraId="0727B881">
      <w:pPr>
        <w:pStyle w:val="7"/>
        <w:spacing w:before="2"/>
        <w:ind w:left="0" w:right="3" w:firstLine="709"/>
      </w:pPr>
      <w:r>
        <w:t>Фармакологическая профилактика с использованием аналогов соматостатина (октреотид, пасиреотид) широко изучалась в крупных рандомизированных</w:t>
      </w:r>
      <w:r>
        <w:rPr>
          <w:spacing w:val="76"/>
          <w:w w:val="150"/>
        </w:rPr>
        <w:t xml:space="preserve">  </w:t>
      </w:r>
      <w:r>
        <w:t>исследованиях.</w:t>
      </w:r>
      <w:r>
        <w:rPr>
          <w:spacing w:val="53"/>
        </w:rPr>
        <w:t xml:space="preserve">   </w:t>
      </w:r>
      <w:r>
        <w:t>Несмотря</w:t>
      </w:r>
      <w:r>
        <w:rPr>
          <w:spacing w:val="53"/>
        </w:rPr>
        <w:t xml:space="preserve">   </w:t>
      </w:r>
      <w:r>
        <w:t>на</w:t>
      </w:r>
      <w:r>
        <w:rPr>
          <w:spacing w:val="53"/>
        </w:rPr>
        <w:t xml:space="preserve">   </w:t>
      </w:r>
      <w:r>
        <w:t>снижение</w:t>
      </w:r>
      <w:r>
        <w:rPr>
          <w:spacing w:val="79"/>
          <w:w w:val="150"/>
        </w:rPr>
        <w:t xml:space="preserve">  </w:t>
      </w:r>
      <w:r>
        <w:rPr>
          <w:spacing w:val="-2"/>
        </w:rPr>
        <w:t>объёма</w:t>
      </w:r>
    </w:p>
    <w:p w14:paraId="19DDF300">
      <w:pPr>
        <w:pStyle w:val="7"/>
        <w:spacing w:before="67"/>
        <w:ind w:left="0" w:right="3" w:firstLine="140"/>
      </w:pPr>
      <w:r>
        <w:t xml:space="preserve">панкреатического отделяемого, систематические обзоры и метаанализы Cochrane не продемонстрировали устойчивого эффекта в профилактике ПС степеней B и C, что ограничивает рутинное применение данных препаратов </w:t>
      </w:r>
      <w:r>
        <w:rPr>
          <w:spacing w:val="-2"/>
        </w:rPr>
        <w:t>[166–168].</w:t>
      </w:r>
    </w:p>
    <w:p w14:paraId="72BFFB13">
      <w:pPr>
        <w:pStyle w:val="7"/>
        <w:spacing w:before="4"/>
        <w:ind w:left="0" w:right="3" w:firstLine="140"/>
      </w:pPr>
      <w:r>
        <w:t>В последние годы особое внимание уделяется концепции риск- адаптированной профилактики ПС. Использование прогностических моделей, таких</w:t>
      </w:r>
      <w:r>
        <w:rPr>
          <w:spacing w:val="-18"/>
        </w:rPr>
        <w:t xml:space="preserve"> </w:t>
      </w:r>
      <w:r>
        <w:t>как</w:t>
      </w:r>
      <w:r>
        <w:rPr>
          <w:spacing w:val="-17"/>
        </w:rPr>
        <w:t xml:space="preserve"> </w:t>
      </w:r>
      <w:r>
        <w:t>шкала</w:t>
      </w:r>
      <w:r>
        <w:rPr>
          <w:spacing w:val="-18"/>
        </w:rPr>
        <w:t xml:space="preserve"> </w:t>
      </w:r>
      <w:r>
        <w:t>риска</w:t>
      </w:r>
      <w:r>
        <w:rPr>
          <w:spacing w:val="-17"/>
        </w:rPr>
        <w:t xml:space="preserve"> </w:t>
      </w:r>
      <w:r>
        <w:t>развития</w:t>
      </w:r>
      <w:r>
        <w:rPr>
          <w:spacing w:val="-18"/>
        </w:rPr>
        <w:t xml:space="preserve"> </w:t>
      </w:r>
      <w:r>
        <w:t>и</w:t>
      </w:r>
      <w:r>
        <w:rPr>
          <w:spacing w:val="-17"/>
        </w:rPr>
        <w:t xml:space="preserve"> </w:t>
      </w:r>
      <w:r>
        <w:t>альтернативный</w:t>
      </w:r>
      <w:r>
        <w:rPr>
          <w:spacing w:val="-18"/>
        </w:rPr>
        <w:t xml:space="preserve"> </w:t>
      </w:r>
      <w:r>
        <w:t>тип</w:t>
      </w:r>
      <w:r>
        <w:rPr>
          <w:spacing w:val="-17"/>
        </w:rPr>
        <w:t xml:space="preserve"> </w:t>
      </w:r>
      <w:r>
        <w:t>шкалы</w:t>
      </w:r>
      <w:r>
        <w:rPr>
          <w:spacing w:val="-18"/>
        </w:rPr>
        <w:t xml:space="preserve"> </w:t>
      </w:r>
      <w:r>
        <w:t>риска</w:t>
      </w:r>
      <w:r>
        <w:rPr>
          <w:spacing w:val="-17"/>
        </w:rPr>
        <w:t xml:space="preserve"> </w:t>
      </w:r>
      <w:r>
        <w:t>развития</w:t>
      </w:r>
      <w:r>
        <w:rPr>
          <w:spacing w:val="-18"/>
        </w:rPr>
        <w:t xml:space="preserve"> </w:t>
      </w:r>
      <w:r>
        <w:t>ПС, позволяет объективизировать риск формирования свища на основании анатомических и интраоперационных параметров [169]. Применение данных шкал способствует индивидуализации хирургической тактики и оптимизации послеоперационного ведения пациентов, что сопровождается снижением частоты клинически значимых осложнений [170].</w:t>
      </w:r>
    </w:p>
    <w:p w14:paraId="4A0FEAF5">
      <w:pPr>
        <w:pStyle w:val="3"/>
        <w:numPr>
          <w:ilvl w:val="1"/>
          <w:numId w:val="8"/>
        </w:numPr>
        <w:tabs>
          <w:tab w:val="left" w:pos="1555"/>
        </w:tabs>
        <w:spacing w:before="257"/>
        <w:ind w:left="0" w:right="3" w:firstLine="709"/>
      </w:pPr>
      <w:r>
        <w:t>Панкреатоеюноанастомоз как ключевой компонент профилактики панкреатических свищей после ГПДР: сравнение техник</w:t>
      </w:r>
    </w:p>
    <w:p w14:paraId="5FB597F0">
      <w:pPr>
        <w:pStyle w:val="7"/>
        <w:ind w:left="0" w:right="3" w:firstLine="709"/>
      </w:pPr>
      <w:r>
        <w:t>ПЕА является ключевым этапом реконструктивной фазы ГПДР и основным «уязвимым звеном» операции через которое реализуется риск формирования ПС. Согласно обновлённой классификации Международной группы по изучению хирургии поджелудочной железы (ISGPS), клинически значимый ПС ассоциирован с развитием внутрибрюшных инфекционных осложнений, аррозивных кровотечений, необходимостью повторных хирургических вмешательств и интервенционных процедур, увеличением длительности</w:t>
      </w:r>
      <w:r>
        <w:rPr>
          <w:spacing w:val="-7"/>
        </w:rPr>
        <w:t xml:space="preserve"> </w:t>
      </w:r>
      <w:r>
        <w:t>госпитализации</w:t>
      </w:r>
      <w:r>
        <w:rPr>
          <w:spacing w:val="-7"/>
        </w:rPr>
        <w:t xml:space="preserve"> </w:t>
      </w:r>
      <w:r>
        <w:t>и</w:t>
      </w:r>
      <w:r>
        <w:rPr>
          <w:spacing w:val="-7"/>
        </w:rPr>
        <w:t xml:space="preserve"> </w:t>
      </w:r>
      <w:r>
        <w:t>отсрочкой</w:t>
      </w:r>
      <w:r>
        <w:rPr>
          <w:spacing w:val="-7"/>
        </w:rPr>
        <w:t xml:space="preserve"> </w:t>
      </w:r>
      <w:r>
        <w:t>начала</w:t>
      </w:r>
      <w:r>
        <w:rPr>
          <w:spacing w:val="-6"/>
        </w:rPr>
        <w:t xml:space="preserve"> </w:t>
      </w:r>
      <w:r>
        <w:t>адъювантной терапии</w:t>
      </w:r>
      <w:r>
        <w:rPr>
          <w:spacing w:val="-7"/>
        </w:rPr>
        <w:t xml:space="preserve"> </w:t>
      </w:r>
      <w:r>
        <w:t>[171]. По данным современных многоцентровых серий и регистров, частота КЗ-ПС после ГПДР даже в специализированных центрах составляет 10–20%, а доля тяжёлых форм ПС степени С достигает 2–11% [172,173].</w:t>
      </w:r>
    </w:p>
    <w:p w14:paraId="5492B158">
      <w:pPr>
        <w:pStyle w:val="7"/>
        <w:ind w:left="0" w:right="3" w:firstLine="709"/>
      </w:pPr>
      <w:r>
        <w:t>Современная концепция профилактики ПС рассматривает ПЕА как биомеханическую конструкцию, эффективность которой определяется тремя ключевыми факторами: обеспечением ранней герметичности зоны анастомоза, снижением микроподвижности культи ПЖ относительно кишечной стенки и формированием адекватного оттока панкреатического секрета без повышения внутрипротокового давления [174]. Эти механизмы имеют наибольшее клиническое значение у пациентов группы высокого риска (мягкая паренхима ПЖ,</w:t>
      </w:r>
      <w:r>
        <w:rPr>
          <w:spacing w:val="-4"/>
        </w:rPr>
        <w:t xml:space="preserve"> </w:t>
      </w:r>
      <w:r>
        <w:t>узкий</w:t>
      </w:r>
      <w:r>
        <w:rPr>
          <w:spacing w:val="-8"/>
        </w:rPr>
        <w:t xml:space="preserve"> </w:t>
      </w:r>
      <w:r>
        <w:t>проток</w:t>
      </w:r>
      <w:r>
        <w:rPr>
          <w:spacing w:val="-7"/>
        </w:rPr>
        <w:t xml:space="preserve"> </w:t>
      </w:r>
      <w:r>
        <w:t>≤3–5</w:t>
      </w:r>
      <w:r>
        <w:rPr>
          <w:spacing w:val="-7"/>
        </w:rPr>
        <w:t xml:space="preserve"> </w:t>
      </w:r>
      <w:r>
        <w:t>мм,</w:t>
      </w:r>
      <w:r>
        <w:rPr>
          <w:spacing w:val="-4"/>
        </w:rPr>
        <w:t xml:space="preserve"> </w:t>
      </w:r>
      <w:r>
        <w:t>значительная</w:t>
      </w:r>
      <w:r>
        <w:rPr>
          <w:spacing w:val="-5"/>
        </w:rPr>
        <w:t xml:space="preserve"> </w:t>
      </w:r>
      <w:r>
        <w:t>кровопотеря,</w:t>
      </w:r>
      <w:r>
        <w:rPr>
          <w:spacing w:val="-4"/>
        </w:rPr>
        <w:t xml:space="preserve"> </w:t>
      </w:r>
      <w:r>
        <w:t>ампулярная</w:t>
      </w:r>
      <w:r>
        <w:rPr>
          <w:spacing w:val="-5"/>
        </w:rPr>
        <w:t xml:space="preserve"> </w:t>
      </w:r>
      <w:r>
        <w:t>локализация опухоли). По данным валидации шкал FRS и а-FRS, частота КЗ-ПС в группе высокого риска достигает 21,6%, а в</w:t>
      </w:r>
      <w:r>
        <w:rPr>
          <w:spacing w:val="-1"/>
        </w:rPr>
        <w:t xml:space="preserve"> </w:t>
      </w:r>
      <w:r>
        <w:t>специализированных</w:t>
      </w:r>
      <w:r>
        <w:rPr>
          <w:spacing w:val="-3"/>
        </w:rPr>
        <w:t xml:space="preserve"> </w:t>
      </w:r>
      <w:r>
        <w:t>когортах</w:t>
      </w:r>
      <w:r>
        <w:rPr>
          <w:spacing w:val="-3"/>
        </w:rPr>
        <w:t xml:space="preserve"> </w:t>
      </w:r>
      <w:r>
        <w:t>пациентов</w:t>
      </w:r>
      <w:r>
        <w:rPr>
          <w:spacing w:val="-1"/>
        </w:rPr>
        <w:t xml:space="preserve"> </w:t>
      </w:r>
      <w:r>
        <w:t>с ПЕА высокого риска может возрастать до 38,2% [175,176].</w:t>
      </w:r>
    </w:p>
    <w:p w14:paraId="1AAA7109">
      <w:pPr>
        <w:pStyle w:val="7"/>
        <w:ind w:left="0" w:right="3" w:firstLine="709"/>
      </w:pPr>
      <w:r>
        <w:t>Протоково-слизистый ПЕА в настоящее время рассматривается как базовый стандарт реконструкции благодаря физиологичной и прямому сопоставлению эпителия ПП со слизистой оболочкой тонкой кишки [177]. Однако</w:t>
      </w:r>
      <w:r>
        <w:rPr>
          <w:spacing w:val="-12"/>
        </w:rPr>
        <w:t xml:space="preserve"> </w:t>
      </w:r>
      <w:r>
        <w:t>данная</w:t>
      </w:r>
      <w:r>
        <w:rPr>
          <w:spacing w:val="-12"/>
        </w:rPr>
        <w:t xml:space="preserve"> </w:t>
      </w:r>
      <w:r>
        <w:t>техника</w:t>
      </w:r>
      <w:r>
        <w:rPr>
          <w:spacing w:val="-12"/>
        </w:rPr>
        <w:t xml:space="preserve"> </w:t>
      </w:r>
      <w:r>
        <w:t>отличается</w:t>
      </w:r>
      <w:r>
        <w:rPr>
          <w:spacing w:val="-7"/>
        </w:rPr>
        <w:t xml:space="preserve"> </w:t>
      </w:r>
      <w:r>
        <w:t>выраженной</w:t>
      </w:r>
      <w:r>
        <w:rPr>
          <w:spacing w:val="-12"/>
        </w:rPr>
        <w:t xml:space="preserve"> </w:t>
      </w:r>
      <w:r>
        <w:t>зависимостью</w:t>
      </w:r>
      <w:r>
        <w:rPr>
          <w:spacing w:val="-14"/>
        </w:rPr>
        <w:t xml:space="preserve"> </w:t>
      </w:r>
      <w:r>
        <w:t>от</w:t>
      </w:r>
      <w:r>
        <w:rPr>
          <w:spacing w:val="-14"/>
        </w:rPr>
        <w:t xml:space="preserve"> </w:t>
      </w:r>
      <w:r>
        <w:t>диаметра</w:t>
      </w:r>
      <w:r>
        <w:rPr>
          <w:spacing w:val="-8"/>
        </w:rPr>
        <w:t xml:space="preserve"> </w:t>
      </w:r>
      <w:r>
        <w:t>ПП</w:t>
      </w:r>
      <w:r>
        <w:rPr>
          <w:spacing w:val="-16"/>
        </w:rPr>
        <w:t xml:space="preserve"> </w:t>
      </w:r>
      <w:r>
        <w:t>и структуры паренхимы ПЖ. По данным метаанализа Zhang et al. включившего 7 рандомизированных клинических исследований с общей численностью 850 пациентов,</w:t>
      </w:r>
      <w:r>
        <w:rPr>
          <w:spacing w:val="-18"/>
        </w:rPr>
        <w:t xml:space="preserve"> </w:t>
      </w:r>
      <w:r>
        <w:t>частота</w:t>
      </w:r>
      <w:r>
        <w:rPr>
          <w:spacing w:val="-17"/>
        </w:rPr>
        <w:t xml:space="preserve"> </w:t>
      </w:r>
      <w:r>
        <w:t>КЗ-ПС</w:t>
      </w:r>
      <w:r>
        <w:rPr>
          <w:spacing w:val="-18"/>
        </w:rPr>
        <w:t xml:space="preserve"> </w:t>
      </w:r>
      <w:r>
        <w:t>после</w:t>
      </w:r>
      <w:r>
        <w:rPr>
          <w:spacing w:val="-17"/>
        </w:rPr>
        <w:t xml:space="preserve"> </w:t>
      </w:r>
      <w:r>
        <w:t>протоково-слизистого</w:t>
      </w:r>
      <w:r>
        <w:rPr>
          <w:spacing w:val="-18"/>
        </w:rPr>
        <w:t xml:space="preserve"> </w:t>
      </w:r>
      <w:r>
        <w:t>ПЕА</w:t>
      </w:r>
      <w:r>
        <w:rPr>
          <w:spacing w:val="-17"/>
        </w:rPr>
        <w:t xml:space="preserve"> </w:t>
      </w:r>
      <w:r>
        <w:t>составляла</w:t>
      </w:r>
      <w:r>
        <w:rPr>
          <w:spacing w:val="-18"/>
        </w:rPr>
        <w:t xml:space="preserve"> </w:t>
      </w:r>
      <w:r>
        <w:t>около</w:t>
      </w:r>
      <w:r>
        <w:rPr>
          <w:spacing w:val="-17"/>
        </w:rPr>
        <w:t xml:space="preserve"> </w:t>
      </w:r>
      <w:r>
        <w:t>9– 12%,</w:t>
      </w:r>
      <w:r>
        <w:rPr>
          <w:spacing w:val="1"/>
        </w:rPr>
        <w:t xml:space="preserve"> </w:t>
      </w:r>
      <w:r>
        <w:t>при</w:t>
      </w:r>
      <w:r>
        <w:rPr>
          <w:spacing w:val="-1"/>
        </w:rPr>
        <w:t xml:space="preserve"> </w:t>
      </w:r>
      <w:r>
        <w:t>общей</w:t>
      </w:r>
      <w:r>
        <w:rPr>
          <w:spacing w:val="-1"/>
        </w:rPr>
        <w:t xml:space="preserve"> </w:t>
      </w:r>
      <w:r>
        <w:t>частоте</w:t>
      </w:r>
      <w:r>
        <w:rPr>
          <w:spacing w:val="5"/>
        </w:rPr>
        <w:t xml:space="preserve"> </w:t>
      </w:r>
      <w:r>
        <w:t>ПС в</w:t>
      </w:r>
      <w:r>
        <w:rPr>
          <w:spacing w:val="-3"/>
        </w:rPr>
        <w:t xml:space="preserve"> </w:t>
      </w:r>
      <w:r>
        <w:t>большинстве включённых</w:t>
      </w:r>
      <w:r>
        <w:rPr>
          <w:spacing w:val="-5"/>
        </w:rPr>
        <w:t xml:space="preserve"> </w:t>
      </w:r>
      <w:r>
        <w:t>серий</w:t>
      </w:r>
      <w:r>
        <w:rPr>
          <w:spacing w:val="8"/>
        </w:rPr>
        <w:t xml:space="preserve"> </w:t>
      </w:r>
      <w:r>
        <w:t xml:space="preserve">порядка </w:t>
      </w:r>
      <w:r>
        <w:rPr>
          <w:spacing w:val="-2"/>
        </w:rPr>
        <w:t>14–18%</w:t>
      </w:r>
      <w:r>
        <w:t xml:space="preserve"> [178]. Аналогичные</w:t>
      </w:r>
      <w:r>
        <w:rPr>
          <w:spacing w:val="-3"/>
        </w:rPr>
        <w:t xml:space="preserve"> </w:t>
      </w:r>
      <w:r>
        <w:t>результаты</w:t>
      </w:r>
      <w:r>
        <w:rPr>
          <w:spacing w:val="-4"/>
        </w:rPr>
        <w:t xml:space="preserve"> </w:t>
      </w:r>
      <w:r>
        <w:t>представлены</w:t>
      </w:r>
      <w:r>
        <w:rPr>
          <w:spacing w:val="-4"/>
        </w:rPr>
        <w:t xml:space="preserve"> </w:t>
      </w:r>
      <w:r>
        <w:t>в</w:t>
      </w:r>
      <w:r>
        <w:rPr>
          <w:spacing w:val="-5"/>
        </w:rPr>
        <w:t xml:space="preserve"> </w:t>
      </w:r>
      <w:r>
        <w:t>сетевом</w:t>
      </w:r>
      <w:r>
        <w:rPr>
          <w:spacing w:val="-2"/>
        </w:rPr>
        <w:t xml:space="preserve"> </w:t>
      </w:r>
      <w:r>
        <w:t>метаанализе</w:t>
      </w:r>
      <w:r>
        <w:rPr>
          <w:spacing w:val="-3"/>
        </w:rPr>
        <w:t xml:space="preserve"> </w:t>
      </w:r>
      <w:r>
        <w:t>Wang et</w:t>
      </w:r>
      <w:r>
        <w:rPr>
          <w:spacing w:val="-4"/>
        </w:rPr>
        <w:t xml:space="preserve"> </w:t>
      </w:r>
      <w:r>
        <w:t>al. где протоково-слизистый метод демонстрировал более стабильные показатели по сравнению с инвагинационными техниками, особенно в отношении тяжёлых форм</w:t>
      </w:r>
      <w:r>
        <w:rPr>
          <w:spacing w:val="-8"/>
        </w:rPr>
        <w:t xml:space="preserve"> </w:t>
      </w:r>
      <w:r>
        <w:t>ПС</w:t>
      </w:r>
      <w:r>
        <w:rPr>
          <w:spacing w:val="-8"/>
        </w:rPr>
        <w:t xml:space="preserve"> </w:t>
      </w:r>
      <w:r>
        <w:t>[179].</w:t>
      </w:r>
      <w:r>
        <w:rPr>
          <w:spacing w:val="-7"/>
        </w:rPr>
        <w:t xml:space="preserve"> </w:t>
      </w:r>
      <w:r>
        <w:t>В</w:t>
      </w:r>
      <w:r>
        <w:rPr>
          <w:spacing w:val="-12"/>
        </w:rPr>
        <w:t xml:space="preserve"> </w:t>
      </w:r>
      <w:r>
        <w:t>подгруппе</w:t>
      </w:r>
      <w:r>
        <w:rPr>
          <w:spacing w:val="-9"/>
        </w:rPr>
        <w:t xml:space="preserve"> </w:t>
      </w:r>
      <w:r>
        <w:t>пациентов</w:t>
      </w:r>
      <w:r>
        <w:rPr>
          <w:spacing w:val="-11"/>
        </w:rPr>
        <w:t xml:space="preserve"> </w:t>
      </w:r>
      <w:r>
        <w:t>с</w:t>
      </w:r>
      <w:r>
        <w:rPr>
          <w:spacing w:val="-4"/>
        </w:rPr>
        <w:t xml:space="preserve"> </w:t>
      </w:r>
      <w:r>
        <w:t>мягкой</w:t>
      </w:r>
      <w:r>
        <w:rPr>
          <w:spacing w:val="-9"/>
        </w:rPr>
        <w:t xml:space="preserve"> </w:t>
      </w:r>
      <w:r>
        <w:t>консистенцией</w:t>
      </w:r>
      <w:r>
        <w:rPr>
          <w:spacing w:val="-4"/>
        </w:rPr>
        <w:t xml:space="preserve"> </w:t>
      </w:r>
      <w:r>
        <w:t>ПЖ</w:t>
      </w:r>
      <w:r>
        <w:rPr>
          <w:spacing w:val="-9"/>
        </w:rPr>
        <w:t xml:space="preserve"> </w:t>
      </w:r>
      <w:r>
        <w:t>частота</w:t>
      </w:r>
      <w:r>
        <w:rPr>
          <w:spacing w:val="-9"/>
        </w:rPr>
        <w:t xml:space="preserve"> </w:t>
      </w:r>
      <w:r>
        <w:t>КЗ- ПС при протоково-слизистом анастомозе увеличивается до 20–30% [180].</w:t>
      </w:r>
    </w:p>
    <w:p w14:paraId="17BF279C">
      <w:pPr>
        <w:pStyle w:val="7"/>
        <w:spacing w:before="4"/>
        <w:ind w:left="0" w:right="3" w:firstLine="709"/>
      </w:pPr>
      <w:r>
        <w:t>Инвагинационный ПЕА был предложен как технически более простой вариант</w:t>
      </w:r>
      <w:r>
        <w:rPr>
          <w:spacing w:val="-10"/>
        </w:rPr>
        <w:t xml:space="preserve"> </w:t>
      </w:r>
      <w:r>
        <w:t>реконструкции,</w:t>
      </w:r>
      <w:r>
        <w:rPr>
          <w:spacing w:val="-6"/>
        </w:rPr>
        <w:t xml:space="preserve"> </w:t>
      </w:r>
      <w:r>
        <w:t>менее</w:t>
      </w:r>
      <w:r>
        <w:rPr>
          <w:spacing w:val="-8"/>
        </w:rPr>
        <w:t xml:space="preserve"> </w:t>
      </w:r>
      <w:r>
        <w:t>зависящий</w:t>
      </w:r>
      <w:r>
        <w:rPr>
          <w:spacing w:val="-9"/>
        </w:rPr>
        <w:t xml:space="preserve"> </w:t>
      </w:r>
      <w:r>
        <w:t>от</w:t>
      </w:r>
      <w:r>
        <w:rPr>
          <w:spacing w:val="-10"/>
        </w:rPr>
        <w:t xml:space="preserve"> </w:t>
      </w:r>
      <w:r>
        <w:t>диаметра</w:t>
      </w:r>
      <w:r>
        <w:rPr>
          <w:spacing w:val="-8"/>
        </w:rPr>
        <w:t xml:space="preserve"> </w:t>
      </w:r>
      <w:r>
        <w:t>ПП.</w:t>
      </w:r>
      <w:r>
        <w:rPr>
          <w:spacing w:val="-6"/>
        </w:rPr>
        <w:t xml:space="preserve"> </w:t>
      </w:r>
      <w:r>
        <w:t>Однако</w:t>
      </w:r>
      <w:r>
        <w:rPr>
          <w:spacing w:val="-8"/>
        </w:rPr>
        <w:t xml:space="preserve"> </w:t>
      </w:r>
      <w:r>
        <w:t>накопленные данные свидетельствуют о его меньшей надёжности. В исследовании Bai et al. КЗ-ПС был значительно выше при инвагинационном ПЕА (17,6%), чем при протоково-слизистом</w:t>
      </w:r>
      <w:r>
        <w:rPr>
          <w:spacing w:val="-8"/>
        </w:rPr>
        <w:t xml:space="preserve"> </w:t>
      </w:r>
      <w:r>
        <w:t>ПЕА</w:t>
      </w:r>
      <w:r>
        <w:rPr>
          <w:spacing w:val="-13"/>
        </w:rPr>
        <w:t xml:space="preserve"> </w:t>
      </w:r>
      <w:r>
        <w:t>(3,1%;</w:t>
      </w:r>
      <w:r>
        <w:rPr>
          <w:spacing w:val="-8"/>
        </w:rPr>
        <w:t xml:space="preserve"> </w:t>
      </w:r>
      <w:r>
        <w:t>p</w:t>
      </w:r>
      <w:r>
        <w:rPr>
          <w:spacing w:val="-9"/>
        </w:rPr>
        <w:t xml:space="preserve"> </w:t>
      </w:r>
      <w:r>
        <w:t>=</w:t>
      </w:r>
      <w:r>
        <w:rPr>
          <w:spacing w:val="-8"/>
        </w:rPr>
        <w:t xml:space="preserve"> </w:t>
      </w:r>
      <w:r>
        <w:t>0,004)</w:t>
      </w:r>
      <w:r>
        <w:rPr>
          <w:spacing w:val="-11"/>
        </w:rPr>
        <w:t xml:space="preserve"> </w:t>
      </w:r>
      <w:r>
        <w:t>после</w:t>
      </w:r>
      <w:r>
        <w:rPr>
          <w:spacing w:val="-8"/>
        </w:rPr>
        <w:t xml:space="preserve"> </w:t>
      </w:r>
      <w:r>
        <w:t>ГПДР,</w:t>
      </w:r>
      <w:r>
        <w:rPr>
          <w:spacing w:val="-7"/>
        </w:rPr>
        <w:t xml:space="preserve"> </w:t>
      </w:r>
      <w:r>
        <w:t>что</w:t>
      </w:r>
      <w:r>
        <w:rPr>
          <w:spacing w:val="-9"/>
        </w:rPr>
        <w:t xml:space="preserve"> </w:t>
      </w:r>
      <w:r>
        <w:t>указывает</w:t>
      </w:r>
      <w:r>
        <w:rPr>
          <w:spacing w:val="-11"/>
        </w:rPr>
        <w:t xml:space="preserve"> </w:t>
      </w:r>
      <w:r>
        <w:t>на</w:t>
      </w:r>
      <w:r>
        <w:rPr>
          <w:spacing w:val="-4"/>
        </w:rPr>
        <w:t xml:space="preserve"> </w:t>
      </w:r>
      <w:r>
        <w:t>более неблагоприятный профиль исходов при использовании инвагинационной техники [181]. Сетевой метаанализ Ratnayake et al. показал, что инвагинационный ПЕА не имеет преимуществ по снижению КЗ-ПС и характеризуется менее благоприятным профилем послеоперационных осложнений по сравнению с протоково-слизистым и стабилизирующими техниками реконструкции [182]. Это подтверждает более неблагоприятный профиль безопасности инвагинационного ПЕА.</w:t>
      </w:r>
    </w:p>
    <w:p w14:paraId="1B5F4E23">
      <w:pPr>
        <w:pStyle w:val="7"/>
        <w:spacing w:before="1"/>
        <w:ind w:left="0" w:right="3" w:firstLine="709"/>
      </w:pPr>
      <w:r>
        <w:t>Наиболее</w:t>
      </w:r>
      <w:r>
        <w:rPr>
          <w:spacing w:val="-7"/>
        </w:rPr>
        <w:t xml:space="preserve"> </w:t>
      </w:r>
      <w:r>
        <w:t>значительный</w:t>
      </w:r>
      <w:r>
        <w:rPr>
          <w:spacing w:val="-7"/>
        </w:rPr>
        <w:t xml:space="preserve"> </w:t>
      </w:r>
      <w:r>
        <w:t>прогресс</w:t>
      </w:r>
      <w:r>
        <w:rPr>
          <w:spacing w:val="-7"/>
        </w:rPr>
        <w:t xml:space="preserve"> </w:t>
      </w:r>
      <w:r>
        <w:t>в</w:t>
      </w:r>
      <w:r>
        <w:rPr>
          <w:spacing w:val="-9"/>
        </w:rPr>
        <w:t xml:space="preserve"> </w:t>
      </w:r>
      <w:r>
        <w:t>профилактике</w:t>
      </w:r>
      <w:r>
        <w:rPr>
          <w:spacing w:val="-7"/>
        </w:rPr>
        <w:t xml:space="preserve"> </w:t>
      </w:r>
      <w:r>
        <w:t>ПС</w:t>
      </w:r>
      <w:r>
        <w:rPr>
          <w:spacing w:val="-6"/>
        </w:rPr>
        <w:t xml:space="preserve"> </w:t>
      </w:r>
      <w:r>
        <w:t>связан</w:t>
      </w:r>
      <w:r>
        <w:rPr>
          <w:spacing w:val="-7"/>
        </w:rPr>
        <w:t xml:space="preserve"> </w:t>
      </w:r>
      <w:r>
        <w:t>с</w:t>
      </w:r>
      <w:r>
        <w:rPr>
          <w:spacing w:val="-7"/>
        </w:rPr>
        <w:t xml:space="preserve"> </w:t>
      </w:r>
      <w:r>
        <w:t>внедрением техник с транспанкреатическими поддерживающими швами (Блюмгарт и модификации). Основным преимуществом данных методик является перераспределение механической нагрузки с зоны протоково-слизистого анастомоза и стабилизация культи ПЖ [183]. В</w:t>
      </w:r>
      <w:r>
        <w:rPr>
          <w:spacing w:val="-3"/>
        </w:rPr>
        <w:t xml:space="preserve"> </w:t>
      </w:r>
      <w:r>
        <w:t>систематическом обзоре Li et al. применение Блюмгарт-анастомоза сопровождалось снижением частоты КЗ-ПС до 8,3% по сравнению с 22,4% при стандартных техниках (OR=0,38; p=0,004). Метаанализ Cao et al. подтвердил снижение риска КЗ-ПС более чем в три раза при использовании модифицированного Блюмгарт-анастомоза по сравнению с традиционными методами (OR = 0,32; 95% CI 0,12–0,84; P = 0,02), а также уменьшение частоты интраабдоминальных абсцессов [184].</w:t>
      </w:r>
    </w:p>
    <w:p w14:paraId="32454C9D">
      <w:pPr>
        <w:pStyle w:val="7"/>
        <w:ind w:left="0" w:right="3" w:firstLine="701"/>
      </w:pPr>
      <w:r>
        <w:t>В рандомизированном исследовании Kawai et al. частота КЗ-ПС после модифицированного Блюмгарт-анастомоза составила 6,3%, тогда как при традиционном</w:t>
      </w:r>
      <w:r>
        <w:rPr>
          <w:spacing w:val="-2"/>
        </w:rPr>
        <w:t xml:space="preserve"> </w:t>
      </w:r>
      <w:r>
        <w:t>протоково-слизистом ПЕА</w:t>
      </w:r>
      <w:r>
        <w:rPr>
          <w:spacing w:val="-6"/>
        </w:rPr>
        <w:t xml:space="preserve"> </w:t>
      </w:r>
      <w:r>
        <w:t>— 16,3%</w:t>
      </w:r>
      <w:r>
        <w:rPr>
          <w:spacing w:val="-5"/>
        </w:rPr>
        <w:t xml:space="preserve"> </w:t>
      </w:r>
      <w:r>
        <w:t>(p</w:t>
      </w:r>
      <w:r>
        <w:rPr>
          <w:spacing w:val="-4"/>
        </w:rPr>
        <w:t xml:space="preserve"> </w:t>
      </w:r>
      <w:r>
        <w:t>&lt;</w:t>
      </w:r>
      <w:r>
        <w:rPr>
          <w:spacing w:val="-3"/>
        </w:rPr>
        <w:t xml:space="preserve"> </w:t>
      </w:r>
      <w:r>
        <w:t>0,05),</w:t>
      </w:r>
      <w:r>
        <w:rPr>
          <w:spacing w:val="-1"/>
        </w:rPr>
        <w:t xml:space="preserve"> </w:t>
      </w:r>
      <w:r>
        <w:t>что подтверждает более высокую механическую стабильность транспанкреатических поддерживающих швов и их клиническое преимущество в профилактике тяжёлых форм свища [185]. В исследованиях с использованием propensity score matching частота КЗ-ПС при Блюмгарт снижалась до 9–10%, тогда как при традиционном протоково-слизистом составляла 18–20%, а доля тяжёлых форм степени C уменьшалась более чем в 2 раза [186,187].</w:t>
      </w:r>
    </w:p>
    <w:p w14:paraId="2798E9D8">
      <w:pPr>
        <w:pStyle w:val="7"/>
        <w:ind w:left="0" w:right="3" w:firstLine="701"/>
      </w:pPr>
      <w:r>
        <w:t xml:space="preserve">Селективное стентирование ПП является дополнительным элементом профилактики ПС. По данным Motoi et al. применение стента снижает внутрипротоковое давление и облегчает формирование анастомоза [188]. Метаанализ </w:t>
      </w:r>
      <w:r>
        <w:rPr>
          <w:color w:val="1B1B1B"/>
        </w:rPr>
        <w:t xml:space="preserve">Zhao </w:t>
      </w:r>
      <w:r>
        <w:t>et al. показал снижение частоты КЗ-ПС при использовании наружного</w:t>
      </w:r>
      <w:r>
        <w:rPr>
          <w:spacing w:val="-18"/>
        </w:rPr>
        <w:t xml:space="preserve"> </w:t>
      </w:r>
      <w:r>
        <w:t>стента</w:t>
      </w:r>
      <w:r>
        <w:rPr>
          <w:spacing w:val="-17"/>
        </w:rPr>
        <w:t xml:space="preserve"> </w:t>
      </w:r>
      <w:r>
        <w:t>у</w:t>
      </w:r>
      <w:r>
        <w:rPr>
          <w:spacing w:val="-18"/>
        </w:rPr>
        <w:t xml:space="preserve"> </w:t>
      </w:r>
      <w:r>
        <w:t>пациентов</w:t>
      </w:r>
      <w:r>
        <w:rPr>
          <w:spacing w:val="-17"/>
        </w:rPr>
        <w:t xml:space="preserve"> </w:t>
      </w:r>
      <w:r>
        <w:t>высокого</w:t>
      </w:r>
      <w:r>
        <w:rPr>
          <w:spacing w:val="-18"/>
        </w:rPr>
        <w:t xml:space="preserve"> </w:t>
      </w:r>
      <w:r>
        <w:t>риска</w:t>
      </w:r>
      <w:r>
        <w:rPr>
          <w:spacing w:val="-17"/>
        </w:rPr>
        <w:t xml:space="preserve"> </w:t>
      </w:r>
      <w:r>
        <w:t>[189].</w:t>
      </w:r>
      <w:r>
        <w:rPr>
          <w:spacing w:val="-18"/>
        </w:rPr>
        <w:t xml:space="preserve"> </w:t>
      </w:r>
      <w:r>
        <w:t>Дополнительные</w:t>
      </w:r>
      <w:r>
        <w:rPr>
          <w:spacing w:val="-17"/>
        </w:rPr>
        <w:t xml:space="preserve"> </w:t>
      </w:r>
      <w:r>
        <w:t>данные</w:t>
      </w:r>
      <w:r>
        <w:rPr>
          <w:spacing w:val="-18"/>
        </w:rPr>
        <w:t xml:space="preserve"> </w:t>
      </w:r>
      <w:r>
        <w:t>Ke et al. и Jiang et al. подтверждают снижение частоты КЗ-ПС на 20–30% в отдельных подгруппах пациентов [190,191].</w:t>
      </w:r>
    </w:p>
    <w:p w14:paraId="304FCFE6">
      <w:pPr>
        <w:pStyle w:val="7"/>
        <w:spacing w:before="2"/>
        <w:ind w:left="0" w:firstLine="709"/>
      </w:pPr>
      <w:r>
        <w:t>Сравнение</w:t>
      </w:r>
      <w:r>
        <w:rPr>
          <w:spacing w:val="36"/>
        </w:rPr>
        <w:t xml:space="preserve">  </w:t>
      </w:r>
      <w:r>
        <w:t>ПЕА</w:t>
      </w:r>
      <w:r>
        <w:rPr>
          <w:spacing w:val="32"/>
        </w:rPr>
        <w:t xml:space="preserve">  </w:t>
      </w:r>
      <w:r>
        <w:t>и</w:t>
      </w:r>
      <w:r>
        <w:rPr>
          <w:spacing w:val="33"/>
        </w:rPr>
        <w:t xml:space="preserve">  </w:t>
      </w:r>
      <w:r>
        <w:t>панкреатогастростомии</w:t>
      </w:r>
      <w:r>
        <w:rPr>
          <w:spacing w:val="34"/>
        </w:rPr>
        <w:t xml:space="preserve">  </w:t>
      </w:r>
      <w:r>
        <w:t>подчёркивает</w:t>
      </w:r>
      <w:r>
        <w:rPr>
          <w:spacing w:val="33"/>
        </w:rPr>
        <w:t xml:space="preserve">  </w:t>
      </w:r>
      <w:r>
        <w:rPr>
          <w:spacing w:val="-2"/>
        </w:rPr>
        <w:t>значимость</w:t>
      </w:r>
      <w:r>
        <w:t xml:space="preserve"> механической стабильности реконструкции. В рандомизированном исследовании</w:t>
      </w:r>
      <w:r>
        <w:rPr>
          <w:spacing w:val="-18"/>
        </w:rPr>
        <w:t xml:space="preserve"> </w:t>
      </w:r>
      <w:r>
        <w:t>Andrianello</w:t>
      </w:r>
      <w:r>
        <w:rPr>
          <w:spacing w:val="-17"/>
        </w:rPr>
        <w:t xml:space="preserve"> </w:t>
      </w:r>
      <w:r>
        <w:t>et</w:t>
      </w:r>
      <w:r>
        <w:rPr>
          <w:spacing w:val="-18"/>
        </w:rPr>
        <w:t xml:space="preserve"> </w:t>
      </w:r>
      <w:r>
        <w:t>al.</w:t>
      </w:r>
      <w:r>
        <w:rPr>
          <w:spacing w:val="-17"/>
        </w:rPr>
        <w:t xml:space="preserve"> </w:t>
      </w:r>
      <w:r>
        <w:t>частота</w:t>
      </w:r>
      <w:r>
        <w:rPr>
          <w:spacing w:val="-18"/>
        </w:rPr>
        <w:t xml:space="preserve"> </w:t>
      </w:r>
      <w:r>
        <w:t>ПС</w:t>
      </w:r>
      <w:r>
        <w:rPr>
          <w:spacing w:val="-17"/>
        </w:rPr>
        <w:t xml:space="preserve"> </w:t>
      </w:r>
      <w:r>
        <w:t>у</w:t>
      </w:r>
      <w:r>
        <w:rPr>
          <w:spacing w:val="-18"/>
        </w:rPr>
        <w:t xml:space="preserve"> </w:t>
      </w:r>
      <w:r>
        <w:t>пациентов</w:t>
      </w:r>
      <w:r>
        <w:rPr>
          <w:spacing w:val="-17"/>
        </w:rPr>
        <w:t xml:space="preserve"> </w:t>
      </w:r>
      <w:r>
        <w:t>высокого</w:t>
      </w:r>
      <w:r>
        <w:rPr>
          <w:spacing w:val="-18"/>
        </w:rPr>
        <w:t xml:space="preserve"> </w:t>
      </w:r>
      <w:r>
        <w:t>риска</w:t>
      </w:r>
      <w:r>
        <w:rPr>
          <w:spacing w:val="-17"/>
        </w:rPr>
        <w:t xml:space="preserve"> </w:t>
      </w:r>
      <w:r>
        <w:t>составила 38,9% при ПЕА против 50,0% при панкреатогастростомии, при этом ПЕА сопровождалась меньшей тяжестью клинических осложнений [192].</w:t>
      </w:r>
    </w:p>
    <w:p w14:paraId="00E76886">
      <w:pPr>
        <w:pStyle w:val="7"/>
        <w:spacing w:before="4"/>
        <w:ind w:left="0" w:right="3" w:firstLine="709"/>
      </w:pPr>
      <w:r>
        <w:t xml:space="preserve">Современные систематические обзоры подтверждают, что индивидуализация техники реконструкции и риск-ориентированный подход позволяют дополнительно снизить частоту тяжёлых форм ПС [193]. Pedrazzoli показал, что сочетание оптимальной техники ПЕА и стандартизированного периоперационного ведения уменьшает общую частоту осложнений [194]. Al- Shehari et al. продемонстрировали прогностическую роль тяжёлого ПС в формировании летальности [195]. </w:t>
      </w:r>
      <w:r>
        <w:rPr>
          <w:color w:val="202020"/>
        </w:rPr>
        <w:t xml:space="preserve">Ecker </w:t>
      </w:r>
      <w:r>
        <w:t>et al. обосновали необходимость персонализированного выбора техники реконструкции [196]. Данные Pastena et al. и Qian et al. подтверждают воспроизводимость результатов Блюмгарт- подобных техник в минимально инвазивной хирургии [197, 198].</w:t>
      </w:r>
    </w:p>
    <w:p w14:paraId="48A19879">
      <w:pPr>
        <w:pStyle w:val="7"/>
        <w:ind w:left="0" w:right="3" w:firstLine="701"/>
      </w:pPr>
      <w:r>
        <w:t>Таким</w:t>
      </w:r>
      <w:r>
        <w:rPr>
          <w:spacing w:val="-14"/>
        </w:rPr>
        <w:t xml:space="preserve"> </w:t>
      </w:r>
      <w:r>
        <w:t>образом,</w:t>
      </w:r>
      <w:r>
        <w:rPr>
          <w:spacing w:val="-13"/>
        </w:rPr>
        <w:t xml:space="preserve"> </w:t>
      </w:r>
      <w:r>
        <w:t>эффективность</w:t>
      </w:r>
      <w:r>
        <w:rPr>
          <w:spacing w:val="-17"/>
        </w:rPr>
        <w:t xml:space="preserve"> </w:t>
      </w:r>
      <w:r>
        <w:t>профилактики</w:t>
      </w:r>
      <w:r>
        <w:rPr>
          <w:spacing w:val="-15"/>
        </w:rPr>
        <w:t xml:space="preserve"> </w:t>
      </w:r>
      <w:r>
        <w:t>ПС</w:t>
      </w:r>
      <w:r>
        <w:rPr>
          <w:spacing w:val="-14"/>
        </w:rPr>
        <w:t xml:space="preserve"> </w:t>
      </w:r>
      <w:r>
        <w:t>определяется</w:t>
      </w:r>
      <w:r>
        <w:rPr>
          <w:spacing w:val="-14"/>
        </w:rPr>
        <w:t xml:space="preserve"> </w:t>
      </w:r>
      <w:r>
        <w:t>не</w:t>
      </w:r>
      <w:r>
        <w:rPr>
          <w:spacing w:val="-14"/>
        </w:rPr>
        <w:t xml:space="preserve"> </w:t>
      </w:r>
      <w:r>
        <w:t>столько формальным типом реконструкции, сколько</w:t>
      </w:r>
      <w:r>
        <w:rPr>
          <w:spacing w:val="-1"/>
        </w:rPr>
        <w:t xml:space="preserve"> </w:t>
      </w:r>
      <w:r>
        <w:t>механической устойчивостью ПЕА и</w:t>
      </w:r>
      <w:r>
        <w:rPr>
          <w:spacing w:val="-8"/>
        </w:rPr>
        <w:t xml:space="preserve"> </w:t>
      </w:r>
      <w:r>
        <w:t>его</w:t>
      </w:r>
      <w:r>
        <w:rPr>
          <w:spacing w:val="-8"/>
        </w:rPr>
        <w:t xml:space="preserve"> </w:t>
      </w:r>
      <w:r>
        <w:t>адаптацией</w:t>
      </w:r>
      <w:r>
        <w:rPr>
          <w:spacing w:val="-8"/>
        </w:rPr>
        <w:t xml:space="preserve"> </w:t>
      </w:r>
      <w:r>
        <w:t>к</w:t>
      </w:r>
      <w:r>
        <w:rPr>
          <w:spacing w:val="-9"/>
        </w:rPr>
        <w:t xml:space="preserve"> </w:t>
      </w:r>
      <w:r>
        <w:t>индивидуальному</w:t>
      </w:r>
      <w:r>
        <w:rPr>
          <w:spacing w:val="-13"/>
        </w:rPr>
        <w:t xml:space="preserve"> </w:t>
      </w:r>
      <w:r>
        <w:t>рисковому</w:t>
      </w:r>
      <w:r>
        <w:rPr>
          <w:spacing w:val="-13"/>
        </w:rPr>
        <w:t xml:space="preserve"> </w:t>
      </w:r>
      <w:r>
        <w:t>профилю</w:t>
      </w:r>
      <w:r>
        <w:rPr>
          <w:spacing w:val="-10"/>
        </w:rPr>
        <w:t xml:space="preserve"> </w:t>
      </w:r>
      <w:r>
        <w:t>пациента.</w:t>
      </w:r>
      <w:r>
        <w:rPr>
          <w:spacing w:val="-7"/>
        </w:rPr>
        <w:t xml:space="preserve"> </w:t>
      </w:r>
      <w:r>
        <w:t>Протоково- слизистый анастомоз остаётся базовым стандартом при благоприятной анатомии,</w:t>
      </w:r>
      <w:r>
        <w:rPr>
          <w:spacing w:val="-18"/>
        </w:rPr>
        <w:t xml:space="preserve"> </w:t>
      </w:r>
      <w:r>
        <w:t>инвагинационный</w:t>
      </w:r>
      <w:r>
        <w:rPr>
          <w:spacing w:val="-17"/>
        </w:rPr>
        <w:t xml:space="preserve"> </w:t>
      </w:r>
      <w:r>
        <w:t>ПЕА</w:t>
      </w:r>
      <w:r>
        <w:rPr>
          <w:spacing w:val="-18"/>
        </w:rPr>
        <w:t xml:space="preserve"> </w:t>
      </w:r>
      <w:r>
        <w:t>характеризуется</w:t>
      </w:r>
      <w:r>
        <w:rPr>
          <w:spacing w:val="-17"/>
        </w:rPr>
        <w:t xml:space="preserve"> </w:t>
      </w:r>
      <w:r>
        <w:t>меньшей</w:t>
      </w:r>
      <w:r>
        <w:rPr>
          <w:spacing w:val="-18"/>
        </w:rPr>
        <w:t xml:space="preserve"> </w:t>
      </w:r>
      <w:r>
        <w:t>надёжностью,</w:t>
      </w:r>
      <w:r>
        <w:rPr>
          <w:spacing w:val="-17"/>
        </w:rPr>
        <w:t xml:space="preserve"> </w:t>
      </w:r>
      <w:r>
        <w:t>тогда как техники Блюмгарт и их модификации демонстрируют наиболее стабильные показатели снижения КЗ-ПС и тяжёлых форм осложнений.</w:t>
      </w:r>
    </w:p>
    <w:p w14:paraId="7A6331D9">
      <w:pPr>
        <w:pStyle w:val="7"/>
        <w:spacing w:before="5"/>
        <w:ind w:left="0" w:right="3" w:firstLine="0"/>
        <w:jc w:val="left"/>
      </w:pPr>
    </w:p>
    <w:p w14:paraId="4A7C399B">
      <w:pPr>
        <w:pStyle w:val="3"/>
        <w:numPr>
          <w:ilvl w:val="1"/>
          <w:numId w:val="8"/>
        </w:numPr>
        <w:tabs>
          <w:tab w:val="left" w:pos="1556"/>
        </w:tabs>
        <w:spacing w:line="319" w:lineRule="exact"/>
        <w:ind w:left="1556" w:hanging="849"/>
      </w:pPr>
      <w:r>
        <w:t>Нерешённые</w:t>
      </w:r>
      <w:r>
        <w:rPr>
          <w:spacing w:val="-11"/>
        </w:rPr>
        <w:t xml:space="preserve"> </w:t>
      </w:r>
      <w:r>
        <w:t>вопросы</w:t>
      </w:r>
      <w:r>
        <w:rPr>
          <w:spacing w:val="-13"/>
        </w:rPr>
        <w:t xml:space="preserve"> </w:t>
      </w:r>
      <w:r>
        <w:t>и</w:t>
      </w:r>
      <w:r>
        <w:rPr>
          <w:spacing w:val="-9"/>
        </w:rPr>
        <w:t xml:space="preserve"> </w:t>
      </w:r>
      <w:r>
        <w:t>обоснование</w:t>
      </w:r>
      <w:r>
        <w:rPr>
          <w:spacing w:val="-10"/>
        </w:rPr>
        <w:t xml:space="preserve"> </w:t>
      </w:r>
      <w:r>
        <w:t>собственного</w:t>
      </w:r>
      <w:r>
        <w:rPr>
          <w:spacing w:val="-15"/>
        </w:rPr>
        <w:t xml:space="preserve"> </w:t>
      </w:r>
      <w:r>
        <w:rPr>
          <w:spacing w:val="-2"/>
        </w:rPr>
        <w:t>подхода</w:t>
      </w:r>
    </w:p>
    <w:p w14:paraId="1ABADF2E">
      <w:pPr>
        <w:pStyle w:val="7"/>
        <w:ind w:left="0" w:right="3" w:firstLine="706"/>
      </w:pPr>
      <w:r>
        <w:t>Несмотря на значительный прогресс в панкреатической хирургии, КЗ-ПС продолжают оставаться ключевой нерешённой проблемой ГПДР. По данным современных метаанализов, частота КЗ-ПС после ГПДР стабильно сохраняется на уровне 10–20% даже в высокообъёмных центрах, что указывает на ограниченность существующих профилактических стратегий [199].</w:t>
      </w:r>
    </w:p>
    <w:p w14:paraId="0E10A275">
      <w:pPr>
        <w:pStyle w:val="7"/>
        <w:ind w:left="0" w:right="3" w:firstLine="706"/>
      </w:pPr>
      <w:r>
        <w:t>Одним из принципиальных нерешённых вопросов остаётся отсутствие универсальной реконструктивной техники ПЕА, обеспечивающей воспроизводимое снижение частоты КЗ-ПС. Несмотря на большое количество модификаций (протоково-слизистые, инвагинационные методики, Блюмгарт- тип и их варианты), результаты рандомизированных исследований остаются противоречивыми.</w:t>
      </w:r>
      <w:r>
        <w:rPr>
          <w:spacing w:val="-12"/>
        </w:rPr>
        <w:t xml:space="preserve"> </w:t>
      </w:r>
      <w:r>
        <w:t>Согласно</w:t>
      </w:r>
      <w:r>
        <w:rPr>
          <w:spacing w:val="-13"/>
        </w:rPr>
        <w:t xml:space="preserve"> </w:t>
      </w:r>
      <w:r>
        <w:t>систематическому</w:t>
      </w:r>
      <w:r>
        <w:rPr>
          <w:spacing w:val="-18"/>
        </w:rPr>
        <w:t xml:space="preserve"> </w:t>
      </w:r>
      <w:r>
        <w:t>обзору</w:t>
      </w:r>
      <w:r>
        <w:rPr>
          <w:spacing w:val="-17"/>
        </w:rPr>
        <w:t xml:space="preserve"> </w:t>
      </w:r>
      <w:r>
        <w:t>Cochrane</w:t>
      </w:r>
      <w:r>
        <w:rPr>
          <w:spacing w:val="-9"/>
        </w:rPr>
        <w:t xml:space="preserve"> </w:t>
      </w:r>
      <w:r>
        <w:t>Hai</w:t>
      </w:r>
      <w:r>
        <w:rPr>
          <w:spacing w:val="-9"/>
        </w:rPr>
        <w:t xml:space="preserve"> </w:t>
      </w:r>
      <w:r>
        <w:t>et</w:t>
      </w:r>
      <w:r>
        <w:rPr>
          <w:spacing w:val="-14"/>
        </w:rPr>
        <w:t xml:space="preserve"> </w:t>
      </w:r>
      <w:r>
        <w:t>al.</w:t>
      </w:r>
      <w:r>
        <w:rPr>
          <w:spacing w:val="-12"/>
        </w:rPr>
        <w:t xml:space="preserve"> </w:t>
      </w:r>
      <w:r>
        <w:t>(2022), сравнение</w:t>
      </w:r>
      <w:r>
        <w:rPr>
          <w:spacing w:val="-18"/>
        </w:rPr>
        <w:t xml:space="preserve"> </w:t>
      </w:r>
      <w:r>
        <w:t>протоково-слизистого</w:t>
      </w:r>
      <w:r>
        <w:rPr>
          <w:spacing w:val="-17"/>
        </w:rPr>
        <w:t xml:space="preserve"> </w:t>
      </w:r>
      <w:r>
        <w:t>ПЕА</w:t>
      </w:r>
      <w:r>
        <w:rPr>
          <w:spacing w:val="-18"/>
        </w:rPr>
        <w:t xml:space="preserve"> </w:t>
      </w:r>
      <w:r>
        <w:t>с</w:t>
      </w:r>
      <w:r>
        <w:rPr>
          <w:spacing w:val="-17"/>
        </w:rPr>
        <w:t xml:space="preserve"> </w:t>
      </w:r>
      <w:r>
        <w:t>альтернативными</w:t>
      </w:r>
      <w:r>
        <w:rPr>
          <w:spacing w:val="-18"/>
        </w:rPr>
        <w:t xml:space="preserve"> </w:t>
      </w:r>
      <w:r>
        <w:t>техниками</w:t>
      </w:r>
      <w:r>
        <w:rPr>
          <w:spacing w:val="-17"/>
        </w:rPr>
        <w:t xml:space="preserve"> </w:t>
      </w:r>
      <w:r>
        <w:t>не</w:t>
      </w:r>
      <w:r>
        <w:rPr>
          <w:spacing w:val="-18"/>
        </w:rPr>
        <w:t xml:space="preserve"> </w:t>
      </w:r>
      <w:r>
        <w:t>выявило убедимых</w:t>
      </w:r>
      <w:r>
        <w:rPr>
          <w:spacing w:val="-12"/>
        </w:rPr>
        <w:t xml:space="preserve"> </w:t>
      </w:r>
      <w:r>
        <w:t>различий</w:t>
      </w:r>
      <w:r>
        <w:rPr>
          <w:spacing w:val="-8"/>
        </w:rPr>
        <w:t xml:space="preserve"> </w:t>
      </w:r>
      <w:r>
        <w:t>по</w:t>
      </w:r>
      <w:r>
        <w:rPr>
          <w:spacing w:val="-3"/>
        </w:rPr>
        <w:t xml:space="preserve"> </w:t>
      </w:r>
      <w:r>
        <w:t>частоте</w:t>
      </w:r>
      <w:r>
        <w:rPr>
          <w:spacing w:val="-7"/>
        </w:rPr>
        <w:t xml:space="preserve"> </w:t>
      </w:r>
      <w:r>
        <w:t>КЗ-ПС</w:t>
      </w:r>
      <w:r>
        <w:rPr>
          <w:spacing w:val="-6"/>
        </w:rPr>
        <w:t xml:space="preserve"> </w:t>
      </w:r>
      <w:r>
        <w:t>и</w:t>
      </w:r>
      <w:r>
        <w:rPr>
          <w:spacing w:val="-3"/>
        </w:rPr>
        <w:t xml:space="preserve"> </w:t>
      </w:r>
      <w:r>
        <w:t>другим</w:t>
      </w:r>
      <w:r>
        <w:rPr>
          <w:spacing w:val="-7"/>
        </w:rPr>
        <w:t xml:space="preserve"> </w:t>
      </w:r>
      <w:r>
        <w:t>клиническим</w:t>
      </w:r>
      <w:r>
        <w:rPr>
          <w:spacing w:val="-7"/>
        </w:rPr>
        <w:t xml:space="preserve"> </w:t>
      </w:r>
      <w:r>
        <w:t>исходам,</w:t>
      </w:r>
      <w:r>
        <w:rPr>
          <w:spacing w:val="-5"/>
        </w:rPr>
        <w:t xml:space="preserve"> </w:t>
      </w:r>
      <w:r>
        <w:t>при</w:t>
      </w:r>
      <w:r>
        <w:rPr>
          <w:spacing w:val="-7"/>
        </w:rPr>
        <w:t xml:space="preserve"> </w:t>
      </w:r>
      <w:r>
        <w:t>этом уровень доказательности остаётся низким, что подчёркивает отсутствие однозначно предпочтительной реконструктивной методики [200].</w:t>
      </w:r>
    </w:p>
    <w:p w14:paraId="2F352591">
      <w:pPr>
        <w:pStyle w:val="7"/>
        <w:ind w:left="0" w:right="3" w:firstLine="706"/>
      </w:pPr>
      <w:r>
        <w:t xml:space="preserve">Особую проблему представляет сочетание мягкой консистенции паренхимы ПЖ и маленького диаметра ПП, которые рассматриваются как ключевые независимые детерминанты риска КЗ-ПС. В национальном валидационном исследовании Suurmeijer et al. показано, что параметры, лежащие в основе классификации ISGPS Fistula Risk, включая текстуру ПЖ и диаметр ПП, обладают высокой прогностической значимостью и позволяют </w:t>
      </w:r>
      <w:r>
        <w:rPr>
          <w:spacing w:val="-2"/>
        </w:rPr>
        <w:t>эффективно</w:t>
      </w:r>
      <w:r>
        <w:rPr>
          <w:spacing w:val="-6"/>
        </w:rPr>
        <w:t xml:space="preserve"> </w:t>
      </w:r>
      <w:r>
        <w:rPr>
          <w:spacing w:val="-2"/>
        </w:rPr>
        <w:t>стратифицировать</w:t>
      </w:r>
      <w:r>
        <w:rPr>
          <w:spacing w:val="-7"/>
        </w:rPr>
        <w:t xml:space="preserve"> </w:t>
      </w:r>
      <w:r>
        <w:rPr>
          <w:spacing w:val="-2"/>
        </w:rPr>
        <w:t>пациентов</w:t>
      </w:r>
      <w:r>
        <w:rPr>
          <w:spacing w:val="-7"/>
        </w:rPr>
        <w:t xml:space="preserve"> </w:t>
      </w:r>
      <w:r>
        <w:rPr>
          <w:spacing w:val="-2"/>
        </w:rPr>
        <w:t>по</w:t>
      </w:r>
      <w:r>
        <w:rPr>
          <w:spacing w:val="-5"/>
        </w:rPr>
        <w:t xml:space="preserve"> </w:t>
      </w:r>
      <w:r>
        <w:rPr>
          <w:spacing w:val="-2"/>
        </w:rPr>
        <w:t>риску</w:t>
      </w:r>
      <w:r>
        <w:rPr>
          <w:spacing w:val="-11"/>
        </w:rPr>
        <w:t xml:space="preserve"> </w:t>
      </w:r>
      <w:r>
        <w:rPr>
          <w:spacing w:val="-2"/>
        </w:rPr>
        <w:t>развития</w:t>
      </w:r>
      <w:r>
        <w:rPr>
          <w:spacing w:val="-4"/>
        </w:rPr>
        <w:t xml:space="preserve"> </w:t>
      </w:r>
      <w:r>
        <w:rPr>
          <w:spacing w:val="-2"/>
        </w:rPr>
        <w:t>КЗ-ПС</w:t>
      </w:r>
      <w:r>
        <w:rPr>
          <w:spacing w:val="-4"/>
        </w:rPr>
        <w:t xml:space="preserve"> </w:t>
      </w:r>
      <w:r>
        <w:rPr>
          <w:spacing w:val="-2"/>
        </w:rPr>
        <w:t>после</w:t>
      </w:r>
      <w:r>
        <w:rPr>
          <w:spacing w:val="-4"/>
        </w:rPr>
        <w:t xml:space="preserve"> </w:t>
      </w:r>
      <w:r>
        <w:rPr>
          <w:spacing w:val="-2"/>
        </w:rPr>
        <w:t>ГПДР.</w:t>
      </w:r>
    </w:p>
    <w:p w14:paraId="24EEF4F5">
      <w:pPr>
        <w:pStyle w:val="7"/>
        <w:spacing w:before="67"/>
        <w:ind w:left="0" w:right="3" w:firstLine="709"/>
      </w:pPr>
      <w:r>
        <w:t>Комбинация мягкой паренхимы ПЖ и маленький диаметр ПП ассоциировалась с</w:t>
      </w:r>
      <w:r>
        <w:rPr>
          <w:spacing w:val="-13"/>
        </w:rPr>
        <w:t xml:space="preserve"> </w:t>
      </w:r>
      <w:r>
        <w:t>существенно</w:t>
      </w:r>
      <w:r>
        <w:rPr>
          <w:spacing w:val="-14"/>
        </w:rPr>
        <w:t xml:space="preserve"> </w:t>
      </w:r>
      <w:r>
        <w:t>более</w:t>
      </w:r>
      <w:r>
        <w:rPr>
          <w:spacing w:val="-13"/>
        </w:rPr>
        <w:t xml:space="preserve"> </w:t>
      </w:r>
      <w:r>
        <w:t>высокой</w:t>
      </w:r>
      <w:r>
        <w:rPr>
          <w:spacing w:val="-14"/>
        </w:rPr>
        <w:t xml:space="preserve"> </w:t>
      </w:r>
      <w:r>
        <w:t>частотой</w:t>
      </w:r>
      <w:r>
        <w:rPr>
          <w:spacing w:val="-14"/>
        </w:rPr>
        <w:t xml:space="preserve"> </w:t>
      </w:r>
      <w:r>
        <w:t>КЗ-ПС</w:t>
      </w:r>
      <w:r>
        <w:rPr>
          <w:spacing w:val="-13"/>
        </w:rPr>
        <w:t xml:space="preserve"> </w:t>
      </w:r>
      <w:r>
        <w:t>по</w:t>
      </w:r>
      <w:r>
        <w:rPr>
          <w:spacing w:val="-14"/>
        </w:rPr>
        <w:t xml:space="preserve"> </w:t>
      </w:r>
      <w:r>
        <w:t>сравнению</w:t>
      </w:r>
      <w:r>
        <w:rPr>
          <w:spacing w:val="-15"/>
        </w:rPr>
        <w:t xml:space="preserve"> </w:t>
      </w:r>
      <w:r>
        <w:t>с</w:t>
      </w:r>
      <w:r>
        <w:rPr>
          <w:spacing w:val="-13"/>
        </w:rPr>
        <w:t xml:space="preserve"> </w:t>
      </w:r>
      <w:r>
        <w:t>группами</w:t>
      </w:r>
      <w:r>
        <w:rPr>
          <w:spacing w:val="-14"/>
        </w:rPr>
        <w:t xml:space="preserve"> </w:t>
      </w:r>
      <w:r>
        <w:t>низкого риска.</w:t>
      </w:r>
    </w:p>
    <w:p w14:paraId="7E382734">
      <w:pPr>
        <w:pStyle w:val="7"/>
        <w:ind w:left="0" w:right="3" w:firstLine="709"/>
      </w:pPr>
      <w:r>
        <w:t>Важным нерешённым аспектом остаётся ограниченная эффективность медикаментозной профилактики. Несмотря на активное применение аналогов соматостатина, данные последних лет не подтверждают их универсальную клиническую пользу. Обновлённый систематический обзор Cochrane показал отсутствие статистически значимого снижения частоты КЗ-ПС при использовании соматостатиновых аналогов, хотя отмечалось уменьшение объёма дренажного отделяемого и частоты биохимических свищей, что указывает на то, что фармакологическое подавление экзокринной секреции не способно компенсировать механическую нестабильность анастомоза [201].</w:t>
      </w:r>
    </w:p>
    <w:p w14:paraId="4B44EBAD">
      <w:pPr>
        <w:pStyle w:val="7"/>
        <w:spacing w:before="2"/>
        <w:ind w:left="0" w:right="3" w:firstLine="709"/>
      </w:pPr>
      <w:r>
        <w:t>Не менее дискуссионным остаётся вопрос оптимальной стратегии дренирования зоны ПЕА. Современные тенденции направлены на селективное применение дренажей и раннее их</w:t>
      </w:r>
      <w:r>
        <w:rPr>
          <w:spacing w:val="-4"/>
        </w:rPr>
        <w:t xml:space="preserve"> </w:t>
      </w:r>
      <w:r>
        <w:t>удаление у</w:t>
      </w:r>
      <w:r>
        <w:rPr>
          <w:spacing w:val="-4"/>
        </w:rPr>
        <w:t xml:space="preserve"> </w:t>
      </w:r>
      <w:r>
        <w:t>пациентов</w:t>
      </w:r>
      <w:r>
        <w:rPr>
          <w:spacing w:val="-1"/>
        </w:rPr>
        <w:t xml:space="preserve"> </w:t>
      </w:r>
      <w:r>
        <w:t>низкого риска. Однако у пациентов с высоким риском ПС отказ от активного локального контроля может приводить к поздней диагностике утечки и развитию тяжёлых внутрибрюшных осложнений. В исследовании Kawai et al. показано, что повышенный уровень ААД на первые сутки после операции (≥ 4000 Ед/л) является независимым предиктором КЗ-ПС, при этом частота КЗ-ПС в данной группе достигала около 35%, что подчёркивает высокую прогностическую ценность раннего мониторинга ААД. Вместе с тем данный подход отражает возможности ранней диагностики осложнений, но не решает проблему профилактики как таковой, что подтверждает необходимость активного хирургического</w:t>
      </w:r>
      <w:r>
        <w:rPr>
          <w:spacing w:val="-8"/>
        </w:rPr>
        <w:t xml:space="preserve"> </w:t>
      </w:r>
      <w:r>
        <w:t>воздействия</w:t>
      </w:r>
      <w:r>
        <w:rPr>
          <w:spacing w:val="-7"/>
        </w:rPr>
        <w:t xml:space="preserve"> </w:t>
      </w:r>
      <w:r>
        <w:t>на</w:t>
      </w:r>
      <w:r>
        <w:rPr>
          <w:spacing w:val="-7"/>
        </w:rPr>
        <w:t xml:space="preserve"> </w:t>
      </w:r>
      <w:r>
        <w:t>патогенетические</w:t>
      </w:r>
      <w:r>
        <w:rPr>
          <w:spacing w:val="-7"/>
        </w:rPr>
        <w:t xml:space="preserve"> </w:t>
      </w:r>
      <w:r>
        <w:t>механизмы</w:t>
      </w:r>
      <w:r>
        <w:rPr>
          <w:spacing w:val="-8"/>
        </w:rPr>
        <w:t xml:space="preserve"> </w:t>
      </w:r>
      <w:r>
        <w:t>формирования</w:t>
      </w:r>
      <w:r>
        <w:rPr>
          <w:spacing w:val="-7"/>
        </w:rPr>
        <w:t xml:space="preserve"> </w:t>
      </w:r>
      <w:r>
        <w:t xml:space="preserve">ПС </w:t>
      </w:r>
      <w:r>
        <w:rPr>
          <w:spacing w:val="-2"/>
        </w:rPr>
        <w:t>[202].</w:t>
      </w:r>
    </w:p>
    <w:p w14:paraId="2E123A5E">
      <w:pPr>
        <w:pStyle w:val="7"/>
        <w:spacing w:before="1"/>
        <w:ind w:left="0" w:right="3" w:firstLine="709"/>
      </w:pPr>
      <w:r>
        <w:t>Совокупность приведённых данных позволяет выделить несколько ключевых нерешённых проблем современной панкреатической хирургии:</w:t>
      </w:r>
    </w:p>
    <w:p w14:paraId="0C55FEEB">
      <w:pPr>
        <w:pStyle w:val="10"/>
        <w:numPr>
          <w:ilvl w:val="0"/>
          <w:numId w:val="10"/>
        </w:numPr>
        <w:tabs>
          <w:tab w:val="left" w:pos="1166"/>
        </w:tabs>
        <w:spacing w:line="242" w:lineRule="auto"/>
        <w:ind w:left="0" w:right="3" w:firstLine="709"/>
        <w:rPr>
          <w:sz w:val="28"/>
        </w:rPr>
      </w:pPr>
      <w:r>
        <w:rPr>
          <w:sz w:val="28"/>
        </w:rPr>
        <w:t>отсутствие универсальной техники ПЕА, эффективной при мягкой паренхиме и узком протоке;</w:t>
      </w:r>
    </w:p>
    <w:p w14:paraId="5A213DE2">
      <w:pPr>
        <w:pStyle w:val="10"/>
        <w:numPr>
          <w:ilvl w:val="0"/>
          <w:numId w:val="10"/>
        </w:numPr>
        <w:tabs>
          <w:tab w:val="left" w:pos="1066"/>
        </w:tabs>
        <w:spacing w:line="320" w:lineRule="exact"/>
        <w:ind w:left="0" w:right="3" w:firstLine="709"/>
        <w:rPr>
          <w:sz w:val="28"/>
        </w:rPr>
      </w:pPr>
      <w:r>
        <w:rPr>
          <w:spacing w:val="-2"/>
          <w:sz w:val="28"/>
        </w:rPr>
        <w:t>ограниченная</w:t>
      </w:r>
      <w:r>
        <w:rPr>
          <w:spacing w:val="10"/>
          <w:sz w:val="28"/>
        </w:rPr>
        <w:t xml:space="preserve"> </w:t>
      </w:r>
      <w:r>
        <w:rPr>
          <w:spacing w:val="-2"/>
          <w:sz w:val="28"/>
        </w:rPr>
        <w:t>эффективность</w:t>
      </w:r>
      <w:r>
        <w:rPr>
          <w:spacing w:val="6"/>
          <w:sz w:val="28"/>
        </w:rPr>
        <w:t xml:space="preserve"> </w:t>
      </w:r>
      <w:r>
        <w:rPr>
          <w:spacing w:val="-2"/>
          <w:sz w:val="28"/>
        </w:rPr>
        <w:t>медикаментозной</w:t>
      </w:r>
      <w:r>
        <w:rPr>
          <w:spacing w:val="8"/>
          <w:sz w:val="28"/>
        </w:rPr>
        <w:t xml:space="preserve"> </w:t>
      </w:r>
      <w:r>
        <w:rPr>
          <w:spacing w:val="-2"/>
          <w:sz w:val="28"/>
        </w:rPr>
        <w:t>профилактики;</w:t>
      </w:r>
    </w:p>
    <w:p w14:paraId="484FF000">
      <w:pPr>
        <w:pStyle w:val="10"/>
        <w:numPr>
          <w:ilvl w:val="0"/>
          <w:numId w:val="10"/>
        </w:numPr>
        <w:tabs>
          <w:tab w:val="left" w:pos="1066"/>
        </w:tabs>
        <w:spacing w:line="322" w:lineRule="exact"/>
        <w:ind w:left="0" w:right="3" w:firstLine="709"/>
        <w:rPr>
          <w:sz w:val="28"/>
        </w:rPr>
      </w:pPr>
      <w:r>
        <w:rPr>
          <w:sz w:val="28"/>
        </w:rPr>
        <w:t>недостаточная</w:t>
      </w:r>
      <w:r>
        <w:rPr>
          <w:spacing w:val="-15"/>
          <w:sz w:val="28"/>
        </w:rPr>
        <w:t xml:space="preserve"> </w:t>
      </w:r>
      <w:r>
        <w:rPr>
          <w:sz w:val="28"/>
        </w:rPr>
        <w:t>персонализация</w:t>
      </w:r>
      <w:r>
        <w:rPr>
          <w:spacing w:val="-15"/>
          <w:sz w:val="28"/>
        </w:rPr>
        <w:t xml:space="preserve"> </w:t>
      </w:r>
      <w:r>
        <w:rPr>
          <w:sz w:val="28"/>
        </w:rPr>
        <w:t>профилактических</w:t>
      </w:r>
      <w:r>
        <w:rPr>
          <w:spacing w:val="-17"/>
          <w:sz w:val="28"/>
        </w:rPr>
        <w:t xml:space="preserve"> </w:t>
      </w:r>
      <w:r>
        <w:rPr>
          <w:spacing w:val="-2"/>
          <w:sz w:val="28"/>
        </w:rPr>
        <w:t>алгоритмов;</w:t>
      </w:r>
    </w:p>
    <w:p w14:paraId="3DB7153B">
      <w:pPr>
        <w:pStyle w:val="10"/>
        <w:numPr>
          <w:ilvl w:val="0"/>
          <w:numId w:val="10"/>
        </w:numPr>
        <w:tabs>
          <w:tab w:val="left" w:pos="1166"/>
        </w:tabs>
        <w:ind w:left="0" w:right="3" w:firstLine="709"/>
        <w:rPr>
          <w:sz w:val="28"/>
        </w:rPr>
      </w:pPr>
      <w:r>
        <w:rPr>
          <w:sz w:val="28"/>
        </w:rPr>
        <w:t>преобладание диагностических стратегий над активными методами механической стабилизации анастомоза.</w:t>
      </w:r>
    </w:p>
    <w:p w14:paraId="33B63B1F">
      <w:pPr>
        <w:pStyle w:val="7"/>
        <w:ind w:left="0" w:right="3" w:firstLine="709"/>
      </w:pPr>
      <w:r>
        <w:t>В этой связи становится очевидным, что дальнейшее снижение частоты КЗ-ПС возможно только при переходе от универсальных протоколов к риск- адаптированным хирургическим стратегиям, включающим модификацию техники анастомоза, усиление фиксации культи ПЖ, оптимизацию локального дренирования и интеграцию этих элементов в единый клинический алгоритм.</w:t>
      </w:r>
    </w:p>
    <w:p w14:paraId="7106E110">
      <w:pPr>
        <w:pStyle w:val="7"/>
        <w:ind w:left="0" w:right="3" w:firstLine="709"/>
      </w:pPr>
      <w:r>
        <w:t>Таким образом, существующие литературные данные формируют научную основу</w:t>
      </w:r>
      <w:r>
        <w:rPr>
          <w:spacing w:val="-1"/>
        </w:rPr>
        <w:t xml:space="preserve"> </w:t>
      </w:r>
      <w:r>
        <w:t>для разработки и внедрения собственного модифицированного подхода профилактики ПС, ориентированного на пациентов группы высокого риска. Это определяет методологическую и клиническую обоснованность настоящего</w:t>
      </w:r>
      <w:r>
        <w:rPr>
          <w:spacing w:val="-18"/>
        </w:rPr>
        <w:t xml:space="preserve"> </w:t>
      </w:r>
      <w:r>
        <w:t>исследования</w:t>
      </w:r>
      <w:r>
        <w:rPr>
          <w:spacing w:val="-17"/>
        </w:rPr>
        <w:t xml:space="preserve"> </w:t>
      </w:r>
      <w:r>
        <w:t>и</w:t>
      </w:r>
      <w:r>
        <w:rPr>
          <w:spacing w:val="-18"/>
        </w:rPr>
        <w:t xml:space="preserve"> </w:t>
      </w:r>
      <w:r>
        <w:t>логически</w:t>
      </w:r>
      <w:r>
        <w:rPr>
          <w:spacing w:val="-17"/>
        </w:rPr>
        <w:t xml:space="preserve"> </w:t>
      </w:r>
      <w:r>
        <w:t>завершает</w:t>
      </w:r>
      <w:r>
        <w:rPr>
          <w:spacing w:val="-18"/>
        </w:rPr>
        <w:t xml:space="preserve"> </w:t>
      </w:r>
      <w:r>
        <w:t>анализ</w:t>
      </w:r>
      <w:r>
        <w:rPr>
          <w:spacing w:val="-17"/>
        </w:rPr>
        <w:t xml:space="preserve"> </w:t>
      </w:r>
      <w:r>
        <w:t>современного</w:t>
      </w:r>
      <w:r>
        <w:rPr>
          <w:spacing w:val="-18"/>
        </w:rPr>
        <w:t xml:space="preserve"> </w:t>
      </w:r>
      <w:r>
        <w:t xml:space="preserve">состояния </w:t>
      </w:r>
      <w:r>
        <w:rPr>
          <w:spacing w:val="-2"/>
        </w:rPr>
        <w:t>проблемы.</w:t>
      </w:r>
    </w:p>
    <w:p w14:paraId="2FF5039F">
      <w:pPr>
        <w:pStyle w:val="7"/>
        <w:spacing w:before="67"/>
        <w:ind w:left="0" w:right="3" w:firstLine="706"/>
      </w:pPr>
      <w:r>
        <w:t>Резюмируя первую главу диссертационной работы на основе анализа современных отечественных и зарубежных источников показано, что ГПДР остаётся основным радикальным методом лечения опухолей периампулярной зоны, однако сопровождается высокой частотой послеоперационных осложнений. Наиболее клинически значимым осложнением является ПС, который существенно ухудшает течение послеоперационного периода, увеличивает длительность госпитализации, частоту повторных вмешательств и летальность. Представленные в литературе данные свидетельствуют о ведущей роли</w:t>
      </w:r>
      <w:r>
        <w:rPr>
          <w:spacing w:val="-18"/>
        </w:rPr>
        <w:t xml:space="preserve"> </w:t>
      </w:r>
      <w:r>
        <w:t>консистенции</w:t>
      </w:r>
      <w:r>
        <w:rPr>
          <w:spacing w:val="-17"/>
        </w:rPr>
        <w:t xml:space="preserve"> </w:t>
      </w:r>
      <w:r>
        <w:t>ПЖ</w:t>
      </w:r>
      <w:r>
        <w:rPr>
          <w:spacing w:val="-18"/>
        </w:rPr>
        <w:t xml:space="preserve"> </w:t>
      </w:r>
      <w:r>
        <w:t>и</w:t>
      </w:r>
      <w:r>
        <w:rPr>
          <w:spacing w:val="-17"/>
        </w:rPr>
        <w:t xml:space="preserve"> </w:t>
      </w:r>
      <w:r>
        <w:t>диаметра</w:t>
      </w:r>
      <w:r>
        <w:rPr>
          <w:spacing w:val="-18"/>
        </w:rPr>
        <w:t xml:space="preserve"> </w:t>
      </w:r>
      <w:r>
        <w:t>ПП</w:t>
      </w:r>
      <w:r>
        <w:rPr>
          <w:spacing w:val="-17"/>
        </w:rPr>
        <w:t xml:space="preserve"> </w:t>
      </w:r>
      <w:r>
        <w:t>в</w:t>
      </w:r>
      <w:r>
        <w:rPr>
          <w:spacing w:val="-18"/>
        </w:rPr>
        <w:t xml:space="preserve"> </w:t>
      </w:r>
      <w:r>
        <w:t>формировании</w:t>
      </w:r>
      <w:r>
        <w:rPr>
          <w:spacing w:val="-17"/>
        </w:rPr>
        <w:t xml:space="preserve"> </w:t>
      </w:r>
      <w:r>
        <w:t>ПС,</w:t>
      </w:r>
      <w:r>
        <w:rPr>
          <w:spacing w:val="-18"/>
        </w:rPr>
        <w:t xml:space="preserve"> </w:t>
      </w:r>
      <w:r>
        <w:t>при</w:t>
      </w:r>
      <w:r>
        <w:rPr>
          <w:spacing w:val="-17"/>
        </w:rPr>
        <w:t xml:space="preserve"> </w:t>
      </w:r>
      <w:r>
        <w:t>этом</w:t>
      </w:r>
      <w:r>
        <w:rPr>
          <w:spacing w:val="-18"/>
        </w:rPr>
        <w:t xml:space="preserve"> </w:t>
      </w:r>
      <w:r>
        <w:t>результаты сравнительной оценки различных техник ПЕА остаются противоречивыми. Отсутствие универсальных профилактических подходов, а также дефицит исследований, отражающих условия и особенности национальной системы здравоохранения Республики Казахстан, обусловили актуальность настоящей диссертационной работы и необходимость разработки дифференцированных методов профилактики ПС после ГПДР.</w:t>
      </w:r>
    </w:p>
    <w:p w14:paraId="6598B84F">
      <w:pPr>
        <w:pStyle w:val="7"/>
        <w:sectPr>
          <w:pgSz w:w="11910" w:h="16840"/>
          <w:pgMar w:top="1134" w:right="567" w:bottom="1134" w:left="1701" w:header="0" w:footer="936" w:gutter="0"/>
          <w:cols w:space="720" w:num="1"/>
        </w:sectPr>
      </w:pPr>
    </w:p>
    <w:p w14:paraId="2EE3AED4">
      <w:pPr>
        <w:pStyle w:val="2"/>
        <w:numPr>
          <w:ilvl w:val="0"/>
          <w:numId w:val="8"/>
        </w:numPr>
        <w:tabs>
          <w:tab w:val="left" w:pos="918"/>
        </w:tabs>
        <w:ind w:left="918" w:hanging="211"/>
        <w:jc w:val="both"/>
      </w:pPr>
      <w:r>
        <w:t>МАТЕРИАЛЫ</w:t>
      </w:r>
      <w:r>
        <w:rPr>
          <w:spacing w:val="-9"/>
        </w:rPr>
        <w:t xml:space="preserve"> </w:t>
      </w:r>
      <w:r>
        <w:t>И</w:t>
      </w:r>
      <w:r>
        <w:rPr>
          <w:spacing w:val="-8"/>
        </w:rPr>
        <w:t xml:space="preserve"> </w:t>
      </w:r>
      <w:r>
        <w:t>МЕТОДЫ</w:t>
      </w:r>
      <w:r>
        <w:rPr>
          <w:spacing w:val="-8"/>
        </w:rPr>
        <w:t xml:space="preserve"> </w:t>
      </w:r>
      <w:r>
        <w:rPr>
          <w:spacing w:val="-2"/>
        </w:rPr>
        <w:t>ИССЛЕДОВАНИЯ</w:t>
      </w:r>
    </w:p>
    <w:p w14:paraId="6FB6C5B7">
      <w:pPr>
        <w:pStyle w:val="3"/>
        <w:numPr>
          <w:ilvl w:val="1"/>
          <w:numId w:val="8"/>
        </w:numPr>
        <w:tabs>
          <w:tab w:val="left" w:pos="1128"/>
        </w:tabs>
        <w:spacing w:before="322" w:line="319" w:lineRule="exact"/>
        <w:ind w:left="1128" w:hanging="421"/>
      </w:pPr>
      <w:r>
        <w:t>Общая</w:t>
      </w:r>
      <w:r>
        <w:rPr>
          <w:spacing w:val="-14"/>
        </w:rPr>
        <w:t xml:space="preserve"> </w:t>
      </w:r>
      <w:r>
        <w:t>характеристика</w:t>
      </w:r>
      <w:r>
        <w:rPr>
          <w:spacing w:val="-17"/>
        </w:rPr>
        <w:t xml:space="preserve"> </w:t>
      </w:r>
      <w:r>
        <w:rPr>
          <w:spacing w:val="-2"/>
        </w:rPr>
        <w:t>исследования</w:t>
      </w:r>
    </w:p>
    <w:p w14:paraId="51CC015A">
      <w:pPr>
        <w:pStyle w:val="7"/>
        <w:spacing w:line="242" w:lineRule="auto"/>
        <w:ind w:left="0" w:right="3" w:firstLine="706"/>
      </w:pPr>
      <w:r>
        <w:t>Исследование</w:t>
      </w:r>
      <w:r>
        <w:rPr>
          <w:spacing w:val="-10"/>
        </w:rPr>
        <w:t xml:space="preserve"> </w:t>
      </w:r>
      <w:r>
        <w:t>выполнено</w:t>
      </w:r>
      <w:r>
        <w:rPr>
          <w:spacing w:val="-10"/>
        </w:rPr>
        <w:t xml:space="preserve"> </w:t>
      </w:r>
      <w:r>
        <w:t>на</w:t>
      </w:r>
      <w:r>
        <w:rPr>
          <w:spacing w:val="-10"/>
        </w:rPr>
        <w:t xml:space="preserve"> </w:t>
      </w:r>
      <w:r>
        <w:t>базе</w:t>
      </w:r>
      <w:r>
        <w:rPr>
          <w:spacing w:val="-5"/>
        </w:rPr>
        <w:t xml:space="preserve"> </w:t>
      </w:r>
      <w:r>
        <w:t>ННЦХ</w:t>
      </w:r>
      <w:r>
        <w:rPr>
          <w:spacing w:val="-6"/>
        </w:rPr>
        <w:t xml:space="preserve"> </w:t>
      </w:r>
      <w:r>
        <w:t>имени</w:t>
      </w:r>
      <w:r>
        <w:rPr>
          <w:spacing w:val="-6"/>
        </w:rPr>
        <w:t xml:space="preserve"> </w:t>
      </w:r>
      <w:r>
        <w:t>А.Н.</w:t>
      </w:r>
      <w:r>
        <w:rPr>
          <w:spacing w:val="-8"/>
        </w:rPr>
        <w:t xml:space="preserve"> </w:t>
      </w:r>
      <w:r>
        <w:t>Сызганова</w:t>
      </w:r>
      <w:r>
        <w:rPr>
          <w:spacing w:val="-10"/>
        </w:rPr>
        <w:t xml:space="preserve"> </w:t>
      </w:r>
      <w:r>
        <w:t>(г.</w:t>
      </w:r>
      <w:r>
        <w:rPr>
          <w:spacing w:val="-8"/>
        </w:rPr>
        <w:t xml:space="preserve"> </w:t>
      </w:r>
      <w:r>
        <w:t>Алматы) и посвящено оценке эффективности методов профилактики ПС у пациентов, перенёсших ГПДР по поводу опухолей периампулярной зоны.</w:t>
      </w:r>
    </w:p>
    <w:p w14:paraId="1A5CCDE9">
      <w:pPr>
        <w:pStyle w:val="7"/>
        <w:ind w:left="0" w:right="3" w:firstLine="706"/>
      </w:pPr>
      <w:r>
        <w:t>Диссертационная работа представляет собой ретроспективно- проспективное</w:t>
      </w:r>
      <w:r>
        <w:rPr>
          <w:spacing w:val="-2"/>
        </w:rPr>
        <w:t xml:space="preserve"> </w:t>
      </w:r>
      <w:r>
        <w:t>наблюдательное</w:t>
      </w:r>
      <w:r>
        <w:rPr>
          <w:spacing w:val="-2"/>
        </w:rPr>
        <w:t xml:space="preserve"> </w:t>
      </w:r>
      <w:r>
        <w:t>сравнительное</w:t>
      </w:r>
      <w:r>
        <w:rPr>
          <w:spacing w:val="-2"/>
        </w:rPr>
        <w:t xml:space="preserve"> </w:t>
      </w:r>
      <w:r>
        <w:t>исследование</w:t>
      </w:r>
      <w:r>
        <w:rPr>
          <w:spacing w:val="-2"/>
        </w:rPr>
        <w:t xml:space="preserve"> </w:t>
      </w:r>
      <w:r>
        <w:t>и</w:t>
      </w:r>
      <w:r>
        <w:rPr>
          <w:spacing w:val="-3"/>
        </w:rPr>
        <w:t xml:space="preserve"> </w:t>
      </w:r>
      <w:r>
        <w:t>включает</w:t>
      </w:r>
      <w:r>
        <w:rPr>
          <w:spacing w:val="-5"/>
        </w:rPr>
        <w:t xml:space="preserve"> </w:t>
      </w:r>
      <w:r>
        <w:t xml:space="preserve">анализ клинических данных пациентов, перенёсших ГПДР в период с 2016 по 2025 </w:t>
      </w:r>
      <w:r>
        <w:rPr>
          <w:spacing w:val="-2"/>
        </w:rPr>
        <w:t>годы.</w:t>
      </w:r>
    </w:p>
    <w:p w14:paraId="755432EA">
      <w:pPr>
        <w:pStyle w:val="7"/>
        <w:spacing w:line="321" w:lineRule="exact"/>
        <w:ind w:left="0" w:right="3" w:firstLine="706"/>
      </w:pPr>
      <w:r>
        <w:t>Структурно</w:t>
      </w:r>
      <w:r>
        <w:rPr>
          <w:spacing w:val="-9"/>
        </w:rPr>
        <w:t xml:space="preserve"> </w:t>
      </w:r>
      <w:r>
        <w:t>исследование</w:t>
      </w:r>
      <w:r>
        <w:rPr>
          <w:spacing w:val="-7"/>
        </w:rPr>
        <w:t xml:space="preserve"> </w:t>
      </w:r>
      <w:r>
        <w:t>состоит</w:t>
      </w:r>
      <w:r>
        <w:rPr>
          <w:spacing w:val="-9"/>
        </w:rPr>
        <w:t xml:space="preserve"> </w:t>
      </w:r>
      <w:r>
        <w:t>из</w:t>
      </w:r>
      <w:r>
        <w:rPr>
          <w:spacing w:val="-7"/>
        </w:rPr>
        <w:t xml:space="preserve"> </w:t>
      </w:r>
      <w:r>
        <w:t>следующих</w:t>
      </w:r>
      <w:r>
        <w:rPr>
          <w:spacing w:val="-12"/>
        </w:rPr>
        <w:t xml:space="preserve"> </w:t>
      </w:r>
      <w:r>
        <w:rPr>
          <w:spacing w:val="-2"/>
        </w:rPr>
        <w:t>этапов:</w:t>
      </w:r>
    </w:p>
    <w:p w14:paraId="3A3241F4">
      <w:pPr>
        <w:pStyle w:val="10"/>
        <w:numPr>
          <w:ilvl w:val="0"/>
          <w:numId w:val="11"/>
        </w:numPr>
        <w:tabs>
          <w:tab w:val="left" w:pos="408"/>
        </w:tabs>
        <w:ind w:left="0" w:right="3" w:firstLine="706"/>
        <w:rPr>
          <w:sz w:val="28"/>
        </w:rPr>
      </w:pPr>
      <w:r>
        <w:rPr>
          <w:sz w:val="28"/>
        </w:rPr>
        <w:t>Ретроспективный анализ результатов хирургического лечения пациентов, перенёсших ГПДР в 2016–2022 гг., с оценкой частоты и структуры ПС, особенностей техники ПЕА и факторов, влияющих на исходы.</w:t>
      </w:r>
    </w:p>
    <w:p w14:paraId="35190CBA">
      <w:pPr>
        <w:pStyle w:val="10"/>
        <w:numPr>
          <w:ilvl w:val="0"/>
          <w:numId w:val="11"/>
        </w:numPr>
        <w:tabs>
          <w:tab w:val="left" w:pos="442"/>
        </w:tabs>
        <w:ind w:left="0" w:right="3" w:firstLine="706"/>
        <w:rPr>
          <w:sz w:val="28"/>
        </w:rPr>
      </w:pPr>
      <w:r>
        <w:rPr>
          <w:sz w:val="28"/>
        </w:rPr>
        <w:t>Проспективный анализ результатов хирургического лечения пациентов, перенёсших ГПДР в 2023–2025 гг., с применением обновлённого диагностического и лечебного подхода, включая модифицированную протоково-слизистую методику формирования ПЕА.</w:t>
      </w:r>
    </w:p>
    <w:p w14:paraId="1D0A024E">
      <w:pPr>
        <w:pStyle w:val="10"/>
        <w:numPr>
          <w:ilvl w:val="0"/>
          <w:numId w:val="11"/>
        </w:numPr>
        <w:tabs>
          <w:tab w:val="left" w:pos="298"/>
        </w:tabs>
        <w:ind w:left="0" w:right="3" w:firstLine="706"/>
        <w:rPr>
          <w:sz w:val="28"/>
        </w:rPr>
      </w:pPr>
      <w:r>
        <w:rPr>
          <w:sz w:val="28"/>
        </w:rPr>
        <w:t>Определение</w:t>
      </w:r>
      <w:r>
        <w:rPr>
          <w:spacing w:val="-12"/>
          <w:sz w:val="28"/>
        </w:rPr>
        <w:t xml:space="preserve"> </w:t>
      </w:r>
      <w:r>
        <w:rPr>
          <w:sz w:val="28"/>
        </w:rPr>
        <w:t>факторов</w:t>
      </w:r>
      <w:r>
        <w:rPr>
          <w:spacing w:val="-13"/>
          <w:sz w:val="28"/>
        </w:rPr>
        <w:t xml:space="preserve"> </w:t>
      </w:r>
      <w:r>
        <w:rPr>
          <w:sz w:val="28"/>
        </w:rPr>
        <w:t>риска</w:t>
      </w:r>
      <w:r>
        <w:rPr>
          <w:spacing w:val="-12"/>
          <w:sz w:val="28"/>
        </w:rPr>
        <w:t xml:space="preserve"> </w:t>
      </w:r>
      <w:r>
        <w:rPr>
          <w:sz w:val="28"/>
        </w:rPr>
        <w:t>ПС</w:t>
      </w:r>
      <w:r>
        <w:rPr>
          <w:spacing w:val="-11"/>
          <w:sz w:val="28"/>
        </w:rPr>
        <w:t xml:space="preserve"> </w:t>
      </w:r>
      <w:r>
        <w:rPr>
          <w:sz w:val="28"/>
        </w:rPr>
        <w:t>на</w:t>
      </w:r>
      <w:r>
        <w:rPr>
          <w:spacing w:val="-12"/>
          <w:sz w:val="28"/>
        </w:rPr>
        <w:t xml:space="preserve"> </w:t>
      </w:r>
      <w:r>
        <w:rPr>
          <w:sz w:val="28"/>
        </w:rPr>
        <w:t>основании</w:t>
      </w:r>
      <w:r>
        <w:rPr>
          <w:spacing w:val="-12"/>
          <w:sz w:val="28"/>
        </w:rPr>
        <w:t xml:space="preserve"> </w:t>
      </w:r>
      <w:r>
        <w:rPr>
          <w:sz w:val="28"/>
        </w:rPr>
        <w:t>комплексного</w:t>
      </w:r>
      <w:r>
        <w:rPr>
          <w:spacing w:val="-12"/>
          <w:sz w:val="28"/>
        </w:rPr>
        <w:t xml:space="preserve"> </w:t>
      </w:r>
      <w:r>
        <w:rPr>
          <w:sz w:val="28"/>
        </w:rPr>
        <w:t>анализа</w:t>
      </w:r>
      <w:r>
        <w:rPr>
          <w:spacing w:val="-11"/>
          <w:sz w:val="28"/>
        </w:rPr>
        <w:t xml:space="preserve"> </w:t>
      </w:r>
      <w:r>
        <w:rPr>
          <w:sz w:val="28"/>
        </w:rPr>
        <w:t>клинико- анамнестических и интраоперационных характеристик, полученных в ходе ретроспективного и проспективного анализа пациентов.</w:t>
      </w:r>
    </w:p>
    <w:p w14:paraId="24072FCC">
      <w:pPr>
        <w:pStyle w:val="10"/>
        <w:numPr>
          <w:ilvl w:val="0"/>
          <w:numId w:val="11"/>
        </w:numPr>
        <w:tabs>
          <w:tab w:val="left" w:pos="394"/>
        </w:tabs>
        <w:ind w:left="0" w:right="3" w:firstLine="706"/>
        <w:rPr>
          <w:sz w:val="28"/>
        </w:rPr>
      </w:pPr>
      <w:r>
        <w:rPr>
          <w:sz w:val="28"/>
        </w:rPr>
        <w:t>Разработка и внедрение модифицированной протоково-слизистой техники ПЕА</w:t>
      </w:r>
      <w:r>
        <w:rPr>
          <w:b/>
          <w:sz w:val="28"/>
        </w:rPr>
        <w:t xml:space="preserve">, </w:t>
      </w:r>
      <w:r>
        <w:rPr>
          <w:sz w:val="28"/>
        </w:rPr>
        <w:t>направленной на снижение частоты ПС, с оценкой воспроизводимости и безопасности метода.</w:t>
      </w:r>
    </w:p>
    <w:p w14:paraId="42C16732">
      <w:pPr>
        <w:pStyle w:val="10"/>
        <w:numPr>
          <w:ilvl w:val="0"/>
          <w:numId w:val="11"/>
        </w:numPr>
        <w:tabs>
          <w:tab w:val="left" w:pos="398"/>
        </w:tabs>
        <w:ind w:left="0" w:right="3" w:firstLine="706"/>
        <w:rPr>
          <w:sz w:val="28"/>
        </w:rPr>
      </w:pPr>
      <w:r>
        <w:rPr>
          <w:sz w:val="28"/>
        </w:rPr>
        <w:t>Сравнительная оценка эффективности усовершенствованной методики по отношению</w:t>
      </w:r>
      <w:r>
        <w:rPr>
          <w:spacing w:val="-12"/>
          <w:sz w:val="28"/>
        </w:rPr>
        <w:t xml:space="preserve"> </w:t>
      </w:r>
      <w:r>
        <w:rPr>
          <w:sz w:val="28"/>
        </w:rPr>
        <w:t>к</w:t>
      </w:r>
      <w:r>
        <w:rPr>
          <w:spacing w:val="-11"/>
          <w:sz w:val="28"/>
        </w:rPr>
        <w:t xml:space="preserve"> </w:t>
      </w:r>
      <w:r>
        <w:rPr>
          <w:sz w:val="28"/>
        </w:rPr>
        <w:t>стандартной</w:t>
      </w:r>
      <w:r>
        <w:rPr>
          <w:spacing w:val="-11"/>
          <w:sz w:val="28"/>
        </w:rPr>
        <w:t xml:space="preserve"> </w:t>
      </w:r>
      <w:r>
        <w:rPr>
          <w:sz w:val="28"/>
        </w:rPr>
        <w:t>технике</w:t>
      </w:r>
      <w:r>
        <w:rPr>
          <w:spacing w:val="-10"/>
          <w:sz w:val="28"/>
        </w:rPr>
        <w:t xml:space="preserve"> </w:t>
      </w:r>
      <w:r>
        <w:rPr>
          <w:sz w:val="28"/>
        </w:rPr>
        <w:t>ПЕА</w:t>
      </w:r>
      <w:r>
        <w:rPr>
          <w:spacing w:val="-14"/>
          <w:sz w:val="28"/>
        </w:rPr>
        <w:t xml:space="preserve"> </w:t>
      </w:r>
      <w:r>
        <w:rPr>
          <w:sz w:val="28"/>
        </w:rPr>
        <w:t>по</w:t>
      </w:r>
      <w:r>
        <w:rPr>
          <w:spacing w:val="-10"/>
          <w:sz w:val="28"/>
        </w:rPr>
        <w:t xml:space="preserve"> </w:t>
      </w:r>
      <w:r>
        <w:rPr>
          <w:sz w:val="28"/>
        </w:rPr>
        <w:t>критериям</w:t>
      </w:r>
      <w:r>
        <w:rPr>
          <w:spacing w:val="-9"/>
          <w:sz w:val="28"/>
        </w:rPr>
        <w:t xml:space="preserve"> </w:t>
      </w:r>
      <w:r>
        <w:rPr>
          <w:sz w:val="28"/>
        </w:rPr>
        <w:t>частоты</w:t>
      </w:r>
      <w:r>
        <w:rPr>
          <w:spacing w:val="-10"/>
          <w:sz w:val="28"/>
        </w:rPr>
        <w:t xml:space="preserve"> </w:t>
      </w:r>
      <w:r>
        <w:rPr>
          <w:sz w:val="28"/>
        </w:rPr>
        <w:t>ПС,</w:t>
      </w:r>
      <w:r>
        <w:rPr>
          <w:spacing w:val="-8"/>
          <w:sz w:val="28"/>
        </w:rPr>
        <w:t xml:space="preserve"> </w:t>
      </w:r>
      <w:r>
        <w:rPr>
          <w:sz w:val="28"/>
        </w:rPr>
        <w:t>осложнений, длительности послеоперационного периода, необходимости повторных вмешательств и летальных исходов.</w:t>
      </w:r>
    </w:p>
    <w:p w14:paraId="10A0CAF3">
      <w:pPr>
        <w:pStyle w:val="10"/>
        <w:numPr>
          <w:ilvl w:val="0"/>
          <w:numId w:val="11"/>
        </w:numPr>
        <w:tabs>
          <w:tab w:val="left" w:pos="350"/>
        </w:tabs>
        <w:spacing w:line="242" w:lineRule="auto"/>
        <w:ind w:left="0" w:right="3" w:firstLine="709"/>
        <w:rPr>
          <w:sz w:val="28"/>
        </w:rPr>
      </w:pPr>
      <w:r>
        <w:rPr>
          <w:sz w:val="28"/>
        </w:rPr>
        <w:t>Формирование алгоритма профилактики и лечения ПС у пациентов группы риска, основанного на результатах сравнительного анализа ретроспективных и проспективных данных и внедрении модифицированной техники.</w:t>
      </w:r>
    </w:p>
    <w:p w14:paraId="03968155">
      <w:pPr>
        <w:pStyle w:val="10"/>
        <w:tabs>
          <w:tab w:val="left" w:pos="350"/>
        </w:tabs>
        <w:spacing w:line="242" w:lineRule="auto"/>
        <w:ind w:left="709" w:right="3" w:firstLine="0"/>
        <w:rPr>
          <w:sz w:val="28"/>
        </w:rPr>
      </w:pPr>
    </w:p>
    <w:p w14:paraId="3FEC3E12">
      <w:pPr>
        <w:pStyle w:val="3"/>
        <w:numPr>
          <w:ilvl w:val="2"/>
          <w:numId w:val="8"/>
        </w:numPr>
        <w:tabs>
          <w:tab w:val="left" w:pos="1338"/>
        </w:tabs>
        <w:spacing w:line="319" w:lineRule="exact"/>
        <w:ind w:left="1338" w:right="3" w:hanging="631"/>
        <w:rPr>
          <w:b w:val="0"/>
        </w:rPr>
      </w:pPr>
      <w:r>
        <w:rPr>
          <w:b w:val="0"/>
        </w:rPr>
        <w:t>Дизайн</w:t>
      </w:r>
      <w:r>
        <w:rPr>
          <w:b w:val="0"/>
          <w:spacing w:val="-15"/>
        </w:rPr>
        <w:t xml:space="preserve"> </w:t>
      </w:r>
      <w:r>
        <w:rPr>
          <w:b w:val="0"/>
        </w:rPr>
        <w:t>исследования</w:t>
      </w:r>
      <w:r>
        <w:rPr>
          <w:b w:val="0"/>
          <w:spacing w:val="-10"/>
        </w:rPr>
        <w:t xml:space="preserve"> </w:t>
      </w:r>
      <w:r>
        <w:rPr>
          <w:b w:val="0"/>
        </w:rPr>
        <w:t>и</w:t>
      </w:r>
      <w:r>
        <w:rPr>
          <w:b w:val="0"/>
          <w:spacing w:val="-14"/>
        </w:rPr>
        <w:t xml:space="preserve"> </w:t>
      </w:r>
      <w:r>
        <w:rPr>
          <w:b w:val="0"/>
        </w:rPr>
        <w:t>характеристика</w:t>
      </w:r>
      <w:r>
        <w:rPr>
          <w:b w:val="0"/>
          <w:spacing w:val="-13"/>
        </w:rPr>
        <w:t xml:space="preserve"> </w:t>
      </w:r>
      <w:r>
        <w:rPr>
          <w:b w:val="0"/>
        </w:rPr>
        <w:t>клинического</w:t>
      </w:r>
      <w:r>
        <w:rPr>
          <w:b w:val="0"/>
          <w:spacing w:val="-16"/>
        </w:rPr>
        <w:t xml:space="preserve"> </w:t>
      </w:r>
      <w:r>
        <w:rPr>
          <w:b w:val="0"/>
          <w:spacing w:val="-2"/>
        </w:rPr>
        <w:t>материала</w:t>
      </w:r>
    </w:p>
    <w:p w14:paraId="6516081C">
      <w:pPr>
        <w:pStyle w:val="7"/>
        <w:ind w:left="0" w:right="3" w:firstLine="709"/>
      </w:pPr>
      <w:r>
        <w:t>Настоящая работа выполнена в формате ретроспективно-проспективного наблюдательного сравнительного исследования и основана на анализе клинических, интраоперационных и послеоперационных данных пациентов, перенёсших ГПДР по поводу опухолей периампулярной зоны в ННЦХ имени А.Н. Сызганова в период с 2016 по 2025 годы.</w:t>
      </w:r>
    </w:p>
    <w:p w14:paraId="194216A1">
      <w:pPr>
        <w:pStyle w:val="7"/>
        <w:ind w:left="0" w:right="3" w:firstLine="709"/>
      </w:pPr>
      <w:r>
        <w:t>Формирование выборки осуществлялось по принципу сплошного включения. В исследование были включены все пациенты, которым в ННЦХ имени А.Н. Сызганова в период с 2016 по 2025 гг. была выполнена ГПДР по поводу опухолей периампулярной зоны и которые соответствовали установленным критериям включения.</w:t>
      </w:r>
    </w:p>
    <w:p w14:paraId="176AED04">
      <w:pPr>
        <w:pStyle w:val="7"/>
        <w:ind w:left="0" w:right="3"/>
      </w:pPr>
      <w:r>
        <w:t>Ввиду наблюдательного характера исследования и ограниченного контингента пациентов с данной патологией, предварительный априорный расчёт</w:t>
      </w:r>
      <w:r>
        <w:rPr>
          <w:spacing w:val="64"/>
        </w:rPr>
        <w:t xml:space="preserve">  </w:t>
      </w:r>
      <w:r>
        <w:t>объёма</w:t>
      </w:r>
      <w:r>
        <w:rPr>
          <w:spacing w:val="66"/>
        </w:rPr>
        <w:t xml:space="preserve">  </w:t>
      </w:r>
      <w:r>
        <w:t>выборки</w:t>
      </w:r>
      <w:r>
        <w:rPr>
          <w:spacing w:val="68"/>
        </w:rPr>
        <w:t xml:space="preserve">  </w:t>
      </w:r>
      <w:r>
        <w:t>не</w:t>
      </w:r>
      <w:r>
        <w:rPr>
          <w:spacing w:val="66"/>
        </w:rPr>
        <w:t xml:space="preserve">  </w:t>
      </w:r>
      <w:r>
        <w:t>проводился.</w:t>
      </w:r>
      <w:r>
        <w:rPr>
          <w:spacing w:val="66"/>
        </w:rPr>
        <w:t xml:space="preserve">  </w:t>
      </w:r>
      <w:r>
        <w:t>Объём</w:t>
      </w:r>
      <w:r>
        <w:rPr>
          <w:spacing w:val="66"/>
        </w:rPr>
        <w:t xml:space="preserve">  </w:t>
      </w:r>
      <w:r>
        <w:t>выборки</w:t>
      </w:r>
      <w:r>
        <w:rPr>
          <w:spacing w:val="65"/>
        </w:rPr>
        <w:t xml:space="preserve">  </w:t>
      </w:r>
      <w:r>
        <w:rPr>
          <w:spacing w:val="-2"/>
        </w:rPr>
        <w:t>определялся</w:t>
      </w:r>
    </w:p>
    <w:p w14:paraId="7C1373B6">
      <w:pPr>
        <w:pStyle w:val="7"/>
        <w:spacing w:before="67"/>
        <w:ind w:left="0" w:right="3" w:firstLine="0"/>
      </w:pPr>
      <w:r>
        <w:t>фактическим числом выполненных операций за указанный период и признан достаточным для проведения сравнительного анализа клинических исходов, включая частоту ПС, структуру осложнений и госпитальную летальность.</w:t>
      </w:r>
    </w:p>
    <w:p w14:paraId="114B1557">
      <w:pPr>
        <w:pStyle w:val="7"/>
        <w:spacing w:line="244" w:lineRule="auto"/>
        <w:ind w:left="0" w:right="3" w:firstLine="851"/>
      </w:pPr>
      <w:r>
        <w:t>В исследование включено все 356 пациентов, распределённых на две когорты в зависимости от применённой техники формирования ПЕА:</w:t>
      </w:r>
    </w:p>
    <w:p w14:paraId="087E66C7">
      <w:pPr>
        <w:pStyle w:val="7"/>
        <w:ind w:left="0" w:right="3" w:firstLine="851"/>
      </w:pPr>
      <w:r>
        <w:t>Основная группа (n</w:t>
      </w:r>
      <w:r>
        <w:rPr>
          <w:spacing w:val="-2"/>
        </w:rPr>
        <w:t xml:space="preserve"> </w:t>
      </w:r>
      <w:r>
        <w:t>= 148) - пациенты, перенёсшие ГПДР в 2023–2025 гг. с применением</w:t>
      </w:r>
      <w:r>
        <w:rPr>
          <w:spacing w:val="-13"/>
        </w:rPr>
        <w:t xml:space="preserve"> </w:t>
      </w:r>
      <w:r>
        <w:t>модифицированного</w:t>
      </w:r>
      <w:r>
        <w:rPr>
          <w:spacing w:val="-14"/>
        </w:rPr>
        <w:t xml:space="preserve"> </w:t>
      </w:r>
      <w:r>
        <w:t>протоково-слизистого</w:t>
      </w:r>
      <w:r>
        <w:rPr>
          <w:spacing w:val="-14"/>
        </w:rPr>
        <w:t xml:space="preserve"> </w:t>
      </w:r>
      <w:r>
        <w:t>ПЕА,</w:t>
      </w:r>
      <w:r>
        <w:rPr>
          <w:spacing w:val="-12"/>
        </w:rPr>
        <w:t xml:space="preserve"> </w:t>
      </w:r>
      <w:r>
        <w:t>разработанный</w:t>
      </w:r>
      <w:r>
        <w:rPr>
          <w:spacing w:val="-14"/>
        </w:rPr>
        <w:t xml:space="preserve"> </w:t>
      </w:r>
      <w:r>
        <w:t>в ННЦХ им. А.Н. Сызганова, в рамках проспективного этапа исследования.</w:t>
      </w:r>
    </w:p>
    <w:p w14:paraId="74398E4C">
      <w:pPr>
        <w:pStyle w:val="7"/>
        <w:ind w:left="0" w:right="3" w:firstLine="851"/>
      </w:pPr>
      <w:r>
        <w:t>Контрольная</w:t>
      </w:r>
      <w:r>
        <w:rPr>
          <w:spacing w:val="-13"/>
        </w:rPr>
        <w:t xml:space="preserve"> </w:t>
      </w:r>
      <w:r>
        <w:t>группа</w:t>
      </w:r>
      <w:r>
        <w:rPr>
          <w:spacing w:val="-13"/>
        </w:rPr>
        <w:t xml:space="preserve"> </w:t>
      </w:r>
      <w:r>
        <w:t>(n</w:t>
      </w:r>
      <w:r>
        <w:rPr>
          <w:spacing w:val="-18"/>
        </w:rPr>
        <w:t xml:space="preserve"> </w:t>
      </w:r>
      <w:r>
        <w:t>=</w:t>
      </w:r>
      <w:r>
        <w:rPr>
          <w:spacing w:val="-12"/>
        </w:rPr>
        <w:t xml:space="preserve"> </w:t>
      </w:r>
      <w:r>
        <w:t>208)</w:t>
      </w:r>
      <w:r>
        <w:rPr>
          <w:spacing w:val="-13"/>
        </w:rPr>
        <w:t xml:space="preserve"> </w:t>
      </w:r>
      <w:r>
        <w:t>-</w:t>
      </w:r>
      <w:r>
        <w:rPr>
          <w:spacing w:val="-15"/>
        </w:rPr>
        <w:t xml:space="preserve"> </w:t>
      </w:r>
      <w:r>
        <w:t>пациенты,</w:t>
      </w:r>
      <w:r>
        <w:rPr>
          <w:spacing w:val="-12"/>
        </w:rPr>
        <w:t xml:space="preserve"> </w:t>
      </w:r>
      <w:r>
        <w:t>перенёсшие</w:t>
      </w:r>
      <w:r>
        <w:rPr>
          <w:spacing w:val="-17"/>
        </w:rPr>
        <w:t xml:space="preserve"> </w:t>
      </w:r>
      <w:r>
        <w:t>ГПДР</w:t>
      </w:r>
      <w:r>
        <w:rPr>
          <w:spacing w:val="-15"/>
        </w:rPr>
        <w:t xml:space="preserve"> </w:t>
      </w:r>
      <w:r>
        <w:t>в</w:t>
      </w:r>
      <w:r>
        <w:rPr>
          <w:spacing w:val="-15"/>
        </w:rPr>
        <w:t xml:space="preserve"> </w:t>
      </w:r>
      <w:r>
        <w:t>2016–2022</w:t>
      </w:r>
      <w:r>
        <w:rPr>
          <w:spacing w:val="-14"/>
        </w:rPr>
        <w:t xml:space="preserve"> </w:t>
      </w:r>
      <w:r>
        <w:t>гг. с</w:t>
      </w:r>
      <w:r>
        <w:rPr>
          <w:spacing w:val="-18"/>
        </w:rPr>
        <w:t xml:space="preserve"> </w:t>
      </w:r>
      <w:r>
        <w:t>применением</w:t>
      </w:r>
      <w:r>
        <w:rPr>
          <w:spacing w:val="-17"/>
        </w:rPr>
        <w:t xml:space="preserve"> </w:t>
      </w:r>
      <w:r>
        <w:t>стандартной</w:t>
      </w:r>
      <w:r>
        <w:rPr>
          <w:spacing w:val="-18"/>
        </w:rPr>
        <w:t xml:space="preserve"> </w:t>
      </w:r>
      <w:r>
        <w:t>протоково-слизистой</w:t>
      </w:r>
      <w:r>
        <w:rPr>
          <w:spacing w:val="-15"/>
        </w:rPr>
        <w:t xml:space="preserve"> </w:t>
      </w:r>
      <w:r>
        <w:t>ПЕА,</w:t>
      </w:r>
      <w:r>
        <w:rPr>
          <w:spacing w:val="-17"/>
        </w:rPr>
        <w:t xml:space="preserve"> </w:t>
      </w:r>
      <w:r>
        <w:t>анализируемые</w:t>
      </w:r>
      <w:r>
        <w:rPr>
          <w:spacing w:val="-17"/>
        </w:rPr>
        <w:t xml:space="preserve"> </w:t>
      </w:r>
      <w:r>
        <w:t>в</w:t>
      </w:r>
      <w:r>
        <w:rPr>
          <w:spacing w:val="-18"/>
        </w:rPr>
        <w:t xml:space="preserve"> </w:t>
      </w:r>
      <w:r>
        <w:t>рамках ретроспективного этапа.</w:t>
      </w:r>
    </w:p>
    <w:p w14:paraId="5F14E7AD">
      <w:pPr>
        <w:pStyle w:val="7"/>
        <w:ind w:left="0" w:right="3" w:firstLine="851"/>
      </w:pPr>
      <w:r>
        <w:t>В обеих исследуемых группах при наличии определённых клинических условий в качестве резервного варианта реконструкции применялся инвагинационный ПЕА. Показаниями к его выполнению служили мягкая консистенция поджелудочной железы и диаметр панкреатического протока менее 1 мм.</w:t>
      </w:r>
      <w:r>
        <w:rPr>
          <w:spacing w:val="-1"/>
        </w:rPr>
        <w:t xml:space="preserve"> </w:t>
      </w:r>
      <w:r>
        <w:t>В</w:t>
      </w:r>
      <w:r>
        <w:rPr>
          <w:spacing w:val="-2"/>
        </w:rPr>
        <w:t xml:space="preserve"> </w:t>
      </w:r>
      <w:r>
        <w:t>общей сложности инвагинационный анастомоз был сформирован у 36 пациентов, включённых в обе исследуемые группы.</w:t>
      </w:r>
    </w:p>
    <w:p w14:paraId="4008D19B">
      <w:pPr>
        <w:pStyle w:val="7"/>
        <w:ind w:left="0" w:right="3" w:firstLine="851"/>
      </w:pPr>
      <w:r>
        <w:t>Обе группы сопоставимы по ключевым демографическим и клиническим параметрам, включая возраст, пол, локализацию и распространённость опухолевого процесса, наличие сопутствующих заболеваний, выраженность билиарной обструкции и предоперационный функциональный статус.</w:t>
      </w:r>
    </w:p>
    <w:p w14:paraId="2D5E0785">
      <w:pPr>
        <w:pStyle w:val="7"/>
        <w:ind w:left="0" w:right="3" w:firstLine="706"/>
      </w:pPr>
      <w:r>
        <w:t>Сравнение результатов оперативного лечения проводилось для оценки влияния различных хирургических методик на частоту ПС, структуру осложнений и госпитальную летальность.</w:t>
      </w:r>
    </w:p>
    <w:p w14:paraId="0B53357D">
      <w:pPr>
        <w:pStyle w:val="7"/>
        <w:ind w:left="0" w:right="3" w:firstLine="706"/>
      </w:pPr>
      <w:r>
        <w:t>Дополнительно</w:t>
      </w:r>
      <w:r>
        <w:rPr>
          <w:b/>
        </w:rPr>
        <w:t xml:space="preserve">, </w:t>
      </w:r>
      <w:r>
        <w:t>с целью оценки сопоставимости клинико- интраоперационных характеристик пациентов и анализа организационно- хирургических особенностей выполнения ГПДР в национальных специализированных центрах, проведён сравнительный анализ данных пациентов, оперированных в 2023–2024 гг. в двух учреждениях: ННЦХ имени А.Н.</w:t>
      </w:r>
      <w:r>
        <w:rPr>
          <w:spacing w:val="-18"/>
        </w:rPr>
        <w:t xml:space="preserve"> </w:t>
      </w:r>
      <w:r>
        <w:t>Сызганова</w:t>
      </w:r>
      <w:r>
        <w:rPr>
          <w:spacing w:val="-17"/>
        </w:rPr>
        <w:t xml:space="preserve"> </w:t>
      </w:r>
      <w:r>
        <w:t>(г.</w:t>
      </w:r>
      <w:r>
        <w:rPr>
          <w:spacing w:val="-13"/>
        </w:rPr>
        <w:t xml:space="preserve"> </w:t>
      </w:r>
      <w:r>
        <w:t>Алматы)</w:t>
      </w:r>
      <w:r>
        <w:rPr>
          <w:spacing w:val="-17"/>
        </w:rPr>
        <w:t xml:space="preserve"> </w:t>
      </w:r>
      <w:r>
        <w:t>и</w:t>
      </w:r>
      <w:r>
        <w:rPr>
          <w:spacing w:val="-18"/>
        </w:rPr>
        <w:t xml:space="preserve"> </w:t>
      </w:r>
      <w:r>
        <w:t>Национальном</w:t>
      </w:r>
      <w:r>
        <w:rPr>
          <w:spacing w:val="-17"/>
        </w:rPr>
        <w:t xml:space="preserve"> </w:t>
      </w:r>
      <w:r>
        <w:t>научном</w:t>
      </w:r>
      <w:r>
        <w:rPr>
          <w:spacing w:val="-18"/>
        </w:rPr>
        <w:t xml:space="preserve"> </w:t>
      </w:r>
      <w:r>
        <w:t>онкологическом</w:t>
      </w:r>
      <w:r>
        <w:rPr>
          <w:spacing w:val="-17"/>
        </w:rPr>
        <w:t xml:space="preserve"> </w:t>
      </w:r>
      <w:r>
        <w:t>центре</w:t>
      </w:r>
      <w:r>
        <w:rPr>
          <w:spacing w:val="-18"/>
        </w:rPr>
        <w:t xml:space="preserve"> </w:t>
      </w:r>
      <w:r>
        <w:t xml:space="preserve">(г. </w:t>
      </w:r>
      <w:r>
        <w:rPr>
          <w:spacing w:val="-2"/>
        </w:rPr>
        <w:t>Астана).</w:t>
      </w:r>
    </w:p>
    <w:p w14:paraId="1237AA6B">
      <w:pPr>
        <w:pStyle w:val="7"/>
        <w:ind w:left="0" w:right="3" w:firstLine="706"/>
      </w:pPr>
      <w:r>
        <w:t>Межцентровой</w:t>
      </w:r>
      <w:r>
        <w:rPr>
          <w:spacing w:val="-5"/>
        </w:rPr>
        <w:t xml:space="preserve"> </w:t>
      </w:r>
      <w:r>
        <w:t>анализ</w:t>
      </w:r>
      <w:r>
        <w:rPr>
          <w:spacing w:val="-4"/>
        </w:rPr>
        <w:t xml:space="preserve"> </w:t>
      </w:r>
      <w:r>
        <w:t>носил</w:t>
      </w:r>
      <w:r>
        <w:rPr>
          <w:spacing w:val="-4"/>
        </w:rPr>
        <w:t xml:space="preserve"> </w:t>
      </w:r>
      <w:r>
        <w:t>ретроспективный</w:t>
      </w:r>
      <w:r>
        <w:rPr>
          <w:spacing w:val="-5"/>
        </w:rPr>
        <w:t xml:space="preserve"> </w:t>
      </w:r>
      <w:r>
        <w:t>наблюдательный</w:t>
      </w:r>
      <w:r>
        <w:rPr>
          <w:spacing w:val="-1"/>
        </w:rPr>
        <w:t xml:space="preserve"> </w:t>
      </w:r>
      <w:r>
        <w:t>характер</w:t>
      </w:r>
      <w:r>
        <w:rPr>
          <w:spacing w:val="-5"/>
        </w:rPr>
        <w:t xml:space="preserve"> </w:t>
      </w:r>
      <w:r>
        <w:t>и включал оценку демографических, клинических и интраоперационных показателей без вмешательства в лечебную тактику. Полученные данные использованы для сравнительной характеристики популяций пациентов и интерпретации результатов хирургического лечения.</w:t>
      </w:r>
    </w:p>
    <w:p w14:paraId="7C919293">
      <w:pPr>
        <w:pStyle w:val="7"/>
        <w:ind w:left="0" w:right="3" w:firstLine="706"/>
      </w:pPr>
    </w:p>
    <w:p w14:paraId="77B10B15">
      <w:pPr>
        <w:pStyle w:val="3"/>
        <w:numPr>
          <w:ilvl w:val="2"/>
          <w:numId w:val="8"/>
        </w:numPr>
        <w:tabs>
          <w:tab w:val="left" w:pos="1338"/>
        </w:tabs>
        <w:spacing w:line="319" w:lineRule="exact"/>
        <w:ind w:left="0" w:right="3" w:firstLine="706"/>
        <w:rPr>
          <w:b w:val="0"/>
        </w:rPr>
      </w:pPr>
      <w:bookmarkStart w:id="1" w:name="2.1.2_Критерии_включения_и_исключения"/>
      <w:bookmarkEnd w:id="1"/>
      <w:r>
        <w:rPr>
          <w:b w:val="0"/>
        </w:rPr>
        <w:t>Критерии</w:t>
      </w:r>
      <w:r>
        <w:rPr>
          <w:b w:val="0"/>
          <w:spacing w:val="-11"/>
        </w:rPr>
        <w:t xml:space="preserve"> </w:t>
      </w:r>
      <w:r>
        <w:rPr>
          <w:b w:val="0"/>
        </w:rPr>
        <w:t>включения</w:t>
      </w:r>
      <w:r>
        <w:rPr>
          <w:b w:val="0"/>
          <w:spacing w:val="-11"/>
        </w:rPr>
        <w:t xml:space="preserve"> </w:t>
      </w:r>
      <w:r>
        <w:rPr>
          <w:b w:val="0"/>
        </w:rPr>
        <w:t>и</w:t>
      </w:r>
      <w:r>
        <w:rPr>
          <w:b w:val="0"/>
          <w:spacing w:val="-7"/>
        </w:rPr>
        <w:t xml:space="preserve"> </w:t>
      </w:r>
      <w:r>
        <w:rPr>
          <w:b w:val="0"/>
          <w:spacing w:val="-2"/>
        </w:rPr>
        <w:t>исключения</w:t>
      </w:r>
    </w:p>
    <w:p w14:paraId="5E03243B">
      <w:pPr>
        <w:pStyle w:val="7"/>
        <w:spacing w:line="319" w:lineRule="exact"/>
        <w:ind w:left="707" w:firstLine="0"/>
        <w:jc w:val="left"/>
      </w:pPr>
      <w:r>
        <w:t>Критерии</w:t>
      </w:r>
      <w:r>
        <w:rPr>
          <w:spacing w:val="-14"/>
        </w:rPr>
        <w:t xml:space="preserve"> </w:t>
      </w:r>
      <w:r>
        <w:rPr>
          <w:spacing w:val="-2"/>
        </w:rPr>
        <w:t>включения:</w:t>
      </w:r>
    </w:p>
    <w:p w14:paraId="3991D229">
      <w:pPr>
        <w:pStyle w:val="10"/>
        <w:numPr>
          <w:ilvl w:val="3"/>
          <w:numId w:val="8"/>
        </w:numPr>
        <w:tabs>
          <w:tab w:val="left" w:pos="869"/>
        </w:tabs>
        <w:spacing w:line="322" w:lineRule="exact"/>
        <w:ind w:left="869" w:hanging="162"/>
        <w:jc w:val="left"/>
        <w:rPr>
          <w:sz w:val="28"/>
        </w:rPr>
      </w:pPr>
      <w:r>
        <w:rPr>
          <w:sz w:val="28"/>
        </w:rPr>
        <w:t>пациенты</w:t>
      </w:r>
      <w:r>
        <w:rPr>
          <w:spacing w:val="-8"/>
          <w:sz w:val="28"/>
        </w:rPr>
        <w:t xml:space="preserve"> </w:t>
      </w:r>
      <w:r>
        <w:rPr>
          <w:sz w:val="28"/>
        </w:rPr>
        <w:t>старше</w:t>
      </w:r>
      <w:r>
        <w:rPr>
          <w:spacing w:val="-7"/>
          <w:sz w:val="28"/>
        </w:rPr>
        <w:t xml:space="preserve"> </w:t>
      </w:r>
      <w:r>
        <w:rPr>
          <w:sz w:val="28"/>
        </w:rPr>
        <w:t>18</w:t>
      </w:r>
      <w:r>
        <w:rPr>
          <w:spacing w:val="-8"/>
          <w:sz w:val="28"/>
        </w:rPr>
        <w:t xml:space="preserve"> </w:t>
      </w:r>
      <w:r>
        <w:rPr>
          <w:spacing w:val="-4"/>
          <w:sz w:val="28"/>
        </w:rPr>
        <w:t>лет;</w:t>
      </w:r>
    </w:p>
    <w:p w14:paraId="2A3849DC">
      <w:pPr>
        <w:pStyle w:val="10"/>
        <w:numPr>
          <w:ilvl w:val="3"/>
          <w:numId w:val="8"/>
        </w:numPr>
        <w:tabs>
          <w:tab w:val="left" w:pos="869"/>
        </w:tabs>
        <w:ind w:left="869" w:hanging="162"/>
        <w:jc w:val="left"/>
        <w:rPr>
          <w:sz w:val="28"/>
        </w:rPr>
      </w:pPr>
      <w:r>
        <w:rPr>
          <w:sz w:val="28"/>
        </w:rPr>
        <w:t>наличие</w:t>
      </w:r>
      <w:r>
        <w:rPr>
          <w:spacing w:val="-11"/>
          <w:sz w:val="28"/>
        </w:rPr>
        <w:t xml:space="preserve"> </w:t>
      </w:r>
      <w:r>
        <w:rPr>
          <w:sz w:val="28"/>
        </w:rPr>
        <w:t>опухолей</w:t>
      </w:r>
      <w:r>
        <w:rPr>
          <w:spacing w:val="-12"/>
          <w:sz w:val="28"/>
        </w:rPr>
        <w:t xml:space="preserve"> </w:t>
      </w:r>
      <w:r>
        <w:rPr>
          <w:sz w:val="28"/>
        </w:rPr>
        <w:t>периампулярной</w:t>
      </w:r>
      <w:r>
        <w:rPr>
          <w:spacing w:val="-12"/>
          <w:sz w:val="28"/>
        </w:rPr>
        <w:t xml:space="preserve"> </w:t>
      </w:r>
      <w:r>
        <w:rPr>
          <w:sz w:val="28"/>
        </w:rPr>
        <w:t>зоны,</w:t>
      </w:r>
      <w:r>
        <w:rPr>
          <w:spacing w:val="-9"/>
          <w:sz w:val="28"/>
        </w:rPr>
        <w:t xml:space="preserve"> </w:t>
      </w:r>
      <w:r>
        <w:rPr>
          <w:sz w:val="28"/>
        </w:rPr>
        <w:t>требующих</w:t>
      </w:r>
      <w:r>
        <w:rPr>
          <w:spacing w:val="-15"/>
          <w:sz w:val="28"/>
        </w:rPr>
        <w:t xml:space="preserve"> </w:t>
      </w:r>
      <w:r>
        <w:rPr>
          <w:spacing w:val="-2"/>
          <w:sz w:val="28"/>
        </w:rPr>
        <w:t>ГПДР;</w:t>
      </w:r>
    </w:p>
    <w:p w14:paraId="4C764407">
      <w:pPr>
        <w:pStyle w:val="10"/>
        <w:numPr>
          <w:ilvl w:val="3"/>
          <w:numId w:val="8"/>
        </w:numPr>
        <w:tabs>
          <w:tab w:val="left" w:pos="869"/>
        </w:tabs>
        <w:spacing w:line="322" w:lineRule="exact"/>
        <w:ind w:left="869" w:hanging="162"/>
        <w:jc w:val="left"/>
        <w:rPr>
          <w:sz w:val="28"/>
        </w:rPr>
      </w:pPr>
      <w:r>
        <w:rPr>
          <w:sz w:val="28"/>
        </w:rPr>
        <w:t>отсутствие</w:t>
      </w:r>
      <w:r>
        <w:rPr>
          <w:spacing w:val="-10"/>
          <w:sz w:val="28"/>
        </w:rPr>
        <w:t xml:space="preserve"> </w:t>
      </w:r>
      <w:r>
        <w:rPr>
          <w:sz w:val="28"/>
        </w:rPr>
        <w:t>отдалённых</w:t>
      </w:r>
      <w:r>
        <w:rPr>
          <w:spacing w:val="-14"/>
          <w:sz w:val="28"/>
        </w:rPr>
        <w:t xml:space="preserve"> </w:t>
      </w:r>
      <w:r>
        <w:rPr>
          <w:spacing w:val="-2"/>
          <w:sz w:val="28"/>
        </w:rPr>
        <w:t>метастазов;</w:t>
      </w:r>
    </w:p>
    <w:p w14:paraId="701CA8D7">
      <w:pPr>
        <w:pStyle w:val="10"/>
        <w:numPr>
          <w:ilvl w:val="3"/>
          <w:numId w:val="8"/>
        </w:numPr>
        <w:tabs>
          <w:tab w:val="left" w:pos="869"/>
        </w:tabs>
        <w:spacing w:line="242" w:lineRule="auto"/>
        <w:ind w:left="0" w:right="3" w:firstLine="709"/>
        <w:rPr>
          <w:sz w:val="28"/>
        </w:rPr>
      </w:pPr>
      <w:r>
        <w:rPr>
          <w:sz w:val="28"/>
        </w:rPr>
        <w:t>информированное</w:t>
      </w:r>
      <w:r>
        <w:rPr>
          <w:spacing w:val="-8"/>
          <w:sz w:val="28"/>
        </w:rPr>
        <w:t xml:space="preserve"> </w:t>
      </w:r>
      <w:r>
        <w:rPr>
          <w:sz w:val="28"/>
        </w:rPr>
        <w:t>согласие</w:t>
      </w:r>
      <w:r>
        <w:rPr>
          <w:spacing w:val="-8"/>
          <w:sz w:val="28"/>
        </w:rPr>
        <w:t xml:space="preserve"> </w:t>
      </w:r>
      <w:r>
        <w:rPr>
          <w:sz w:val="28"/>
        </w:rPr>
        <w:t>на</w:t>
      </w:r>
      <w:r>
        <w:rPr>
          <w:spacing w:val="-8"/>
          <w:sz w:val="28"/>
        </w:rPr>
        <w:t xml:space="preserve"> </w:t>
      </w:r>
      <w:r>
        <w:rPr>
          <w:sz w:val="28"/>
        </w:rPr>
        <w:t>участие</w:t>
      </w:r>
      <w:r>
        <w:rPr>
          <w:spacing w:val="-8"/>
          <w:sz w:val="28"/>
        </w:rPr>
        <w:t xml:space="preserve"> </w:t>
      </w:r>
      <w:r>
        <w:rPr>
          <w:sz w:val="28"/>
        </w:rPr>
        <w:t>в</w:t>
      </w:r>
      <w:r>
        <w:rPr>
          <w:spacing w:val="-10"/>
          <w:sz w:val="28"/>
        </w:rPr>
        <w:t xml:space="preserve"> </w:t>
      </w:r>
      <w:r>
        <w:rPr>
          <w:sz w:val="28"/>
        </w:rPr>
        <w:t>исследовании. Критерии исключения:</w:t>
      </w:r>
    </w:p>
    <w:p w14:paraId="16863A51">
      <w:pPr>
        <w:pStyle w:val="10"/>
        <w:numPr>
          <w:ilvl w:val="3"/>
          <w:numId w:val="8"/>
        </w:numPr>
        <w:tabs>
          <w:tab w:val="left" w:pos="869"/>
        </w:tabs>
        <w:spacing w:line="319" w:lineRule="exact"/>
        <w:ind w:left="869" w:hanging="162"/>
        <w:jc w:val="left"/>
        <w:rPr>
          <w:sz w:val="28"/>
        </w:rPr>
      </w:pPr>
      <w:r>
        <w:rPr>
          <w:sz w:val="28"/>
        </w:rPr>
        <w:t>повторные</w:t>
      </w:r>
      <w:r>
        <w:rPr>
          <w:spacing w:val="-7"/>
          <w:sz w:val="28"/>
        </w:rPr>
        <w:t xml:space="preserve"> </w:t>
      </w:r>
      <w:r>
        <w:rPr>
          <w:sz w:val="28"/>
        </w:rPr>
        <w:t>операции</w:t>
      </w:r>
      <w:r>
        <w:rPr>
          <w:spacing w:val="-8"/>
          <w:sz w:val="28"/>
        </w:rPr>
        <w:t xml:space="preserve"> </w:t>
      </w:r>
      <w:r>
        <w:rPr>
          <w:sz w:val="28"/>
        </w:rPr>
        <w:t>на</w:t>
      </w:r>
      <w:r>
        <w:rPr>
          <w:spacing w:val="-6"/>
          <w:sz w:val="28"/>
        </w:rPr>
        <w:t xml:space="preserve"> </w:t>
      </w:r>
      <w:r>
        <w:rPr>
          <w:spacing w:val="-5"/>
          <w:sz w:val="28"/>
        </w:rPr>
        <w:t>ПЖ;</w:t>
      </w:r>
    </w:p>
    <w:p w14:paraId="3677F2CB">
      <w:pPr>
        <w:pStyle w:val="10"/>
        <w:numPr>
          <w:ilvl w:val="3"/>
          <w:numId w:val="8"/>
        </w:numPr>
        <w:tabs>
          <w:tab w:val="left" w:pos="869"/>
        </w:tabs>
        <w:ind w:left="869" w:hanging="162"/>
        <w:jc w:val="left"/>
        <w:rPr>
          <w:sz w:val="28"/>
        </w:rPr>
      </w:pPr>
      <w:r>
        <w:rPr>
          <w:sz w:val="28"/>
        </w:rPr>
        <w:t>тяжёлая</w:t>
      </w:r>
      <w:r>
        <w:rPr>
          <w:spacing w:val="-8"/>
          <w:sz w:val="28"/>
        </w:rPr>
        <w:t xml:space="preserve"> </w:t>
      </w:r>
      <w:r>
        <w:rPr>
          <w:sz w:val="28"/>
        </w:rPr>
        <w:t>соматическая</w:t>
      </w:r>
      <w:r>
        <w:rPr>
          <w:spacing w:val="-7"/>
          <w:sz w:val="28"/>
        </w:rPr>
        <w:t xml:space="preserve"> </w:t>
      </w:r>
      <w:r>
        <w:rPr>
          <w:sz w:val="28"/>
        </w:rPr>
        <w:t>патология,</w:t>
      </w:r>
      <w:r>
        <w:rPr>
          <w:spacing w:val="-7"/>
          <w:sz w:val="28"/>
        </w:rPr>
        <w:t xml:space="preserve"> </w:t>
      </w:r>
      <w:r>
        <w:rPr>
          <w:sz w:val="28"/>
        </w:rPr>
        <w:t>влияющая</w:t>
      </w:r>
      <w:r>
        <w:rPr>
          <w:spacing w:val="-7"/>
          <w:sz w:val="28"/>
        </w:rPr>
        <w:t xml:space="preserve"> </w:t>
      </w:r>
      <w:r>
        <w:rPr>
          <w:sz w:val="28"/>
        </w:rPr>
        <w:t>на</w:t>
      </w:r>
      <w:r>
        <w:rPr>
          <w:spacing w:val="-8"/>
          <w:sz w:val="28"/>
        </w:rPr>
        <w:t xml:space="preserve"> </w:t>
      </w:r>
      <w:r>
        <w:rPr>
          <w:spacing w:val="-2"/>
          <w:sz w:val="28"/>
        </w:rPr>
        <w:t>исход;</w:t>
      </w:r>
    </w:p>
    <w:p w14:paraId="32AA2685">
      <w:pPr>
        <w:pStyle w:val="10"/>
        <w:numPr>
          <w:ilvl w:val="3"/>
          <w:numId w:val="8"/>
        </w:numPr>
        <w:tabs>
          <w:tab w:val="left" w:pos="869"/>
        </w:tabs>
        <w:spacing w:before="67"/>
        <w:ind w:left="869" w:hanging="162"/>
        <w:jc w:val="left"/>
        <w:rPr>
          <w:sz w:val="28"/>
        </w:rPr>
      </w:pPr>
      <w:r>
        <w:rPr>
          <w:sz w:val="28"/>
        </w:rPr>
        <w:t>отказ</w:t>
      </w:r>
      <w:r>
        <w:rPr>
          <w:spacing w:val="-4"/>
          <w:sz w:val="28"/>
        </w:rPr>
        <w:t xml:space="preserve"> </w:t>
      </w:r>
      <w:r>
        <w:rPr>
          <w:sz w:val="28"/>
        </w:rPr>
        <w:t>от</w:t>
      </w:r>
      <w:r>
        <w:rPr>
          <w:spacing w:val="-2"/>
          <w:sz w:val="28"/>
        </w:rPr>
        <w:t xml:space="preserve"> участия.</w:t>
      </w:r>
    </w:p>
    <w:p w14:paraId="44948ED0">
      <w:pPr>
        <w:pStyle w:val="10"/>
        <w:tabs>
          <w:tab w:val="left" w:pos="869"/>
        </w:tabs>
        <w:spacing w:before="67"/>
        <w:ind w:left="869" w:firstLine="0"/>
        <w:jc w:val="left"/>
        <w:rPr>
          <w:sz w:val="28"/>
        </w:rPr>
      </w:pPr>
    </w:p>
    <w:p w14:paraId="12379AE1">
      <w:pPr>
        <w:pStyle w:val="3"/>
        <w:numPr>
          <w:ilvl w:val="1"/>
          <w:numId w:val="8"/>
        </w:numPr>
        <w:tabs>
          <w:tab w:val="left" w:pos="1128"/>
        </w:tabs>
        <w:spacing w:before="5" w:line="322" w:lineRule="exact"/>
        <w:ind w:left="1128" w:hanging="421"/>
      </w:pPr>
      <w:bookmarkStart w:id="2" w:name="2.2_Методы_исследования"/>
      <w:bookmarkEnd w:id="2"/>
      <w:r>
        <w:t>Методы</w:t>
      </w:r>
      <w:r>
        <w:rPr>
          <w:spacing w:val="-16"/>
        </w:rPr>
        <w:t xml:space="preserve"> </w:t>
      </w:r>
      <w:r>
        <w:rPr>
          <w:spacing w:val="-2"/>
        </w:rPr>
        <w:t>исследования</w:t>
      </w:r>
    </w:p>
    <w:p w14:paraId="2224B683">
      <w:pPr>
        <w:pStyle w:val="10"/>
        <w:numPr>
          <w:ilvl w:val="2"/>
          <w:numId w:val="8"/>
        </w:numPr>
        <w:tabs>
          <w:tab w:val="left" w:pos="1338"/>
        </w:tabs>
        <w:spacing w:line="319" w:lineRule="exact"/>
        <w:ind w:left="1338" w:hanging="631"/>
        <w:rPr>
          <w:sz w:val="28"/>
        </w:rPr>
      </w:pPr>
      <w:bookmarkStart w:id="3" w:name="2.2.1_Статистический_анализ_ГПДР_в_Казах"/>
      <w:bookmarkEnd w:id="3"/>
      <w:r>
        <w:rPr>
          <w:sz w:val="28"/>
        </w:rPr>
        <w:t>Статистический</w:t>
      </w:r>
      <w:r>
        <w:rPr>
          <w:spacing w:val="-12"/>
          <w:sz w:val="28"/>
        </w:rPr>
        <w:t xml:space="preserve"> </w:t>
      </w:r>
      <w:r>
        <w:rPr>
          <w:sz w:val="28"/>
        </w:rPr>
        <w:t>анализ</w:t>
      </w:r>
      <w:r>
        <w:rPr>
          <w:spacing w:val="-10"/>
          <w:sz w:val="28"/>
        </w:rPr>
        <w:t xml:space="preserve"> </w:t>
      </w:r>
      <w:r>
        <w:rPr>
          <w:sz w:val="28"/>
        </w:rPr>
        <w:t>ГПДР</w:t>
      </w:r>
      <w:r>
        <w:rPr>
          <w:spacing w:val="-6"/>
          <w:sz w:val="28"/>
        </w:rPr>
        <w:t xml:space="preserve"> </w:t>
      </w:r>
      <w:r>
        <w:rPr>
          <w:sz w:val="28"/>
        </w:rPr>
        <w:t>в</w:t>
      </w:r>
      <w:r>
        <w:rPr>
          <w:spacing w:val="-7"/>
          <w:sz w:val="28"/>
        </w:rPr>
        <w:t xml:space="preserve"> </w:t>
      </w:r>
      <w:r>
        <w:rPr>
          <w:spacing w:val="-2"/>
          <w:sz w:val="28"/>
        </w:rPr>
        <w:t>Казахстане</w:t>
      </w:r>
    </w:p>
    <w:p w14:paraId="757A8B57">
      <w:pPr>
        <w:pStyle w:val="7"/>
        <w:ind w:left="0" w:right="3" w:firstLine="706"/>
      </w:pPr>
      <w:r>
        <w:t>Проведен статистический анализ данных о распределении ГПДР и послеоперационной летальности по регионам Республики Казахстан за 2022– 2025 годы, также оценивались данные пациентов с опухолями периампулярной зоны по регионам Республики Казахстан за 2022–2025 годы.</w:t>
      </w:r>
    </w:p>
    <w:p w14:paraId="79407AF1">
      <w:pPr>
        <w:pStyle w:val="7"/>
        <w:ind w:left="0" w:right="3" w:firstLine="706"/>
      </w:pPr>
    </w:p>
    <w:p w14:paraId="39B976F2">
      <w:pPr>
        <w:pStyle w:val="3"/>
        <w:numPr>
          <w:ilvl w:val="2"/>
          <w:numId w:val="8"/>
        </w:numPr>
        <w:tabs>
          <w:tab w:val="left" w:pos="1338"/>
        </w:tabs>
        <w:spacing w:before="6" w:line="319" w:lineRule="exact"/>
        <w:ind w:left="0" w:right="3" w:firstLine="706"/>
        <w:rPr>
          <w:b w:val="0"/>
        </w:rPr>
      </w:pPr>
      <w:r>
        <w:rPr>
          <w:b w:val="0"/>
        </w:rPr>
        <w:t>Анализ</w:t>
      </w:r>
      <w:r>
        <w:rPr>
          <w:b w:val="0"/>
          <w:spacing w:val="-11"/>
        </w:rPr>
        <w:t xml:space="preserve"> </w:t>
      </w:r>
      <w:r>
        <w:rPr>
          <w:b w:val="0"/>
        </w:rPr>
        <w:t>частоты</w:t>
      </w:r>
      <w:r>
        <w:rPr>
          <w:b w:val="0"/>
          <w:spacing w:val="-11"/>
        </w:rPr>
        <w:t xml:space="preserve"> </w:t>
      </w:r>
      <w:r>
        <w:rPr>
          <w:b w:val="0"/>
        </w:rPr>
        <w:t>развития</w:t>
      </w:r>
      <w:r>
        <w:rPr>
          <w:b w:val="0"/>
          <w:spacing w:val="-11"/>
        </w:rPr>
        <w:t xml:space="preserve"> </w:t>
      </w:r>
      <w:r>
        <w:rPr>
          <w:b w:val="0"/>
          <w:spacing w:val="-5"/>
        </w:rPr>
        <w:t>ПС</w:t>
      </w:r>
    </w:p>
    <w:p w14:paraId="1B150473">
      <w:pPr>
        <w:pStyle w:val="7"/>
        <w:ind w:left="0" w:right="3" w:firstLine="706"/>
      </w:pPr>
      <w:r>
        <w:t>Проведён</w:t>
      </w:r>
      <w:r>
        <w:rPr>
          <w:spacing w:val="-18"/>
        </w:rPr>
        <w:t xml:space="preserve"> </w:t>
      </w:r>
      <w:r>
        <w:t>ретроспективный</w:t>
      </w:r>
      <w:r>
        <w:rPr>
          <w:spacing w:val="-17"/>
        </w:rPr>
        <w:t xml:space="preserve"> </w:t>
      </w:r>
      <w:r>
        <w:t>анализ</w:t>
      </w:r>
      <w:r>
        <w:rPr>
          <w:spacing w:val="-18"/>
        </w:rPr>
        <w:t xml:space="preserve"> </w:t>
      </w:r>
      <w:r>
        <w:t>историй</w:t>
      </w:r>
      <w:r>
        <w:rPr>
          <w:spacing w:val="-17"/>
        </w:rPr>
        <w:t xml:space="preserve"> </w:t>
      </w:r>
      <w:r>
        <w:t>болезни</w:t>
      </w:r>
      <w:r>
        <w:rPr>
          <w:spacing w:val="-18"/>
        </w:rPr>
        <w:t xml:space="preserve"> </w:t>
      </w:r>
      <w:r>
        <w:t>пациентов,</w:t>
      </w:r>
      <w:r>
        <w:rPr>
          <w:spacing w:val="-17"/>
        </w:rPr>
        <w:t xml:space="preserve"> </w:t>
      </w:r>
      <w:r>
        <w:t>перенёсших ГПДР</w:t>
      </w:r>
      <w:r>
        <w:rPr>
          <w:spacing w:val="-9"/>
        </w:rPr>
        <w:t xml:space="preserve"> </w:t>
      </w:r>
      <w:r>
        <w:t>в</w:t>
      </w:r>
      <w:r>
        <w:rPr>
          <w:spacing w:val="-9"/>
        </w:rPr>
        <w:t xml:space="preserve"> </w:t>
      </w:r>
      <w:r>
        <w:t>период</w:t>
      </w:r>
      <w:r>
        <w:rPr>
          <w:spacing w:val="-5"/>
        </w:rPr>
        <w:t xml:space="preserve"> </w:t>
      </w:r>
      <w:r>
        <w:t>с</w:t>
      </w:r>
      <w:r>
        <w:rPr>
          <w:spacing w:val="-7"/>
        </w:rPr>
        <w:t xml:space="preserve"> </w:t>
      </w:r>
      <w:r>
        <w:t>2016</w:t>
      </w:r>
      <w:r>
        <w:rPr>
          <w:spacing w:val="-7"/>
        </w:rPr>
        <w:t xml:space="preserve"> </w:t>
      </w:r>
      <w:r>
        <w:t>по</w:t>
      </w:r>
      <w:r>
        <w:rPr>
          <w:spacing w:val="-7"/>
        </w:rPr>
        <w:t xml:space="preserve"> </w:t>
      </w:r>
      <w:r>
        <w:t>2025</w:t>
      </w:r>
      <w:r>
        <w:rPr>
          <w:spacing w:val="-7"/>
        </w:rPr>
        <w:t xml:space="preserve"> </w:t>
      </w:r>
      <w:r>
        <w:t>годы.</w:t>
      </w:r>
      <w:r>
        <w:rPr>
          <w:spacing w:val="-5"/>
        </w:rPr>
        <w:t xml:space="preserve"> </w:t>
      </w:r>
      <w:r>
        <w:t>Оценивались</w:t>
      </w:r>
      <w:r>
        <w:rPr>
          <w:spacing w:val="-10"/>
        </w:rPr>
        <w:t xml:space="preserve"> </w:t>
      </w:r>
      <w:r>
        <w:t>частота</w:t>
      </w:r>
      <w:r>
        <w:rPr>
          <w:spacing w:val="-7"/>
        </w:rPr>
        <w:t xml:space="preserve"> </w:t>
      </w:r>
      <w:r>
        <w:t>и</w:t>
      </w:r>
      <w:r>
        <w:rPr>
          <w:spacing w:val="-7"/>
        </w:rPr>
        <w:t xml:space="preserve"> </w:t>
      </w:r>
      <w:r>
        <w:t>распределение</w:t>
      </w:r>
      <w:r>
        <w:rPr>
          <w:spacing w:val="-7"/>
        </w:rPr>
        <w:t xml:space="preserve"> </w:t>
      </w:r>
      <w:r>
        <w:t>ПС</w:t>
      </w:r>
      <w:r>
        <w:rPr>
          <w:spacing w:val="-2"/>
        </w:rPr>
        <w:t xml:space="preserve"> </w:t>
      </w:r>
      <w:r>
        <w:t>в соответствии с классификацией ISGPS (степени A, B, C), а также структура других послеоперационных осложнений, продолжительность госпитализации, частота повторных вмешательств и показатели госпитальной летальности.</w:t>
      </w:r>
    </w:p>
    <w:p w14:paraId="10585DC9">
      <w:pPr>
        <w:pStyle w:val="7"/>
        <w:ind w:left="0" w:right="3" w:firstLine="706"/>
      </w:pPr>
    </w:p>
    <w:p w14:paraId="2912AFBA">
      <w:pPr>
        <w:pStyle w:val="3"/>
        <w:numPr>
          <w:ilvl w:val="2"/>
          <w:numId w:val="8"/>
        </w:numPr>
        <w:tabs>
          <w:tab w:val="left" w:pos="1338"/>
        </w:tabs>
        <w:spacing w:before="1" w:line="320" w:lineRule="exact"/>
        <w:ind w:left="1338" w:hanging="631"/>
        <w:rPr>
          <w:b w:val="0"/>
        </w:rPr>
      </w:pPr>
      <w:bookmarkStart w:id="4" w:name="2.2.3_Выявление_факторов_риска_формирова"/>
      <w:bookmarkEnd w:id="4"/>
      <w:r>
        <w:rPr>
          <w:b w:val="0"/>
        </w:rPr>
        <w:t>Выявление</w:t>
      </w:r>
      <w:r>
        <w:rPr>
          <w:b w:val="0"/>
          <w:spacing w:val="-13"/>
        </w:rPr>
        <w:t xml:space="preserve"> </w:t>
      </w:r>
      <w:r>
        <w:rPr>
          <w:b w:val="0"/>
        </w:rPr>
        <w:t>факторов</w:t>
      </w:r>
      <w:r>
        <w:rPr>
          <w:b w:val="0"/>
          <w:spacing w:val="-13"/>
        </w:rPr>
        <w:t xml:space="preserve"> </w:t>
      </w:r>
      <w:r>
        <w:rPr>
          <w:b w:val="0"/>
        </w:rPr>
        <w:t>риска</w:t>
      </w:r>
      <w:r>
        <w:rPr>
          <w:b w:val="0"/>
          <w:spacing w:val="-13"/>
        </w:rPr>
        <w:t xml:space="preserve"> </w:t>
      </w:r>
      <w:r>
        <w:rPr>
          <w:b w:val="0"/>
        </w:rPr>
        <w:t>формирования</w:t>
      </w:r>
      <w:r>
        <w:rPr>
          <w:b w:val="0"/>
          <w:spacing w:val="-15"/>
        </w:rPr>
        <w:t xml:space="preserve"> </w:t>
      </w:r>
      <w:r>
        <w:rPr>
          <w:b w:val="0"/>
          <w:spacing w:val="-5"/>
        </w:rPr>
        <w:t>ПС</w:t>
      </w:r>
    </w:p>
    <w:p w14:paraId="4CEC45E4">
      <w:pPr>
        <w:pStyle w:val="7"/>
        <w:ind w:left="0" w:right="3" w:firstLine="706"/>
      </w:pPr>
      <w:r>
        <w:t>Для выявления факторов риска формирования ПС после ГПДР проведён многофакторный статистический анализ клинико-демографических, лабораторных и интраоперационных показателей. В анализ были включены возраст и пол пациентов, наличие сопутствующей патологии, диаметр ПП, консистенция ПЖ, длительность оперативного вмешательства и объём интраоперационной кровопотери.</w:t>
      </w:r>
    </w:p>
    <w:p w14:paraId="1F421512">
      <w:pPr>
        <w:pStyle w:val="7"/>
        <w:ind w:left="0" w:right="3" w:firstLine="706"/>
      </w:pPr>
      <w:r>
        <w:t>На первом этапе выполнялся однофакторный анализ с оценкой связи каждого потенциального предиктора с развитием ПС. Показатели, продемонстрировавшие статистически значимую ассоциацию (p&lt;0,10), включались в многофакторную модель.</w:t>
      </w:r>
    </w:p>
    <w:p w14:paraId="452F13D4">
      <w:pPr>
        <w:pStyle w:val="7"/>
        <w:ind w:left="0" w:right="3" w:firstLine="709"/>
      </w:pPr>
      <w:r>
        <w:t>Для определения независимых факторов риска развития клинически значимого ПС использовалась многофакторная логистическая регрессия с расчётом отношений шансов (OR) и 95% доверительных интервалов. Статистическая значимость предикторов оценивалась при уровне p&lt;0,05.</w:t>
      </w:r>
    </w:p>
    <w:p w14:paraId="3A188003">
      <w:pPr>
        <w:pStyle w:val="7"/>
        <w:ind w:left="0" w:right="3" w:firstLine="709"/>
      </w:pPr>
      <w:r>
        <w:t>С целью оценки дискриминирующей способности полученной прогностической модели и определения оптимальных пороговых значений количественных предикторов выполнялся ROC-анализ с расчётом площади под ROC-кривой (AUC). Для выбранных cut-off значений определялись чувствительность и специфичность метода прогнозирования.</w:t>
      </w:r>
    </w:p>
    <w:p w14:paraId="58F3BE51">
      <w:pPr>
        <w:pStyle w:val="7"/>
        <w:spacing w:before="1"/>
        <w:ind w:left="0" w:right="3" w:firstLine="709"/>
      </w:pPr>
      <w:r>
        <w:t>Полученные результаты логистической регрессии и ROC-анализа использовались для построения прогностической модели вероятности формирования ПС и интерпретировались в совокупности с клиническими и интраоперационными данными.</w:t>
      </w:r>
    </w:p>
    <w:p w14:paraId="19D9115B">
      <w:pPr>
        <w:pStyle w:val="7"/>
        <w:spacing w:before="1"/>
        <w:ind w:left="0" w:right="3" w:firstLine="709"/>
      </w:pPr>
    </w:p>
    <w:p w14:paraId="377B8110">
      <w:pPr>
        <w:pStyle w:val="3"/>
        <w:numPr>
          <w:ilvl w:val="2"/>
          <w:numId w:val="8"/>
        </w:numPr>
        <w:tabs>
          <w:tab w:val="left" w:pos="1342"/>
        </w:tabs>
        <w:spacing w:before="4"/>
        <w:ind w:left="0" w:right="3" w:firstLine="709"/>
        <w:rPr>
          <w:b w:val="0"/>
        </w:rPr>
      </w:pPr>
      <w:bookmarkStart w:id="5" w:name="2.2.4_Разработка_модифицированных_методо"/>
      <w:bookmarkEnd w:id="5"/>
      <w:r>
        <w:rPr>
          <w:b w:val="0"/>
        </w:rPr>
        <w:t>Разработка</w:t>
      </w:r>
      <w:r>
        <w:rPr>
          <w:b w:val="0"/>
          <w:spacing w:val="-4"/>
        </w:rPr>
        <w:t xml:space="preserve"> </w:t>
      </w:r>
      <w:r>
        <w:rPr>
          <w:b w:val="0"/>
        </w:rPr>
        <w:t>модифицированных</w:t>
      </w:r>
      <w:r>
        <w:rPr>
          <w:b w:val="0"/>
          <w:spacing w:val="-8"/>
        </w:rPr>
        <w:t xml:space="preserve"> </w:t>
      </w:r>
      <w:r>
        <w:rPr>
          <w:b w:val="0"/>
        </w:rPr>
        <w:t>методов</w:t>
      </w:r>
      <w:r>
        <w:rPr>
          <w:b w:val="0"/>
          <w:spacing w:val="-6"/>
        </w:rPr>
        <w:t xml:space="preserve"> </w:t>
      </w:r>
      <w:r>
        <w:rPr>
          <w:b w:val="0"/>
        </w:rPr>
        <w:t>профилактики</w:t>
      </w:r>
      <w:r>
        <w:rPr>
          <w:b w:val="0"/>
          <w:spacing w:val="-6"/>
        </w:rPr>
        <w:t xml:space="preserve"> </w:t>
      </w:r>
      <w:r>
        <w:rPr>
          <w:b w:val="0"/>
        </w:rPr>
        <w:t xml:space="preserve">ПС после </w:t>
      </w:r>
      <w:r>
        <w:rPr>
          <w:b w:val="0"/>
          <w:spacing w:val="-4"/>
        </w:rPr>
        <w:t>ГПДР</w:t>
      </w:r>
    </w:p>
    <w:p w14:paraId="181314B6">
      <w:pPr>
        <w:pStyle w:val="7"/>
        <w:ind w:left="0" w:right="3" w:firstLine="709"/>
      </w:pPr>
      <w:bookmarkStart w:id="6" w:name="На_основании_результатов_анализа_выявлен"/>
      <w:bookmarkEnd w:id="6"/>
      <w:r>
        <w:t>На основании результатов анализа выявленных факторов риска была разработана и внедрена усовершенствованная методика формирования протоково-слизистого ПЕА, направленная на снижение частоты несостоятельности анастомотических швов и утечки панкреатического секрета. Предложенная</w:t>
      </w:r>
      <w:r>
        <w:rPr>
          <w:spacing w:val="80"/>
          <w:w w:val="150"/>
        </w:rPr>
        <w:t xml:space="preserve"> </w:t>
      </w:r>
      <w:r>
        <w:t>методика</w:t>
      </w:r>
      <w:r>
        <w:rPr>
          <w:spacing w:val="80"/>
          <w:w w:val="150"/>
        </w:rPr>
        <w:t xml:space="preserve"> </w:t>
      </w:r>
      <w:r>
        <w:t>предусматривала</w:t>
      </w:r>
      <w:r>
        <w:rPr>
          <w:spacing w:val="80"/>
          <w:w w:val="150"/>
        </w:rPr>
        <w:t xml:space="preserve"> </w:t>
      </w:r>
      <w:r>
        <w:t>оптимизацию</w:t>
      </w:r>
      <w:r>
        <w:rPr>
          <w:spacing w:val="80"/>
          <w:w w:val="150"/>
        </w:rPr>
        <w:t xml:space="preserve"> </w:t>
      </w:r>
      <w:r>
        <w:t>ключевых</w:t>
      </w:r>
      <w:r>
        <w:rPr>
          <w:spacing w:val="80"/>
          <w:w w:val="150"/>
        </w:rPr>
        <w:t xml:space="preserve"> </w:t>
      </w:r>
      <w:r>
        <w:t>этапов</w:t>
      </w:r>
    </w:p>
    <w:p w14:paraId="2F0E520D">
      <w:pPr>
        <w:pStyle w:val="7"/>
        <w:spacing w:before="67"/>
        <w:ind w:left="0" w:right="3" w:firstLine="0"/>
      </w:pPr>
      <w:r>
        <w:t xml:space="preserve">анастомозирования, а также повышение герметичности панкреатодигестивного </w:t>
      </w:r>
      <w:r>
        <w:rPr>
          <w:spacing w:val="-2"/>
        </w:rPr>
        <w:t>соединения.</w:t>
      </w:r>
    </w:p>
    <w:p w14:paraId="536E7E95">
      <w:pPr>
        <w:pStyle w:val="7"/>
        <w:spacing w:line="242" w:lineRule="auto"/>
        <w:ind w:left="0" w:right="3" w:firstLine="709"/>
      </w:pPr>
      <w:bookmarkStart w:id="7" w:name="Дополнительно_у_части_пациентов_основной"/>
      <w:bookmarkEnd w:id="7"/>
      <w:r>
        <w:t>Дополнительно у части пациентов основной группы, с учётом интраоперационной оценки степени риска и особенностей операционной ситуации, применялись следующие технические приёмы:</w:t>
      </w:r>
    </w:p>
    <w:p w14:paraId="50FB0D5E">
      <w:pPr>
        <w:pStyle w:val="10"/>
        <w:numPr>
          <w:ilvl w:val="0"/>
          <w:numId w:val="12"/>
        </w:numPr>
        <w:tabs>
          <w:tab w:val="left" w:pos="1084"/>
        </w:tabs>
        <w:ind w:left="0" w:right="3" w:firstLine="709"/>
        <w:rPr>
          <w:sz w:val="28"/>
        </w:rPr>
      </w:pPr>
      <w:bookmarkStart w:id="8" w:name="-_двойное_дренирование_зоны_ПЕА_—_с_цель"/>
      <w:bookmarkEnd w:id="8"/>
      <w:r>
        <w:rPr>
          <w:sz w:val="28"/>
        </w:rPr>
        <w:t>двойное дренирование зоны ПЕА — с целью профилактики послеоперационных</w:t>
      </w:r>
      <w:r>
        <w:rPr>
          <w:spacing w:val="-14"/>
          <w:sz w:val="28"/>
        </w:rPr>
        <w:t xml:space="preserve"> </w:t>
      </w:r>
      <w:r>
        <w:rPr>
          <w:sz w:val="28"/>
        </w:rPr>
        <w:t>жидкостных</w:t>
      </w:r>
      <w:r>
        <w:rPr>
          <w:spacing w:val="-13"/>
          <w:sz w:val="28"/>
        </w:rPr>
        <w:t xml:space="preserve"> </w:t>
      </w:r>
      <w:r>
        <w:rPr>
          <w:sz w:val="28"/>
        </w:rPr>
        <w:t>скоплений</w:t>
      </w:r>
      <w:r>
        <w:rPr>
          <w:spacing w:val="-10"/>
          <w:sz w:val="28"/>
        </w:rPr>
        <w:t xml:space="preserve"> </w:t>
      </w:r>
      <w:r>
        <w:rPr>
          <w:sz w:val="28"/>
        </w:rPr>
        <w:t>и</w:t>
      </w:r>
      <w:r>
        <w:rPr>
          <w:spacing w:val="-10"/>
          <w:sz w:val="28"/>
        </w:rPr>
        <w:t xml:space="preserve"> </w:t>
      </w:r>
      <w:r>
        <w:rPr>
          <w:sz w:val="28"/>
        </w:rPr>
        <w:t>гнойно-септических</w:t>
      </w:r>
      <w:r>
        <w:rPr>
          <w:spacing w:val="-13"/>
          <w:sz w:val="28"/>
        </w:rPr>
        <w:t xml:space="preserve"> </w:t>
      </w:r>
      <w:r>
        <w:rPr>
          <w:spacing w:val="-2"/>
          <w:sz w:val="28"/>
        </w:rPr>
        <w:t>осложнений;</w:t>
      </w:r>
    </w:p>
    <w:p w14:paraId="4A3CB6EC">
      <w:pPr>
        <w:pStyle w:val="10"/>
        <w:numPr>
          <w:ilvl w:val="0"/>
          <w:numId w:val="12"/>
        </w:numPr>
        <w:tabs>
          <w:tab w:val="left" w:pos="893"/>
        </w:tabs>
        <w:spacing w:line="321" w:lineRule="exact"/>
        <w:ind w:left="0" w:right="3" w:firstLine="709"/>
        <w:rPr>
          <w:sz w:val="28"/>
        </w:rPr>
      </w:pPr>
      <w:bookmarkStart w:id="9" w:name="-_окутывание_культи_гастродуоденальной_а"/>
      <w:bookmarkEnd w:id="9"/>
      <w:r>
        <w:rPr>
          <w:sz w:val="28"/>
        </w:rPr>
        <w:t>окутывание</w:t>
      </w:r>
      <w:r>
        <w:rPr>
          <w:spacing w:val="11"/>
          <w:sz w:val="28"/>
        </w:rPr>
        <w:t xml:space="preserve"> </w:t>
      </w:r>
      <w:r>
        <w:rPr>
          <w:sz w:val="28"/>
        </w:rPr>
        <w:t>культи</w:t>
      </w:r>
      <w:r>
        <w:rPr>
          <w:spacing w:val="10"/>
          <w:sz w:val="28"/>
        </w:rPr>
        <w:t xml:space="preserve"> </w:t>
      </w:r>
      <w:r>
        <w:rPr>
          <w:sz w:val="28"/>
        </w:rPr>
        <w:t>гастродуоденальной</w:t>
      </w:r>
      <w:r>
        <w:rPr>
          <w:spacing w:val="10"/>
          <w:sz w:val="28"/>
        </w:rPr>
        <w:t xml:space="preserve"> </w:t>
      </w:r>
      <w:r>
        <w:rPr>
          <w:sz w:val="28"/>
        </w:rPr>
        <w:t>артерии</w:t>
      </w:r>
      <w:r>
        <w:rPr>
          <w:spacing w:val="11"/>
          <w:sz w:val="28"/>
        </w:rPr>
        <w:t xml:space="preserve"> </w:t>
      </w:r>
      <w:r>
        <w:rPr>
          <w:sz w:val="28"/>
        </w:rPr>
        <w:t>круглой</w:t>
      </w:r>
      <w:r>
        <w:rPr>
          <w:spacing w:val="10"/>
          <w:sz w:val="28"/>
        </w:rPr>
        <w:t xml:space="preserve"> </w:t>
      </w:r>
      <w:r>
        <w:rPr>
          <w:sz w:val="28"/>
        </w:rPr>
        <w:t>связкой</w:t>
      </w:r>
      <w:r>
        <w:rPr>
          <w:spacing w:val="11"/>
          <w:sz w:val="28"/>
        </w:rPr>
        <w:t xml:space="preserve"> </w:t>
      </w:r>
      <w:r>
        <w:rPr>
          <w:spacing w:val="-2"/>
          <w:sz w:val="28"/>
        </w:rPr>
        <w:t>печени</w:t>
      </w:r>
    </w:p>
    <w:p w14:paraId="16426B88">
      <w:pPr>
        <w:pStyle w:val="7"/>
        <w:ind w:left="0" w:right="3" w:firstLine="709"/>
      </w:pPr>
      <w:r>
        <w:t>—</w:t>
      </w:r>
      <w:r>
        <w:rPr>
          <w:spacing w:val="-8"/>
        </w:rPr>
        <w:t xml:space="preserve"> </w:t>
      </w:r>
      <w:r>
        <w:t>для</w:t>
      </w:r>
      <w:r>
        <w:rPr>
          <w:spacing w:val="-7"/>
        </w:rPr>
        <w:t xml:space="preserve"> </w:t>
      </w:r>
      <w:r>
        <w:t>снижения</w:t>
      </w:r>
      <w:r>
        <w:rPr>
          <w:spacing w:val="-7"/>
        </w:rPr>
        <w:t xml:space="preserve"> </w:t>
      </w:r>
      <w:r>
        <w:t>риска</w:t>
      </w:r>
      <w:r>
        <w:rPr>
          <w:spacing w:val="-8"/>
        </w:rPr>
        <w:t xml:space="preserve"> </w:t>
      </w:r>
      <w:r>
        <w:t>аррозивных</w:t>
      </w:r>
      <w:r>
        <w:rPr>
          <w:spacing w:val="-12"/>
        </w:rPr>
        <w:t xml:space="preserve"> </w:t>
      </w:r>
      <w:r>
        <w:t>послеоперационных</w:t>
      </w:r>
      <w:r>
        <w:rPr>
          <w:spacing w:val="-12"/>
        </w:rPr>
        <w:t xml:space="preserve"> </w:t>
      </w:r>
      <w:r>
        <w:rPr>
          <w:spacing w:val="-2"/>
        </w:rPr>
        <w:t>кровотечений.</w:t>
      </w:r>
    </w:p>
    <w:p w14:paraId="0D23F42F">
      <w:pPr>
        <w:pStyle w:val="7"/>
        <w:ind w:left="0" w:right="3" w:firstLine="709"/>
      </w:pPr>
      <w:bookmarkStart w:id="10" w:name="Указанные_вмешательства_рассматривались_"/>
      <w:bookmarkEnd w:id="10"/>
      <w:r>
        <w:t>Указанные вмешательства рассматривались как дополнительные элементы комплексной стратегии профилактики послеоперационных осложнений.</w:t>
      </w:r>
    </w:p>
    <w:p w14:paraId="375B7642">
      <w:pPr>
        <w:pStyle w:val="7"/>
        <w:ind w:left="0" w:right="3" w:firstLine="709"/>
      </w:pPr>
    </w:p>
    <w:p w14:paraId="4AD48AE2">
      <w:pPr>
        <w:pStyle w:val="3"/>
        <w:numPr>
          <w:ilvl w:val="2"/>
          <w:numId w:val="8"/>
        </w:numPr>
        <w:tabs>
          <w:tab w:val="left" w:pos="1338"/>
        </w:tabs>
        <w:spacing w:line="319" w:lineRule="exact"/>
        <w:ind w:left="0" w:right="3" w:firstLine="709"/>
        <w:rPr>
          <w:b w:val="0"/>
        </w:rPr>
      </w:pPr>
      <w:bookmarkStart w:id="11" w:name="2.2.5_Сравнительный_анализ_методов_форми"/>
      <w:bookmarkEnd w:id="11"/>
      <w:r>
        <w:rPr>
          <w:b w:val="0"/>
        </w:rPr>
        <w:t>Сравнительный</w:t>
      </w:r>
      <w:r>
        <w:rPr>
          <w:b w:val="0"/>
          <w:spacing w:val="-16"/>
        </w:rPr>
        <w:t xml:space="preserve"> </w:t>
      </w:r>
      <w:r>
        <w:rPr>
          <w:b w:val="0"/>
        </w:rPr>
        <w:t>анализ</w:t>
      </w:r>
      <w:r>
        <w:rPr>
          <w:b w:val="0"/>
          <w:spacing w:val="-15"/>
        </w:rPr>
        <w:t xml:space="preserve"> </w:t>
      </w:r>
      <w:r>
        <w:rPr>
          <w:b w:val="0"/>
        </w:rPr>
        <w:t>методов</w:t>
      </w:r>
      <w:r>
        <w:rPr>
          <w:b w:val="0"/>
          <w:spacing w:val="-12"/>
        </w:rPr>
        <w:t xml:space="preserve"> </w:t>
      </w:r>
      <w:r>
        <w:rPr>
          <w:b w:val="0"/>
        </w:rPr>
        <w:t>формирования</w:t>
      </w:r>
      <w:r>
        <w:rPr>
          <w:b w:val="0"/>
          <w:spacing w:val="-16"/>
        </w:rPr>
        <w:t xml:space="preserve"> </w:t>
      </w:r>
      <w:r>
        <w:rPr>
          <w:b w:val="0"/>
          <w:spacing w:val="-5"/>
        </w:rPr>
        <w:t>ПЕА</w:t>
      </w:r>
    </w:p>
    <w:p w14:paraId="56E0CFD3">
      <w:pPr>
        <w:pStyle w:val="7"/>
        <w:ind w:left="0" w:right="3" w:firstLine="709"/>
      </w:pPr>
      <w:r>
        <w:t xml:space="preserve">Проведён сравнительный анализ результатов хирургического лечения пациентов в зависимости от применённой техники формирования ПЕА (стандартный и модифицированный). Оценка эффективности и безопасности методов включала анализ следующих показателей: частоту развития ПС и степень его тяжести согласно классификации ISGPS, структуру послеоперационных осложнений, длительность госпитализации, частоту повторных хирургических вмешательств и показатели госпитальной </w:t>
      </w:r>
      <w:r>
        <w:rPr>
          <w:spacing w:val="-2"/>
        </w:rPr>
        <w:t>летальности.</w:t>
      </w:r>
    </w:p>
    <w:p w14:paraId="0991B5AF">
      <w:pPr>
        <w:pStyle w:val="7"/>
        <w:ind w:left="0" w:right="3" w:firstLine="709"/>
      </w:pPr>
      <w:r>
        <w:t>Для анализа категориальных переменных использовались χ²-критерий (хи- квадрат тест) и точный критерий Фишера (при ожидаемых значениях менее 5). Для сравнения количественных показателей между группами применялся непараметрический критерий Манна–Уитни. В случаях сравнения распределения исходов с учётом нескольких категорий применялся тест отношения правдоподобия. Статистически значимыми считались различия при уровне p&lt;0,05.</w:t>
      </w:r>
    </w:p>
    <w:p w14:paraId="35F3C0DC">
      <w:pPr>
        <w:pStyle w:val="7"/>
        <w:ind w:left="0" w:right="3" w:firstLine="709"/>
      </w:pPr>
      <w:r>
        <w:t>В исследование включены все 356 пациентов, перенёсших ГПДР в исследуемый период. Объём выборки был обоснован с использованием стандартной формулы для сравнения двух долей при заданном уровне статистической значимости и мощности исследования. Фактический размер выборки</w:t>
      </w:r>
      <w:r>
        <w:rPr>
          <w:spacing w:val="-15"/>
        </w:rPr>
        <w:t xml:space="preserve"> </w:t>
      </w:r>
      <w:r>
        <w:t>превышал</w:t>
      </w:r>
      <w:r>
        <w:rPr>
          <w:spacing w:val="-15"/>
        </w:rPr>
        <w:t xml:space="preserve"> </w:t>
      </w:r>
      <w:r>
        <w:t>минимально</w:t>
      </w:r>
      <w:r>
        <w:rPr>
          <w:spacing w:val="-15"/>
        </w:rPr>
        <w:t xml:space="preserve"> </w:t>
      </w:r>
      <w:r>
        <w:t>необходимый</w:t>
      </w:r>
      <w:r>
        <w:rPr>
          <w:spacing w:val="-15"/>
        </w:rPr>
        <w:t xml:space="preserve"> </w:t>
      </w:r>
      <w:r>
        <w:t>расчётный</w:t>
      </w:r>
      <w:r>
        <w:rPr>
          <w:spacing w:val="-15"/>
        </w:rPr>
        <w:t xml:space="preserve"> </w:t>
      </w:r>
      <w:r>
        <w:t>объём,</w:t>
      </w:r>
      <w:r>
        <w:rPr>
          <w:spacing w:val="-14"/>
        </w:rPr>
        <w:t xml:space="preserve"> </w:t>
      </w:r>
      <w:r>
        <w:t>что</w:t>
      </w:r>
      <w:r>
        <w:rPr>
          <w:spacing w:val="-15"/>
        </w:rPr>
        <w:t xml:space="preserve"> </w:t>
      </w:r>
      <w:r>
        <w:t>обеспечило достаточную статистическую мощность для выявления различий по основным клиническим исходам.</w:t>
      </w:r>
    </w:p>
    <w:p w14:paraId="633A79EF">
      <w:pPr>
        <w:pStyle w:val="7"/>
        <w:ind w:left="0" w:right="3" w:firstLine="709"/>
      </w:pPr>
      <w:r>
        <w:t>Расчёт</w:t>
      </w:r>
      <w:r>
        <w:rPr>
          <w:spacing w:val="-13"/>
        </w:rPr>
        <w:t xml:space="preserve"> </w:t>
      </w:r>
      <w:r>
        <w:t>минимального</w:t>
      </w:r>
      <w:r>
        <w:rPr>
          <w:spacing w:val="-11"/>
        </w:rPr>
        <w:t xml:space="preserve"> </w:t>
      </w:r>
      <w:r>
        <w:t>объёма</w:t>
      </w:r>
      <w:r>
        <w:rPr>
          <w:spacing w:val="-11"/>
        </w:rPr>
        <w:t xml:space="preserve"> </w:t>
      </w:r>
      <w:r>
        <w:t>выборки</w:t>
      </w:r>
      <w:r>
        <w:rPr>
          <w:spacing w:val="-11"/>
        </w:rPr>
        <w:t xml:space="preserve"> </w:t>
      </w:r>
      <w:r>
        <w:t>проводился</w:t>
      </w:r>
      <w:r>
        <w:rPr>
          <w:spacing w:val="-10"/>
        </w:rPr>
        <w:t xml:space="preserve"> </w:t>
      </w:r>
      <w:r>
        <w:t>по</w:t>
      </w:r>
      <w:r>
        <w:rPr>
          <w:spacing w:val="-11"/>
        </w:rPr>
        <w:t xml:space="preserve"> </w:t>
      </w:r>
      <w:r>
        <w:t>стандартной</w:t>
      </w:r>
      <w:r>
        <w:rPr>
          <w:spacing w:val="-12"/>
        </w:rPr>
        <w:t xml:space="preserve"> </w:t>
      </w:r>
      <w:r>
        <w:t>формуле для сравнения двух независимых долей:</w:t>
      </w:r>
    </w:p>
    <w:p w14:paraId="5564A0A3">
      <w:pPr>
        <w:pStyle w:val="7"/>
        <w:spacing w:before="89"/>
        <w:ind w:left="0" w:firstLine="0"/>
        <w:jc w:val="right"/>
        <w:rPr>
          <w:sz w:val="20"/>
        </w:rPr>
      </w:pPr>
    </w:p>
    <w:p w14:paraId="24CDBF6F">
      <w:pPr>
        <w:pStyle w:val="7"/>
        <w:tabs>
          <w:tab w:val="left" w:pos="5889"/>
        </w:tabs>
        <w:ind w:left="0" w:right="3" w:firstLine="0"/>
        <w:jc w:val="right"/>
        <w:rPr>
          <w:spacing w:val="-4"/>
          <w:lang w:val="kk-KZ"/>
        </w:rPr>
      </w:pPr>
      <w:r>
        <w:rPr>
          <w:sz w:val="20"/>
          <w:szCs w:val="20"/>
          <w:lang w:eastAsia="ru-RU"/>
        </w:rPr>
        <w:drawing>
          <wp:anchor distT="0" distB="0" distL="0" distR="0" simplePos="0" relativeHeight="251679744" behindDoc="0" locked="0" layoutInCell="1" allowOverlap="1">
            <wp:simplePos x="0" y="0"/>
            <wp:positionH relativeFrom="page">
              <wp:posOffset>2202815</wp:posOffset>
            </wp:positionH>
            <wp:positionV relativeFrom="paragraph">
              <wp:posOffset>19685</wp:posOffset>
            </wp:positionV>
            <wp:extent cx="3162300" cy="464820"/>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stretch>
                      <a:fillRect/>
                    </a:stretch>
                  </pic:blipFill>
                  <pic:spPr>
                    <a:xfrm>
                      <a:off x="0" y="0"/>
                      <a:ext cx="3162300" cy="464820"/>
                    </a:xfrm>
                    <a:prstGeom prst="rect">
                      <a:avLst/>
                    </a:prstGeom>
                  </pic:spPr>
                </pic:pic>
              </a:graphicData>
            </a:graphic>
          </wp:anchor>
        </w:drawing>
      </w:r>
      <w:r>
        <w:rPr>
          <w:spacing w:val="-4"/>
          <w:lang w:val="kk-KZ"/>
        </w:rPr>
        <w:tab/>
      </w:r>
      <w:r>
        <w:rPr>
          <w:spacing w:val="-4"/>
          <w:lang w:val="kk-KZ"/>
        </w:rPr>
        <w:t xml:space="preserve">     (1)</w:t>
      </w:r>
    </w:p>
    <w:p w14:paraId="1FE1F566">
      <w:pPr>
        <w:pStyle w:val="7"/>
        <w:ind w:left="0" w:right="529" w:firstLine="0"/>
        <w:rPr>
          <w:spacing w:val="-4"/>
          <w:lang w:val="kk-KZ"/>
        </w:rPr>
      </w:pPr>
    </w:p>
    <w:p w14:paraId="45B565C3">
      <w:pPr>
        <w:pStyle w:val="7"/>
        <w:ind w:left="0" w:right="529" w:firstLine="0"/>
        <w:rPr>
          <w:spacing w:val="-4"/>
          <w:lang w:val="kk-KZ"/>
        </w:rPr>
      </w:pPr>
    </w:p>
    <w:p w14:paraId="10736CC0">
      <w:pPr>
        <w:pStyle w:val="7"/>
        <w:ind w:left="0" w:right="529" w:firstLine="0"/>
      </w:pPr>
      <w:r>
        <w:rPr>
          <w:spacing w:val="-4"/>
        </w:rPr>
        <w:t>где:</w:t>
      </w:r>
    </w:p>
    <w:p w14:paraId="371FCBEE">
      <w:pPr>
        <w:pStyle w:val="10"/>
        <w:numPr>
          <w:ilvl w:val="0"/>
          <w:numId w:val="13"/>
        </w:numPr>
        <w:tabs>
          <w:tab w:val="left" w:pos="859"/>
        </w:tabs>
        <w:spacing w:before="278"/>
        <w:ind w:left="859" w:hanging="152"/>
        <w:jc w:val="left"/>
        <w:rPr>
          <w:sz w:val="28"/>
        </w:rPr>
      </w:pPr>
      <w:r>
        <w:rPr>
          <w:sz w:val="28"/>
        </w:rPr>
        <w:t>p</w:t>
      </w:r>
      <w:r>
        <w:rPr>
          <w:sz w:val="28"/>
          <w:vertAlign w:val="subscript"/>
        </w:rPr>
        <w:t>1</w:t>
      </w:r>
      <w:r>
        <w:rPr>
          <w:sz w:val="28"/>
        </w:rPr>
        <w:t>p,</w:t>
      </w:r>
      <w:r>
        <w:rPr>
          <w:spacing w:val="-4"/>
          <w:sz w:val="28"/>
        </w:rPr>
        <w:t xml:space="preserve"> </w:t>
      </w:r>
      <w:r>
        <w:rPr>
          <w:sz w:val="28"/>
        </w:rPr>
        <w:t>p</w:t>
      </w:r>
      <w:r>
        <w:rPr>
          <w:sz w:val="28"/>
          <w:vertAlign w:val="subscript"/>
        </w:rPr>
        <w:t>2</w:t>
      </w:r>
      <w:r>
        <w:rPr>
          <w:sz w:val="28"/>
        </w:rPr>
        <w:t>—</w:t>
      </w:r>
      <w:r>
        <w:rPr>
          <w:spacing w:val="-5"/>
          <w:sz w:val="28"/>
        </w:rPr>
        <w:t xml:space="preserve"> </w:t>
      </w:r>
      <w:r>
        <w:rPr>
          <w:sz w:val="28"/>
        </w:rPr>
        <w:t>ожидаемые</w:t>
      </w:r>
      <w:r>
        <w:rPr>
          <w:spacing w:val="-9"/>
          <w:sz w:val="28"/>
        </w:rPr>
        <w:t xml:space="preserve"> </w:t>
      </w:r>
      <w:r>
        <w:rPr>
          <w:sz w:val="28"/>
        </w:rPr>
        <w:t>доли</w:t>
      </w:r>
      <w:r>
        <w:rPr>
          <w:spacing w:val="-6"/>
          <w:sz w:val="28"/>
        </w:rPr>
        <w:t xml:space="preserve"> </w:t>
      </w:r>
      <w:r>
        <w:rPr>
          <w:sz w:val="28"/>
        </w:rPr>
        <w:t>события</w:t>
      </w:r>
      <w:r>
        <w:rPr>
          <w:spacing w:val="-6"/>
          <w:sz w:val="28"/>
        </w:rPr>
        <w:t xml:space="preserve"> </w:t>
      </w:r>
      <w:r>
        <w:rPr>
          <w:sz w:val="28"/>
        </w:rPr>
        <w:t>(ПС)</w:t>
      </w:r>
      <w:r>
        <w:rPr>
          <w:spacing w:val="-2"/>
          <w:sz w:val="28"/>
        </w:rPr>
        <w:t xml:space="preserve"> </w:t>
      </w:r>
      <w:r>
        <w:rPr>
          <w:sz w:val="28"/>
        </w:rPr>
        <w:t>в</w:t>
      </w:r>
      <w:r>
        <w:rPr>
          <w:spacing w:val="-7"/>
          <w:sz w:val="28"/>
        </w:rPr>
        <w:t xml:space="preserve"> </w:t>
      </w:r>
      <w:r>
        <w:rPr>
          <w:sz w:val="28"/>
        </w:rPr>
        <w:t>сравниваемых</w:t>
      </w:r>
      <w:r>
        <w:rPr>
          <w:spacing w:val="-10"/>
          <w:sz w:val="28"/>
        </w:rPr>
        <w:t xml:space="preserve"> </w:t>
      </w:r>
      <w:r>
        <w:rPr>
          <w:spacing w:val="-2"/>
          <w:sz w:val="28"/>
        </w:rPr>
        <w:t>группах,</w:t>
      </w:r>
    </w:p>
    <w:p w14:paraId="59DF3C8E">
      <w:pPr>
        <w:pStyle w:val="10"/>
        <w:numPr>
          <w:ilvl w:val="0"/>
          <w:numId w:val="13"/>
        </w:numPr>
        <w:tabs>
          <w:tab w:val="left" w:pos="859"/>
        </w:tabs>
        <w:spacing w:before="67" w:line="322" w:lineRule="exact"/>
        <w:ind w:left="859" w:hanging="152"/>
        <w:jc w:val="left"/>
        <w:rPr>
          <w:sz w:val="28"/>
        </w:rPr>
      </w:pPr>
      <w:r>
        <w:rPr>
          <w:sz w:val="28"/>
        </w:rPr>
        <w:t>α—</w:t>
      </w:r>
      <w:r>
        <w:rPr>
          <w:spacing w:val="-8"/>
          <w:sz w:val="28"/>
        </w:rPr>
        <w:t xml:space="preserve"> </w:t>
      </w:r>
      <w:r>
        <w:rPr>
          <w:sz w:val="28"/>
        </w:rPr>
        <w:t>уровень</w:t>
      </w:r>
      <w:r>
        <w:rPr>
          <w:spacing w:val="-12"/>
          <w:sz w:val="28"/>
        </w:rPr>
        <w:t xml:space="preserve"> </w:t>
      </w:r>
      <w:r>
        <w:rPr>
          <w:sz w:val="28"/>
        </w:rPr>
        <w:t>статистической</w:t>
      </w:r>
      <w:r>
        <w:rPr>
          <w:spacing w:val="-12"/>
          <w:sz w:val="28"/>
        </w:rPr>
        <w:t xml:space="preserve"> </w:t>
      </w:r>
      <w:r>
        <w:rPr>
          <w:sz w:val="28"/>
        </w:rPr>
        <w:t>значимости</w:t>
      </w:r>
      <w:r>
        <w:rPr>
          <w:spacing w:val="-7"/>
          <w:sz w:val="28"/>
        </w:rPr>
        <w:t xml:space="preserve"> </w:t>
      </w:r>
      <w:r>
        <w:rPr>
          <w:spacing w:val="-2"/>
          <w:sz w:val="28"/>
        </w:rPr>
        <w:t>(0,05),</w:t>
      </w:r>
    </w:p>
    <w:p w14:paraId="6422FE48">
      <w:pPr>
        <w:pStyle w:val="10"/>
        <w:numPr>
          <w:ilvl w:val="0"/>
          <w:numId w:val="13"/>
        </w:numPr>
        <w:tabs>
          <w:tab w:val="left" w:pos="859"/>
        </w:tabs>
        <w:spacing w:line="322" w:lineRule="exact"/>
        <w:ind w:left="859" w:hanging="152"/>
        <w:jc w:val="left"/>
        <w:rPr>
          <w:sz w:val="28"/>
        </w:rPr>
      </w:pPr>
      <w:r>
        <w:rPr>
          <w:sz w:val="28"/>
        </w:rPr>
        <w:t>β</w:t>
      </w:r>
      <w:r>
        <w:rPr>
          <w:spacing w:val="-2"/>
          <w:sz w:val="28"/>
        </w:rPr>
        <w:t xml:space="preserve"> </w:t>
      </w:r>
      <w:r>
        <w:rPr>
          <w:sz w:val="28"/>
        </w:rPr>
        <w:t>—</w:t>
      </w:r>
      <w:r>
        <w:rPr>
          <w:spacing w:val="-4"/>
          <w:sz w:val="28"/>
        </w:rPr>
        <w:t xml:space="preserve"> </w:t>
      </w:r>
      <w:r>
        <w:rPr>
          <w:sz w:val="28"/>
        </w:rPr>
        <w:t>вероятность</w:t>
      </w:r>
      <w:r>
        <w:rPr>
          <w:spacing w:val="-7"/>
          <w:sz w:val="28"/>
        </w:rPr>
        <w:t xml:space="preserve"> </w:t>
      </w:r>
      <w:r>
        <w:rPr>
          <w:sz w:val="28"/>
        </w:rPr>
        <w:t>ошибки</w:t>
      </w:r>
      <w:r>
        <w:rPr>
          <w:spacing w:val="-4"/>
          <w:sz w:val="28"/>
        </w:rPr>
        <w:t xml:space="preserve"> </w:t>
      </w:r>
      <w:r>
        <w:rPr>
          <w:sz w:val="28"/>
        </w:rPr>
        <w:t>II</w:t>
      </w:r>
      <w:r>
        <w:rPr>
          <w:spacing w:val="-6"/>
          <w:sz w:val="28"/>
        </w:rPr>
        <w:t xml:space="preserve"> </w:t>
      </w:r>
      <w:r>
        <w:rPr>
          <w:sz w:val="28"/>
        </w:rPr>
        <w:t>рода</w:t>
      </w:r>
      <w:r>
        <w:rPr>
          <w:spacing w:val="-4"/>
          <w:sz w:val="28"/>
        </w:rPr>
        <w:t xml:space="preserve"> </w:t>
      </w:r>
      <w:r>
        <w:rPr>
          <w:spacing w:val="-2"/>
          <w:sz w:val="28"/>
        </w:rPr>
        <w:t>(0,20),</w:t>
      </w:r>
    </w:p>
    <w:p w14:paraId="2D82032C">
      <w:pPr>
        <w:pStyle w:val="10"/>
        <w:numPr>
          <w:ilvl w:val="0"/>
          <w:numId w:val="13"/>
        </w:numPr>
        <w:tabs>
          <w:tab w:val="left" w:pos="859"/>
        </w:tabs>
        <w:spacing w:line="322" w:lineRule="exact"/>
        <w:ind w:left="859" w:hanging="152"/>
        <w:jc w:val="left"/>
        <w:rPr>
          <w:sz w:val="28"/>
        </w:rPr>
      </w:pPr>
      <w:r>
        <w:rPr>
          <w:sz w:val="28"/>
        </w:rPr>
        <w:t>Z—</w:t>
      </w:r>
      <w:r>
        <w:rPr>
          <w:spacing w:val="-11"/>
          <w:sz w:val="28"/>
        </w:rPr>
        <w:t xml:space="preserve"> </w:t>
      </w:r>
      <w:r>
        <w:rPr>
          <w:sz w:val="28"/>
        </w:rPr>
        <w:t>соответствующие</w:t>
      </w:r>
      <w:r>
        <w:rPr>
          <w:spacing w:val="-11"/>
          <w:sz w:val="28"/>
        </w:rPr>
        <w:t xml:space="preserve"> </w:t>
      </w:r>
      <w:r>
        <w:rPr>
          <w:sz w:val="28"/>
        </w:rPr>
        <w:t>значения</w:t>
      </w:r>
      <w:r>
        <w:rPr>
          <w:spacing w:val="-10"/>
          <w:sz w:val="28"/>
        </w:rPr>
        <w:t xml:space="preserve"> </w:t>
      </w:r>
      <w:r>
        <w:rPr>
          <w:sz w:val="28"/>
        </w:rPr>
        <w:t>нормального</w:t>
      </w:r>
      <w:r>
        <w:rPr>
          <w:spacing w:val="-11"/>
          <w:sz w:val="28"/>
        </w:rPr>
        <w:t xml:space="preserve"> </w:t>
      </w:r>
      <w:r>
        <w:rPr>
          <w:spacing w:val="-2"/>
          <w:sz w:val="28"/>
        </w:rPr>
        <w:t>распределения.</w:t>
      </w:r>
    </w:p>
    <w:p w14:paraId="6FC081DA">
      <w:pPr>
        <w:pStyle w:val="7"/>
        <w:spacing w:line="242" w:lineRule="auto"/>
        <w:ind w:left="0" w:right="3" w:firstLine="709"/>
      </w:pPr>
      <w:r>
        <w:t>Таким образом, фактический объём выборки был определён дизайном ретроспективного исследования и соответствовал требованиям статистической мощности для сравнительного анализа.</w:t>
      </w:r>
    </w:p>
    <w:p w14:paraId="4742845A">
      <w:pPr>
        <w:pStyle w:val="7"/>
        <w:spacing w:line="242" w:lineRule="auto"/>
        <w:ind w:left="0" w:right="3" w:firstLine="709"/>
      </w:pPr>
    </w:p>
    <w:p w14:paraId="5DDC49C9">
      <w:pPr>
        <w:pStyle w:val="3"/>
        <w:numPr>
          <w:ilvl w:val="2"/>
          <w:numId w:val="8"/>
        </w:numPr>
        <w:tabs>
          <w:tab w:val="left" w:pos="1338"/>
        </w:tabs>
        <w:spacing w:line="319" w:lineRule="exact"/>
        <w:ind w:left="1338" w:hanging="631"/>
        <w:rPr>
          <w:b w:val="0"/>
        </w:rPr>
      </w:pPr>
      <w:r>
        <w:rPr>
          <w:b w:val="0"/>
        </w:rPr>
        <w:t>Разработка</w:t>
      </w:r>
      <w:r>
        <w:rPr>
          <w:b w:val="0"/>
          <w:spacing w:val="-16"/>
        </w:rPr>
        <w:t xml:space="preserve"> </w:t>
      </w:r>
      <w:r>
        <w:rPr>
          <w:b w:val="0"/>
        </w:rPr>
        <w:t>алгоритма</w:t>
      </w:r>
      <w:r>
        <w:rPr>
          <w:b w:val="0"/>
          <w:spacing w:val="-15"/>
        </w:rPr>
        <w:t xml:space="preserve"> </w:t>
      </w:r>
      <w:r>
        <w:rPr>
          <w:b w:val="0"/>
        </w:rPr>
        <w:t>хирургической</w:t>
      </w:r>
      <w:r>
        <w:rPr>
          <w:b w:val="0"/>
          <w:spacing w:val="-16"/>
        </w:rPr>
        <w:t xml:space="preserve"> </w:t>
      </w:r>
      <w:r>
        <w:rPr>
          <w:b w:val="0"/>
          <w:spacing w:val="-2"/>
        </w:rPr>
        <w:t>тактики</w:t>
      </w:r>
    </w:p>
    <w:p w14:paraId="67077CBC">
      <w:pPr>
        <w:pStyle w:val="7"/>
        <w:ind w:right="3"/>
        <w:rPr>
          <w:spacing w:val="-2"/>
        </w:rPr>
      </w:pPr>
      <w:r>
        <w:t>На основе анализа комплексных</w:t>
      </w:r>
      <w:r>
        <w:rPr>
          <w:spacing w:val="-1"/>
        </w:rPr>
        <w:t xml:space="preserve"> </w:t>
      </w:r>
      <w:r>
        <w:t>клинических</w:t>
      </w:r>
      <w:r>
        <w:rPr>
          <w:spacing w:val="-1"/>
        </w:rPr>
        <w:t xml:space="preserve"> </w:t>
      </w:r>
      <w:r>
        <w:t>данных</w:t>
      </w:r>
      <w:r>
        <w:rPr>
          <w:spacing w:val="-1"/>
        </w:rPr>
        <w:t xml:space="preserve"> </w:t>
      </w:r>
      <w:r>
        <w:t xml:space="preserve">разработан алгоритм предоперационной стратификации риска и интраоперационной тактики, включающий выбор оптимального типа ПЕА, меры профилактики ПС и последовательность технических приёмов для повышения состоятельности </w:t>
      </w:r>
      <w:r>
        <w:rPr>
          <w:spacing w:val="-2"/>
        </w:rPr>
        <w:t>анастомоза.</w:t>
      </w:r>
    </w:p>
    <w:p w14:paraId="25491489">
      <w:pPr>
        <w:pStyle w:val="7"/>
        <w:ind w:right="147"/>
      </w:pPr>
    </w:p>
    <w:p w14:paraId="7FA5963F">
      <w:pPr>
        <w:pStyle w:val="10"/>
        <w:numPr>
          <w:ilvl w:val="2"/>
          <w:numId w:val="8"/>
        </w:numPr>
        <w:tabs>
          <w:tab w:val="left" w:pos="831"/>
          <w:tab w:val="left" w:pos="1480"/>
          <w:tab w:val="left" w:pos="2424"/>
          <w:tab w:val="left" w:pos="4266"/>
          <w:tab w:val="left" w:pos="6871"/>
        </w:tabs>
        <w:spacing w:before="1"/>
        <w:ind w:left="140" w:right="3" w:firstLine="566"/>
        <w:rPr>
          <w:sz w:val="28"/>
        </w:rPr>
      </w:pPr>
      <w:r>
        <w:rPr>
          <w:sz w:val="28"/>
        </w:rPr>
        <w:t xml:space="preserve">Инвагинационный ПЕА как резервная методика реконструкции </w:t>
      </w:r>
    </w:p>
    <w:p w14:paraId="0E81DDDC">
      <w:pPr>
        <w:pStyle w:val="10"/>
        <w:tabs>
          <w:tab w:val="left" w:pos="1134"/>
          <w:tab w:val="left" w:pos="2424"/>
          <w:tab w:val="left" w:pos="4266"/>
          <w:tab w:val="left" w:pos="7371"/>
        </w:tabs>
        <w:spacing w:before="1"/>
        <w:ind w:left="0" w:right="3" w:firstLine="706"/>
        <w:rPr>
          <w:sz w:val="28"/>
        </w:rPr>
      </w:pPr>
      <w:r>
        <w:rPr>
          <w:spacing w:val="-10"/>
          <w:sz w:val="28"/>
        </w:rPr>
        <w:t>В</w:t>
      </w:r>
      <w:r>
        <w:rPr>
          <w:sz w:val="28"/>
        </w:rPr>
        <w:tab/>
      </w:r>
      <w:r>
        <w:rPr>
          <w:spacing w:val="-2"/>
          <w:sz w:val="28"/>
        </w:rPr>
        <w:t>условиях</w:t>
      </w:r>
      <w:r>
        <w:rPr>
          <w:sz w:val="28"/>
        </w:rPr>
        <w:tab/>
      </w:r>
      <w:r>
        <w:rPr>
          <w:spacing w:val="-2"/>
          <w:sz w:val="28"/>
        </w:rPr>
        <w:t>выраженно</w:t>
      </w:r>
      <w:r>
        <w:rPr>
          <w:sz w:val="28"/>
        </w:rPr>
        <w:tab/>
      </w:r>
      <w:r>
        <w:rPr>
          <w:spacing w:val="-2"/>
          <w:sz w:val="28"/>
        </w:rPr>
        <w:t>неблагоприятных</w:t>
      </w:r>
      <w:r>
        <w:rPr>
          <w:sz w:val="28"/>
        </w:rPr>
        <w:tab/>
      </w:r>
      <w:r>
        <w:rPr>
          <w:spacing w:val="-2"/>
          <w:sz w:val="28"/>
        </w:rPr>
        <w:t xml:space="preserve">анатомо-тканевых </w:t>
      </w:r>
      <w:r>
        <w:rPr>
          <w:sz w:val="28"/>
        </w:rPr>
        <w:t>характеристик,</w:t>
      </w:r>
      <w:r>
        <w:rPr>
          <w:spacing w:val="-18"/>
          <w:sz w:val="28"/>
        </w:rPr>
        <w:t xml:space="preserve"> </w:t>
      </w:r>
      <w:r>
        <w:rPr>
          <w:sz w:val="28"/>
        </w:rPr>
        <w:t>при</w:t>
      </w:r>
      <w:r>
        <w:rPr>
          <w:spacing w:val="-16"/>
          <w:sz w:val="28"/>
        </w:rPr>
        <w:t xml:space="preserve"> </w:t>
      </w:r>
      <w:r>
        <w:rPr>
          <w:sz w:val="28"/>
        </w:rPr>
        <w:t>которых</w:t>
      </w:r>
      <w:r>
        <w:rPr>
          <w:spacing w:val="-18"/>
          <w:sz w:val="28"/>
        </w:rPr>
        <w:t xml:space="preserve"> </w:t>
      </w:r>
      <w:r>
        <w:rPr>
          <w:sz w:val="28"/>
        </w:rPr>
        <w:t>формирование</w:t>
      </w:r>
      <w:r>
        <w:rPr>
          <w:spacing w:val="-15"/>
          <w:sz w:val="28"/>
        </w:rPr>
        <w:t xml:space="preserve"> </w:t>
      </w:r>
      <w:r>
        <w:rPr>
          <w:sz w:val="28"/>
        </w:rPr>
        <w:t>протоково-слизистого</w:t>
      </w:r>
      <w:r>
        <w:rPr>
          <w:spacing w:val="-12"/>
          <w:sz w:val="28"/>
        </w:rPr>
        <w:t xml:space="preserve"> </w:t>
      </w:r>
      <w:r>
        <w:rPr>
          <w:sz w:val="28"/>
        </w:rPr>
        <w:t>ПЕА</w:t>
      </w:r>
      <w:r>
        <w:rPr>
          <w:spacing w:val="-18"/>
          <w:sz w:val="28"/>
        </w:rPr>
        <w:t xml:space="preserve"> </w:t>
      </w:r>
      <w:r>
        <w:rPr>
          <w:sz w:val="28"/>
        </w:rPr>
        <w:t>являлось технически невыполнимым (диаметр ПП</w:t>
      </w:r>
      <w:r>
        <w:rPr>
          <w:spacing w:val="-3"/>
          <w:sz w:val="28"/>
        </w:rPr>
        <w:t xml:space="preserve"> </w:t>
      </w:r>
      <w:r>
        <w:rPr>
          <w:sz w:val="28"/>
        </w:rPr>
        <w:t>менее 1 мм, мягкая консистенция ПЖ, отсутствие</w:t>
      </w:r>
      <w:r>
        <w:rPr>
          <w:spacing w:val="74"/>
          <w:sz w:val="28"/>
        </w:rPr>
        <w:t xml:space="preserve"> </w:t>
      </w:r>
      <w:r>
        <w:rPr>
          <w:sz w:val="28"/>
        </w:rPr>
        <w:t>чётко</w:t>
      </w:r>
      <w:r>
        <w:rPr>
          <w:spacing w:val="72"/>
          <w:sz w:val="28"/>
        </w:rPr>
        <w:t xml:space="preserve"> </w:t>
      </w:r>
      <w:r>
        <w:rPr>
          <w:sz w:val="28"/>
        </w:rPr>
        <w:t>сформированных</w:t>
      </w:r>
      <w:r>
        <w:rPr>
          <w:spacing w:val="67"/>
          <w:sz w:val="28"/>
        </w:rPr>
        <w:t xml:space="preserve"> </w:t>
      </w:r>
      <w:r>
        <w:rPr>
          <w:sz w:val="28"/>
        </w:rPr>
        <w:t>стенок</w:t>
      </w:r>
      <w:r>
        <w:rPr>
          <w:spacing w:val="70"/>
          <w:sz w:val="28"/>
        </w:rPr>
        <w:t xml:space="preserve"> </w:t>
      </w:r>
      <w:r>
        <w:rPr>
          <w:sz w:val="28"/>
        </w:rPr>
        <w:t>протока),</w:t>
      </w:r>
      <w:r>
        <w:rPr>
          <w:spacing w:val="73"/>
          <w:sz w:val="28"/>
        </w:rPr>
        <w:t xml:space="preserve"> </w:t>
      </w:r>
      <w:r>
        <w:rPr>
          <w:sz w:val="28"/>
        </w:rPr>
        <w:t>реконструктивный</w:t>
      </w:r>
      <w:r>
        <w:rPr>
          <w:spacing w:val="72"/>
          <w:sz w:val="28"/>
        </w:rPr>
        <w:t xml:space="preserve"> </w:t>
      </w:r>
      <w:r>
        <w:rPr>
          <w:spacing w:val="-4"/>
          <w:sz w:val="28"/>
        </w:rPr>
        <w:t>этап</w:t>
      </w:r>
    </w:p>
    <w:p w14:paraId="2728F4D9">
      <w:pPr>
        <w:pStyle w:val="7"/>
        <w:spacing w:line="321" w:lineRule="exact"/>
        <w:ind w:left="0" w:right="3" w:firstLine="0"/>
      </w:pPr>
      <w:r>
        <w:t>операции</w:t>
      </w:r>
      <w:r>
        <w:rPr>
          <w:spacing w:val="-13"/>
        </w:rPr>
        <w:t xml:space="preserve"> </w:t>
      </w:r>
      <w:r>
        <w:t>выполнялся</w:t>
      </w:r>
      <w:r>
        <w:rPr>
          <w:spacing w:val="-11"/>
        </w:rPr>
        <w:t xml:space="preserve"> </w:t>
      </w:r>
      <w:r>
        <w:t>с</w:t>
      </w:r>
      <w:r>
        <w:rPr>
          <w:spacing w:val="-12"/>
        </w:rPr>
        <w:t xml:space="preserve"> </w:t>
      </w:r>
      <w:r>
        <w:t>применением</w:t>
      </w:r>
      <w:r>
        <w:rPr>
          <w:spacing w:val="-11"/>
        </w:rPr>
        <w:t xml:space="preserve"> </w:t>
      </w:r>
      <w:r>
        <w:t>инвагинационного</w:t>
      </w:r>
      <w:r>
        <w:rPr>
          <w:spacing w:val="-9"/>
        </w:rPr>
        <w:t xml:space="preserve"> </w:t>
      </w:r>
      <w:r>
        <w:rPr>
          <w:spacing w:val="-4"/>
        </w:rPr>
        <w:t>ПЕА.</w:t>
      </w:r>
    </w:p>
    <w:p w14:paraId="6945FDF3">
      <w:pPr>
        <w:pStyle w:val="7"/>
        <w:ind w:left="0" w:right="3" w:firstLine="709"/>
      </w:pPr>
      <w:r>
        <w:t>Данная методика рассматривалась исключительно как вынужденный резервный вариант реконструкции и применялась по строгим интраоперационным показаниям. Учитывая отличные клинико-анатомические условия и принципиально иную биомеханику анастомоза, пациенты с инвагинационным ПЕА не включались в сравнительный анализ основной и контрольной групп и рассматривались как отдельная аналитическая подгруппа.</w:t>
      </w:r>
    </w:p>
    <w:p w14:paraId="3D2C3A4E">
      <w:pPr>
        <w:pStyle w:val="7"/>
        <w:ind w:left="0" w:right="3" w:firstLine="709"/>
      </w:pPr>
      <w:r>
        <w:t>Показаниями к выбору инвагинационного варианта ПЕА являлись выраженная мягкость паренхимы ПЖ и диаметр ПП менее 1 мм, при которых выполнение</w:t>
      </w:r>
      <w:r>
        <w:rPr>
          <w:spacing w:val="-12"/>
        </w:rPr>
        <w:t xml:space="preserve"> </w:t>
      </w:r>
      <w:r>
        <w:t>протоково-слизистого</w:t>
      </w:r>
      <w:r>
        <w:rPr>
          <w:spacing w:val="-12"/>
        </w:rPr>
        <w:t xml:space="preserve"> </w:t>
      </w:r>
      <w:r>
        <w:t>анастомоза</w:t>
      </w:r>
      <w:r>
        <w:rPr>
          <w:spacing w:val="-11"/>
        </w:rPr>
        <w:t xml:space="preserve"> </w:t>
      </w:r>
      <w:r>
        <w:t>сопровождалось</w:t>
      </w:r>
      <w:r>
        <w:rPr>
          <w:spacing w:val="-14"/>
        </w:rPr>
        <w:t xml:space="preserve"> </w:t>
      </w:r>
      <w:r>
        <w:t>высоким</w:t>
      </w:r>
      <w:r>
        <w:rPr>
          <w:spacing w:val="-12"/>
        </w:rPr>
        <w:t xml:space="preserve"> </w:t>
      </w:r>
      <w:r>
        <w:t>риском прорезывания швов и несоответствия краёв анастомоза.</w:t>
      </w:r>
    </w:p>
    <w:p w14:paraId="64C592CF">
      <w:pPr>
        <w:pStyle w:val="7"/>
        <w:ind w:left="0" w:right="3" w:firstLine="709"/>
      </w:pPr>
      <w:r>
        <w:t>Всего инвагинационный ПЕА</w:t>
      </w:r>
      <w:r>
        <w:rPr>
          <w:spacing w:val="-2"/>
        </w:rPr>
        <w:t xml:space="preserve"> </w:t>
      </w:r>
      <w:r>
        <w:t>был выполнен у</w:t>
      </w:r>
      <w:r>
        <w:rPr>
          <w:spacing w:val="-3"/>
        </w:rPr>
        <w:t xml:space="preserve"> </w:t>
      </w:r>
      <w:r>
        <w:t>36 пациентов, включённых как</w:t>
      </w:r>
      <w:r>
        <w:rPr>
          <w:spacing w:val="-2"/>
        </w:rPr>
        <w:t xml:space="preserve"> </w:t>
      </w:r>
      <w:r>
        <w:t>в</w:t>
      </w:r>
      <w:r>
        <w:rPr>
          <w:spacing w:val="-3"/>
        </w:rPr>
        <w:t xml:space="preserve"> </w:t>
      </w:r>
      <w:r>
        <w:t>ретроспективную, так</w:t>
      </w:r>
      <w:r>
        <w:rPr>
          <w:spacing w:val="-2"/>
        </w:rPr>
        <w:t xml:space="preserve"> </w:t>
      </w:r>
      <w:r>
        <w:t>и в</w:t>
      </w:r>
      <w:r>
        <w:rPr>
          <w:spacing w:val="-3"/>
        </w:rPr>
        <w:t xml:space="preserve"> </w:t>
      </w:r>
      <w:r>
        <w:t>проспективную</w:t>
      </w:r>
      <w:r>
        <w:rPr>
          <w:spacing w:val="-3"/>
        </w:rPr>
        <w:t xml:space="preserve"> </w:t>
      </w:r>
      <w:r>
        <w:t>когорты. Техника</w:t>
      </w:r>
      <w:r>
        <w:rPr>
          <w:spacing w:val="-1"/>
        </w:rPr>
        <w:t xml:space="preserve"> </w:t>
      </w:r>
      <w:r>
        <w:t>заключалась в погружении культи ПЖ в просвет приводящей петли тощей кишки с последующей фиксацией капсулы железы серо-серозными П-образными швами без натяжения тканей. Применение данной методики в качестве резервного варианта реконструкции позволяло обеспечить контролируемую герметизацию зоны анастомоза у пациентов с крайне высоким интраоперационным риском.</w:t>
      </w:r>
    </w:p>
    <w:p w14:paraId="0A9DEC30">
      <w:pPr>
        <w:pStyle w:val="7"/>
        <w:ind w:left="0" w:right="3" w:firstLine="706"/>
      </w:pPr>
      <w:r>
        <w:t>При проведении сравнительного анализа пациенты с инвагинационным ПЕА были выделены в отдельную аналитическую подгруппу, что позволило оценить частоту и клиническую значимость ПС в условиях неблагоприятного тканевого профиля и сопоставить полученные результаты с протоково- слизистыми вариантами ПЕА (стандартным и модифицированным).</w:t>
      </w:r>
    </w:p>
    <w:p w14:paraId="677AB0DF">
      <w:pPr>
        <w:pStyle w:val="7"/>
        <w:ind w:left="0" w:right="3" w:firstLine="706"/>
      </w:pPr>
    </w:p>
    <w:p w14:paraId="68E04722">
      <w:pPr>
        <w:pStyle w:val="3"/>
        <w:numPr>
          <w:ilvl w:val="2"/>
          <w:numId w:val="8"/>
        </w:numPr>
        <w:tabs>
          <w:tab w:val="left" w:pos="1703"/>
        </w:tabs>
        <w:spacing w:before="4"/>
        <w:ind w:left="0" w:right="3" w:firstLine="566"/>
        <w:rPr>
          <w:b w:val="0"/>
        </w:rPr>
      </w:pPr>
      <w:r>
        <w:rPr>
          <w:b w:val="0"/>
        </w:rPr>
        <w:t xml:space="preserve">Методы клинико-лабораторного и инструментального </w:t>
      </w:r>
      <w:r>
        <w:rPr>
          <w:b w:val="0"/>
          <w:spacing w:val="-2"/>
        </w:rPr>
        <w:t>обследования</w:t>
      </w:r>
    </w:p>
    <w:p w14:paraId="7F15C14F">
      <w:pPr>
        <w:pStyle w:val="7"/>
        <w:ind w:left="0" w:right="3"/>
      </w:pPr>
      <w:bookmarkStart w:id="12" w:name="Дооперационное_обследование_пациентов_пр"/>
      <w:bookmarkEnd w:id="12"/>
      <w:r>
        <w:t>Дооперационное обследование пациентов проводилось в соответствии с клиническими протоколами учреждения и унифицированными диагностическими</w:t>
      </w:r>
      <w:r>
        <w:rPr>
          <w:spacing w:val="40"/>
        </w:rPr>
        <w:t xml:space="preserve"> </w:t>
      </w:r>
      <w:r>
        <w:t>стандартами</w:t>
      </w:r>
      <w:r>
        <w:rPr>
          <w:spacing w:val="40"/>
        </w:rPr>
        <w:t xml:space="preserve"> </w:t>
      </w:r>
      <w:r>
        <w:t>национальных</w:t>
      </w:r>
      <w:r>
        <w:rPr>
          <w:spacing w:val="40"/>
        </w:rPr>
        <w:t xml:space="preserve"> </w:t>
      </w:r>
      <w:r>
        <w:t>специализированных</w:t>
      </w:r>
      <w:r>
        <w:rPr>
          <w:spacing w:val="40"/>
        </w:rPr>
        <w:t xml:space="preserve"> </w:t>
      </w:r>
      <w:r>
        <w:t>центров.</w:t>
      </w:r>
    </w:p>
    <w:p w14:paraId="00A5EB5D">
      <w:pPr>
        <w:pStyle w:val="7"/>
        <w:spacing w:before="67"/>
        <w:ind w:left="0" w:right="3" w:firstLine="709"/>
      </w:pPr>
      <w:r>
        <w:t>Целью обследования являлась оценка резектабельности опухолевого процесса, функционального резерва пациента, степени операционного риска, а также определение показаний к предоперационной коррекции жёлчной гипертензии.</w:t>
      </w:r>
    </w:p>
    <w:p w14:paraId="78430568">
      <w:pPr>
        <w:pStyle w:val="7"/>
        <w:ind w:left="0" w:right="3" w:firstLine="709"/>
      </w:pPr>
      <w:bookmarkStart w:id="13" w:name="Обязательный_объём_клинико-лабораторных_"/>
      <w:bookmarkEnd w:id="13"/>
      <w:r>
        <w:t>Обязательный</w:t>
      </w:r>
      <w:r>
        <w:rPr>
          <w:spacing w:val="-1"/>
        </w:rPr>
        <w:t xml:space="preserve"> </w:t>
      </w:r>
      <w:r>
        <w:t>объём клинико-лабораторных</w:t>
      </w:r>
      <w:r>
        <w:rPr>
          <w:spacing w:val="-5"/>
        </w:rPr>
        <w:t xml:space="preserve"> </w:t>
      </w:r>
      <w:r>
        <w:t>исследований</w:t>
      </w:r>
      <w:r>
        <w:rPr>
          <w:spacing w:val="-2"/>
        </w:rPr>
        <w:t xml:space="preserve"> </w:t>
      </w:r>
      <w:r>
        <w:t>включал</w:t>
      </w:r>
      <w:r>
        <w:rPr>
          <w:spacing w:val="-1"/>
        </w:rPr>
        <w:t xml:space="preserve"> </w:t>
      </w:r>
      <w:r>
        <w:t>общий анализ крови (уровень гемоглобина, лейкоцитарная формула, количество тромбоцитов), биохимическое исследование крови (общий билирубин и его фракции, аланинаминотрансфераза, аспартатаминотрансфераза, щелочная фосфатаза, γ-глутамилтранспептидаза, креатинин, мочевина, глюкоза, общий белок и альбумин), а также показатели системы гемостаза (протромбиновое время, международное нормализованное отношение, уровень</w:t>
      </w:r>
      <w:r>
        <w:rPr>
          <w:spacing w:val="-1"/>
        </w:rPr>
        <w:t xml:space="preserve"> </w:t>
      </w:r>
      <w:r>
        <w:t>фибриногена). По клиническим</w:t>
      </w:r>
      <w:r>
        <w:rPr>
          <w:spacing w:val="-7"/>
        </w:rPr>
        <w:t xml:space="preserve"> </w:t>
      </w:r>
      <w:r>
        <w:t>показаниям</w:t>
      </w:r>
      <w:r>
        <w:rPr>
          <w:spacing w:val="-6"/>
        </w:rPr>
        <w:t xml:space="preserve"> </w:t>
      </w:r>
      <w:r>
        <w:t>определялись</w:t>
      </w:r>
      <w:r>
        <w:rPr>
          <w:spacing w:val="-5"/>
        </w:rPr>
        <w:t xml:space="preserve"> </w:t>
      </w:r>
      <w:r>
        <w:t>опухолевые</w:t>
      </w:r>
      <w:r>
        <w:rPr>
          <w:spacing w:val="-7"/>
        </w:rPr>
        <w:t xml:space="preserve"> </w:t>
      </w:r>
      <w:r>
        <w:t>маркеры,</w:t>
      </w:r>
      <w:r>
        <w:rPr>
          <w:spacing w:val="-5"/>
        </w:rPr>
        <w:t xml:space="preserve"> </w:t>
      </w:r>
      <w:r>
        <w:t>преимущественно CA 19-9, используемые в качестве дополнительного диагностического и прогностического критерия. При выявлении анемии или гипопротеинемии проводилась соответствующая медикаментозная и нутритивная предоперационная коррекция.</w:t>
      </w:r>
    </w:p>
    <w:p w14:paraId="3E335095">
      <w:pPr>
        <w:pStyle w:val="7"/>
        <w:tabs>
          <w:tab w:val="left" w:pos="2736"/>
          <w:tab w:val="left" w:pos="5291"/>
          <w:tab w:val="left" w:pos="7087"/>
        </w:tabs>
        <w:spacing w:before="1"/>
        <w:ind w:left="0" w:right="3" w:firstLine="709"/>
      </w:pPr>
      <w:bookmarkStart w:id="14" w:name="Инструментальная_диагностика_включала_ул"/>
      <w:bookmarkEnd w:id="14"/>
      <w:r>
        <w:t>Инструментальная диагностика включала ультразвуковое исследование органов брюшной полости и мультиспиральную компьютерную томографию с внутривенным</w:t>
      </w:r>
      <w:r>
        <w:rPr>
          <w:spacing w:val="-12"/>
        </w:rPr>
        <w:t xml:space="preserve"> </w:t>
      </w:r>
      <w:r>
        <w:t>контрастированием</w:t>
      </w:r>
      <w:r>
        <w:rPr>
          <w:spacing w:val="-12"/>
        </w:rPr>
        <w:t xml:space="preserve"> </w:t>
      </w:r>
      <w:r>
        <w:t>в</w:t>
      </w:r>
      <w:r>
        <w:rPr>
          <w:spacing w:val="-15"/>
        </w:rPr>
        <w:t xml:space="preserve"> </w:t>
      </w:r>
      <w:r>
        <w:t>артериальной</w:t>
      </w:r>
      <w:r>
        <w:rPr>
          <w:spacing w:val="-9"/>
        </w:rPr>
        <w:t xml:space="preserve"> </w:t>
      </w:r>
      <w:r>
        <w:t>и</w:t>
      </w:r>
      <w:r>
        <w:rPr>
          <w:spacing w:val="-13"/>
        </w:rPr>
        <w:t xml:space="preserve"> </w:t>
      </w:r>
      <w:r>
        <w:t>венозной</w:t>
      </w:r>
      <w:r>
        <w:rPr>
          <w:spacing w:val="-13"/>
        </w:rPr>
        <w:t xml:space="preserve"> </w:t>
      </w:r>
      <w:r>
        <w:t>фазах.</w:t>
      </w:r>
      <w:r>
        <w:rPr>
          <w:spacing w:val="-7"/>
        </w:rPr>
        <w:t xml:space="preserve"> </w:t>
      </w:r>
      <w:r>
        <w:t>По</w:t>
      </w:r>
      <w:r>
        <w:rPr>
          <w:spacing w:val="-13"/>
        </w:rPr>
        <w:t xml:space="preserve"> </w:t>
      </w:r>
      <w:r>
        <w:t>данным КТ оценивались локализация и распространённость опухолевого процесса, состояние ПЖ и парапанкреатической клетчатки, степень дилатации панкреатического</w:t>
      </w:r>
      <w:r>
        <w:rPr>
          <w:spacing w:val="-16"/>
        </w:rPr>
        <w:t xml:space="preserve"> </w:t>
      </w:r>
      <w:r>
        <w:t>и</w:t>
      </w:r>
      <w:r>
        <w:rPr>
          <w:spacing w:val="-15"/>
        </w:rPr>
        <w:t xml:space="preserve"> </w:t>
      </w:r>
      <w:r>
        <w:t>жёлчных</w:t>
      </w:r>
      <w:r>
        <w:rPr>
          <w:spacing w:val="-18"/>
        </w:rPr>
        <w:t xml:space="preserve"> </w:t>
      </w:r>
      <w:r>
        <w:t>протоков,</w:t>
      </w:r>
      <w:r>
        <w:rPr>
          <w:spacing w:val="-8"/>
        </w:rPr>
        <w:t xml:space="preserve"> </w:t>
      </w:r>
      <w:r>
        <w:t>наличие</w:t>
      </w:r>
      <w:r>
        <w:rPr>
          <w:spacing w:val="-14"/>
        </w:rPr>
        <w:t xml:space="preserve"> </w:t>
      </w:r>
      <w:r>
        <w:t>регионарной</w:t>
      </w:r>
      <w:r>
        <w:rPr>
          <w:spacing w:val="-15"/>
        </w:rPr>
        <w:t xml:space="preserve"> </w:t>
      </w:r>
      <w:r>
        <w:t>лимфаденопатии</w:t>
      </w:r>
      <w:r>
        <w:rPr>
          <w:spacing w:val="-15"/>
        </w:rPr>
        <w:t xml:space="preserve"> </w:t>
      </w:r>
      <w:r>
        <w:t>и отдалённых метастазов, а также признаки сосудистой инвазии (контакт или прорастание в воротную и верхнюю брыжеечную вену, а также магистральных артериальных структур). В случаях диагностической неопределённости или необходимости</w:t>
      </w:r>
      <w:r>
        <w:rPr>
          <w:spacing w:val="-2"/>
        </w:rPr>
        <w:t xml:space="preserve"> </w:t>
      </w:r>
      <w:r>
        <w:t>уточнения</w:t>
      </w:r>
      <w:r>
        <w:rPr>
          <w:spacing w:val="-1"/>
        </w:rPr>
        <w:t xml:space="preserve"> </w:t>
      </w:r>
      <w:r>
        <w:t>анатомии</w:t>
      </w:r>
      <w:r>
        <w:rPr>
          <w:spacing w:val="-2"/>
        </w:rPr>
        <w:t xml:space="preserve"> </w:t>
      </w:r>
      <w:r>
        <w:t>билиарного</w:t>
      </w:r>
      <w:r>
        <w:rPr>
          <w:spacing w:val="-2"/>
        </w:rPr>
        <w:t xml:space="preserve"> </w:t>
      </w:r>
      <w:r>
        <w:t>дерева</w:t>
      </w:r>
      <w:r>
        <w:rPr>
          <w:spacing w:val="-1"/>
        </w:rPr>
        <w:t xml:space="preserve"> </w:t>
      </w:r>
      <w:r>
        <w:t>выполнялись</w:t>
      </w:r>
      <w:r>
        <w:rPr>
          <w:spacing w:val="-4"/>
        </w:rPr>
        <w:t xml:space="preserve"> </w:t>
      </w:r>
      <w:r>
        <w:t xml:space="preserve">магнитно- </w:t>
      </w:r>
      <w:r>
        <w:rPr>
          <w:spacing w:val="-2"/>
        </w:rPr>
        <w:t>резонансная</w:t>
      </w:r>
      <w:r>
        <w:tab/>
      </w:r>
      <w:r>
        <w:rPr>
          <w:spacing w:val="-2"/>
        </w:rPr>
        <w:t>томография</w:t>
      </w:r>
      <w:r>
        <w:tab/>
      </w:r>
      <w:r>
        <w:rPr>
          <w:spacing w:val="-2"/>
        </w:rPr>
        <w:t>и/или</w:t>
      </w:r>
      <w:r>
        <w:tab/>
      </w:r>
      <w:r>
        <w:rPr>
          <w:spacing w:val="-2"/>
        </w:rPr>
        <w:t>магнитно-резонансная холангиопанкреатография.</w:t>
      </w:r>
      <w:bookmarkStart w:id="15" w:name="Особое_внимание_уделялось_пациентам_с_ме"/>
      <w:bookmarkEnd w:id="15"/>
    </w:p>
    <w:p w14:paraId="51A7356D">
      <w:pPr>
        <w:pStyle w:val="7"/>
        <w:spacing w:before="1"/>
        <w:ind w:left="0" w:right="3" w:firstLine="709"/>
      </w:pPr>
      <w:r>
        <w:t>Особое внимание уделялось пациентам с механической жёлтухой. Оценивались уровень общего билирубина, выраженность холестатического синдрома, наличие клинико-лабораторных признаков холангита и печёночной недостаточности. При высоких значениях билирубина и/или признаках инфекционно-воспалительных осложнений выполнялось предоперационное дренирование жёлчных протоков методом чрескожной чреспечёночной холангиостомии (ЧЧХС) с наружным оттоком жёлчи. Показаниями к выполнению ЧЧХС являлись прогрессирующий холестаз, септическое течение заболевания, а также невозможность раннего выполнения радикального хирургического вмешательства.</w:t>
      </w:r>
    </w:p>
    <w:p w14:paraId="16B97383">
      <w:pPr>
        <w:pStyle w:val="7"/>
        <w:spacing w:before="3"/>
        <w:ind w:left="0" w:right="3" w:firstLine="709"/>
      </w:pPr>
      <w:bookmarkStart w:id="16" w:name="После_выполнения_ЧЧХС_осуществлялся_дина"/>
      <w:bookmarkEnd w:id="16"/>
      <w:r>
        <w:t>После выполнения ЧЧХС осуществлялся динамический лабораторный контроль с оценкой уровня общего билирубина, активности трансаминаз, показателей системы гемостаза и белкового спектра крови. Пациенты рассматривались кандидатами для выполнения ГПДР после клинической стабилизации состояния и достоверного снижения уровня общего билирубина, что расценивалось как критерий восстановления функционального состояния печени и снижения операционного риска.</w:t>
      </w:r>
    </w:p>
    <w:p w14:paraId="6391250E">
      <w:pPr>
        <w:pStyle w:val="7"/>
        <w:spacing w:before="2"/>
        <w:ind w:left="0" w:right="3" w:firstLine="709"/>
      </w:pPr>
      <w:bookmarkStart w:id="17" w:name="В_ходе_оперативного_вмешательства_интрао"/>
      <w:bookmarkEnd w:id="17"/>
      <w:r>
        <w:rPr>
          <w:spacing w:val="-2"/>
        </w:rPr>
        <w:t>В</w:t>
      </w:r>
      <w:r>
        <w:rPr>
          <w:spacing w:val="-4"/>
        </w:rPr>
        <w:t xml:space="preserve"> </w:t>
      </w:r>
      <w:r>
        <w:rPr>
          <w:spacing w:val="-2"/>
        </w:rPr>
        <w:t>ходе</w:t>
      </w:r>
      <w:r>
        <w:rPr>
          <w:spacing w:val="1"/>
        </w:rPr>
        <w:t xml:space="preserve"> </w:t>
      </w:r>
      <w:r>
        <w:rPr>
          <w:spacing w:val="-2"/>
        </w:rPr>
        <w:t>оперативного</w:t>
      </w:r>
      <w:r>
        <w:rPr>
          <w:spacing w:val="1"/>
        </w:rPr>
        <w:t xml:space="preserve"> </w:t>
      </w:r>
      <w:r>
        <w:rPr>
          <w:spacing w:val="-2"/>
        </w:rPr>
        <w:t>вмешательства</w:t>
      </w:r>
      <w:r>
        <w:rPr>
          <w:spacing w:val="1"/>
        </w:rPr>
        <w:t xml:space="preserve"> </w:t>
      </w:r>
      <w:r>
        <w:rPr>
          <w:spacing w:val="-2"/>
        </w:rPr>
        <w:t>интраоперационно</w:t>
      </w:r>
      <w:r>
        <w:rPr>
          <w:spacing w:val="2"/>
        </w:rPr>
        <w:t xml:space="preserve"> </w:t>
      </w:r>
      <w:r>
        <w:rPr>
          <w:spacing w:val="-2"/>
        </w:rPr>
        <w:t>документировались</w:t>
      </w:r>
    </w:p>
    <w:p w14:paraId="52477A54">
      <w:pPr>
        <w:pStyle w:val="7"/>
        <w:tabs>
          <w:tab w:val="left" w:pos="3119"/>
        </w:tabs>
        <w:spacing w:before="67"/>
        <w:ind w:left="0" w:right="3" w:firstLine="709"/>
      </w:pPr>
      <w:r>
        <w:t>консистенция ПЖ (мягкая или плотная), диаметр ПП, объём выполненной операции, необходимость сосудистой резекции, длительность вмешательства и величина интраоперационной кровопотери. Указанные параметры использовались в последующем статистическом и факторном анализе.</w:t>
      </w:r>
    </w:p>
    <w:p w14:paraId="1B2CC61B">
      <w:pPr>
        <w:pStyle w:val="7"/>
        <w:spacing w:before="4"/>
        <w:ind w:left="0" w:right="3" w:firstLine="709"/>
        <w:rPr>
          <w:spacing w:val="-2"/>
        </w:rPr>
      </w:pPr>
      <w:bookmarkStart w:id="18" w:name="Послеоперационный_мониторинг_включал_дин"/>
      <w:bookmarkEnd w:id="18"/>
      <w:r>
        <w:t>Послеоперационный мониторинг включал динамическую оценку клинического состояния пациентов, лабораторных показателей, а также уровня амилазы в</w:t>
      </w:r>
      <w:r>
        <w:rPr>
          <w:spacing w:val="-2"/>
        </w:rPr>
        <w:t xml:space="preserve"> </w:t>
      </w:r>
      <w:r>
        <w:t>сыворотке крови и дренажном отделяемом</w:t>
      </w:r>
      <w:r>
        <w:rPr>
          <w:spacing w:val="-3"/>
        </w:rPr>
        <w:t xml:space="preserve"> </w:t>
      </w:r>
      <w:r>
        <w:t>(как</w:t>
      </w:r>
      <w:r>
        <w:rPr>
          <w:spacing w:val="-1"/>
        </w:rPr>
        <w:t xml:space="preserve"> </w:t>
      </w:r>
      <w:r>
        <w:t>правило, на</w:t>
      </w:r>
      <w:r>
        <w:rPr>
          <w:spacing w:val="-4"/>
        </w:rPr>
        <w:t xml:space="preserve"> </w:t>
      </w:r>
      <w:r>
        <w:t>1-е,</w:t>
      </w:r>
      <w:r>
        <w:rPr>
          <w:spacing w:val="-2"/>
        </w:rPr>
        <w:t xml:space="preserve"> </w:t>
      </w:r>
      <w:r>
        <w:t xml:space="preserve">3-и и 5-е сутки после операции). При подозрении на внутрибрюшные скопления жидкости или развитие гнойно-септических осложнений выполнялись ультразвуковое исследование или компьютерная томография органов брюшной полости с последующей коррекцией лечебной тактики по клиническим </w:t>
      </w:r>
      <w:r>
        <w:rPr>
          <w:spacing w:val="-2"/>
        </w:rPr>
        <w:t>показаниям.</w:t>
      </w:r>
    </w:p>
    <w:p w14:paraId="1FB8A844">
      <w:pPr>
        <w:pStyle w:val="7"/>
        <w:spacing w:before="4"/>
        <w:ind w:left="0" w:right="3" w:firstLine="709"/>
      </w:pPr>
    </w:p>
    <w:p w14:paraId="0A1C03DC">
      <w:pPr>
        <w:pStyle w:val="3"/>
        <w:numPr>
          <w:ilvl w:val="2"/>
          <w:numId w:val="8"/>
        </w:numPr>
        <w:tabs>
          <w:tab w:val="left" w:pos="1338"/>
        </w:tabs>
        <w:spacing w:before="3" w:line="319" w:lineRule="exact"/>
        <w:ind w:left="1338" w:hanging="631"/>
        <w:rPr>
          <w:b w:val="0"/>
        </w:rPr>
      </w:pPr>
      <w:bookmarkStart w:id="19" w:name="2.2.9_Статистическая_обработка_данных"/>
      <w:bookmarkEnd w:id="19"/>
      <w:r>
        <w:rPr>
          <w:b w:val="0"/>
        </w:rPr>
        <w:t>Статистическая</w:t>
      </w:r>
      <w:r>
        <w:rPr>
          <w:b w:val="0"/>
          <w:spacing w:val="-18"/>
        </w:rPr>
        <w:t xml:space="preserve"> </w:t>
      </w:r>
      <w:r>
        <w:rPr>
          <w:b w:val="0"/>
        </w:rPr>
        <w:t>обработка</w:t>
      </w:r>
      <w:r>
        <w:rPr>
          <w:b w:val="0"/>
          <w:spacing w:val="-17"/>
        </w:rPr>
        <w:t xml:space="preserve"> </w:t>
      </w:r>
      <w:r>
        <w:rPr>
          <w:b w:val="0"/>
          <w:spacing w:val="-2"/>
        </w:rPr>
        <w:t>данных</w:t>
      </w:r>
    </w:p>
    <w:p w14:paraId="6FCCC983">
      <w:pPr>
        <w:pStyle w:val="10"/>
        <w:numPr>
          <w:ilvl w:val="3"/>
          <w:numId w:val="8"/>
        </w:numPr>
        <w:tabs>
          <w:tab w:val="left" w:pos="868"/>
        </w:tabs>
        <w:ind w:left="0" w:right="3" w:firstLine="706"/>
        <w:rPr>
          <w:sz w:val="28"/>
        </w:rPr>
      </w:pPr>
      <w:r>
        <w:rPr>
          <w:sz w:val="28"/>
        </w:rPr>
        <w:t>Статистическая</w:t>
      </w:r>
      <w:r>
        <w:rPr>
          <w:spacing w:val="-4"/>
          <w:sz w:val="28"/>
        </w:rPr>
        <w:t xml:space="preserve"> </w:t>
      </w:r>
      <w:r>
        <w:rPr>
          <w:sz w:val="28"/>
        </w:rPr>
        <w:t>обработка</w:t>
      </w:r>
      <w:r>
        <w:rPr>
          <w:spacing w:val="-5"/>
          <w:sz w:val="28"/>
        </w:rPr>
        <w:t xml:space="preserve"> </w:t>
      </w:r>
      <w:r>
        <w:rPr>
          <w:sz w:val="28"/>
        </w:rPr>
        <w:t>данных</w:t>
      </w:r>
      <w:r>
        <w:rPr>
          <w:spacing w:val="-10"/>
          <w:sz w:val="28"/>
        </w:rPr>
        <w:t xml:space="preserve"> </w:t>
      </w:r>
      <w:r>
        <w:rPr>
          <w:sz w:val="28"/>
        </w:rPr>
        <w:t>проводилась</w:t>
      </w:r>
      <w:r>
        <w:rPr>
          <w:spacing w:val="-8"/>
          <w:sz w:val="28"/>
        </w:rPr>
        <w:t xml:space="preserve"> </w:t>
      </w:r>
      <w:r>
        <w:rPr>
          <w:sz w:val="28"/>
        </w:rPr>
        <w:t>с</w:t>
      </w:r>
      <w:r>
        <w:rPr>
          <w:spacing w:val="-5"/>
          <w:sz w:val="28"/>
        </w:rPr>
        <w:t xml:space="preserve"> </w:t>
      </w:r>
      <w:r>
        <w:rPr>
          <w:sz w:val="28"/>
        </w:rPr>
        <w:t>использованием</w:t>
      </w:r>
      <w:r>
        <w:rPr>
          <w:spacing w:val="-4"/>
          <w:sz w:val="28"/>
        </w:rPr>
        <w:t xml:space="preserve"> </w:t>
      </w:r>
      <w:r>
        <w:rPr>
          <w:sz w:val="28"/>
        </w:rPr>
        <w:t>пакетов программ IBM SPSS Statistics версии 26.0 и Statistica 13.0. Для количественных переменных предварительно оценивался характер распределения (визуально и по характеристикам выборки). При нормальном распределении данные представлялись в виде средних значений и стандартных отклонений (M ± SD), при ненормальном — в виде медиан и межквартильных интервалов (Me [IQR]).</w:t>
      </w:r>
    </w:p>
    <w:p w14:paraId="1E5BA871">
      <w:pPr>
        <w:pStyle w:val="10"/>
        <w:numPr>
          <w:ilvl w:val="3"/>
          <w:numId w:val="8"/>
        </w:numPr>
        <w:tabs>
          <w:tab w:val="left" w:pos="854"/>
        </w:tabs>
        <w:ind w:left="0" w:right="3" w:firstLine="706"/>
        <w:rPr>
          <w:sz w:val="28"/>
        </w:rPr>
      </w:pPr>
      <w:r>
        <w:rPr>
          <w:sz w:val="28"/>
        </w:rPr>
        <w:t>Категориальные</w:t>
      </w:r>
      <w:r>
        <w:rPr>
          <w:spacing w:val="-18"/>
          <w:sz w:val="28"/>
        </w:rPr>
        <w:t xml:space="preserve"> </w:t>
      </w:r>
      <w:r>
        <w:rPr>
          <w:sz w:val="28"/>
        </w:rPr>
        <w:t>переменные</w:t>
      </w:r>
      <w:r>
        <w:rPr>
          <w:spacing w:val="-17"/>
          <w:sz w:val="28"/>
        </w:rPr>
        <w:t xml:space="preserve"> </w:t>
      </w:r>
      <w:r>
        <w:rPr>
          <w:sz w:val="28"/>
        </w:rPr>
        <w:t>описывались</w:t>
      </w:r>
      <w:r>
        <w:rPr>
          <w:spacing w:val="-18"/>
          <w:sz w:val="28"/>
        </w:rPr>
        <w:t xml:space="preserve"> </w:t>
      </w:r>
      <w:r>
        <w:rPr>
          <w:sz w:val="28"/>
        </w:rPr>
        <w:t>с</w:t>
      </w:r>
      <w:r>
        <w:rPr>
          <w:spacing w:val="-17"/>
          <w:sz w:val="28"/>
        </w:rPr>
        <w:t xml:space="preserve"> </w:t>
      </w:r>
      <w:r>
        <w:rPr>
          <w:sz w:val="28"/>
        </w:rPr>
        <w:t>указанием</w:t>
      </w:r>
      <w:r>
        <w:rPr>
          <w:spacing w:val="-18"/>
          <w:sz w:val="28"/>
        </w:rPr>
        <w:t xml:space="preserve"> </w:t>
      </w:r>
      <w:r>
        <w:rPr>
          <w:sz w:val="28"/>
        </w:rPr>
        <w:t>абсолютных</w:t>
      </w:r>
      <w:r>
        <w:rPr>
          <w:spacing w:val="-17"/>
          <w:sz w:val="28"/>
        </w:rPr>
        <w:t xml:space="preserve"> </w:t>
      </w:r>
      <w:r>
        <w:rPr>
          <w:sz w:val="28"/>
        </w:rPr>
        <w:t>частот и долей (%). Для сравнения категориальных данных применялись критерий χ² или точный критерий Фишера (в зависимости от ожидаемых частот), а для переменных с более чем двумя уровнями — тест отношения правдоподобия.</w:t>
      </w:r>
    </w:p>
    <w:p w14:paraId="3D59C8A6">
      <w:pPr>
        <w:pStyle w:val="10"/>
        <w:numPr>
          <w:ilvl w:val="4"/>
          <w:numId w:val="8"/>
        </w:numPr>
        <w:tabs>
          <w:tab w:val="left" w:pos="1109"/>
        </w:tabs>
        <w:ind w:left="0" w:right="3" w:firstLine="706"/>
        <w:rPr>
          <w:sz w:val="28"/>
        </w:rPr>
      </w:pPr>
      <w:r>
        <w:rPr>
          <w:sz w:val="28"/>
        </w:rPr>
        <w:t>Сравнение количественных данных между независимыми группами выполнялось с использованием t-критерия Стьюдента при нормальном распределении или U-критерия Манна–Уитни при его отсутствии. Корреляционный анализ проводился методом ранговой корреляции Спирмена для оценки связи между диаметром ПП и уровнем амилазы в дренажной жидкости на 1, 3 и 5-е сутки после операции.</w:t>
      </w:r>
    </w:p>
    <w:p w14:paraId="38735ABA">
      <w:pPr>
        <w:pStyle w:val="10"/>
        <w:numPr>
          <w:ilvl w:val="4"/>
          <w:numId w:val="8"/>
        </w:numPr>
        <w:tabs>
          <w:tab w:val="left" w:pos="1104"/>
        </w:tabs>
        <w:spacing w:before="2"/>
        <w:ind w:left="0" w:right="3" w:firstLine="846"/>
        <w:rPr>
          <w:sz w:val="28"/>
        </w:rPr>
      </w:pPr>
      <w:r>
        <w:rPr>
          <w:sz w:val="28"/>
        </w:rPr>
        <w:t>Для выявления независимых предикторов развития ПС применялся многофакторный логистический регрессионный анализ. В регрессионную модель включались переменные, имеющие клиническую значимость и продемонстрировавшие статистическую значимость в однофакторном анализе. Результаты представлялись в виде отношения шансов (OR) с 95% доверительными интервалами (CI) и соответствующими p-значениями.</w:t>
      </w:r>
    </w:p>
    <w:p w14:paraId="3C6C63EB">
      <w:pPr>
        <w:pStyle w:val="10"/>
        <w:numPr>
          <w:ilvl w:val="3"/>
          <w:numId w:val="8"/>
        </w:numPr>
        <w:tabs>
          <w:tab w:val="left" w:pos="869"/>
        </w:tabs>
        <w:spacing w:line="321" w:lineRule="exact"/>
        <w:ind w:left="0" w:right="3" w:firstLine="846"/>
        <w:rPr>
          <w:sz w:val="28"/>
        </w:rPr>
      </w:pPr>
      <w:r>
        <w:rPr>
          <w:sz w:val="28"/>
        </w:rPr>
        <w:t>Критерием</w:t>
      </w:r>
      <w:r>
        <w:rPr>
          <w:spacing w:val="-10"/>
          <w:sz w:val="28"/>
        </w:rPr>
        <w:t xml:space="preserve"> </w:t>
      </w:r>
      <w:r>
        <w:rPr>
          <w:sz w:val="28"/>
        </w:rPr>
        <w:t>статистической</w:t>
      </w:r>
      <w:r>
        <w:rPr>
          <w:spacing w:val="-11"/>
          <w:sz w:val="28"/>
        </w:rPr>
        <w:t xml:space="preserve"> </w:t>
      </w:r>
      <w:r>
        <w:rPr>
          <w:sz w:val="28"/>
        </w:rPr>
        <w:t>значимости</w:t>
      </w:r>
      <w:r>
        <w:rPr>
          <w:spacing w:val="-6"/>
          <w:sz w:val="28"/>
        </w:rPr>
        <w:t xml:space="preserve"> </w:t>
      </w:r>
      <w:r>
        <w:rPr>
          <w:sz w:val="28"/>
        </w:rPr>
        <w:t>считалось</w:t>
      </w:r>
      <w:r>
        <w:rPr>
          <w:spacing w:val="-13"/>
          <w:sz w:val="28"/>
        </w:rPr>
        <w:t xml:space="preserve"> </w:t>
      </w:r>
      <w:r>
        <w:rPr>
          <w:sz w:val="28"/>
        </w:rPr>
        <w:t>значение</w:t>
      </w:r>
      <w:r>
        <w:rPr>
          <w:spacing w:val="-10"/>
          <w:sz w:val="28"/>
        </w:rPr>
        <w:t xml:space="preserve"> </w:t>
      </w:r>
      <w:r>
        <w:rPr>
          <w:spacing w:val="-2"/>
          <w:sz w:val="28"/>
        </w:rPr>
        <w:t>p&lt;0,05.</w:t>
      </w:r>
    </w:p>
    <w:p w14:paraId="2541F9C0">
      <w:pPr>
        <w:pStyle w:val="10"/>
        <w:tabs>
          <w:tab w:val="left" w:pos="869"/>
        </w:tabs>
        <w:spacing w:line="321" w:lineRule="exact"/>
        <w:ind w:left="846" w:right="3" w:firstLine="0"/>
        <w:rPr>
          <w:sz w:val="28"/>
        </w:rPr>
      </w:pPr>
    </w:p>
    <w:p w14:paraId="6F170A3F">
      <w:pPr>
        <w:pStyle w:val="3"/>
        <w:numPr>
          <w:ilvl w:val="2"/>
          <w:numId w:val="8"/>
        </w:numPr>
        <w:tabs>
          <w:tab w:val="left" w:pos="1478"/>
        </w:tabs>
        <w:spacing w:before="5" w:line="319" w:lineRule="exact"/>
        <w:ind w:left="0" w:right="3" w:firstLine="846"/>
        <w:rPr>
          <w:b w:val="0"/>
        </w:rPr>
      </w:pPr>
      <w:bookmarkStart w:id="20" w:name="2.2.10_Этические_аспекты"/>
      <w:bookmarkEnd w:id="20"/>
      <w:r>
        <w:rPr>
          <w:b w:val="0"/>
        </w:rPr>
        <w:t>Этические</w:t>
      </w:r>
      <w:r>
        <w:rPr>
          <w:b w:val="0"/>
          <w:spacing w:val="-18"/>
        </w:rPr>
        <w:t xml:space="preserve"> </w:t>
      </w:r>
      <w:r>
        <w:rPr>
          <w:b w:val="0"/>
          <w:spacing w:val="-2"/>
        </w:rPr>
        <w:t>аспекты</w:t>
      </w:r>
    </w:p>
    <w:p w14:paraId="61F1085F">
      <w:pPr>
        <w:pStyle w:val="7"/>
        <w:ind w:left="0" w:right="3" w:firstLine="846"/>
      </w:pPr>
      <w:r>
        <w:t>Исследование одобрено Локальным этическим комитетом Казахский Медицинский Университет «ВШОЗ» № 7 от 27.05.2024 года. Все пациенты подписали информированное согласие на участие в исследовании и обработку персональных данных согласно Хельсинкской декларации, которая утверждена 19 октября 2013 года на 64-й Генеральной Ассамблее WMA</w:t>
      </w:r>
      <w:r>
        <w:rPr>
          <w:spacing w:val="-2"/>
        </w:rPr>
        <w:t xml:space="preserve"> </w:t>
      </w:r>
      <w:r>
        <w:t xml:space="preserve">в городе Форталеза </w:t>
      </w:r>
      <w:r>
        <w:rPr>
          <w:spacing w:val="-2"/>
        </w:rPr>
        <w:t>(Бразилия).</w:t>
      </w:r>
    </w:p>
    <w:p w14:paraId="76DB1D85">
      <w:pPr>
        <w:pStyle w:val="7"/>
        <w:sectPr>
          <w:pgSz w:w="11910" w:h="16840"/>
          <w:pgMar w:top="1134" w:right="567" w:bottom="1134" w:left="1701" w:header="0" w:footer="936" w:gutter="0"/>
          <w:cols w:space="720" w:num="1"/>
        </w:sectPr>
      </w:pPr>
    </w:p>
    <w:p w14:paraId="4F085E91">
      <w:pPr>
        <w:pStyle w:val="7"/>
        <w:spacing w:before="57"/>
        <w:ind w:left="0" w:firstLine="0"/>
        <w:jc w:val="left"/>
        <w:rPr>
          <w:sz w:val="20"/>
        </w:rPr>
      </w:pPr>
      <w:r>
        <w:rPr>
          <w:sz w:val="20"/>
          <w:lang w:eastAsia="ru-RU"/>
        </w:rPr>
        <mc:AlternateContent>
          <mc:Choice Requires="wpg">
            <w:drawing>
              <wp:anchor distT="0" distB="0" distL="0" distR="0" simplePos="0" relativeHeight="251659264" behindDoc="0" locked="0" layoutInCell="1" allowOverlap="1">
                <wp:simplePos x="0" y="0"/>
                <wp:positionH relativeFrom="page">
                  <wp:posOffset>1500505</wp:posOffset>
                </wp:positionH>
                <wp:positionV relativeFrom="page">
                  <wp:posOffset>3191510</wp:posOffset>
                </wp:positionV>
                <wp:extent cx="113030" cy="386715"/>
                <wp:effectExtent l="0" t="0" r="0" b="0"/>
                <wp:wrapNone/>
                <wp:docPr id="10" name="Group 10"/>
                <wp:cNvGraphicFramePr/>
                <a:graphic xmlns:a="http://schemas.openxmlformats.org/drawingml/2006/main">
                  <a:graphicData uri="http://schemas.microsoft.com/office/word/2010/wordprocessingGroup">
                    <wpg:wgp>
                      <wpg:cNvGrpSpPr/>
                      <wpg:grpSpPr>
                        <a:xfrm>
                          <a:off x="0" y="0"/>
                          <a:ext cx="113030" cy="386715"/>
                          <a:chOff x="0" y="0"/>
                          <a:chExt cx="113030" cy="386715"/>
                        </a:xfrm>
                      </wpg:grpSpPr>
                      <wps:wsp>
                        <wps:cNvPr id="11" name="Graphic 11"/>
                        <wps:cNvSpPr/>
                        <wps:spPr>
                          <a:xfrm>
                            <a:off x="6350" y="6350"/>
                            <a:ext cx="100330" cy="374015"/>
                          </a:xfrm>
                          <a:custGeom>
                            <a:avLst/>
                            <a:gdLst/>
                            <a:ahLst/>
                            <a:cxnLst/>
                            <a:rect l="l" t="t" r="r" b="b"/>
                            <a:pathLst>
                              <a:path w="100330" h="374015">
                                <a:moveTo>
                                  <a:pt x="75184" y="0"/>
                                </a:moveTo>
                                <a:lnTo>
                                  <a:pt x="25018" y="0"/>
                                </a:lnTo>
                                <a:lnTo>
                                  <a:pt x="25018" y="323850"/>
                                </a:lnTo>
                                <a:lnTo>
                                  <a:pt x="0" y="323850"/>
                                </a:lnTo>
                                <a:lnTo>
                                  <a:pt x="50165" y="374014"/>
                                </a:lnTo>
                                <a:lnTo>
                                  <a:pt x="100329" y="323850"/>
                                </a:lnTo>
                                <a:lnTo>
                                  <a:pt x="75184" y="323850"/>
                                </a:lnTo>
                                <a:lnTo>
                                  <a:pt x="75184" y="0"/>
                                </a:lnTo>
                                <a:close/>
                              </a:path>
                            </a:pathLst>
                          </a:custGeom>
                          <a:solidFill>
                            <a:srgbClr val="5B9BD4"/>
                          </a:solidFill>
                        </wps:spPr>
                        <wps:bodyPr wrap="square" lIns="0" tIns="0" rIns="0" bIns="0" rtlCol="0">
                          <a:noAutofit/>
                        </wps:bodyPr>
                      </wps:wsp>
                      <wps:wsp>
                        <wps:cNvPr id="12" name="Graphic 12"/>
                        <wps:cNvSpPr/>
                        <wps:spPr>
                          <a:xfrm>
                            <a:off x="6350" y="6350"/>
                            <a:ext cx="100330" cy="374015"/>
                          </a:xfrm>
                          <a:custGeom>
                            <a:avLst/>
                            <a:gdLst/>
                            <a:ahLst/>
                            <a:cxnLst/>
                            <a:rect l="l" t="t" r="r" b="b"/>
                            <a:pathLst>
                              <a:path w="100330" h="374015">
                                <a:moveTo>
                                  <a:pt x="0" y="323850"/>
                                </a:moveTo>
                                <a:lnTo>
                                  <a:pt x="25018" y="323850"/>
                                </a:lnTo>
                                <a:lnTo>
                                  <a:pt x="25018" y="0"/>
                                </a:lnTo>
                                <a:lnTo>
                                  <a:pt x="75184" y="0"/>
                                </a:lnTo>
                                <a:lnTo>
                                  <a:pt x="75184" y="323850"/>
                                </a:lnTo>
                                <a:lnTo>
                                  <a:pt x="100329" y="323850"/>
                                </a:lnTo>
                                <a:lnTo>
                                  <a:pt x="50165" y="374014"/>
                                </a:lnTo>
                                <a:lnTo>
                                  <a:pt x="0" y="323850"/>
                                </a:lnTo>
                                <a:close/>
                              </a:path>
                            </a:pathLst>
                          </a:custGeom>
                          <a:ln w="12700">
                            <a:solidFill>
                              <a:srgbClr val="41709C"/>
                            </a:solidFill>
                            <a:prstDash val="solid"/>
                          </a:ln>
                        </wps:spPr>
                        <wps:bodyPr wrap="square" lIns="0" tIns="0" rIns="0" bIns="0" rtlCol="0">
                          <a:noAutofit/>
                        </wps:bodyPr>
                      </wps:wsp>
                    </wpg:wgp>
                  </a:graphicData>
                </a:graphic>
              </wp:anchor>
            </w:drawing>
          </mc:Choice>
          <mc:Fallback>
            <w:pict>
              <v:group id="Group 10" o:spid="_x0000_s1026" o:spt="203" style="position:absolute;left:0pt;margin-left:118.15pt;margin-top:251.3pt;height:30.45pt;width:8.9pt;mso-position-horizontal-relative:page;mso-position-vertical-relative:page;z-index:251659264;mso-width-relative:page;mso-height-relative:page;" coordsize="113030,386715" o:gfxdata="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PrH7rvb&#10;AAAACwEAAA8AAAAAAAAAAQAgAAAAIgAAAGRycy9kb3ducmV2LnhtbFBLAQIUABQAAAAIAIdO4kAo&#10;eFZWAQMAAGEKAAAOAAAAAAAAAAEAIAAAACoBAABkcnMvZTJvRG9jLnhtbFBLBQYAAAAABgAGAFkB&#10;AACdBgAAAAA=&#10;">
                <o:lock v:ext="edit" aspectratio="f"/>
                <v:shape id="Graphic 11" o:spid="_x0000_s1026" o:spt="100" style="position:absolute;left:6350;top:6350;height:374015;width:100330;" fillcolor="#5B9BD4" filled="t" stroked="f" coordsize="100330,374015" o:gfxdata="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a+hEi2AAAA2wAAAA8A&#10;AAAAAAAAAQAgAAAAIgAAAGRycy9kb3ducmV2LnhtbFBLAQIUABQAAAAIAIdO4kAzLwWeOwAAADkA&#10;AAAQAAAAAAAAAAEAIAAAAAUBAABkcnMvc2hhcGV4bWwueG1sUEsFBgAAAAAGAAYAWwEAAK8DAAAA&#10;AA==&#10;" path="m75184,0l25018,0,25018,323850,0,323850,50165,374014,100329,323850,75184,323850,75184,0xe">
                  <v:fill on="t" focussize="0,0"/>
                  <v:stroke on="f"/>
                  <v:imagedata o:title=""/>
                  <o:lock v:ext="edit" aspectratio="f"/>
                  <v:textbox inset="0mm,0mm,0mm,0mm"/>
                </v:shape>
                <v:shape id="Graphic 12" o:spid="_x0000_s1026" o:spt="100" style="position:absolute;left:6350;top:6350;height:374015;width:100330;" filled="f" stroked="t" coordsize="100330,374015" o:gfxdata="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qdaha2AAAA2wAAAA8A&#10;AAAAAAAAAQAgAAAAIgAAAGRycy9kb3ducmV2LnhtbFBLAQIUABQAAAAIAIdO4kAzLwWeOwAAADkA&#10;AAAQAAAAAAAAAAEAIAAAAAUBAABkcnMvc2hhcGV4bWwueG1sUEsFBgAAAAAGAAYAWwEAAK8DAAAA&#10;AA==&#10;" path="m0,323850l25018,323850,25018,0,75184,0,75184,323850,100329,323850,50165,374014,0,323850xe">
                  <v:fill on="f" focussize="0,0"/>
                  <v:stroke weight="1pt" color="#41709C" joinstyle="round"/>
                  <v:imagedata o:title=""/>
                  <o:lock v:ext="edit" aspectratio="f"/>
                  <v:textbox inset="0mm,0mm,0mm,0mm"/>
                </v:shape>
              </v:group>
            </w:pict>
          </mc:Fallback>
        </mc:AlternateContent>
      </w:r>
      <w:r>
        <w:rPr>
          <w:sz w:val="20"/>
          <w:lang w:eastAsia="ru-RU"/>
        </w:rPr>
        <mc:AlternateContent>
          <mc:Choice Requires="wps">
            <w:drawing>
              <wp:anchor distT="0" distB="0" distL="0" distR="0" simplePos="0" relativeHeight="251660288" behindDoc="0" locked="0" layoutInCell="1" allowOverlap="1">
                <wp:simplePos x="0" y="0"/>
                <wp:positionH relativeFrom="page">
                  <wp:posOffset>486410</wp:posOffset>
                </wp:positionH>
                <wp:positionV relativeFrom="page">
                  <wp:posOffset>3664585</wp:posOffset>
                </wp:positionV>
                <wp:extent cx="2115185" cy="1197610"/>
                <wp:effectExtent l="0" t="0" r="0" b="0"/>
                <wp:wrapNone/>
                <wp:docPr id="13" name="Textbox 13"/>
                <wp:cNvGraphicFramePr/>
                <a:graphic xmlns:a="http://schemas.openxmlformats.org/drawingml/2006/main">
                  <a:graphicData uri="http://schemas.microsoft.com/office/word/2010/wordprocessingShape">
                    <wps:wsp>
                      <wps:cNvSpPr txBox="1"/>
                      <wps:spPr>
                        <a:xfrm>
                          <a:off x="0" y="0"/>
                          <a:ext cx="2115185" cy="1197610"/>
                        </a:xfrm>
                        <a:prstGeom prst="rect">
                          <a:avLst/>
                        </a:prstGeom>
                        <a:ln w="12700">
                          <a:solidFill>
                            <a:srgbClr val="5B9BD4"/>
                          </a:solidFill>
                          <a:prstDash val="solid"/>
                        </a:ln>
                      </wps:spPr>
                      <wps:txbx>
                        <w:txbxContent>
                          <w:p w14:paraId="561B7E65">
                            <w:pPr>
                              <w:pStyle w:val="7"/>
                              <w:spacing w:before="285" w:line="242" w:lineRule="auto"/>
                              <w:ind w:left="159" w:right="164" w:firstLine="2"/>
                              <w:jc w:val="center"/>
                            </w:pPr>
                            <w:r>
                              <w:t xml:space="preserve">Выявить основные </w:t>
                            </w:r>
                            <w:r>
                              <w:rPr>
                                <w:spacing w:val="-2"/>
                              </w:rPr>
                              <w:t xml:space="preserve">причины послеоперационных </w:t>
                            </w:r>
                            <w:r>
                              <w:t>осложнений</w:t>
                            </w:r>
                            <w:r>
                              <w:rPr>
                                <w:spacing w:val="-18"/>
                              </w:rPr>
                              <w:t xml:space="preserve"> </w:t>
                            </w:r>
                            <w:r>
                              <w:t>после</w:t>
                            </w:r>
                            <w:r>
                              <w:rPr>
                                <w:spacing w:val="-17"/>
                              </w:rPr>
                              <w:t xml:space="preserve"> </w:t>
                            </w:r>
                            <w:r>
                              <w:t>ГПДР</w:t>
                            </w:r>
                          </w:p>
                        </w:txbxContent>
                      </wps:txbx>
                      <wps:bodyPr wrap="square" lIns="0" tIns="0" rIns="0" bIns="0" rtlCol="0">
                        <a:noAutofit/>
                      </wps:bodyPr>
                    </wps:wsp>
                  </a:graphicData>
                </a:graphic>
              </wp:anchor>
            </w:drawing>
          </mc:Choice>
          <mc:Fallback>
            <w:pict>
              <v:shape id="Textbox 13" o:spid="_x0000_s1026" o:spt="202" type="#_x0000_t202" style="position:absolute;left:0pt;margin-left:38.3pt;margin-top:288.55pt;height:94.3pt;width:166.55pt;mso-position-horizontal-relative:page;mso-position-vertical-relative:page;z-index:251660288;mso-width-relative:page;mso-height-relative:page;" filled="f" stroked="t" coordsize="21600,21600" o:gfxdata="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gw56tcA&#10;AAAKAQAADwAAAAAAAAABACAAAAAiAAAAZHJzL2Rvd25yZXYueG1sUEsBAhQAFAAAAAgAh07iQBpc&#10;/hbnAQAA2wMAAA4AAAAAAAAAAQAgAAAAJgEAAGRycy9lMm9Eb2MueG1sUEsFBgAAAAAGAAYAWQEA&#10;AH8FAAAAAA==&#10;">
                <v:fill on="f" focussize="0,0"/>
                <v:stroke weight="1pt" color="#5B9BD4" joinstyle="round"/>
                <v:imagedata o:title=""/>
                <o:lock v:ext="edit" aspectratio="f"/>
                <v:textbox inset="0mm,0mm,0mm,0mm">
                  <w:txbxContent>
                    <w:p w14:paraId="561B7E65">
                      <w:pPr>
                        <w:pStyle w:val="7"/>
                        <w:spacing w:before="285" w:line="242" w:lineRule="auto"/>
                        <w:ind w:left="159" w:right="164" w:firstLine="2"/>
                        <w:jc w:val="center"/>
                      </w:pPr>
                      <w:r>
                        <w:t xml:space="preserve">Выявить основные </w:t>
                      </w:r>
                      <w:r>
                        <w:rPr>
                          <w:spacing w:val="-2"/>
                        </w:rPr>
                        <w:t xml:space="preserve">причины послеоперационных </w:t>
                      </w:r>
                      <w:r>
                        <w:t>осложнений</w:t>
                      </w:r>
                      <w:r>
                        <w:rPr>
                          <w:spacing w:val="-18"/>
                        </w:rPr>
                        <w:t xml:space="preserve"> </w:t>
                      </w:r>
                      <w:r>
                        <w:t>после</w:t>
                      </w:r>
                      <w:r>
                        <w:rPr>
                          <w:spacing w:val="-17"/>
                        </w:rPr>
                        <w:t xml:space="preserve"> </w:t>
                      </w:r>
                      <w:r>
                        <w:t>ГПДР</w:t>
                      </w:r>
                    </w:p>
                  </w:txbxContent>
                </v:textbox>
              </v:shape>
            </w:pict>
          </mc:Fallback>
        </mc:AlternateContent>
      </w:r>
      <w:r>
        <w:rPr>
          <w:sz w:val="20"/>
          <w:lang w:eastAsia="ru-RU"/>
        </w:rPr>
        <mc:AlternateContent>
          <mc:Choice Requires="wps">
            <w:drawing>
              <wp:anchor distT="0" distB="0" distL="0" distR="0" simplePos="0" relativeHeight="251661312" behindDoc="0" locked="0" layoutInCell="1" allowOverlap="1">
                <wp:simplePos x="0" y="0"/>
                <wp:positionH relativeFrom="page">
                  <wp:posOffset>7639050</wp:posOffset>
                </wp:positionH>
                <wp:positionV relativeFrom="page">
                  <wp:posOffset>1816100</wp:posOffset>
                </wp:positionV>
                <wp:extent cx="2130425" cy="1859915"/>
                <wp:effectExtent l="0" t="0" r="0" b="0"/>
                <wp:wrapNone/>
                <wp:docPr id="14" name="Textbox 14"/>
                <wp:cNvGraphicFramePr/>
                <a:graphic xmlns:a="http://schemas.openxmlformats.org/drawingml/2006/main">
                  <a:graphicData uri="http://schemas.microsoft.com/office/word/2010/wordprocessingShape">
                    <wps:wsp>
                      <wps:cNvSpPr txBox="1"/>
                      <wps:spPr>
                        <a:xfrm>
                          <a:off x="0" y="0"/>
                          <a:ext cx="2130425" cy="1859914"/>
                        </a:xfrm>
                        <a:prstGeom prst="rect">
                          <a:avLst/>
                        </a:prstGeom>
                        <a:ln w="12700">
                          <a:solidFill>
                            <a:srgbClr val="5B9BD4"/>
                          </a:solidFill>
                          <a:prstDash val="solid"/>
                        </a:ln>
                      </wps:spPr>
                      <wps:txbx>
                        <w:txbxContent>
                          <w:p w14:paraId="07C530C2">
                            <w:pPr>
                              <w:pStyle w:val="7"/>
                              <w:spacing w:before="186"/>
                              <w:ind w:left="0" w:firstLine="0"/>
                              <w:jc w:val="left"/>
                            </w:pPr>
                          </w:p>
                          <w:p w14:paraId="32EC47C9">
                            <w:pPr>
                              <w:pStyle w:val="7"/>
                              <w:spacing w:before="1" w:line="235" w:lineRule="auto"/>
                              <w:ind w:left="169" w:right="170" w:firstLine="61"/>
                              <w:jc w:val="center"/>
                            </w:pPr>
                            <w:r>
                              <w:t>Разработка алгоритма профилактики</w:t>
                            </w:r>
                            <w:r>
                              <w:rPr>
                                <w:spacing w:val="-6"/>
                              </w:rPr>
                              <w:t xml:space="preserve"> </w:t>
                            </w:r>
                            <w:r>
                              <w:t>и</w:t>
                            </w:r>
                            <w:r>
                              <w:rPr>
                                <w:spacing w:val="-6"/>
                              </w:rPr>
                              <w:t xml:space="preserve"> </w:t>
                            </w:r>
                            <w:r>
                              <w:t>лечения панкреатических</w:t>
                            </w:r>
                            <w:r>
                              <w:rPr>
                                <w:spacing w:val="-18"/>
                              </w:rPr>
                              <w:t xml:space="preserve"> </w:t>
                            </w:r>
                            <w:r>
                              <w:t xml:space="preserve">свищей после ГПДР при </w:t>
                            </w:r>
                            <w:r>
                              <w:rPr>
                                <w:spacing w:val="-2"/>
                              </w:rPr>
                              <w:t xml:space="preserve">опухолях </w:t>
                            </w:r>
                            <w:r>
                              <w:t>периампулярной зоны</w:t>
                            </w:r>
                          </w:p>
                        </w:txbxContent>
                      </wps:txbx>
                      <wps:bodyPr wrap="square" lIns="0" tIns="0" rIns="0" bIns="0" rtlCol="0">
                        <a:noAutofit/>
                      </wps:bodyPr>
                    </wps:wsp>
                  </a:graphicData>
                </a:graphic>
              </wp:anchor>
            </w:drawing>
          </mc:Choice>
          <mc:Fallback>
            <w:pict>
              <v:shape id="Textbox 14" o:spid="_x0000_s1026" o:spt="202" type="#_x0000_t202" style="position:absolute;left:0pt;margin-left:601.5pt;margin-top:143pt;height:146.45pt;width:167.75pt;mso-position-horizontal-relative:page;mso-position-vertical-relative:page;z-index:251661312;mso-width-relative:page;mso-height-relative:page;" filled="f" stroked="t" coordsize="21600,21600" o:gfxdata="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fY&#10;EDXbAAAADQEAAA8AAAAAAAAAAQAgAAAAIgAAAGRycy9kb3ducmV2LnhtbFBLAQIUABQAAAAIAIdO&#10;4kDxlPD55wEAANsDAAAOAAAAAAAAAAEAIAAAACoBAABkcnMvZTJvRG9jLnhtbFBLBQYAAAAABgAG&#10;AFkBAACDBQAAAAA=&#10;">
                <v:fill on="f" focussize="0,0"/>
                <v:stroke weight="1pt" color="#5B9BD4" joinstyle="round"/>
                <v:imagedata o:title=""/>
                <o:lock v:ext="edit" aspectratio="f"/>
                <v:textbox inset="0mm,0mm,0mm,0mm">
                  <w:txbxContent>
                    <w:p w14:paraId="07C530C2">
                      <w:pPr>
                        <w:pStyle w:val="7"/>
                        <w:spacing w:before="186"/>
                        <w:ind w:left="0" w:firstLine="0"/>
                        <w:jc w:val="left"/>
                      </w:pPr>
                    </w:p>
                    <w:p w14:paraId="32EC47C9">
                      <w:pPr>
                        <w:pStyle w:val="7"/>
                        <w:spacing w:before="1" w:line="235" w:lineRule="auto"/>
                        <w:ind w:left="169" w:right="170" w:firstLine="61"/>
                        <w:jc w:val="center"/>
                      </w:pPr>
                      <w:r>
                        <w:t>Разработка алгоритма профилактики</w:t>
                      </w:r>
                      <w:r>
                        <w:rPr>
                          <w:spacing w:val="-6"/>
                        </w:rPr>
                        <w:t xml:space="preserve"> </w:t>
                      </w:r>
                      <w:r>
                        <w:t>и</w:t>
                      </w:r>
                      <w:r>
                        <w:rPr>
                          <w:spacing w:val="-6"/>
                        </w:rPr>
                        <w:t xml:space="preserve"> </w:t>
                      </w:r>
                      <w:r>
                        <w:t>лечения панкреатических</w:t>
                      </w:r>
                      <w:r>
                        <w:rPr>
                          <w:spacing w:val="-18"/>
                        </w:rPr>
                        <w:t xml:space="preserve"> </w:t>
                      </w:r>
                      <w:r>
                        <w:t xml:space="preserve">свищей после ГПДР при </w:t>
                      </w:r>
                      <w:r>
                        <w:rPr>
                          <w:spacing w:val="-2"/>
                        </w:rPr>
                        <w:t xml:space="preserve">опухолях </w:t>
                      </w:r>
                      <w:r>
                        <w:t>периампулярной зоны</w:t>
                      </w:r>
                    </w:p>
                  </w:txbxContent>
                </v:textbox>
              </v:shape>
            </w:pict>
          </mc:Fallback>
        </mc:AlternateContent>
      </w:r>
      <w:r>
        <w:rPr>
          <w:sz w:val="20"/>
          <w:lang w:eastAsia="ru-RU"/>
        </w:rPr>
        <mc:AlternateContent>
          <mc:Choice Requires="wps">
            <w:drawing>
              <wp:anchor distT="0" distB="0" distL="0" distR="0" simplePos="0" relativeHeight="251662336" behindDoc="0" locked="0" layoutInCell="1" allowOverlap="1">
                <wp:simplePos x="0" y="0"/>
                <wp:positionH relativeFrom="page">
                  <wp:posOffset>5251450</wp:posOffset>
                </wp:positionH>
                <wp:positionV relativeFrom="page">
                  <wp:posOffset>1812925</wp:posOffset>
                </wp:positionV>
                <wp:extent cx="2130425" cy="1864995"/>
                <wp:effectExtent l="0" t="0" r="0" b="0"/>
                <wp:wrapNone/>
                <wp:docPr id="15" name="Textbox 15"/>
                <wp:cNvGraphicFramePr/>
                <a:graphic xmlns:a="http://schemas.openxmlformats.org/drawingml/2006/main">
                  <a:graphicData uri="http://schemas.microsoft.com/office/word/2010/wordprocessingShape">
                    <wps:wsp>
                      <wps:cNvSpPr txBox="1"/>
                      <wps:spPr>
                        <a:xfrm>
                          <a:off x="0" y="0"/>
                          <a:ext cx="2130425" cy="1864995"/>
                        </a:xfrm>
                        <a:prstGeom prst="rect">
                          <a:avLst/>
                        </a:prstGeom>
                        <a:ln w="12700">
                          <a:solidFill>
                            <a:srgbClr val="5B9BD4"/>
                          </a:solidFill>
                          <a:prstDash val="solid"/>
                        </a:ln>
                      </wps:spPr>
                      <wps:txbx>
                        <w:txbxContent>
                          <w:p w14:paraId="3FA27F6E">
                            <w:pPr>
                              <w:pStyle w:val="7"/>
                              <w:spacing w:before="187"/>
                              <w:ind w:left="0" w:firstLine="0"/>
                              <w:jc w:val="left"/>
                            </w:pPr>
                          </w:p>
                          <w:p w14:paraId="57FF799F">
                            <w:pPr>
                              <w:pStyle w:val="7"/>
                              <w:spacing w:line="235" w:lineRule="auto"/>
                              <w:ind w:left="169" w:right="171" w:firstLine="7"/>
                              <w:jc w:val="center"/>
                            </w:pPr>
                            <w:r>
                              <w:t>Сравнительный анализ результатов ГПДР с учетом разработанных новых методов профилактики</w:t>
                            </w:r>
                            <w:r>
                              <w:rPr>
                                <w:spacing w:val="-6"/>
                              </w:rPr>
                              <w:t xml:space="preserve"> </w:t>
                            </w:r>
                            <w:r>
                              <w:t>и</w:t>
                            </w:r>
                            <w:r>
                              <w:rPr>
                                <w:spacing w:val="-6"/>
                              </w:rPr>
                              <w:t xml:space="preserve"> </w:t>
                            </w:r>
                            <w:r>
                              <w:t xml:space="preserve">лечения </w:t>
                            </w:r>
                            <w:r>
                              <w:rPr>
                                <w:spacing w:val="-2"/>
                              </w:rPr>
                              <w:t>панкреатических</w:t>
                            </w:r>
                            <w:r>
                              <w:rPr>
                                <w:spacing w:val="8"/>
                              </w:rPr>
                              <w:t xml:space="preserve"> </w:t>
                            </w:r>
                            <w:r>
                              <w:rPr>
                                <w:spacing w:val="-2"/>
                              </w:rPr>
                              <w:t>свищей</w:t>
                            </w:r>
                          </w:p>
                        </w:txbxContent>
                      </wps:txbx>
                      <wps:bodyPr wrap="square" lIns="0" tIns="0" rIns="0" bIns="0" rtlCol="0">
                        <a:noAutofit/>
                      </wps:bodyPr>
                    </wps:wsp>
                  </a:graphicData>
                </a:graphic>
              </wp:anchor>
            </w:drawing>
          </mc:Choice>
          <mc:Fallback>
            <w:pict>
              <v:shape id="Textbox 15" o:spid="_x0000_s1026" o:spt="202" type="#_x0000_t202" style="position:absolute;left:0pt;margin-left:413.5pt;margin-top:142.75pt;height:146.85pt;width:167.75pt;mso-position-horizontal-relative:page;mso-position-vertical-relative:page;z-index:251662336;mso-width-relative:page;mso-height-relative:page;" filled="f" stroked="t" coordsize="21600,21600" o:gfxdata="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DtU&#10;UtoAAAAMAQAADwAAAAAAAAABACAAAAAiAAAAZHJzL2Rvd25yZXYueG1sUEsBAhQAFAAAAAgAh07i&#10;QHkjkKfnAQAA2wMAAA4AAAAAAAAAAQAgAAAAKQEAAGRycy9lMm9Eb2MueG1sUEsFBgAAAAAGAAYA&#10;WQEAAIIFAAAAAA==&#10;">
                <v:fill on="f" focussize="0,0"/>
                <v:stroke weight="1pt" color="#5B9BD4" joinstyle="round"/>
                <v:imagedata o:title=""/>
                <o:lock v:ext="edit" aspectratio="f"/>
                <v:textbox inset="0mm,0mm,0mm,0mm">
                  <w:txbxContent>
                    <w:p w14:paraId="3FA27F6E">
                      <w:pPr>
                        <w:pStyle w:val="7"/>
                        <w:spacing w:before="187"/>
                        <w:ind w:left="0" w:firstLine="0"/>
                        <w:jc w:val="left"/>
                      </w:pPr>
                    </w:p>
                    <w:p w14:paraId="57FF799F">
                      <w:pPr>
                        <w:pStyle w:val="7"/>
                        <w:spacing w:line="235" w:lineRule="auto"/>
                        <w:ind w:left="169" w:right="171" w:firstLine="7"/>
                        <w:jc w:val="center"/>
                      </w:pPr>
                      <w:r>
                        <w:t>Сравнительный анализ результатов ГПДР с учетом разработанных новых методов профилактики</w:t>
                      </w:r>
                      <w:r>
                        <w:rPr>
                          <w:spacing w:val="-6"/>
                        </w:rPr>
                        <w:t xml:space="preserve"> </w:t>
                      </w:r>
                      <w:r>
                        <w:t>и</w:t>
                      </w:r>
                      <w:r>
                        <w:rPr>
                          <w:spacing w:val="-6"/>
                        </w:rPr>
                        <w:t xml:space="preserve"> </w:t>
                      </w:r>
                      <w:r>
                        <w:t xml:space="preserve">лечения </w:t>
                      </w:r>
                      <w:r>
                        <w:rPr>
                          <w:spacing w:val="-2"/>
                        </w:rPr>
                        <w:t>панкреатических</w:t>
                      </w:r>
                      <w:r>
                        <w:rPr>
                          <w:spacing w:val="8"/>
                        </w:rPr>
                        <w:t xml:space="preserve"> </w:t>
                      </w:r>
                      <w:r>
                        <w:rPr>
                          <w:spacing w:val="-2"/>
                        </w:rPr>
                        <w:t>свищей</w:t>
                      </w:r>
                    </w:p>
                  </w:txbxContent>
                </v:textbox>
              </v:shape>
            </w:pict>
          </mc:Fallback>
        </mc:AlternateContent>
      </w:r>
      <w:r>
        <w:rPr>
          <w:sz w:val="20"/>
          <w:lang w:eastAsia="ru-RU"/>
        </w:rPr>
        <mc:AlternateContent>
          <mc:Choice Requires="wps">
            <w:drawing>
              <wp:anchor distT="0" distB="0" distL="0" distR="0" simplePos="0" relativeHeight="251663360" behindDoc="0" locked="0" layoutInCell="1" allowOverlap="1">
                <wp:simplePos x="0" y="0"/>
                <wp:positionH relativeFrom="page">
                  <wp:posOffset>2846705</wp:posOffset>
                </wp:positionH>
                <wp:positionV relativeFrom="page">
                  <wp:posOffset>1809750</wp:posOffset>
                </wp:positionV>
                <wp:extent cx="2130425" cy="1869440"/>
                <wp:effectExtent l="0" t="0" r="0" b="0"/>
                <wp:wrapNone/>
                <wp:docPr id="16" name="Textbox 16"/>
                <wp:cNvGraphicFramePr/>
                <a:graphic xmlns:a="http://schemas.openxmlformats.org/drawingml/2006/main">
                  <a:graphicData uri="http://schemas.microsoft.com/office/word/2010/wordprocessingShape">
                    <wps:wsp>
                      <wps:cNvSpPr txBox="1"/>
                      <wps:spPr>
                        <a:xfrm>
                          <a:off x="0" y="0"/>
                          <a:ext cx="2130425" cy="1869439"/>
                        </a:xfrm>
                        <a:prstGeom prst="rect">
                          <a:avLst/>
                        </a:prstGeom>
                        <a:ln w="12700">
                          <a:solidFill>
                            <a:srgbClr val="5B9BD4"/>
                          </a:solidFill>
                          <a:prstDash val="solid"/>
                        </a:ln>
                      </wps:spPr>
                      <wps:txbx>
                        <w:txbxContent>
                          <w:p w14:paraId="68934BA0">
                            <w:pPr>
                              <w:pStyle w:val="7"/>
                              <w:spacing w:before="225"/>
                              <w:ind w:left="0" w:firstLine="0"/>
                              <w:jc w:val="left"/>
                            </w:pPr>
                          </w:p>
                          <w:p w14:paraId="75C931D5">
                            <w:pPr>
                              <w:pStyle w:val="7"/>
                              <w:spacing w:line="235" w:lineRule="auto"/>
                              <w:ind w:left="168" w:right="172" w:firstLine="10"/>
                              <w:jc w:val="center"/>
                            </w:pPr>
                            <w:r>
                              <w:t>Разработка новых методов профилактики панкреатических</w:t>
                            </w:r>
                            <w:r>
                              <w:rPr>
                                <w:spacing w:val="-18"/>
                              </w:rPr>
                              <w:t xml:space="preserve"> </w:t>
                            </w:r>
                            <w:r>
                              <w:t xml:space="preserve">свищей (патенты, акты </w:t>
                            </w:r>
                            <w:r>
                              <w:rPr>
                                <w:spacing w:val="-2"/>
                              </w:rPr>
                              <w:t>внедрения)</w:t>
                            </w:r>
                          </w:p>
                        </w:txbxContent>
                      </wps:txbx>
                      <wps:bodyPr wrap="square" lIns="0" tIns="0" rIns="0" bIns="0" rtlCol="0">
                        <a:noAutofit/>
                      </wps:bodyPr>
                    </wps:wsp>
                  </a:graphicData>
                </a:graphic>
              </wp:anchor>
            </w:drawing>
          </mc:Choice>
          <mc:Fallback>
            <w:pict>
              <v:shape id="Textbox 16" o:spid="_x0000_s1026" o:spt="202" type="#_x0000_t202" style="position:absolute;left:0pt;margin-left:224.15pt;margin-top:142.5pt;height:147.2pt;width:167.75pt;mso-position-horizontal-relative:page;mso-position-vertical-relative:page;z-index:251663360;mso-width-relative:page;mso-height-relative:page;" filled="f" stroked="t" coordsize="21600,21600" o:gfxdata="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KhWea&#10;2gAAAAsBAAAPAAAAAAAAAAEAIAAAACIAAABkcnMvZG93bnJldi54bWxQSwECFAAUAAAACACHTuJA&#10;r50egeYBAADbAwAADgAAAAAAAAABACAAAAApAQAAZHJzL2Uyb0RvYy54bWxQSwUGAAAAAAYABgBZ&#10;AQAAgQUAAAAA&#10;">
                <v:fill on="f" focussize="0,0"/>
                <v:stroke weight="1pt" color="#5B9BD4" joinstyle="round"/>
                <v:imagedata o:title=""/>
                <o:lock v:ext="edit" aspectratio="f"/>
                <v:textbox inset="0mm,0mm,0mm,0mm">
                  <w:txbxContent>
                    <w:p w14:paraId="68934BA0">
                      <w:pPr>
                        <w:pStyle w:val="7"/>
                        <w:spacing w:before="225"/>
                        <w:ind w:left="0" w:firstLine="0"/>
                        <w:jc w:val="left"/>
                      </w:pPr>
                    </w:p>
                    <w:p w14:paraId="75C931D5">
                      <w:pPr>
                        <w:pStyle w:val="7"/>
                        <w:spacing w:line="235" w:lineRule="auto"/>
                        <w:ind w:left="168" w:right="172" w:firstLine="10"/>
                        <w:jc w:val="center"/>
                      </w:pPr>
                      <w:r>
                        <w:t>Разработка новых методов профилактики панкреатических</w:t>
                      </w:r>
                      <w:r>
                        <w:rPr>
                          <w:spacing w:val="-18"/>
                        </w:rPr>
                        <w:t xml:space="preserve"> </w:t>
                      </w:r>
                      <w:r>
                        <w:t xml:space="preserve">свищей (патенты, акты </w:t>
                      </w:r>
                      <w:r>
                        <w:rPr>
                          <w:spacing w:val="-2"/>
                        </w:rPr>
                        <w:t>внедрения)</w:t>
                      </w:r>
                    </w:p>
                  </w:txbxContent>
                </v:textbox>
              </v:shape>
            </w:pict>
          </mc:Fallback>
        </mc:AlternateContent>
      </w:r>
      <w:r>
        <w:rPr>
          <w:sz w:val="20"/>
          <w:lang w:eastAsia="ru-RU"/>
        </w:rPr>
        <mc:AlternateContent>
          <mc:Choice Requires="wps">
            <w:drawing>
              <wp:anchor distT="0" distB="0" distL="0" distR="0" simplePos="0" relativeHeight="251664384" behindDoc="0" locked="0" layoutInCell="1" allowOverlap="1">
                <wp:simplePos x="0" y="0"/>
                <wp:positionH relativeFrom="page">
                  <wp:posOffset>478790</wp:posOffset>
                </wp:positionH>
                <wp:positionV relativeFrom="page">
                  <wp:posOffset>1826895</wp:posOffset>
                </wp:positionV>
                <wp:extent cx="2130425" cy="1261745"/>
                <wp:effectExtent l="0" t="0" r="0" b="0"/>
                <wp:wrapNone/>
                <wp:docPr id="17" name="Textbox 17"/>
                <wp:cNvGraphicFramePr/>
                <a:graphic xmlns:a="http://schemas.openxmlformats.org/drawingml/2006/main">
                  <a:graphicData uri="http://schemas.microsoft.com/office/word/2010/wordprocessingShape">
                    <wps:wsp>
                      <wps:cNvSpPr txBox="1"/>
                      <wps:spPr>
                        <a:xfrm>
                          <a:off x="0" y="0"/>
                          <a:ext cx="2130425" cy="1261745"/>
                        </a:xfrm>
                        <a:prstGeom prst="rect">
                          <a:avLst/>
                        </a:prstGeom>
                        <a:ln w="12700">
                          <a:solidFill>
                            <a:srgbClr val="5B9BD4"/>
                          </a:solidFill>
                          <a:prstDash val="solid"/>
                        </a:ln>
                      </wps:spPr>
                      <wps:txbx>
                        <w:txbxContent>
                          <w:p w14:paraId="365036E9">
                            <w:pPr>
                              <w:pStyle w:val="7"/>
                              <w:spacing w:before="237" w:line="235" w:lineRule="auto"/>
                              <w:ind w:left="134" w:right="134" w:firstLine="0"/>
                              <w:jc w:val="center"/>
                            </w:pPr>
                            <w:r>
                              <w:t>Ретроспективный</w:t>
                            </w:r>
                            <w:r>
                              <w:rPr>
                                <w:spacing w:val="-18"/>
                              </w:rPr>
                              <w:t xml:space="preserve"> </w:t>
                            </w:r>
                            <w:r>
                              <w:t xml:space="preserve">анализ результатов ГПДР при </w:t>
                            </w:r>
                            <w:r>
                              <w:rPr>
                                <w:spacing w:val="-2"/>
                              </w:rPr>
                              <w:t xml:space="preserve">опухолях </w:t>
                            </w:r>
                            <w:r>
                              <w:t>периампулярной зоны</w:t>
                            </w:r>
                          </w:p>
                        </w:txbxContent>
                      </wps:txbx>
                      <wps:bodyPr wrap="square" lIns="0" tIns="0" rIns="0" bIns="0" rtlCol="0">
                        <a:noAutofit/>
                      </wps:bodyPr>
                    </wps:wsp>
                  </a:graphicData>
                </a:graphic>
              </wp:anchor>
            </w:drawing>
          </mc:Choice>
          <mc:Fallback>
            <w:pict>
              <v:shape id="Textbox 17" o:spid="_x0000_s1026" o:spt="202" type="#_x0000_t202" style="position:absolute;left:0pt;margin-left:37.7pt;margin-top:143.85pt;height:99.35pt;width:167.75pt;mso-position-horizontal-relative:page;mso-position-vertical-relative:page;z-index:251664384;mso-width-relative:page;mso-height-relative:page;" filled="f" stroked="t" coordsize="21600,21600" o:gfxdata="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rsr1NoA&#10;AAAKAQAADwAAAAAAAAABACAAAAAiAAAAZHJzL2Rvd25yZXYueG1sUEsBAhQAFAAAAAgAh07iQJSz&#10;bQbkAQAA2wMAAA4AAAAAAAAAAQAgAAAAKQEAAGRycy9lMm9Eb2MueG1sUEsFBgAAAAAGAAYAWQEA&#10;AH8FAAAAAA==&#10;">
                <v:fill on="f" focussize="0,0"/>
                <v:stroke weight="1pt" color="#5B9BD4" joinstyle="round"/>
                <v:imagedata o:title=""/>
                <o:lock v:ext="edit" aspectratio="f"/>
                <v:textbox inset="0mm,0mm,0mm,0mm">
                  <w:txbxContent>
                    <w:p w14:paraId="365036E9">
                      <w:pPr>
                        <w:pStyle w:val="7"/>
                        <w:spacing w:before="237" w:line="235" w:lineRule="auto"/>
                        <w:ind w:left="134" w:right="134" w:firstLine="0"/>
                        <w:jc w:val="center"/>
                      </w:pPr>
                      <w:r>
                        <w:t>Ретроспективный</w:t>
                      </w:r>
                      <w:r>
                        <w:rPr>
                          <w:spacing w:val="-18"/>
                        </w:rPr>
                        <w:t xml:space="preserve"> </w:t>
                      </w:r>
                      <w:r>
                        <w:t xml:space="preserve">анализ результатов ГПДР при </w:t>
                      </w:r>
                      <w:r>
                        <w:rPr>
                          <w:spacing w:val="-2"/>
                        </w:rPr>
                        <w:t xml:space="preserve">опухолях </w:t>
                      </w:r>
                      <w:r>
                        <w:t>периампулярной зоны</w:t>
                      </w:r>
                    </w:p>
                  </w:txbxContent>
                </v:textbox>
              </v:shape>
            </w:pict>
          </mc:Fallback>
        </mc:AlternateContent>
      </w:r>
    </w:p>
    <w:p w14:paraId="0F20C635">
      <w:pPr>
        <w:pStyle w:val="7"/>
        <w:ind w:left="942" w:firstLine="0"/>
        <w:jc w:val="left"/>
        <w:rPr>
          <w:sz w:val="20"/>
        </w:rPr>
      </w:pPr>
      <w:r>
        <w:rPr>
          <w:sz w:val="20"/>
          <w:lang w:eastAsia="ru-RU"/>
        </w:rPr>
        <mc:AlternateContent>
          <mc:Choice Requires="wps">
            <w:drawing>
              <wp:inline distT="0" distB="0" distL="0" distR="0">
                <wp:extent cx="8776970" cy="368300"/>
                <wp:effectExtent l="9525" t="0" r="5079" b="12700"/>
                <wp:docPr id="18" name="Textbox 18"/>
                <wp:cNvGraphicFramePr/>
                <a:graphic xmlns:a="http://schemas.openxmlformats.org/drawingml/2006/main">
                  <a:graphicData uri="http://schemas.microsoft.com/office/word/2010/wordprocessingShape">
                    <wps:wsp>
                      <wps:cNvSpPr txBox="1"/>
                      <wps:spPr>
                        <a:xfrm>
                          <a:off x="0" y="0"/>
                          <a:ext cx="8776970" cy="368300"/>
                        </a:xfrm>
                        <a:prstGeom prst="rect">
                          <a:avLst/>
                        </a:prstGeom>
                        <a:ln w="12700">
                          <a:solidFill>
                            <a:srgbClr val="5B9BD4"/>
                          </a:solidFill>
                          <a:prstDash val="solid"/>
                        </a:ln>
                      </wps:spPr>
                      <wps:txbx>
                        <w:txbxContent>
                          <w:p w14:paraId="39E59B29">
                            <w:pPr>
                              <w:spacing w:before="66"/>
                              <w:ind w:left="694"/>
                              <w:rPr>
                                <w:b/>
                                <w:sz w:val="28"/>
                              </w:rPr>
                            </w:pPr>
                            <w:r>
                              <w:rPr>
                                <w:b/>
                                <w:sz w:val="28"/>
                              </w:rPr>
                              <w:t>Научно-обоснованные</w:t>
                            </w:r>
                            <w:r>
                              <w:rPr>
                                <w:b/>
                                <w:spacing w:val="-11"/>
                                <w:sz w:val="28"/>
                              </w:rPr>
                              <w:t xml:space="preserve"> </w:t>
                            </w:r>
                            <w:r>
                              <w:rPr>
                                <w:b/>
                                <w:sz w:val="28"/>
                              </w:rPr>
                              <w:t>подходы</w:t>
                            </w:r>
                            <w:r>
                              <w:rPr>
                                <w:b/>
                                <w:spacing w:val="-7"/>
                                <w:sz w:val="28"/>
                              </w:rPr>
                              <w:t xml:space="preserve"> </w:t>
                            </w:r>
                            <w:r>
                              <w:rPr>
                                <w:b/>
                                <w:sz w:val="28"/>
                              </w:rPr>
                              <w:t>в</w:t>
                            </w:r>
                            <w:r>
                              <w:rPr>
                                <w:b/>
                                <w:spacing w:val="-12"/>
                                <w:sz w:val="28"/>
                              </w:rPr>
                              <w:t xml:space="preserve"> </w:t>
                            </w:r>
                            <w:r>
                              <w:rPr>
                                <w:b/>
                                <w:sz w:val="28"/>
                              </w:rPr>
                              <w:t>профилактике</w:t>
                            </w:r>
                            <w:r>
                              <w:rPr>
                                <w:b/>
                                <w:spacing w:val="-10"/>
                                <w:sz w:val="28"/>
                              </w:rPr>
                              <w:t xml:space="preserve"> </w:t>
                            </w:r>
                            <w:r>
                              <w:rPr>
                                <w:b/>
                                <w:sz w:val="28"/>
                              </w:rPr>
                              <w:t>и</w:t>
                            </w:r>
                            <w:r>
                              <w:rPr>
                                <w:b/>
                                <w:spacing w:val="-13"/>
                                <w:sz w:val="28"/>
                              </w:rPr>
                              <w:t xml:space="preserve"> </w:t>
                            </w:r>
                            <w:r>
                              <w:rPr>
                                <w:b/>
                                <w:sz w:val="28"/>
                              </w:rPr>
                              <w:t>лечения</w:t>
                            </w:r>
                            <w:r>
                              <w:rPr>
                                <w:b/>
                                <w:spacing w:val="-13"/>
                                <w:sz w:val="28"/>
                              </w:rPr>
                              <w:t xml:space="preserve"> </w:t>
                            </w:r>
                            <w:r>
                              <w:rPr>
                                <w:b/>
                                <w:sz w:val="28"/>
                              </w:rPr>
                              <w:t>панкреатических</w:t>
                            </w:r>
                            <w:r>
                              <w:rPr>
                                <w:b/>
                                <w:spacing w:val="-14"/>
                                <w:sz w:val="28"/>
                              </w:rPr>
                              <w:t xml:space="preserve"> </w:t>
                            </w:r>
                            <w:r>
                              <w:rPr>
                                <w:b/>
                                <w:sz w:val="28"/>
                              </w:rPr>
                              <w:t>свищей</w:t>
                            </w:r>
                            <w:r>
                              <w:rPr>
                                <w:b/>
                                <w:spacing w:val="-9"/>
                                <w:sz w:val="28"/>
                              </w:rPr>
                              <w:t xml:space="preserve"> </w:t>
                            </w:r>
                            <w:r>
                              <w:rPr>
                                <w:b/>
                                <w:sz w:val="28"/>
                              </w:rPr>
                              <w:t>после</w:t>
                            </w:r>
                            <w:r>
                              <w:rPr>
                                <w:b/>
                                <w:spacing w:val="-10"/>
                                <w:sz w:val="28"/>
                              </w:rPr>
                              <w:t xml:space="preserve"> </w:t>
                            </w:r>
                            <w:r>
                              <w:rPr>
                                <w:b/>
                                <w:spacing w:val="-4"/>
                                <w:sz w:val="28"/>
                              </w:rPr>
                              <w:t>ГПДР</w:t>
                            </w:r>
                          </w:p>
                        </w:txbxContent>
                      </wps:txbx>
                      <wps:bodyPr wrap="square" lIns="0" tIns="0" rIns="0" bIns="0" rtlCol="0">
                        <a:noAutofit/>
                      </wps:bodyPr>
                    </wps:wsp>
                  </a:graphicData>
                </a:graphic>
              </wp:inline>
            </w:drawing>
          </mc:Choice>
          <mc:Fallback>
            <w:pict>
              <v:shape id="Textbox 18" o:spid="_x0000_s1026" o:spt="202" type="#_x0000_t202" style="height:29pt;width:691.1pt;" filled="f" stroked="t" coordsize="21600,21600" o:gfxdata="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0GE1QAAAAUB&#10;AAAPAAAAAAAAAAEAIAAAACIAAABkcnMvZG93bnJldi54bWxQSwECFAAUAAAACACHTuJAeJQP/+UB&#10;AADaAwAADgAAAAAAAAABACAAAAAkAQAAZHJzL2Uyb0RvYy54bWxQSwUGAAAAAAYABgBZAQAAewUA&#10;AAAA&#10;">
                <v:fill on="f" focussize="0,0"/>
                <v:stroke weight="1pt" color="#5B9BD4" joinstyle="round"/>
                <v:imagedata o:title=""/>
                <o:lock v:ext="edit" aspectratio="f"/>
                <v:textbox inset="0mm,0mm,0mm,0mm">
                  <w:txbxContent>
                    <w:p w14:paraId="39E59B29">
                      <w:pPr>
                        <w:spacing w:before="66"/>
                        <w:ind w:left="694"/>
                        <w:rPr>
                          <w:b/>
                          <w:sz w:val="28"/>
                        </w:rPr>
                      </w:pPr>
                      <w:r>
                        <w:rPr>
                          <w:b/>
                          <w:sz w:val="28"/>
                        </w:rPr>
                        <w:t>Научно-обоснованные</w:t>
                      </w:r>
                      <w:r>
                        <w:rPr>
                          <w:b/>
                          <w:spacing w:val="-11"/>
                          <w:sz w:val="28"/>
                        </w:rPr>
                        <w:t xml:space="preserve"> </w:t>
                      </w:r>
                      <w:r>
                        <w:rPr>
                          <w:b/>
                          <w:sz w:val="28"/>
                        </w:rPr>
                        <w:t>подходы</w:t>
                      </w:r>
                      <w:r>
                        <w:rPr>
                          <w:b/>
                          <w:spacing w:val="-7"/>
                          <w:sz w:val="28"/>
                        </w:rPr>
                        <w:t xml:space="preserve"> </w:t>
                      </w:r>
                      <w:r>
                        <w:rPr>
                          <w:b/>
                          <w:sz w:val="28"/>
                        </w:rPr>
                        <w:t>в</w:t>
                      </w:r>
                      <w:r>
                        <w:rPr>
                          <w:b/>
                          <w:spacing w:val="-12"/>
                          <w:sz w:val="28"/>
                        </w:rPr>
                        <w:t xml:space="preserve"> </w:t>
                      </w:r>
                      <w:r>
                        <w:rPr>
                          <w:b/>
                          <w:sz w:val="28"/>
                        </w:rPr>
                        <w:t>профилактике</w:t>
                      </w:r>
                      <w:r>
                        <w:rPr>
                          <w:b/>
                          <w:spacing w:val="-10"/>
                          <w:sz w:val="28"/>
                        </w:rPr>
                        <w:t xml:space="preserve"> </w:t>
                      </w:r>
                      <w:r>
                        <w:rPr>
                          <w:b/>
                          <w:sz w:val="28"/>
                        </w:rPr>
                        <w:t>и</w:t>
                      </w:r>
                      <w:r>
                        <w:rPr>
                          <w:b/>
                          <w:spacing w:val="-13"/>
                          <w:sz w:val="28"/>
                        </w:rPr>
                        <w:t xml:space="preserve"> </w:t>
                      </w:r>
                      <w:r>
                        <w:rPr>
                          <w:b/>
                          <w:sz w:val="28"/>
                        </w:rPr>
                        <w:t>лечения</w:t>
                      </w:r>
                      <w:r>
                        <w:rPr>
                          <w:b/>
                          <w:spacing w:val="-13"/>
                          <w:sz w:val="28"/>
                        </w:rPr>
                        <w:t xml:space="preserve"> </w:t>
                      </w:r>
                      <w:r>
                        <w:rPr>
                          <w:b/>
                          <w:sz w:val="28"/>
                        </w:rPr>
                        <w:t>панкреатических</w:t>
                      </w:r>
                      <w:r>
                        <w:rPr>
                          <w:b/>
                          <w:spacing w:val="-14"/>
                          <w:sz w:val="28"/>
                        </w:rPr>
                        <w:t xml:space="preserve"> </w:t>
                      </w:r>
                      <w:r>
                        <w:rPr>
                          <w:b/>
                          <w:sz w:val="28"/>
                        </w:rPr>
                        <w:t>свищей</w:t>
                      </w:r>
                      <w:r>
                        <w:rPr>
                          <w:b/>
                          <w:spacing w:val="-9"/>
                          <w:sz w:val="28"/>
                        </w:rPr>
                        <w:t xml:space="preserve"> </w:t>
                      </w:r>
                      <w:r>
                        <w:rPr>
                          <w:b/>
                          <w:sz w:val="28"/>
                        </w:rPr>
                        <w:t>после</w:t>
                      </w:r>
                      <w:r>
                        <w:rPr>
                          <w:b/>
                          <w:spacing w:val="-10"/>
                          <w:sz w:val="28"/>
                        </w:rPr>
                        <w:t xml:space="preserve"> </w:t>
                      </w:r>
                      <w:r>
                        <w:rPr>
                          <w:b/>
                          <w:spacing w:val="-4"/>
                          <w:sz w:val="28"/>
                        </w:rPr>
                        <w:t>ГПДР</w:t>
                      </w:r>
                    </w:p>
                  </w:txbxContent>
                </v:textbox>
                <w10:wrap type="none"/>
                <w10:anchorlock/>
              </v:shape>
            </w:pict>
          </mc:Fallback>
        </mc:AlternateContent>
      </w:r>
    </w:p>
    <w:p w14:paraId="77609772">
      <w:pPr>
        <w:pStyle w:val="7"/>
        <w:ind w:left="0" w:firstLine="0"/>
        <w:jc w:val="left"/>
        <w:rPr>
          <w:sz w:val="3"/>
        </w:rPr>
      </w:pPr>
    </w:p>
    <w:p w14:paraId="4F9EF975">
      <w:pPr>
        <w:tabs>
          <w:tab w:val="left" w:pos="5502"/>
          <w:tab w:val="left" w:pos="9248"/>
          <w:tab w:val="left" w:pos="12824"/>
        </w:tabs>
        <w:ind w:left="2185"/>
        <w:rPr>
          <w:position w:val="10"/>
          <w:sz w:val="20"/>
        </w:rPr>
      </w:pPr>
      <w:r>
        <w:rPr>
          <w:position w:val="3"/>
          <w:sz w:val="20"/>
          <w:lang w:eastAsia="ru-RU"/>
        </w:rPr>
        <mc:AlternateContent>
          <mc:Choice Requires="wpg">
            <w:drawing>
              <wp:inline distT="0" distB="0" distL="0" distR="0">
                <wp:extent cx="104775" cy="283210"/>
                <wp:effectExtent l="9525" t="0" r="0" b="12064"/>
                <wp:docPr id="19" name="Group 19"/>
                <wp:cNvGraphicFramePr/>
                <a:graphic xmlns:a="http://schemas.openxmlformats.org/drawingml/2006/main">
                  <a:graphicData uri="http://schemas.microsoft.com/office/word/2010/wordprocessingGroup">
                    <wpg:wgp>
                      <wpg:cNvGrpSpPr/>
                      <wpg:grpSpPr>
                        <a:xfrm>
                          <a:off x="0" y="0"/>
                          <a:ext cx="104775" cy="283210"/>
                          <a:chOff x="0" y="0"/>
                          <a:chExt cx="104775" cy="283210"/>
                        </a:xfrm>
                      </wpg:grpSpPr>
                      <wps:wsp>
                        <wps:cNvPr id="20" name="Graphic 20"/>
                        <wps:cNvSpPr/>
                        <wps:spPr>
                          <a:xfrm>
                            <a:off x="6350" y="6350"/>
                            <a:ext cx="92075" cy="270510"/>
                          </a:xfrm>
                          <a:custGeom>
                            <a:avLst/>
                            <a:gdLst/>
                            <a:ahLst/>
                            <a:cxnLst/>
                            <a:rect l="l" t="t" r="r" b="b"/>
                            <a:pathLst>
                              <a:path w="92075" h="270510">
                                <a:moveTo>
                                  <a:pt x="69087" y="0"/>
                                </a:moveTo>
                                <a:lnTo>
                                  <a:pt x="22987" y="0"/>
                                </a:lnTo>
                                <a:lnTo>
                                  <a:pt x="22987" y="224409"/>
                                </a:lnTo>
                                <a:lnTo>
                                  <a:pt x="0" y="224409"/>
                                </a:lnTo>
                                <a:lnTo>
                                  <a:pt x="46100" y="270510"/>
                                </a:lnTo>
                                <a:lnTo>
                                  <a:pt x="92075" y="224409"/>
                                </a:lnTo>
                                <a:lnTo>
                                  <a:pt x="69087" y="224409"/>
                                </a:lnTo>
                                <a:lnTo>
                                  <a:pt x="69087" y="0"/>
                                </a:lnTo>
                                <a:close/>
                              </a:path>
                            </a:pathLst>
                          </a:custGeom>
                          <a:solidFill>
                            <a:srgbClr val="5B9BD4"/>
                          </a:solidFill>
                        </wps:spPr>
                        <wps:bodyPr wrap="square" lIns="0" tIns="0" rIns="0" bIns="0" rtlCol="0">
                          <a:noAutofit/>
                        </wps:bodyPr>
                      </wps:wsp>
                      <wps:wsp>
                        <wps:cNvPr id="21" name="Graphic 21"/>
                        <wps:cNvSpPr/>
                        <wps:spPr>
                          <a:xfrm>
                            <a:off x="6350" y="6350"/>
                            <a:ext cx="92075" cy="270510"/>
                          </a:xfrm>
                          <a:custGeom>
                            <a:avLst/>
                            <a:gdLst/>
                            <a:ahLst/>
                            <a:cxnLst/>
                            <a:rect l="l" t="t" r="r" b="b"/>
                            <a:pathLst>
                              <a:path w="92075" h="270510">
                                <a:moveTo>
                                  <a:pt x="0" y="224409"/>
                                </a:moveTo>
                                <a:lnTo>
                                  <a:pt x="22987" y="224409"/>
                                </a:lnTo>
                                <a:lnTo>
                                  <a:pt x="22987" y="0"/>
                                </a:lnTo>
                                <a:lnTo>
                                  <a:pt x="69087" y="0"/>
                                </a:lnTo>
                                <a:lnTo>
                                  <a:pt x="69087" y="224409"/>
                                </a:lnTo>
                                <a:lnTo>
                                  <a:pt x="92075" y="224409"/>
                                </a:lnTo>
                                <a:lnTo>
                                  <a:pt x="46100" y="270510"/>
                                </a:lnTo>
                                <a:lnTo>
                                  <a:pt x="0" y="224409"/>
                                </a:lnTo>
                                <a:close/>
                              </a:path>
                            </a:pathLst>
                          </a:custGeom>
                          <a:ln w="12700">
                            <a:solidFill>
                              <a:srgbClr val="41709C"/>
                            </a:solidFill>
                            <a:prstDash val="solid"/>
                          </a:ln>
                        </wps:spPr>
                        <wps:bodyPr wrap="square" lIns="0" tIns="0" rIns="0" bIns="0" rtlCol="0">
                          <a:noAutofit/>
                        </wps:bodyPr>
                      </wps:wsp>
                    </wpg:wgp>
                  </a:graphicData>
                </a:graphic>
              </wp:inline>
            </w:drawing>
          </mc:Choice>
          <mc:Fallback>
            <w:pict>
              <v:group id="Group 19" o:spid="_x0000_s1026" o:spt="203" style="height:22.3pt;width:8.25pt;" coordsize="104775,283210" o:gfxdata="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DhZYTbU&#10;AAAAAwEAAA8AAAAAAAAAAQAgAAAAIgAAAGRycy9kb3ducmV2LnhtbFBLAQIUABQAAAAIAIdO4kC5&#10;Sjt2CAMAAFsKAAAOAAAAAAAAAAEAIAAAACMBAABkcnMvZTJvRG9jLnhtbFBLBQYAAAAABgAGAFkB&#10;AACdBgAAAAA=&#10;">
                <o:lock v:ext="edit" aspectratio="f"/>
                <v:shape id="Graphic 20" o:spid="_x0000_s1026" o:spt="100" style="position:absolute;left:6350;top:6350;height:270510;width:92075;" fillcolor="#5B9BD4" filled="t" stroked="f" coordsize="92075,270510" o:gfxdata="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SqXPS2AAAA2wAAAA8A&#10;AAAAAAAAAQAgAAAAIgAAAGRycy9kb3ducmV2LnhtbFBLAQIUABQAAAAIAIdO4kAzLwWeOwAAADkA&#10;AAAQAAAAAAAAAAEAIAAAAAUBAABkcnMvc2hhcGV4bWwueG1sUEsFBgAAAAAGAAYAWwEAAK8DAAAA&#10;AA==&#10;" path="m69087,0l22987,0,22987,224409,0,224409,46100,270510,92075,224409,69087,224409,69087,0xe">
                  <v:fill on="t" focussize="0,0"/>
                  <v:stroke on="f"/>
                  <v:imagedata o:title=""/>
                  <o:lock v:ext="edit" aspectratio="f"/>
                  <v:textbox inset="0mm,0mm,0mm,0mm"/>
                </v:shape>
                <v:shape id="Graphic 21" o:spid="_x0000_s1026" o:spt="100" style="position:absolute;left:6350;top:6350;height:270510;width:92075;" filled="f" stroked="t" coordsize="92075,270510" o:gfxdata="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CAFqvQAA&#10;ANsAAAAPAAAAAAAAAAEAIAAAACIAAABkcnMvZG93bnJldi54bWxQSwECFAAUAAAACACHTuJAMy8F&#10;njsAAAA5AAAAEAAAAAAAAAABACAAAAAMAQAAZHJzL3NoYXBleG1sLnhtbFBLBQYAAAAABgAGAFsB&#10;AAC2AwAAAAA=&#10;" path="m0,224409l22987,224409,22987,0,69087,0,69087,224409,92075,224409,46100,270510,0,224409xe">
                  <v:fill on="f" focussize="0,0"/>
                  <v:stroke weight="1pt" color="#41709C" joinstyle="round"/>
                  <v:imagedata o:title=""/>
                  <o:lock v:ext="edit" aspectratio="f"/>
                  <v:textbox inset="0mm,0mm,0mm,0mm"/>
                </v:shape>
                <w10:wrap type="none"/>
                <w10:anchorlock/>
              </v:group>
            </w:pict>
          </mc:Fallback>
        </mc:AlternateContent>
      </w:r>
      <w:r>
        <w:rPr>
          <w:position w:val="3"/>
          <w:sz w:val="20"/>
        </w:rPr>
        <w:tab/>
      </w:r>
      <w:r>
        <w:rPr>
          <w:sz w:val="20"/>
          <w:lang w:eastAsia="ru-RU"/>
        </w:rPr>
        <mc:AlternateContent>
          <mc:Choice Requires="wpg">
            <w:drawing>
              <wp:inline distT="0" distB="0" distL="0" distR="0">
                <wp:extent cx="104775" cy="299085"/>
                <wp:effectExtent l="9525" t="0" r="0" b="15239"/>
                <wp:docPr id="22" name="Group 22"/>
                <wp:cNvGraphicFramePr/>
                <a:graphic xmlns:a="http://schemas.openxmlformats.org/drawingml/2006/main">
                  <a:graphicData uri="http://schemas.microsoft.com/office/word/2010/wordprocessingGroup">
                    <wpg:wgp>
                      <wpg:cNvGrpSpPr/>
                      <wpg:grpSpPr>
                        <a:xfrm>
                          <a:off x="0" y="0"/>
                          <a:ext cx="104775" cy="299085"/>
                          <a:chOff x="0" y="0"/>
                          <a:chExt cx="104775" cy="299085"/>
                        </a:xfrm>
                      </wpg:grpSpPr>
                      <wps:wsp>
                        <wps:cNvPr id="23" name="Graphic 23"/>
                        <wps:cNvSpPr/>
                        <wps:spPr>
                          <a:xfrm>
                            <a:off x="6350" y="6350"/>
                            <a:ext cx="92075" cy="286385"/>
                          </a:xfrm>
                          <a:custGeom>
                            <a:avLst/>
                            <a:gdLst/>
                            <a:ahLst/>
                            <a:cxnLst/>
                            <a:rect l="l" t="t" r="r" b="b"/>
                            <a:pathLst>
                              <a:path w="92075" h="286385">
                                <a:moveTo>
                                  <a:pt x="69087" y="0"/>
                                </a:moveTo>
                                <a:lnTo>
                                  <a:pt x="22987" y="0"/>
                                </a:lnTo>
                                <a:lnTo>
                                  <a:pt x="22987" y="240284"/>
                                </a:lnTo>
                                <a:lnTo>
                                  <a:pt x="0" y="240284"/>
                                </a:lnTo>
                                <a:lnTo>
                                  <a:pt x="45974" y="286385"/>
                                </a:lnTo>
                                <a:lnTo>
                                  <a:pt x="92075" y="240284"/>
                                </a:lnTo>
                                <a:lnTo>
                                  <a:pt x="69087" y="240284"/>
                                </a:lnTo>
                                <a:lnTo>
                                  <a:pt x="69087" y="0"/>
                                </a:lnTo>
                                <a:close/>
                              </a:path>
                            </a:pathLst>
                          </a:custGeom>
                          <a:solidFill>
                            <a:srgbClr val="5B9BD4"/>
                          </a:solidFill>
                        </wps:spPr>
                        <wps:bodyPr wrap="square" lIns="0" tIns="0" rIns="0" bIns="0" rtlCol="0">
                          <a:noAutofit/>
                        </wps:bodyPr>
                      </wps:wsp>
                      <wps:wsp>
                        <wps:cNvPr id="24" name="Graphic 24"/>
                        <wps:cNvSpPr/>
                        <wps:spPr>
                          <a:xfrm>
                            <a:off x="6350" y="6350"/>
                            <a:ext cx="92075" cy="286385"/>
                          </a:xfrm>
                          <a:custGeom>
                            <a:avLst/>
                            <a:gdLst/>
                            <a:ahLst/>
                            <a:cxnLst/>
                            <a:rect l="l" t="t" r="r" b="b"/>
                            <a:pathLst>
                              <a:path w="92075" h="286385">
                                <a:moveTo>
                                  <a:pt x="0" y="240284"/>
                                </a:moveTo>
                                <a:lnTo>
                                  <a:pt x="22987" y="240284"/>
                                </a:lnTo>
                                <a:lnTo>
                                  <a:pt x="22987" y="0"/>
                                </a:lnTo>
                                <a:lnTo>
                                  <a:pt x="69087" y="0"/>
                                </a:lnTo>
                                <a:lnTo>
                                  <a:pt x="69087" y="240284"/>
                                </a:lnTo>
                                <a:lnTo>
                                  <a:pt x="92075" y="240284"/>
                                </a:lnTo>
                                <a:lnTo>
                                  <a:pt x="45974" y="286385"/>
                                </a:lnTo>
                                <a:lnTo>
                                  <a:pt x="0" y="240284"/>
                                </a:lnTo>
                                <a:close/>
                              </a:path>
                            </a:pathLst>
                          </a:custGeom>
                          <a:ln w="12700">
                            <a:solidFill>
                              <a:srgbClr val="41709C"/>
                            </a:solidFill>
                            <a:prstDash val="solid"/>
                          </a:ln>
                        </wps:spPr>
                        <wps:bodyPr wrap="square" lIns="0" tIns="0" rIns="0" bIns="0" rtlCol="0">
                          <a:noAutofit/>
                        </wps:bodyPr>
                      </wps:wsp>
                    </wpg:wgp>
                  </a:graphicData>
                </a:graphic>
              </wp:inline>
            </w:drawing>
          </mc:Choice>
          <mc:Fallback>
            <w:pict>
              <v:group id="Group 22" o:spid="_x0000_s1026" o:spt="203" style="height:23.55pt;width:8.25pt;" coordsize="104775,299085" o:gfxdata="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uZ/2&#10;09QAAAADAQAADwAAAAAAAAABACAAAAAiAAAAZHJzL2Rvd25yZXYueG1sUEsBAhQAFAAAAAgAh07i&#10;QIfxPQYKAwAAWwoAAA4AAAAAAAAAAQAgAAAAIwEAAGRycy9lMm9Eb2MueG1sUEsFBgAAAAAGAAYA&#10;WQEAAJ8GAAAAAA==&#10;">
                <o:lock v:ext="edit" aspectratio="f"/>
                <v:shape id="Graphic 23" o:spid="_x0000_s1026" o:spt="100" style="position:absolute;left:6350;top:6350;height:286385;width:92075;" fillcolor="#5B9BD4" filled="t" stroked="f" coordsize="92075,286385" o:gfxdata="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jA2AvQAA&#10;ANsAAAAPAAAAAAAAAAEAIAAAACIAAABkcnMvZG93bnJldi54bWxQSwECFAAUAAAACACHTuJAMy8F&#10;njsAAAA5AAAAEAAAAAAAAAABACAAAAAMAQAAZHJzL3NoYXBleG1sLnhtbFBLBQYAAAAABgAGAFsB&#10;AAC2AwAAAAA=&#10;" path="m69087,0l22987,0,22987,240284,0,240284,45974,286385,92075,240284,69087,240284,69087,0xe">
                  <v:fill on="t" focussize="0,0"/>
                  <v:stroke on="f"/>
                  <v:imagedata o:title=""/>
                  <o:lock v:ext="edit" aspectratio="f"/>
                  <v:textbox inset="0mm,0mm,0mm,0mm"/>
                </v:shape>
                <v:shape id="Graphic 24" o:spid="_x0000_s1026" o:spt="100" style="position:absolute;left:6350;top:6350;height:286385;width:92075;" filled="f" stroked="t" coordsize="92075,286385" o:gfxdata="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4dQP28AAAA&#10;2wAAAA8AAAAAAAAAAQAgAAAAIgAAAGRycy9kb3ducmV2LnhtbFBLAQIUABQAAAAIAIdO4kAzLwWe&#10;OwAAADkAAAAQAAAAAAAAAAEAIAAAAAsBAABkcnMvc2hhcGV4bWwueG1sUEsFBgAAAAAGAAYAWwEA&#10;ALUDAAAAAA==&#10;" path="m0,240284l22987,240284,22987,0,69087,0,69087,240284,92075,240284,45974,286385,0,240284xe">
                  <v:fill on="f" focussize="0,0"/>
                  <v:stroke weight="1pt" color="#41709C" joinstyle="round"/>
                  <v:imagedata o:title=""/>
                  <o:lock v:ext="edit" aspectratio="f"/>
                  <v:textbox inset="0mm,0mm,0mm,0mm"/>
                </v:shape>
                <w10:wrap type="none"/>
                <w10:anchorlock/>
              </v:group>
            </w:pict>
          </mc:Fallback>
        </mc:AlternateContent>
      </w:r>
      <w:r>
        <w:rPr>
          <w:sz w:val="20"/>
        </w:rPr>
        <w:tab/>
      </w:r>
      <w:r>
        <w:rPr>
          <w:position w:val="2"/>
          <w:sz w:val="20"/>
          <w:lang w:eastAsia="ru-RU"/>
        </w:rPr>
        <mc:AlternateContent>
          <mc:Choice Requires="wpg">
            <w:drawing>
              <wp:inline distT="0" distB="0" distL="0" distR="0">
                <wp:extent cx="122555" cy="283210"/>
                <wp:effectExtent l="9525" t="0" r="1269" b="12064"/>
                <wp:docPr id="25" name="Group 25"/>
                <wp:cNvGraphicFramePr/>
                <a:graphic xmlns:a="http://schemas.openxmlformats.org/drawingml/2006/main">
                  <a:graphicData uri="http://schemas.microsoft.com/office/word/2010/wordprocessingGroup">
                    <wpg:wgp>
                      <wpg:cNvGrpSpPr/>
                      <wpg:grpSpPr>
                        <a:xfrm>
                          <a:off x="0" y="0"/>
                          <a:ext cx="122555" cy="283210"/>
                          <a:chOff x="0" y="0"/>
                          <a:chExt cx="122555" cy="283210"/>
                        </a:xfrm>
                      </wpg:grpSpPr>
                      <wps:wsp>
                        <wps:cNvPr id="26" name="Graphic 26"/>
                        <wps:cNvSpPr/>
                        <wps:spPr>
                          <a:xfrm>
                            <a:off x="6350" y="6350"/>
                            <a:ext cx="109855" cy="270510"/>
                          </a:xfrm>
                          <a:custGeom>
                            <a:avLst/>
                            <a:gdLst/>
                            <a:ahLst/>
                            <a:cxnLst/>
                            <a:rect l="l" t="t" r="r" b="b"/>
                            <a:pathLst>
                              <a:path w="109855" h="270510">
                                <a:moveTo>
                                  <a:pt x="82423" y="0"/>
                                </a:moveTo>
                                <a:lnTo>
                                  <a:pt x="27432" y="0"/>
                                </a:lnTo>
                                <a:lnTo>
                                  <a:pt x="27432" y="215518"/>
                                </a:lnTo>
                                <a:lnTo>
                                  <a:pt x="0" y="215518"/>
                                </a:lnTo>
                                <a:lnTo>
                                  <a:pt x="54863" y="270510"/>
                                </a:lnTo>
                                <a:lnTo>
                                  <a:pt x="109855" y="215518"/>
                                </a:lnTo>
                                <a:lnTo>
                                  <a:pt x="82423" y="215518"/>
                                </a:lnTo>
                                <a:lnTo>
                                  <a:pt x="82423" y="0"/>
                                </a:lnTo>
                                <a:close/>
                              </a:path>
                            </a:pathLst>
                          </a:custGeom>
                          <a:solidFill>
                            <a:srgbClr val="5B9BD4"/>
                          </a:solidFill>
                        </wps:spPr>
                        <wps:bodyPr wrap="square" lIns="0" tIns="0" rIns="0" bIns="0" rtlCol="0">
                          <a:noAutofit/>
                        </wps:bodyPr>
                      </wps:wsp>
                      <wps:wsp>
                        <wps:cNvPr id="27" name="Graphic 27"/>
                        <wps:cNvSpPr/>
                        <wps:spPr>
                          <a:xfrm>
                            <a:off x="6350" y="6350"/>
                            <a:ext cx="109855" cy="270510"/>
                          </a:xfrm>
                          <a:custGeom>
                            <a:avLst/>
                            <a:gdLst/>
                            <a:ahLst/>
                            <a:cxnLst/>
                            <a:rect l="l" t="t" r="r" b="b"/>
                            <a:pathLst>
                              <a:path w="109855" h="270510">
                                <a:moveTo>
                                  <a:pt x="0" y="215518"/>
                                </a:moveTo>
                                <a:lnTo>
                                  <a:pt x="27432" y="215518"/>
                                </a:lnTo>
                                <a:lnTo>
                                  <a:pt x="27432" y="0"/>
                                </a:lnTo>
                                <a:lnTo>
                                  <a:pt x="82423" y="0"/>
                                </a:lnTo>
                                <a:lnTo>
                                  <a:pt x="82423" y="215518"/>
                                </a:lnTo>
                                <a:lnTo>
                                  <a:pt x="109855" y="215518"/>
                                </a:lnTo>
                                <a:lnTo>
                                  <a:pt x="54863" y="270510"/>
                                </a:lnTo>
                                <a:lnTo>
                                  <a:pt x="0" y="215518"/>
                                </a:lnTo>
                                <a:close/>
                              </a:path>
                            </a:pathLst>
                          </a:custGeom>
                          <a:ln w="12700">
                            <a:solidFill>
                              <a:srgbClr val="41709C"/>
                            </a:solidFill>
                            <a:prstDash val="solid"/>
                          </a:ln>
                        </wps:spPr>
                        <wps:bodyPr wrap="square" lIns="0" tIns="0" rIns="0" bIns="0" rtlCol="0">
                          <a:noAutofit/>
                        </wps:bodyPr>
                      </wps:wsp>
                    </wpg:wgp>
                  </a:graphicData>
                </a:graphic>
              </wp:inline>
            </w:drawing>
          </mc:Choice>
          <mc:Fallback>
            <w:pict>
              <v:group id="Group 25" o:spid="_x0000_s1026" o:spt="203" style="height:22.3pt;width:9.65pt;" coordsize="122555,283210" o:gfxdata="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RB+eg9QAAAAD&#10;AQAADwAAAAAAAAABACAAAAAiAAAAZHJzL2Rvd25yZXYueG1sUEsBAhQAFAAAAAgAh07iQJGT41cE&#10;AwAAYQoAAA4AAAAAAAAAAQAgAAAAIwEAAGRycy9lMm9Eb2MueG1sUEsFBgAAAAAGAAYAWQEAAJkG&#10;AAAAAA==&#10;">
                <o:lock v:ext="edit" aspectratio="f"/>
                <v:shape id="Graphic 26" o:spid="_x0000_s1026" o:spt="100" style="position:absolute;left:6350;top:6350;height:270510;width:109855;" fillcolor="#5B9BD4" filled="t" stroked="f" coordsize="109855,270510" o:gfxdata="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eY7dvQAA&#10;ANsAAAAPAAAAAAAAAAEAIAAAACIAAABkcnMvZG93bnJldi54bWxQSwECFAAUAAAACACHTuJAMy8F&#10;njsAAAA5AAAAEAAAAAAAAAABACAAAAAMAQAAZHJzL3NoYXBleG1sLnhtbFBLBQYAAAAABgAGAFsB&#10;AAC2AwAAAAA=&#10;" path="m82423,0l27432,0,27432,215518,0,215518,54863,270510,109855,215518,82423,215518,82423,0xe">
                  <v:fill on="t" focussize="0,0"/>
                  <v:stroke on="f"/>
                  <v:imagedata o:title=""/>
                  <o:lock v:ext="edit" aspectratio="f"/>
                  <v:textbox inset="0mm,0mm,0mm,0mm"/>
                </v:shape>
                <v:shape id="Graphic 27" o:spid="_x0000_s1026" o:spt="100" style="position:absolute;left:6350;top:6350;height:270510;width:109855;" filled="f" stroked="t" coordsize="109855,270510" o:gfxdata="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nFUS8AAAA&#10;2wAAAA8AAAAAAAAAAQAgAAAAIgAAAGRycy9kb3ducmV2LnhtbFBLAQIUABQAAAAIAIdO4kAzLwWe&#10;OwAAADkAAAAQAAAAAAAAAAEAIAAAAAsBAABkcnMvc2hhcGV4bWwueG1sUEsFBgAAAAAGAAYAWwEA&#10;ALUDAAAAAA==&#10;" path="m0,215518l27432,215518,27432,0,82423,0,82423,215518,109855,215518,54863,270510,0,215518xe">
                  <v:fill on="f" focussize="0,0"/>
                  <v:stroke weight="1pt" color="#41709C" joinstyle="round"/>
                  <v:imagedata o:title=""/>
                  <o:lock v:ext="edit" aspectratio="f"/>
                  <v:textbox inset="0mm,0mm,0mm,0mm"/>
                </v:shape>
                <w10:wrap type="none"/>
                <w10:anchorlock/>
              </v:group>
            </w:pict>
          </mc:Fallback>
        </mc:AlternateContent>
      </w:r>
      <w:r>
        <w:rPr>
          <w:position w:val="2"/>
          <w:sz w:val="20"/>
        </w:rPr>
        <w:tab/>
      </w:r>
      <w:r>
        <w:rPr>
          <w:position w:val="10"/>
          <w:sz w:val="20"/>
          <w:lang w:eastAsia="ru-RU"/>
        </w:rPr>
        <mc:AlternateContent>
          <mc:Choice Requires="wpg">
            <w:drawing>
              <wp:inline distT="0" distB="0" distL="0" distR="0">
                <wp:extent cx="104775" cy="279400"/>
                <wp:effectExtent l="9525" t="0" r="0" b="6350"/>
                <wp:docPr id="28" name="Group 28"/>
                <wp:cNvGraphicFramePr/>
                <a:graphic xmlns:a="http://schemas.openxmlformats.org/drawingml/2006/main">
                  <a:graphicData uri="http://schemas.microsoft.com/office/word/2010/wordprocessingGroup">
                    <wpg:wgp>
                      <wpg:cNvGrpSpPr/>
                      <wpg:grpSpPr>
                        <a:xfrm>
                          <a:off x="0" y="0"/>
                          <a:ext cx="104775" cy="279400"/>
                          <a:chOff x="0" y="0"/>
                          <a:chExt cx="104775" cy="279400"/>
                        </a:xfrm>
                      </wpg:grpSpPr>
                      <wps:wsp>
                        <wps:cNvPr id="29" name="Graphic 29"/>
                        <wps:cNvSpPr/>
                        <wps:spPr>
                          <a:xfrm>
                            <a:off x="6350" y="6350"/>
                            <a:ext cx="92075" cy="266700"/>
                          </a:xfrm>
                          <a:custGeom>
                            <a:avLst/>
                            <a:gdLst/>
                            <a:ahLst/>
                            <a:cxnLst/>
                            <a:rect l="l" t="t" r="r" b="b"/>
                            <a:pathLst>
                              <a:path w="92075" h="266700">
                                <a:moveTo>
                                  <a:pt x="69088" y="0"/>
                                </a:moveTo>
                                <a:lnTo>
                                  <a:pt x="22986" y="0"/>
                                </a:lnTo>
                                <a:lnTo>
                                  <a:pt x="22986" y="220599"/>
                                </a:lnTo>
                                <a:lnTo>
                                  <a:pt x="0" y="220599"/>
                                </a:lnTo>
                                <a:lnTo>
                                  <a:pt x="46100" y="266700"/>
                                </a:lnTo>
                                <a:lnTo>
                                  <a:pt x="92075" y="220599"/>
                                </a:lnTo>
                                <a:lnTo>
                                  <a:pt x="69088" y="220599"/>
                                </a:lnTo>
                                <a:lnTo>
                                  <a:pt x="69088" y="0"/>
                                </a:lnTo>
                                <a:close/>
                              </a:path>
                            </a:pathLst>
                          </a:custGeom>
                          <a:solidFill>
                            <a:srgbClr val="5B9BD4"/>
                          </a:solidFill>
                        </wps:spPr>
                        <wps:bodyPr wrap="square" lIns="0" tIns="0" rIns="0" bIns="0" rtlCol="0">
                          <a:noAutofit/>
                        </wps:bodyPr>
                      </wps:wsp>
                      <wps:wsp>
                        <wps:cNvPr id="30" name="Graphic 30"/>
                        <wps:cNvSpPr/>
                        <wps:spPr>
                          <a:xfrm>
                            <a:off x="6350" y="6350"/>
                            <a:ext cx="92075" cy="266700"/>
                          </a:xfrm>
                          <a:custGeom>
                            <a:avLst/>
                            <a:gdLst/>
                            <a:ahLst/>
                            <a:cxnLst/>
                            <a:rect l="l" t="t" r="r" b="b"/>
                            <a:pathLst>
                              <a:path w="92075" h="266700">
                                <a:moveTo>
                                  <a:pt x="0" y="220599"/>
                                </a:moveTo>
                                <a:lnTo>
                                  <a:pt x="22986" y="220599"/>
                                </a:lnTo>
                                <a:lnTo>
                                  <a:pt x="22986" y="0"/>
                                </a:lnTo>
                                <a:lnTo>
                                  <a:pt x="69088" y="0"/>
                                </a:lnTo>
                                <a:lnTo>
                                  <a:pt x="69088" y="220599"/>
                                </a:lnTo>
                                <a:lnTo>
                                  <a:pt x="92075" y="220599"/>
                                </a:lnTo>
                                <a:lnTo>
                                  <a:pt x="46100" y="266700"/>
                                </a:lnTo>
                                <a:lnTo>
                                  <a:pt x="0" y="220599"/>
                                </a:lnTo>
                                <a:close/>
                              </a:path>
                            </a:pathLst>
                          </a:custGeom>
                          <a:ln w="12700">
                            <a:solidFill>
                              <a:srgbClr val="41709C"/>
                            </a:solidFill>
                            <a:prstDash val="solid"/>
                          </a:ln>
                        </wps:spPr>
                        <wps:bodyPr wrap="square" lIns="0" tIns="0" rIns="0" bIns="0" rtlCol="0">
                          <a:noAutofit/>
                        </wps:bodyPr>
                      </wps:wsp>
                    </wpg:wgp>
                  </a:graphicData>
                </a:graphic>
              </wp:inline>
            </w:drawing>
          </mc:Choice>
          <mc:Fallback>
            <w:pict>
              <v:group id="Group 28" o:spid="_x0000_s1026" o:spt="203" style="height:22pt;width:8.25pt;" coordsize="104775,279400" o:gfxdata="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CtSvavUAAAAAwEAAA8AAAAAAAAAAQAgAAAAIgAAAGRycy9kb3ducmV2LnhtbFBLAQIUABQAAAAI&#10;AIdO4kDeId3eDgMAAFsKAAAOAAAAAAAAAAEAIAAAACMBAABkcnMvZTJvRG9jLnhtbFBLBQYAAAAA&#10;BgAGAFkBAACjBgAAAAA=&#10;">
                <o:lock v:ext="edit" aspectratio="f"/>
                <v:shape id="Graphic 29" o:spid="_x0000_s1026" o:spt="100" style="position:absolute;left:6350;top:6350;height:266700;width:92075;" fillcolor="#5B9BD4" filled="t" stroked="f" coordsize="92075,266700" o:gfxdata="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NxlW8AAAA&#10;2wAAAA8AAAAAAAAAAQAgAAAAIgAAAGRycy9kb3ducmV2LnhtbFBLAQIUABQAAAAIAIdO4kAzLwWe&#10;OwAAADkAAAAQAAAAAAAAAAEAIAAAAAsBAABkcnMvc2hhcGV4bWwueG1sUEsFBgAAAAAGAAYAWwEA&#10;ALUDAAAAAA==&#10;" path="m69088,0l22986,0,22986,220599,0,220599,46100,266700,92075,220599,69088,220599,69088,0xe">
                  <v:fill on="t" focussize="0,0"/>
                  <v:stroke on="f"/>
                  <v:imagedata o:title=""/>
                  <o:lock v:ext="edit" aspectratio="f"/>
                  <v:textbox inset="0mm,0mm,0mm,0mm"/>
                </v:shape>
                <v:shape id="Graphic 30" o:spid="_x0000_s1026" o:spt="100" style="position:absolute;left:6350;top:6350;height:266700;width:92075;" filled="f" stroked="t" coordsize="92075,266700" o:gfxdata="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m5ZEugAAANsA&#10;AAAPAAAAAAAAAAEAIAAAACIAAABkcnMvZG93bnJldi54bWxQSwECFAAUAAAACACHTuJAMy8FnjsA&#10;AAA5AAAAEAAAAAAAAAABACAAAAAJAQAAZHJzL3NoYXBleG1sLnhtbFBLBQYAAAAABgAGAFsBAACz&#10;AwAAAAA=&#10;" path="m0,220599l22986,220599,22986,0,69088,0,69088,220599,92075,220599,46100,266700,0,220599xe">
                  <v:fill on="f" focussize="0,0"/>
                  <v:stroke weight="1pt" color="#41709C" joinstyle="round"/>
                  <v:imagedata o:title=""/>
                  <o:lock v:ext="edit" aspectratio="f"/>
                  <v:textbox inset="0mm,0mm,0mm,0mm"/>
                </v:shape>
                <w10:wrap type="none"/>
                <w10:anchorlock/>
              </v:group>
            </w:pict>
          </mc:Fallback>
        </mc:AlternateContent>
      </w:r>
    </w:p>
    <w:p w14:paraId="20D4DFE3">
      <w:pPr>
        <w:pStyle w:val="7"/>
        <w:ind w:left="0" w:firstLine="0"/>
        <w:jc w:val="left"/>
        <w:rPr>
          <w:sz w:val="20"/>
        </w:rPr>
      </w:pPr>
    </w:p>
    <w:p w14:paraId="219DCDE6">
      <w:pPr>
        <w:pStyle w:val="7"/>
        <w:ind w:left="0" w:firstLine="0"/>
        <w:jc w:val="left"/>
        <w:rPr>
          <w:sz w:val="20"/>
        </w:rPr>
      </w:pPr>
    </w:p>
    <w:p w14:paraId="3DF0C081">
      <w:pPr>
        <w:pStyle w:val="7"/>
        <w:ind w:left="0" w:firstLine="0"/>
        <w:jc w:val="left"/>
        <w:rPr>
          <w:sz w:val="20"/>
        </w:rPr>
      </w:pPr>
    </w:p>
    <w:p w14:paraId="5815E76F">
      <w:pPr>
        <w:pStyle w:val="7"/>
        <w:ind w:left="0" w:firstLine="0"/>
        <w:jc w:val="left"/>
        <w:rPr>
          <w:sz w:val="20"/>
        </w:rPr>
      </w:pPr>
    </w:p>
    <w:p w14:paraId="5B5C6D9B">
      <w:pPr>
        <w:pStyle w:val="7"/>
        <w:ind w:left="0" w:firstLine="0"/>
        <w:jc w:val="left"/>
        <w:rPr>
          <w:sz w:val="20"/>
        </w:rPr>
      </w:pPr>
    </w:p>
    <w:p w14:paraId="03E5BCD0">
      <w:pPr>
        <w:pStyle w:val="7"/>
        <w:ind w:left="0" w:firstLine="0"/>
        <w:jc w:val="left"/>
        <w:rPr>
          <w:sz w:val="20"/>
        </w:rPr>
      </w:pPr>
    </w:p>
    <w:p w14:paraId="1F892173">
      <w:pPr>
        <w:pStyle w:val="7"/>
        <w:ind w:left="0" w:firstLine="0"/>
        <w:jc w:val="left"/>
        <w:rPr>
          <w:sz w:val="20"/>
        </w:rPr>
      </w:pPr>
    </w:p>
    <w:p w14:paraId="6AD500DB">
      <w:pPr>
        <w:pStyle w:val="7"/>
        <w:ind w:left="0" w:firstLine="0"/>
        <w:jc w:val="left"/>
        <w:rPr>
          <w:sz w:val="20"/>
        </w:rPr>
      </w:pPr>
    </w:p>
    <w:p w14:paraId="088EC7B9">
      <w:pPr>
        <w:pStyle w:val="7"/>
        <w:ind w:left="0" w:firstLine="0"/>
        <w:jc w:val="left"/>
        <w:rPr>
          <w:sz w:val="20"/>
        </w:rPr>
      </w:pPr>
    </w:p>
    <w:p w14:paraId="6890C8EA">
      <w:pPr>
        <w:pStyle w:val="7"/>
        <w:ind w:left="0" w:firstLine="0"/>
        <w:jc w:val="left"/>
        <w:rPr>
          <w:sz w:val="20"/>
        </w:rPr>
      </w:pPr>
    </w:p>
    <w:p w14:paraId="1578A881">
      <w:pPr>
        <w:pStyle w:val="7"/>
        <w:ind w:left="0" w:firstLine="0"/>
        <w:jc w:val="left"/>
        <w:rPr>
          <w:sz w:val="20"/>
        </w:rPr>
      </w:pPr>
    </w:p>
    <w:p w14:paraId="50E51B21">
      <w:pPr>
        <w:pStyle w:val="7"/>
        <w:ind w:left="0" w:firstLine="0"/>
        <w:jc w:val="left"/>
        <w:rPr>
          <w:sz w:val="20"/>
        </w:rPr>
      </w:pPr>
    </w:p>
    <w:p w14:paraId="004E98A9">
      <w:pPr>
        <w:pStyle w:val="7"/>
        <w:ind w:left="0" w:firstLine="0"/>
        <w:jc w:val="left"/>
        <w:rPr>
          <w:sz w:val="20"/>
        </w:rPr>
      </w:pPr>
    </w:p>
    <w:p w14:paraId="62432C70">
      <w:pPr>
        <w:pStyle w:val="7"/>
        <w:ind w:left="0" w:firstLine="0"/>
        <w:jc w:val="left"/>
        <w:rPr>
          <w:sz w:val="20"/>
        </w:rPr>
      </w:pPr>
    </w:p>
    <w:p w14:paraId="460CA280">
      <w:pPr>
        <w:pStyle w:val="7"/>
        <w:ind w:left="0" w:firstLine="0"/>
        <w:jc w:val="left"/>
        <w:rPr>
          <w:sz w:val="20"/>
        </w:rPr>
      </w:pPr>
    </w:p>
    <w:p w14:paraId="6DC2DA3F">
      <w:pPr>
        <w:pStyle w:val="7"/>
        <w:ind w:left="0" w:firstLine="0"/>
        <w:jc w:val="left"/>
        <w:rPr>
          <w:sz w:val="20"/>
        </w:rPr>
      </w:pPr>
    </w:p>
    <w:p w14:paraId="673B833E">
      <w:pPr>
        <w:pStyle w:val="7"/>
        <w:ind w:left="0" w:firstLine="0"/>
        <w:jc w:val="left"/>
        <w:rPr>
          <w:sz w:val="20"/>
        </w:rPr>
      </w:pPr>
    </w:p>
    <w:p w14:paraId="7126D223">
      <w:pPr>
        <w:pStyle w:val="7"/>
        <w:ind w:left="0" w:firstLine="0"/>
        <w:jc w:val="left"/>
        <w:rPr>
          <w:sz w:val="20"/>
        </w:rPr>
      </w:pPr>
    </w:p>
    <w:p w14:paraId="79588924">
      <w:pPr>
        <w:pStyle w:val="7"/>
        <w:ind w:left="0" w:firstLine="0"/>
        <w:jc w:val="left"/>
        <w:rPr>
          <w:sz w:val="20"/>
        </w:rPr>
      </w:pPr>
    </w:p>
    <w:p w14:paraId="549210CE">
      <w:pPr>
        <w:pStyle w:val="7"/>
        <w:ind w:left="0" w:firstLine="0"/>
        <w:jc w:val="left"/>
        <w:rPr>
          <w:sz w:val="20"/>
        </w:rPr>
      </w:pPr>
    </w:p>
    <w:p w14:paraId="029B89E1">
      <w:pPr>
        <w:pStyle w:val="7"/>
        <w:ind w:left="0" w:firstLine="0"/>
        <w:jc w:val="left"/>
        <w:rPr>
          <w:sz w:val="20"/>
        </w:rPr>
      </w:pPr>
    </w:p>
    <w:p w14:paraId="24052474">
      <w:pPr>
        <w:pStyle w:val="7"/>
        <w:spacing w:before="123"/>
        <w:ind w:left="0" w:firstLine="0"/>
        <w:jc w:val="left"/>
        <w:rPr>
          <w:sz w:val="20"/>
        </w:rPr>
      </w:pPr>
      <w:r>
        <w:rPr>
          <w:sz w:val="20"/>
          <w:lang w:eastAsia="ru-RU"/>
        </w:rPr>
        <mc:AlternateContent>
          <mc:Choice Requires="wps">
            <w:drawing>
              <wp:anchor distT="0" distB="0" distL="0" distR="0" simplePos="0" relativeHeight="251670528" behindDoc="1" locked="0" layoutInCell="1" allowOverlap="1">
                <wp:simplePos x="0" y="0"/>
                <wp:positionH relativeFrom="page">
                  <wp:posOffset>401320</wp:posOffset>
                </wp:positionH>
                <wp:positionV relativeFrom="paragraph">
                  <wp:posOffset>246380</wp:posOffset>
                </wp:positionV>
                <wp:extent cx="4944110" cy="1171575"/>
                <wp:effectExtent l="0" t="0" r="0" b="0"/>
                <wp:wrapTopAndBottom/>
                <wp:docPr id="31" name="Textbox 31"/>
                <wp:cNvGraphicFramePr/>
                <a:graphic xmlns:a="http://schemas.openxmlformats.org/drawingml/2006/main">
                  <a:graphicData uri="http://schemas.microsoft.com/office/word/2010/wordprocessingShape">
                    <wps:wsp>
                      <wps:cNvSpPr txBox="1"/>
                      <wps:spPr>
                        <a:xfrm>
                          <a:off x="0" y="0"/>
                          <a:ext cx="4944110" cy="1171575"/>
                        </a:xfrm>
                        <a:prstGeom prst="rect">
                          <a:avLst/>
                        </a:prstGeom>
                        <a:ln w="12700">
                          <a:solidFill>
                            <a:srgbClr val="5B9BD4"/>
                          </a:solidFill>
                          <a:prstDash val="solid"/>
                        </a:ln>
                      </wps:spPr>
                      <wps:txbx>
                        <w:txbxContent>
                          <w:p w14:paraId="5CD880BD">
                            <w:pPr>
                              <w:spacing w:before="73" w:line="319" w:lineRule="exact"/>
                              <w:ind w:left="145"/>
                              <w:rPr>
                                <w:b/>
                                <w:sz w:val="28"/>
                              </w:rPr>
                            </w:pPr>
                            <w:r>
                              <w:rPr>
                                <w:b/>
                                <w:sz w:val="28"/>
                              </w:rPr>
                              <w:t>Критерии</w:t>
                            </w:r>
                            <w:r>
                              <w:rPr>
                                <w:b/>
                                <w:spacing w:val="-13"/>
                                <w:sz w:val="28"/>
                              </w:rPr>
                              <w:t xml:space="preserve"> </w:t>
                            </w:r>
                            <w:r>
                              <w:rPr>
                                <w:b/>
                                <w:spacing w:val="-2"/>
                                <w:sz w:val="28"/>
                              </w:rPr>
                              <w:t>включения:</w:t>
                            </w:r>
                          </w:p>
                          <w:p w14:paraId="78CFC6CC">
                            <w:pPr>
                              <w:pStyle w:val="7"/>
                              <w:numPr>
                                <w:ilvl w:val="0"/>
                                <w:numId w:val="14"/>
                              </w:numPr>
                              <w:tabs>
                                <w:tab w:val="left" w:pos="307"/>
                              </w:tabs>
                              <w:spacing w:line="319" w:lineRule="exact"/>
                              <w:ind w:left="307" w:hanging="162"/>
                              <w:jc w:val="left"/>
                            </w:pPr>
                            <w:r>
                              <w:t>пациенты</w:t>
                            </w:r>
                            <w:r>
                              <w:rPr>
                                <w:spacing w:val="-8"/>
                              </w:rPr>
                              <w:t xml:space="preserve"> </w:t>
                            </w:r>
                            <w:r>
                              <w:t>старше</w:t>
                            </w:r>
                            <w:r>
                              <w:rPr>
                                <w:spacing w:val="-7"/>
                              </w:rPr>
                              <w:t xml:space="preserve"> </w:t>
                            </w:r>
                            <w:r>
                              <w:t>18</w:t>
                            </w:r>
                            <w:r>
                              <w:rPr>
                                <w:spacing w:val="-7"/>
                              </w:rPr>
                              <w:t xml:space="preserve"> </w:t>
                            </w:r>
                            <w:r>
                              <w:rPr>
                                <w:spacing w:val="-4"/>
                              </w:rPr>
                              <w:t>лет;</w:t>
                            </w:r>
                          </w:p>
                          <w:p w14:paraId="560A6EC7">
                            <w:pPr>
                              <w:pStyle w:val="7"/>
                              <w:numPr>
                                <w:ilvl w:val="0"/>
                                <w:numId w:val="14"/>
                              </w:numPr>
                              <w:tabs>
                                <w:tab w:val="left" w:pos="307"/>
                              </w:tabs>
                              <w:spacing w:line="322" w:lineRule="exact"/>
                              <w:ind w:left="307" w:hanging="162"/>
                              <w:jc w:val="left"/>
                            </w:pPr>
                            <w:r>
                              <w:t>наличие</w:t>
                            </w:r>
                            <w:r>
                              <w:rPr>
                                <w:spacing w:val="-11"/>
                              </w:rPr>
                              <w:t xml:space="preserve"> </w:t>
                            </w:r>
                            <w:r>
                              <w:t>опухолей</w:t>
                            </w:r>
                            <w:r>
                              <w:rPr>
                                <w:spacing w:val="-12"/>
                              </w:rPr>
                              <w:t xml:space="preserve"> </w:t>
                            </w:r>
                            <w:r>
                              <w:t>периампулярной</w:t>
                            </w:r>
                            <w:r>
                              <w:rPr>
                                <w:spacing w:val="-12"/>
                              </w:rPr>
                              <w:t xml:space="preserve"> </w:t>
                            </w:r>
                            <w:r>
                              <w:t>зоны,</w:t>
                            </w:r>
                            <w:r>
                              <w:rPr>
                                <w:spacing w:val="-9"/>
                              </w:rPr>
                              <w:t xml:space="preserve"> </w:t>
                            </w:r>
                            <w:r>
                              <w:t>требующих</w:t>
                            </w:r>
                            <w:r>
                              <w:rPr>
                                <w:spacing w:val="-15"/>
                              </w:rPr>
                              <w:t xml:space="preserve"> </w:t>
                            </w:r>
                            <w:r>
                              <w:rPr>
                                <w:spacing w:val="-2"/>
                              </w:rPr>
                              <w:t>ГПДР;</w:t>
                            </w:r>
                          </w:p>
                          <w:p w14:paraId="6948AD12">
                            <w:pPr>
                              <w:pStyle w:val="7"/>
                              <w:numPr>
                                <w:ilvl w:val="0"/>
                                <w:numId w:val="14"/>
                              </w:numPr>
                              <w:tabs>
                                <w:tab w:val="left" w:pos="307"/>
                              </w:tabs>
                              <w:ind w:left="307" w:hanging="162"/>
                              <w:jc w:val="left"/>
                            </w:pPr>
                            <w:r>
                              <w:t>отсутствие</w:t>
                            </w:r>
                            <w:r>
                              <w:rPr>
                                <w:spacing w:val="-10"/>
                              </w:rPr>
                              <w:t xml:space="preserve"> </w:t>
                            </w:r>
                            <w:r>
                              <w:t>отдалённых</w:t>
                            </w:r>
                            <w:r>
                              <w:rPr>
                                <w:spacing w:val="-14"/>
                              </w:rPr>
                              <w:t xml:space="preserve"> </w:t>
                            </w:r>
                            <w:r>
                              <w:rPr>
                                <w:spacing w:val="-2"/>
                              </w:rPr>
                              <w:t>метастазов;</w:t>
                            </w:r>
                          </w:p>
                          <w:p w14:paraId="24247125">
                            <w:pPr>
                              <w:pStyle w:val="7"/>
                              <w:numPr>
                                <w:ilvl w:val="0"/>
                                <w:numId w:val="14"/>
                              </w:numPr>
                              <w:tabs>
                                <w:tab w:val="left" w:pos="307"/>
                              </w:tabs>
                              <w:ind w:left="307" w:hanging="162"/>
                              <w:jc w:val="left"/>
                            </w:pPr>
                            <w:r>
                              <w:t>информированное</w:t>
                            </w:r>
                            <w:r>
                              <w:rPr>
                                <w:spacing w:val="-7"/>
                              </w:rPr>
                              <w:t xml:space="preserve"> </w:t>
                            </w:r>
                            <w:r>
                              <w:t>согласие</w:t>
                            </w:r>
                            <w:r>
                              <w:rPr>
                                <w:spacing w:val="-7"/>
                              </w:rPr>
                              <w:t xml:space="preserve"> </w:t>
                            </w:r>
                            <w:r>
                              <w:t>на</w:t>
                            </w:r>
                            <w:r>
                              <w:rPr>
                                <w:spacing w:val="-7"/>
                              </w:rPr>
                              <w:t xml:space="preserve"> </w:t>
                            </w:r>
                            <w:r>
                              <w:t>участие</w:t>
                            </w:r>
                            <w:r>
                              <w:rPr>
                                <w:spacing w:val="-7"/>
                              </w:rPr>
                              <w:t xml:space="preserve"> </w:t>
                            </w:r>
                            <w:r>
                              <w:t>в</w:t>
                            </w:r>
                            <w:r>
                              <w:rPr>
                                <w:spacing w:val="-9"/>
                              </w:rPr>
                              <w:t xml:space="preserve"> </w:t>
                            </w:r>
                            <w:r>
                              <w:rPr>
                                <w:spacing w:val="-2"/>
                              </w:rPr>
                              <w:t>исследовании.</w:t>
                            </w:r>
                          </w:p>
                        </w:txbxContent>
                      </wps:txbx>
                      <wps:bodyPr wrap="square" lIns="0" tIns="0" rIns="0" bIns="0" rtlCol="0">
                        <a:noAutofit/>
                      </wps:bodyPr>
                    </wps:wsp>
                  </a:graphicData>
                </a:graphic>
              </wp:anchor>
            </w:drawing>
          </mc:Choice>
          <mc:Fallback>
            <w:pict>
              <v:shape id="Textbox 31" o:spid="_x0000_s1026" o:spt="202" type="#_x0000_t202" style="position:absolute;left:0pt;margin-left:31.6pt;margin-top:19.4pt;height:92.25pt;width:389.3pt;mso-position-horizontal-relative:page;mso-wrap-distance-bottom:0pt;mso-wrap-distance-top:0pt;z-index:-251645952;mso-width-relative:page;mso-height-relative:page;" filled="f" stroked="t" coordsize="21600,21600" o:gfxdata="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1YWiX2AAA&#10;AAkBAAAPAAAAAAAAAAEAIAAAACIAAABkcnMvZG93bnJldi54bWxQSwECFAAUAAAACACHTuJAGp2H&#10;CeUBAADbAwAADgAAAAAAAAABACAAAAAnAQAAZHJzL2Uyb0RvYy54bWxQSwUGAAAAAAYABgBZAQAA&#10;fgUAAAAA&#10;">
                <v:fill on="f" focussize="0,0"/>
                <v:stroke weight="1pt" color="#5B9BD4" joinstyle="round"/>
                <v:imagedata o:title=""/>
                <o:lock v:ext="edit" aspectratio="f"/>
                <v:textbox inset="0mm,0mm,0mm,0mm">
                  <w:txbxContent>
                    <w:p w14:paraId="5CD880BD">
                      <w:pPr>
                        <w:spacing w:before="73" w:line="319" w:lineRule="exact"/>
                        <w:ind w:left="145"/>
                        <w:rPr>
                          <w:b/>
                          <w:sz w:val="28"/>
                        </w:rPr>
                      </w:pPr>
                      <w:r>
                        <w:rPr>
                          <w:b/>
                          <w:sz w:val="28"/>
                        </w:rPr>
                        <w:t>Критерии</w:t>
                      </w:r>
                      <w:r>
                        <w:rPr>
                          <w:b/>
                          <w:spacing w:val="-13"/>
                          <w:sz w:val="28"/>
                        </w:rPr>
                        <w:t xml:space="preserve"> </w:t>
                      </w:r>
                      <w:r>
                        <w:rPr>
                          <w:b/>
                          <w:spacing w:val="-2"/>
                          <w:sz w:val="28"/>
                        </w:rPr>
                        <w:t>включения:</w:t>
                      </w:r>
                    </w:p>
                    <w:p w14:paraId="78CFC6CC">
                      <w:pPr>
                        <w:pStyle w:val="7"/>
                        <w:numPr>
                          <w:ilvl w:val="0"/>
                          <w:numId w:val="14"/>
                        </w:numPr>
                        <w:tabs>
                          <w:tab w:val="left" w:pos="307"/>
                        </w:tabs>
                        <w:spacing w:line="319" w:lineRule="exact"/>
                        <w:ind w:left="307" w:hanging="162"/>
                        <w:jc w:val="left"/>
                      </w:pPr>
                      <w:r>
                        <w:t>пациенты</w:t>
                      </w:r>
                      <w:r>
                        <w:rPr>
                          <w:spacing w:val="-8"/>
                        </w:rPr>
                        <w:t xml:space="preserve"> </w:t>
                      </w:r>
                      <w:r>
                        <w:t>старше</w:t>
                      </w:r>
                      <w:r>
                        <w:rPr>
                          <w:spacing w:val="-7"/>
                        </w:rPr>
                        <w:t xml:space="preserve"> </w:t>
                      </w:r>
                      <w:r>
                        <w:t>18</w:t>
                      </w:r>
                      <w:r>
                        <w:rPr>
                          <w:spacing w:val="-7"/>
                        </w:rPr>
                        <w:t xml:space="preserve"> </w:t>
                      </w:r>
                      <w:r>
                        <w:rPr>
                          <w:spacing w:val="-4"/>
                        </w:rPr>
                        <w:t>лет;</w:t>
                      </w:r>
                    </w:p>
                    <w:p w14:paraId="560A6EC7">
                      <w:pPr>
                        <w:pStyle w:val="7"/>
                        <w:numPr>
                          <w:ilvl w:val="0"/>
                          <w:numId w:val="14"/>
                        </w:numPr>
                        <w:tabs>
                          <w:tab w:val="left" w:pos="307"/>
                        </w:tabs>
                        <w:spacing w:line="322" w:lineRule="exact"/>
                        <w:ind w:left="307" w:hanging="162"/>
                        <w:jc w:val="left"/>
                      </w:pPr>
                      <w:r>
                        <w:t>наличие</w:t>
                      </w:r>
                      <w:r>
                        <w:rPr>
                          <w:spacing w:val="-11"/>
                        </w:rPr>
                        <w:t xml:space="preserve"> </w:t>
                      </w:r>
                      <w:r>
                        <w:t>опухолей</w:t>
                      </w:r>
                      <w:r>
                        <w:rPr>
                          <w:spacing w:val="-12"/>
                        </w:rPr>
                        <w:t xml:space="preserve"> </w:t>
                      </w:r>
                      <w:r>
                        <w:t>периампулярной</w:t>
                      </w:r>
                      <w:r>
                        <w:rPr>
                          <w:spacing w:val="-12"/>
                        </w:rPr>
                        <w:t xml:space="preserve"> </w:t>
                      </w:r>
                      <w:r>
                        <w:t>зоны,</w:t>
                      </w:r>
                      <w:r>
                        <w:rPr>
                          <w:spacing w:val="-9"/>
                        </w:rPr>
                        <w:t xml:space="preserve"> </w:t>
                      </w:r>
                      <w:r>
                        <w:t>требующих</w:t>
                      </w:r>
                      <w:r>
                        <w:rPr>
                          <w:spacing w:val="-15"/>
                        </w:rPr>
                        <w:t xml:space="preserve"> </w:t>
                      </w:r>
                      <w:r>
                        <w:rPr>
                          <w:spacing w:val="-2"/>
                        </w:rPr>
                        <w:t>ГПДР;</w:t>
                      </w:r>
                    </w:p>
                    <w:p w14:paraId="6948AD12">
                      <w:pPr>
                        <w:pStyle w:val="7"/>
                        <w:numPr>
                          <w:ilvl w:val="0"/>
                          <w:numId w:val="14"/>
                        </w:numPr>
                        <w:tabs>
                          <w:tab w:val="left" w:pos="307"/>
                        </w:tabs>
                        <w:ind w:left="307" w:hanging="162"/>
                        <w:jc w:val="left"/>
                      </w:pPr>
                      <w:r>
                        <w:t>отсутствие</w:t>
                      </w:r>
                      <w:r>
                        <w:rPr>
                          <w:spacing w:val="-10"/>
                        </w:rPr>
                        <w:t xml:space="preserve"> </w:t>
                      </w:r>
                      <w:r>
                        <w:t>отдалённых</w:t>
                      </w:r>
                      <w:r>
                        <w:rPr>
                          <w:spacing w:val="-14"/>
                        </w:rPr>
                        <w:t xml:space="preserve"> </w:t>
                      </w:r>
                      <w:r>
                        <w:rPr>
                          <w:spacing w:val="-2"/>
                        </w:rPr>
                        <w:t>метастазов;</w:t>
                      </w:r>
                    </w:p>
                    <w:p w14:paraId="24247125">
                      <w:pPr>
                        <w:pStyle w:val="7"/>
                        <w:numPr>
                          <w:ilvl w:val="0"/>
                          <w:numId w:val="14"/>
                        </w:numPr>
                        <w:tabs>
                          <w:tab w:val="left" w:pos="307"/>
                        </w:tabs>
                        <w:ind w:left="307" w:hanging="162"/>
                        <w:jc w:val="left"/>
                      </w:pPr>
                      <w:r>
                        <w:t>информированное</w:t>
                      </w:r>
                      <w:r>
                        <w:rPr>
                          <w:spacing w:val="-7"/>
                        </w:rPr>
                        <w:t xml:space="preserve"> </w:t>
                      </w:r>
                      <w:r>
                        <w:t>согласие</w:t>
                      </w:r>
                      <w:r>
                        <w:rPr>
                          <w:spacing w:val="-7"/>
                        </w:rPr>
                        <w:t xml:space="preserve"> </w:t>
                      </w:r>
                      <w:r>
                        <w:t>на</w:t>
                      </w:r>
                      <w:r>
                        <w:rPr>
                          <w:spacing w:val="-7"/>
                        </w:rPr>
                        <w:t xml:space="preserve"> </w:t>
                      </w:r>
                      <w:r>
                        <w:t>участие</w:t>
                      </w:r>
                      <w:r>
                        <w:rPr>
                          <w:spacing w:val="-7"/>
                        </w:rPr>
                        <w:t xml:space="preserve"> </w:t>
                      </w:r>
                      <w:r>
                        <w:t>в</w:t>
                      </w:r>
                      <w:r>
                        <w:rPr>
                          <w:spacing w:val="-9"/>
                        </w:rPr>
                        <w:t xml:space="preserve"> </w:t>
                      </w:r>
                      <w:r>
                        <w:rPr>
                          <w:spacing w:val="-2"/>
                        </w:rPr>
                        <w:t>исследовании.</w:t>
                      </w:r>
                    </w:p>
                  </w:txbxContent>
                </v:textbox>
                <w10:wrap type="topAndBottom"/>
              </v:shape>
            </w:pict>
          </mc:Fallback>
        </mc:AlternateContent>
      </w:r>
      <w:r>
        <w:rPr>
          <w:sz w:val="20"/>
          <w:lang w:eastAsia="ru-RU"/>
        </w:rPr>
        <mc:AlternateContent>
          <mc:Choice Requires="wps">
            <w:drawing>
              <wp:anchor distT="0" distB="0" distL="0" distR="0" simplePos="0" relativeHeight="251671552" behindDoc="1" locked="0" layoutInCell="1" allowOverlap="1">
                <wp:simplePos x="0" y="0"/>
                <wp:positionH relativeFrom="page">
                  <wp:posOffset>5699125</wp:posOffset>
                </wp:positionH>
                <wp:positionV relativeFrom="paragraph">
                  <wp:posOffset>245745</wp:posOffset>
                </wp:positionV>
                <wp:extent cx="4742180" cy="1190625"/>
                <wp:effectExtent l="0" t="0" r="0" b="0"/>
                <wp:wrapTopAndBottom/>
                <wp:docPr id="32" name="Textbox 32"/>
                <wp:cNvGraphicFramePr/>
                <a:graphic xmlns:a="http://schemas.openxmlformats.org/drawingml/2006/main">
                  <a:graphicData uri="http://schemas.microsoft.com/office/word/2010/wordprocessingShape">
                    <wps:wsp>
                      <wps:cNvSpPr txBox="1"/>
                      <wps:spPr>
                        <a:xfrm>
                          <a:off x="0" y="0"/>
                          <a:ext cx="4742180" cy="1190625"/>
                        </a:xfrm>
                        <a:prstGeom prst="rect">
                          <a:avLst/>
                        </a:prstGeom>
                        <a:ln w="12700">
                          <a:solidFill>
                            <a:srgbClr val="5B9BD4"/>
                          </a:solidFill>
                          <a:prstDash val="solid"/>
                        </a:ln>
                      </wps:spPr>
                      <wps:txbx>
                        <w:txbxContent>
                          <w:p w14:paraId="3ECEB3DE">
                            <w:pPr>
                              <w:spacing w:before="74" w:line="319" w:lineRule="exact"/>
                              <w:ind w:left="146"/>
                              <w:rPr>
                                <w:b/>
                                <w:sz w:val="28"/>
                              </w:rPr>
                            </w:pPr>
                            <w:r>
                              <w:rPr>
                                <w:b/>
                                <w:sz w:val="28"/>
                              </w:rPr>
                              <w:t>Критерий</w:t>
                            </w:r>
                            <w:r>
                              <w:rPr>
                                <w:b/>
                                <w:spacing w:val="-13"/>
                                <w:sz w:val="28"/>
                              </w:rPr>
                              <w:t xml:space="preserve"> </w:t>
                            </w:r>
                            <w:r>
                              <w:rPr>
                                <w:b/>
                                <w:spacing w:val="-2"/>
                                <w:sz w:val="28"/>
                              </w:rPr>
                              <w:t>исключения:</w:t>
                            </w:r>
                          </w:p>
                          <w:p w14:paraId="1AD72E55">
                            <w:pPr>
                              <w:pStyle w:val="7"/>
                              <w:numPr>
                                <w:ilvl w:val="0"/>
                                <w:numId w:val="15"/>
                              </w:numPr>
                              <w:tabs>
                                <w:tab w:val="left" w:pos="308"/>
                              </w:tabs>
                              <w:ind w:right="188" w:firstLine="0"/>
                              <w:jc w:val="left"/>
                            </w:pPr>
                            <w:r>
                              <w:t>тяжелая</w:t>
                            </w:r>
                            <w:r>
                              <w:rPr>
                                <w:spacing w:val="-12"/>
                              </w:rPr>
                              <w:t xml:space="preserve"> </w:t>
                            </w:r>
                            <w:r>
                              <w:t>сопутствующая</w:t>
                            </w:r>
                            <w:r>
                              <w:rPr>
                                <w:spacing w:val="-12"/>
                              </w:rPr>
                              <w:t xml:space="preserve"> </w:t>
                            </w:r>
                            <w:r>
                              <w:t>патология</w:t>
                            </w:r>
                            <w:r>
                              <w:rPr>
                                <w:spacing w:val="-12"/>
                              </w:rPr>
                              <w:t xml:space="preserve"> </w:t>
                            </w:r>
                            <w:r>
                              <w:t>(тяжелые</w:t>
                            </w:r>
                            <w:r>
                              <w:rPr>
                                <w:spacing w:val="-12"/>
                              </w:rPr>
                              <w:t xml:space="preserve"> </w:t>
                            </w:r>
                            <w:r>
                              <w:t>хронические заболевания печени, почек, легких или сердца)</w:t>
                            </w:r>
                          </w:p>
                          <w:p w14:paraId="4C192ED2">
                            <w:pPr>
                              <w:pStyle w:val="7"/>
                              <w:numPr>
                                <w:ilvl w:val="0"/>
                                <w:numId w:val="15"/>
                              </w:numPr>
                              <w:tabs>
                                <w:tab w:val="left" w:pos="308"/>
                              </w:tabs>
                              <w:spacing w:line="321" w:lineRule="exact"/>
                              <w:ind w:left="308" w:hanging="162"/>
                              <w:jc w:val="left"/>
                            </w:pPr>
                            <w:r>
                              <w:t>отказ</w:t>
                            </w:r>
                            <w:r>
                              <w:rPr>
                                <w:spacing w:val="-4"/>
                              </w:rPr>
                              <w:t xml:space="preserve"> </w:t>
                            </w:r>
                            <w:r>
                              <w:t>от</w:t>
                            </w:r>
                            <w:r>
                              <w:rPr>
                                <w:spacing w:val="-2"/>
                              </w:rPr>
                              <w:t xml:space="preserve"> участия.</w:t>
                            </w:r>
                          </w:p>
                          <w:p w14:paraId="7D26141D">
                            <w:pPr>
                              <w:pStyle w:val="7"/>
                              <w:numPr>
                                <w:ilvl w:val="0"/>
                                <w:numId w:val="15"/>
                              </w:numPr>
                              <w:tabs>
                                <w:tab w:val="left" w:pos="308"/>
                              </w:tabs>
                              <w:ind w:left="308" w:hanging="162"/>
                              <w:jc w:val="left"/>
                            </w:pPr>
                            <w:r>
                              <w:t>повторные</w:t>
                            </w:r>
                            <w:r>
                              <w:rPr>
                                <w:spacing w:val="-8"/>
                              </w:rPr>
                              <w:t xml:space="preserve"> </w:t>
                            </w:r>
                            <w:r>
                              <w:t>операции</w:t>
                            </w:r>
                            <w:r>
                              <w:rPr>
                                <w:spacing w:val="-9"/>
                              </w:rPr>
                              <w:t xml:space="preserve"> </w:t>
                            </w:r>
                            <w:r>
                              <w:t>на</w:t>
                            </w:r>
                            <w:r>
                              <w:rPr>
                                <w:spacing w:val="-8"/>
                              </w:rPr>
                              <w:t xml:space="preserve"> </w:t>
                            </w:r>
                            <w:r>
                              <w:t>поджелудочной</w:t>
                            </w:r>
                            <w:r>
                              <w:rPr>
                                <w:spacing w:val="-8"/>
                              </w:rPr>
                              <w:t xml:space="preserve"> </w:t>
                            </w:r>
                            <w:r>
                              <w:rPr>
                                <w:spacing w:val="-2"/>
                              </w:rPr>
                              <w:t>железе;</w:t>
                            </w:r>
                          </w:p>
                        </w:txbxContent>
                      </wps:txbx>
                      <wps:bodyPr wrap="square" lIns="0" tIns="0" rIns="0" bIns="0" rtlCol="0">
                        <a:noAutofit/>
                      </wps:bodyPr>
                    </wps:wsp>
                  </a:graphicData>
                </a:graphic>
              </wp:anchor>
            </w:drawing>
          </mc:Choice>
          <mc:Fallback>
            <w:pict>
              <v:shape id="Textbox 32" o:spid="_x0000_s1026" o:spt="202" type="#_x0000_t202" style="position:absolute;left:0pt;margin-left:448.75pt;margin-top:19.35pt;height:93.75pt;width:373.4pt;mso-position-horizontal-relative:page;mso-wrap-distance-bottom:0pt;mso-wrap-distance-top:0pt;z-index:-251644928;mso-width-relative:page;mso-height-relative:page;" filled="f" stroked="t" coordsize="21600,21600" o:gfxdata="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hwD4&#10;2wAAAAsBAAAPAAAAAAAAAAEAIAAAACIAAABkcnMvZG93bnJldi54bWxQSwECFAAUAAAACACHTuJA&#10;Yr/g7eUBAADbAwAADgAAAAAAAAABACAAAAAqAQAAZHJzL2Uyb0RvYy54bWxQSwUGAAAAAAYABgBZ&#10;AQAAgQUAAAAA&#10;">
                <v:fill on="f" focussize="0,0"/>
                <v:stroke weight="1pt" color="#5B9BD4" joinstyle="round"/>
                <v:imagedata o:title=""/>
                <o:lock v:ext="edit" aspectratio="f"/>
                <v:textbox inset="0mm,0mm,0mm,0mm">
                  <w:txbxContent>
                    <w:p w14:paraId="3ECEB3DE">
                      <w:pPr>
                        <w:spacing w:before="74" w:line="319" w:lineRule="exact"/>
                        <w:ind w:left="146"/>
                        <w:rPr>
                          <w:b/>
                          <w:sz w:val="28"/>
                        </w:rPr>
                      </w:pPr>
                      <w:r>
                        <w:rPr>
                          <w:b/>
                          <w:sz w:val="28"/>
                        </w:rPr>
                        <w:t>Критерий</w:t>
                      </w:r>
                      <w:r>
                        <w:rPr>
                          <w:b/>
                          <w:spacing w:val="-13"/>
                          <w:sz w:val="28"/>
                        </w:rPr>
                        <w:t xml:space="preserve"> </w:t>
                      </w:r>
                      <w:r>
                        <w:rPr>
                          <w:b/>
                          <w:spacing w:val="-2"/>
                          <w:sz w:val="28"/>
                        </w:rPr>
                        <w:t>исключения:</w:t>
                      </w:r>
                    </w:p>
                    <w:p w14:paraId="1AD72E55">
                      <w:pPr>
                        <w:pStyle w:val="7"/>
                        <w:numPr>
                          <w:ilvl w:val="0"/>
                          <w:numId w:val="15"/>
                        </w:numPr>
                        <w:tabs>
                          <w:tab w:val="left" w:pos="308"/>
                        </w:tabs>
                        <w:ind w:right="188" w:firstLine="0"/>
                        <w:jc w:val="left"/>
                      </w:pPr>
                      <w:r>
                        <w:t>тяжелая</w:t>
                      </w:r>
                      <w:r>
                        <w:rPr>
                          <w:spacing w:val="-12"/>
                        </w:rPr>
                        <w:t xml:space="preserve"> </w:t>
                      </w:r>
                      <w:r>
                        <w:t>сопутствующая</w:t>
                      </w:r>
                      <w:r>
                        <w:rPr>
                          <w:spacing w:val="-12"/>
                        </w:rPr>
                        <w:t xml:space="preserve"> </w:t>
                      </w:r>
                      <w:r>
                        <w:t>патология</w:t>
                      </w:r>
                      <w:r>
                        <w:rPr>
                          <w:spacing w:val="-12"/>
                        </w:rPr>
                        <w:t xml:space="preserve"> </w:t>
                      </w:r>
                      <w:r>
                        <w:t>(тяжелые</w:t>
                      </w:r>
                      <w:r>
                        <w:rPr>
                          <w:spacing w:val="-12"/>
                        </w:rPr>
                        <w:t xml:space="preserve"> </w:t>
                      </w:r>
                      <w:r>
                        <w:t>хронические заболевания печени, почек, легких или сердца)</w:t>
                      </w:r>
                    </w:p>
                    <w:p w14:paraId="4C192ED2">
                      <w:pPr>
                        <w:pStyle w:val="7"/>
                        <w:numPr>
                          <w:ilvl w:val="0"/>
                          <w:numId w:val="15"/>
                        </w:numPr>
                        <w:tabs>
                          <w:tab w:val="left" w:pos="308"/>
                        </w:tabs>
                        <w:spacing w:line="321" w:lineRule="exact"/>
                        <w:ind w:left="308" w:hanging="162"/>
                        <w:jc w:val="left"/>
                      </w:pPr>
                      <w:r>
                        <w:t>отказ</w:t>
                      </w:r>
                      <w:r>
                        <w:rPr>
                          <w:spacing w:val="-4"/>
                        </w:rPr>
                        <w:t xml:space="preserve"> </w:t>
                      </w:r>
                      <w:r>
                        <w:t>от</w:t>
                      </w:r>
                      <w:r>
                        <w:rPr>
                          <w:spacing w:val="-2"/>
                        </w:rPr>
                        <w:t xml:space="preserve"> участия.</w:t>
                      </w:r>
                    </w:p>
                    <w:p w14:paraId="7D26141D">
                      <w:pPr>
                        <w:pStyle w:val="7"/>
                        <w:numPr>
                          <w:ilvl w:val="0"/>
                          <w:numId w:val="15"/>
                        </w:numPr>
                        <w:tabs>
                          <w:tab w:val="left" w:pos="308"/>
                        </w:tabs>
                        <w:ind w:left="308" w:hanging="162"/>
                        <w:jc w:val="left"/>
                      </w:pPr>
                      <w:r>
                        <w:t>повторные</w:t>
                      </w:r>
                      <w:r>
                        <w:rPr>
                          <w:spacing w:val="-8"/>
                        </w:rPr>
                        <w:t xml:space="preserve"> </w:t>
                      </w:r>
                      <w:r>
                        <w:t>операции</w:t>
                      </w:r>
                      <w:r>
                        <w:rPr>
                          <w:spacing w:val="-9"/>
                        </w:rPr>
                        <w:t xml:space="preserve"> </w:t>
                      </w:r>
                      <w:r>
                        <w:t>на</w:t>
                      </w:r>
                      <w:r>
                        <w:rPr>
                          <w:spacing w:val="-8"/>
                        </w:rPr>
                        <w:t xml:space="preserve"> </w:t>
                      </w:r>
                      <w:r>
                        <w:t>поджелудочной</w:t>
                      </w:r>
                      <w:r>
                        <w:rPr>
                          <w:spacing w:val="-8"/>
                        </w:rPr>
                        <w:t xml:space="preserve"> </w:t>
                      </w:r>
                      <w:r>
                        <w:rPr>
                          <w:spacing w:val="-2"/>
                        </w:rPr>
                        <w:t>железе;</w:t>
                      </w:r>
                    </w:p>
                  </w:txbxContent>
                </v:textbox>
                <w10:wrap type="topAndBottom"/>
              </v:shape>
            </w:pict>
          </mc:Fallback>
        </mc:AlternateContent>
      </w:r>
    </w:p>
    <w:p w14:paraId="745433F5">
      <w:pPr>
        <w:pStyle w:val="7"/>
        <w:spacing w:before="317"/>
        <w:ind w:left="0" w:right="284" w:firstLine="0"/>
        <w:jc w:val="center"/>
      </w:pPr>
      <w:r>
        <w:t>Рисунок</w:t>
      </w:r>
      <w:r>
        <w:rPr>
          <w:spacing w:val="-6"/>
        </w:rPr>
        <w:t xml:space="preserve"> </w:t>
      </w:r>
      <w:r>
        <w:t>7</w:t>
      </w:r>
      <w:r>
        <w:rPr>
          <w:spacing w:val="-4"/>
        </w:rPr>
        <w:t xml:space="preserve"> </w:t>
      </w:r>
      <w:r>
        <w:t>–</w:t>
      </w:r>
      <w:r>
        <w:rPr>
          <w:spacing w:val="-3"/>
        </w:rPr>
        <w:t xml:space="preserve"> </w:t>
      </w:r>
      <w:r>
        <w:t>Дизайн</w:t>
      </w:r>
      <w:r>
        <w:rPr>
          <w:spacing w:val="-5"/>
        </w:rPr>
        <w:t xml:space="preserve"> </w:t>
      </w:r>
      <w:r>
        <w:rPr>
          <w:spacing w:val="-2"/>
        </w:rPr>
        <w:t>исследования</w:t>
      </w:r>
    </w:p>
    <w:p w14:paraId="5D5A293A">
      <w:pPr>
        <w:pStyle w:val="7"/>
        <w:jc w:val="center"/>
        <w:sectPr>
          <w:footerReference r:id="rId5" w:type="default"/>
          <w:pgSz w:w="16840" w:h="11910" w:orient="landscape"/>
          <w:pgMar w:top="1340" w:right="283" w:bottom="1200" w:left="566" w:header="0" w:footer="1005" w:gutter="0"/>
          <w:cols w:space="720" w:num="1"/>
        </w:sectPr>
      </w:pPr>
    </w:p>
    <w:p w14:paraId="66EC6D36">
      <w:pPr>
        <w:pStyle w:val="7"/>
        <w:spacing w:before="67"/>
        <w:ind w:left="0" w:firstLine="0"/>
        <w:jc w:val="left"/>
      </w:pPr>
      <w:r>
        <w:t>Таблица</w:t>
      </w:r>
      <w:r>
        <w:rPr>
          <w:spacing w:val="-11"/>
        </w:rPr>
        <w:t xml:space="preserve"> </w:t>
      </w:r>
      <w:r>
        <w:t>3</w:t>
      </w:r>
      <w:r>
        <w:rPr>
          <w:spacing w:val="-10"/>
        </w:rPr>
        <w:t xml:space="preserve"> </w:t>
      </w:r>
      <w:r>
        <w:t>–</w:t>
      </w:r>
      <w:r>
        <w:rPr>
          <w:spacing w:val="-10"/>
        </w:rPr>
        <w:t xml:space="preserve"> </w:t>
      </w:r>
      <w:r>
        <w:t>Программа</w:t>
      </w:r>
      <w:r>
        <w:rPr>
          <w:spacing w:val="-11"/>
        </w:rPr>
        <w:t xml:space="preserve"> </w:t>
      </w:r>
      <w:r>
        <w:t>исследования</w:t>
      </w:r>
      <w:r>
        <w:rPr>
          <w:spacing w:val="-10"/>
        </w:rPr>
        <w:t xml:space="preserve"> </w:t>
      </w:r>
      <w:r>
        <w:t>диссертационной</w:t>
      </w:r>
      <w:r>
        <w:rPr>
          <w:spacing w:val="-12"/>
        </w:rPr>
        <w:t xml:space="preserve"> </w:t>
      </w:r>
      <w:r>
        <w:rPr>
          <w:spacing w:val="-2"/>
        </w:rPr>
        <w:t>работы</w:t>
      </w:r>
    </w:p>
    <w:p w14:paraId="172693FA">
      <w:pPr>
        <w:pStyle w:val="7"/>
        <w:spacing w:before="99"/>
        <w:ind w:left="0" w:firstLine="0"/>
        <w:jc w:val="left"/>
        <w:rPr>
          <w:sz w:val="20"/>
        </w:rPr>
      </w:pPr>
    </w:p>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94"/>
        <w:gridCol w:w="2022"/>
        <w:gridCol w:w="2209"/>
        <w:gridCol w:w="1714"/>
      </w:tblGrid>
      <w:tr w14:paraId="65DD9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3694" w:type="dxa"/>
          </w:tcPr>
          <w:p w14:paraId="3E078BC0">
            <w:pPr>
              <w:pStyle w:val="11"/>
              <w:spacing w:line="315" w:lineRule="exact"/>
              <w:ind w:left="4" w:right="4"/>
              <w:rPr>
                <w:sz w:val="24"/>
                <w:szCs w:val="24"/>
              </w:rPr>
            </w:pPr>
            <w:r>
              <w:rPr>
                <w:sz w:val="24"/>
                <w:szCs w:val="24"/>
              </w:rPr>
              <w:t>Задачи</w:t>
            </w:r>
            <w:r>
              <w:rPr>
                <w:spacing w:val="-7"/>
                <w:sz w:val="24"/>
                <w:szCs w:val="24"/>
              </w:rPr>
              <w:t xml:space="preserve"> </w:t>
            </w:r>
            <w:r>
              <w:rPr>
                <w:spacing w:val="-2"/>
                <w:sz w:val="24"/>
                <w:szCs w:val="24"/>
              </w:rPr>
              <w:t>исследования</w:t>
            </w:r>
          </w:p>
        </w:tc>
        <w:tc>
          <w:tcPr>
            <w:tcW w:w="2022" w:type="dxa"/>
          </w:tcPr>
          <w:p w14:paraId="42892BDA">
            <w:pPr>
              <w:pStyle w:val="11"/>
              <w:spacing w:line="315" w:lineRule="exact"/>
              <w:ind w:left="325"/>
              <w:jc w:val="left"/>
              <w:rPr>
                <w:sz w:val="24"/>
                <w:szCs w:val="24"/>
              </w:rPr>
            </w:pPr>
            <w:r>
              <w:rPr>
                <w:spacing w:val="-2"/>
                <w:sz w:val="24"/>
                <w:szCs w:val="24"/>
              </w:rPr>
              <w:t>Материалы</w:t>
            </w:r>
          </w:p>
          <w:p w14:paraId="236421A4">
            <w:pPr>
              <w:pStyle w:val="11"/>
              <w:spacing w:before="4"/>
              <w:ind w:left="191"/>
              <w:jc w:val="left"/>
              <w:rPr>
                <w:sz w:val="24"/>
                <w:szCs w:val="24"/>
              </w:rPr>
            </w:pPr>
            <w:r>
              <w:rPr>
                <w:spacing w:val="-2"/>
                <w:sz w:val="24"/>
                <w:szCs w:val="24"/>
              </w:rPr>
              <w:t>исследования</w:t>
            </w:r>
          </w:p>
        </w:tc>
        <w:tc>
          <w:tcPr>
            <w:tcW w:w="2209" w:type="dxa"/>
          </w:tcPr>
          <w:p w14:paraId="536B4314">
            <w:pPr>
              <w:pStyle w:val="11"/>
              <w:spacing w:line="315" w:lineRule="exact"/>
              <w:ind w:left="3" w:right="2"/>
              <w:rPr>
                <w:sz w:val="24"/>
                <w:szCs w:val="24"/>
              </w:rPr>
            </w:pPr>
            <w:r>
              <w:rPr>
                <w:spacing w:val="-2"/>
                <w:sz w:val="24"/>
                <w:szCs w:val="24"/>
              </w:rPr>
              <w:t>Методы</w:t>
            </w:r>
          </w:p>
          <w:p w14:paraId="54F94070">
            <w:pPr>
              <w:pStyle w:val="11"/>
              <w:spacing w:before="4"/>
              <w:ind w:left="3" w:right="3"/>
              <w:rPr>
                <w:sz w:val="24"/>
                <w:szCs w:val="24"/>
              </w:rPr>
            </w:pPr>
            <w:r>
              <w:rPr>
                <w:spacing w:val="-2"/>
                <w:sz w:val="24"/>
                <w:szCs w:val="24"/>
              </w:rPr>
              <w:t>исследования</w:t>
            </w:r>
          </w:p>
        </w:tc>
        <w:tc>
          <w:tcPr>
            <w:tcW w:w="1714" w:type="dxa"/>
          </w:tcPr>
          <w:p w14:paraId="7929F149">
            <w:pPr>
              <w:pStyle w:val="11"/>
              <w:spacing w:line="315" w:lineRule="exact"/>
              <w:ind w:left="253"/>
              <w:jc w:val="left"/>
              <w:rPr>
                <w:sz w:val="24"/>
                <w:szCs w:val="24"/>
              </w:rPr>
            </w:pPr>
            <w:r>
              <w:rPr>
                <w:spacing w:val="-2"/>
                <w:sz w:val="24"/>
                <w:szCs w:val="24"/>
              </w:rPr>
              <w:t>Результаты</w:t>
            </w:r>
          </w:p>
          <w:p w14:paraId="591A6D3D">
            <w:pPr>
              <w:pStyle w:val="11"/>
              <w:spacing w:before="4"/>
              <w:ind w:left="114"/>
              <w:jc w:val="left"/>
              <w:rPr>
                <w:sz w:val="24"/>
                <w:szCs w:val="24"/>
              </w:rPr>
            </w:pPr>
            <w:r>
              <w:rPr>
                <w:spacing w:val="-2"/>
                <w:sz w:val="24"/>
                <w:szCs w:val="24"/>
              </w:rPr>
              <w:t>исследования</w:t>
            </w:r>
          </w:p>
        </w:tc>
      </w:tr>
      <w:tr w14:paraId="13842A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94" w:type="dxa"/>
          </w:tcPr>
          <w:p w14:paraId="7FF9B80D">
            <w:pPr>
              <w:pStyle w:val="11"/>
              <w:spacing w:line="302" w:lineRule="exact"/>
              <w:ind w:left="4"/>
              <w:rPr>
                <w:sz w:val="24"/>
                <w:szCs w:val="24"/>
              </w:rPr>
            </w:pPr>
            <w:r>
              <w:rPr>
                <w:spacing w:val="-10"/>
                <w:sz w:val="24"/>
                <w:szCs w:val="24"/>
              </w:rPr>
              <w:t>1</w:t>
            </w:r>
          </w:p>
        </w:tc>
        <w:tc>
          <w:tcPr>
            <w:tcW w:w="2022" w:type="dxa"/>
          </w:tcPr>
          <w:p w14:paraId="2A16B57F">
            <w:pPr>
              <w:pStyle w:val="11"/>
              <w:spacing w:line="302" w:lineRule="exact"/>
              <w:ind w:right="1"/>
              <w:rPr>
                <w:sz w:val="24"/>
                <w:szCs w:val="24"/>
              </w:rPr>
            </w:pPr>
            <w:r>
              <w:rPr>
                <w:spacing w:val="-10"/>
                <w:sz w:val="24"/>
                <w:szCs w:val="24"/>
              </w:rPr>
              <w:t>2</w:t>
            </w:r>
          </w:p>
        </w:tc>
        <w:tc>
          <w:tcPr>
            <w:tcW w:w="2209" w:type="dxa"/>
          </w:tcPr>
          <w:p w14:paraId="443D9CD5">
            <w:pPr>
              <w:pStyle w:val="11"/>
              <w:spacing w:line="302" w:lineRule="exact"/>
              <w:ind w:left="3"/>
              <w:rPr>
                <w:sz w:val="24"/>
                <w:szCs w:val="24"/>
              </w:rPr>
            </w:pPr>
            <w:r>
              <w:rPr>
                <w:spacing w:val="-10"/>
                <w:sz w:val="24"/>
                <w:szCs w:val="24"/>
              </w:rPr>
              <w:t>3</w:t>
            </w:r>
          </w:p>
        </w:tc>
        <w:tc>
          <w:tcPr>
            <w:tcW w:w="1714" w:type="dxa"/>
          </w:tcPr>
          <w:p w14:paraId="0AB66D1A">
            <w:pPr>
              <w:pStyle w:val="11"/>
              <w:spacing w:line="302" w:lineRule="exact"/>
              <w:ind w:left="7"/>
              <w:rPr>
                <w:sz w:val="24"/>
                <w:szCs w:val="24"/>
              </w:rPr>
            </w:pPr>
            <w:r>
              <w:rPr>
                <w:spacing w:val="-10"/>
                <w:sz w:val="24"/>
                <w:szCs w:val="24"/>
              </w:rPr>
              <w:t>4</w:t>
            </w:r>
          </w:p>
        </w:tc>
      </w:tr>
      <w:tr w14:paraId="479EC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8" w:hRule="atLeast"/>
        </w:trPr>
        <w:tc>
          <w:tcPr>
            <w:tcW w:w="3694" w:type="dxa"/>
          </w:tcPr>
          <w:p w14:paraId="505109DB">
            <w:pPr>
              <w:pStyle w:val="11"/>
              <w:spacing w:line="240" w:lineRule="auto"/>
              <w:ind w:left="110" w:right="240"/>
              <w:jc w:val="left"/>
              <w:rPr>
                <w:sz w:val="24"/>
                <w:szCs w:val="24"/>
              </w:rPr>
            </w:pPr>
            <w:r>
              <w:rPr>
                <w:spacing w:val="-2"/>
                <w:sz w:val="24"/>
                <w:szCs w:val="24"/>
              </w:rPr>
              <w:t xml:space="preserve">проведение литературного </w:t>
            </w:r>
            <w:r>
              <w:rPr>
                <w:sz w:val="24"/>
                <w:szCs w:val="24"/>
              </w:rPr>
              <w:t xml:space="preserve">обзора и анализ современных подходов к </w:t>
            </w:r>
            <w:r>
              <w:rPr>
                <w:spacing w:val="-2"/>
                <w:sz w:val="24"/>
                <w:szCs w:val="24"/>
              </w:rPr>
              <w:t xml:space="preserve">профилактике </w:t>
            </w:r>
            <w:r>
              <w:rPr>
                <w:sz w:val="24"/>
                <w:szCs w:val="24"/>
              </w:rPr>
              <w:t>панкреатических свищей</w:t>
            </w:r>
          </w:p>
        </w:tc>
        <w:tc>
          <w:tcPr>
            <w:tcW w:w="2022" w:type="dxa"/>
          </w:tcPr>
          <w:p w14:paraId="4FF3F68B">
            <w:pPr>
              <w:pStyle w:val="11"/>
              <w:spacing w:line="240" w:lineRule="auto"/>
              <w:ind w:left="104" w:right="56"/>
              <w:jc w:val="left"/>
              <w:rPr>
                <w:sz w:val="24"/>
                <w:szCs w:val="24"/>
              </w:rPr>
            </w:pPr>
            <w:r>
              <w:rPr>
                <w:spacing w:val="-2"/>
                <w:sz w:val="24"/>
                <w:szCs w:val="24"/>
              </w:rPr>
              <w:t xml:space="preserve">диссертации отечественных </w:t>
            </w:r>
            <w:r>
              <w:rPr>
                <w:sz w:val="24"/>
                <w:szCs w:val="24"/>
              </w:rPr>
              <w:t xml:space="preserve">и зарубежных </w:t>
            </w:r>
            <w:r>
              <w:rPr>
                <w:spacing w:val="-2"/>
                <w:sz w:val="24"/>
                <w:szCs w:val="24"/>
              </w:rPr>
              <w:t>авторов.</w:t>
            </w:r>
          </w:p>
          <w:p w14:paraId="5D46001F">
            <w:pPr>
              <w:pStyle w:val="11"/>
              <w:spacing w:line="240" w:lineRule="auto"/>
              <w:ind w:left="104" w:right="133"/>
              <w:jc w:val="left"/>
              <w:rPr>
                <w:sz w:val="24"/>
                <w:szCs w:val="24"/>
              </w:rPr>
            </w:pPr>
            <w:r>
              <w:rPr>
                <w:sz w:val="24"/>
                <w:szCs w:val="24"/>
              </w:rPr>
              <w:t>Статьи</w:t>
            </w:r>
            <w:r>
              <w:rPr>
                <w:spacing w:val="-7"/>
                <w:sz w:val="24"/>
                <w:szCs w:val="24"/>
              </w:rPr>
              <w:t xml:space="preserve"> </w:t>
            </w:r>
            <w:r>
              <w:rPr>
                <w:sz w:val="24"/>
                <w:szCs w:val="24"/>
              </w:rPr>
              <w:t>в</w:t>
            </w:r>
            <w:r>
              <w:rPr>
                <w:spacing w:val="-8"/>
                <w:sz w:val="24"/>
                <w:szCs w:val="24"/>
              </w:rPr>
              <w:t xml:space="preserve"> </w:t>
            </w:r>
            <w:r>
              <w:rPr>
                <w:sz w:val="24"/>
                <w:szCs w:val="24"/>
              </w:rPr>
              <w:t xml:space="preserve">базах </w:t>
            </w:r>
            <w:r>
              <w:rPr>
                <w:spacing w:val="-2"/>
                <w:sz w:val="24"/>
                <w:szCs w:val="24"/>
              </w:rPr>
              <w:t xml:space="preserve">данных Сoсhrаnе Librаry, PubMеd, Mеdlinе Сomplеtе, </w:t>
            </w:r>
            <w:r>
              <w:rPr>
                <w:sz w:val="24"/>
                <w:szCs w:val="24"/>
              </w:rPr>
              <w:t xml:space="preserve">Wilеy Onlinе </w:t>
            </w:r>
            <w:r>
              <w:rPr>
                <w:spacing w:val="-2"/>
                <w:sz w:val="24"/>
                <w:szCs w:val="24"/>
              </w:rPr>
              <w:t xml:space="preserve">Librаry, </w:t>
            </w:r>
            <w:r>
              <w:rPr>
                <w:sz w:val="24"/>
                <w:szCs w:val="24"/>
              </w:rPr>
              <w:t>Springеr Link, Googlе</w:t>
            </w:r>
            <w:r>
              <w:rPr>
                <w:spacing w:val="-18"/>
                <w:sz w:val="24"/>
                <w:szCs w:val="24"/>
              </w:rPr>
              <w:t xml:space="preserve"> </w:t>
            </w:r>
            <w:r>
              <w:rPr>
                <w:sz w:val="24"/>
                <w:szCs w:val="24"/>
              </w:rPr>
              <w:t xml:space="preserve">sсholаr, </w:t>
            </w:r>
            <w:r>
              <w:rPr>
                <w:spacing w:val="-2"/>
                <w:sz w:val="24"/>
                <w:szCs w:val="24"/>
              </w:rPr>
              <w:t xml:space="preserve">еLibrаry, опубликованн </w:t>
            </w:r>
            <w:r>
              <w:rPr>
                <w:sz w:val="24"/>
                <w:szCs w:val="24"/>
              </w:rPr>
              <w:t>ые в период с 2015 по 2025</w:t>
            </w:r>
          </w:p>
          <w:p w14:paraId="617F85FE">
            <w:pPr>
              <w:pStyle w:val="11"/>
              <w:spacing w:line="309" w:lineRule="exact"/>
              <w:ind w:left="104"/>
              <w:jc w:val="left"/>
              <w:rPr>
                <w:sz w:val="24"/>
                <w:szCs w:val="24"/>
              </w:rPr>
            </w:pPr>
            <w:r>
              <w:rPr>
                <w:spacing w:val="-5"/>
                <w:sz w:val="24"/>
                <w:szCs w:val="24"/>
              </w:rPr>
              <w:t>гг.</w:t>
            </w:r>
          </w:p>
        </w:tc>
        <w:tc>
          <w:tcPr>
            <w:tcW w:w="2209" w:type="dxa"/>
          </w:tcPr>
          <w:p w14:paraId="74444E37">
            <w:pPr>
              <w:pStyle w:val="11"/>
              <w:spacing w:line="315" w:lineRule="exact"/>
              <w:ind w:left="104"/>
              <w:jc w:val="left"/>
              <w:rPr>
                <w:sz w:val="24"/>
                <w:szCs w:val="24"/>
              </w:rPr>
            </w:pPr>
            <w:r>
              <w:rPr>
                <w:spacing w:val="-2"/>
                <w:sz w:val="24"/>
                <w:szCs w:val="24"/>
              </w:rPr>
              <w:t>информационно</w:t>
            </w:r>
          </w:p>
          <w:p w14:paraId="7B79983A">
            <w:pPr>
              <w:pStyle w:val="11"/>
              <w:spacing w:line="240" w:lineRule="auto"/>
              <w:ind w:left="104"/>
              <w:jc w:val="left"/>
              <w:rPr>
                <w:sz w:val="24"/>
                <w:szCs w:val="24"/>
              </w:rPr>
            </w:pPr>
            <w:r>
              <w:rPr>
                <w:spacing w:val="-4"/>
                <w:sz w:val="24"/>
                <w:szCs w:val="24"/>
              </w:rPr>
              <w:t>-</w:t>
            </w:r>
            <w:r>
              <w:rPr>
                <w:spacing w:val="-2"/>
                <w:sz w:val="24"/>
                <w:szCs w:val="24"/>
              </w:rPr>
              <w:t>аналитический</w:t>
            </w:r>
          </w:p>
        </w:tc>
        <w:tc>
          <w:tcPr>
            <w:tcW w:w="1714" w:type="dxa"/>
          </w:tcPr>
          <w:p w14:paraId="02D1D9D7">
            <w:pPr>
              <w:pStyle w:val="11"/>
              <w:spacing w:line="240" w:lineRule="auto"/>
              <w:ind w:left="109" w:right="127"/>
              <w:jc w:val="left"/>
              <w:rPr>
                <w:sz w:val="24"/>
                <w:szCs w:val="24"/>
              </w:rPr>
            </w:pPr>
            <w:r>
              <w:rPr>
                <w:spacing w:val="-2"/>
                <w:sz w:val="24"/>
                <w:szCs w:val="24"/>
              </w:rPr>
              <w:t xml:space="preserve">систематизац </w:t>
            </w:r>
            <w:r>
              <w:rPr>
                <w:sz w:val="24"/>
                <w:szCs w:val="24"/>
              </w:rPr>
              <w:t xml:space="preserve">ия данных, </w:t>
            </w:r>
            <w:r>
              <w:rPr>
                <w:spacing w:val="-2"/>
                <w:sz w:val="24"/>
                <w:szCs w:val="24"/>
              </w:rPr>
              <w:t xml:space="preserve">идентификац </w:t>
            </w:r>
            <w:r>
              <w:rPr>
                <w:spacing w:val="-6"/>
                <w:sz w:val="24"/>
                <w:szCs w:val="24"/>
              </w:rPr>
              <w:t xml:space="preserve">ия </w:t>
            </w:r>
            <w:r>
              <w:rPr>
                <w:spacing w:val="-2"/>
                <w:sz w:val="24"/>
                <w:szCs w:val="24"/>
              </w:rPr>
              <w:t xml:space="preserve">нерешённых </w:t>
            </w:r>
            <w:r>
              <w:rPr>
                <w:sz w:val="24"/>
                <w:szCs w:val="24"/>
              </w:rPr>
              <w:t xml:space="preserve">вопросов и </w:t>
            </w:r>
            <w:r>
              <w:rPr>
                <w:spacing w:val="-2"/>
                <w:sz w:val="24"/>
                <w:szCs w:val="24"/>
              </w:rPr>
              <w:t xml:space="preserve">пробелов доказательно </w:t>
            </w:r>
            <w:r>
              <w:rPr>
                <w:sz w:val="24"/>
                <w:szCs w:val="24"/>
              </w:rPr>
              <w:t xml:space="preserve">сти - 207 </w:t>
            </w:r>
            <w:r>
              <w:rPr>
                <w:spacing w:val="-2"/>
                <w:sz w:val="24"/>
                <w:szCs w:val="24"/>
              </w:rPr>
              <w:t>литературы</w:t>
            </w:r>
          </w:p>
        </w:tc>
      </w:tr>
      <w:tr w14:paraId="07480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2" w:hRule="atLeast"/>
        </w:trPr>
        <w:tc>
          <w:tcPr>
            <w:tcW w:w="3694" w:type="dxa"/>
            <w:tcBorders>
              <w:bottom w:val="single" w:color="000000" w:sz="4" w:space="0"/>
            </w:tcBorders>
          </w:tcPr>
          <w:p w14:paraId="32710D3B">
            <w:pPr>
              <w:pStyle w:val="11"/>
              <w:spacing w:line="240" w:lineRule="auto"/>
              <w:ind w:left="110" w:right="240"/>
              <w:jc w:val="left"/>
              <w:rPr>
                <w:sz w:val="24"/>
                <w:szCs w:val="24"/>
              </w:rPr>
            </w:pPr>
            <w:r>
              <w:rPr>
                <w:sz w:val="24"/>
                <w:szCs w:val="24"/>
              </w:rPr>
              <w:t>ретроспективный анализ результатов ГПДР при опухолях</w:t>
            </w:r>
            <w:r>
              <w:rPr>
                <w:spacing w:val="-18"/>
                <w:sz w:val="24"/>
                <w:szCs w:val="24"/>
              </w:rPr>
              <w:t xml:space="preserve"> </w:t>
            </w:r>
            <w:r>
              <w:rPr>
                <w:sz w:val="24"/>
                <w:szCs w:val="24"/>
              </w:rPr>
              <w:t xml:space="preserve">периампулярной </w:t>
            </w:r>
            <w:r>
              <w:rPr>
                <w:spacing w:val="-4"/>
                <w:sz w:val="24"/>
                <w:szCs w:val="24"/>
              </w:rPr>
              <w:t>зоны</w:t>
            </w:r>
          </w:p>
        </w:tc>
        <w:tc>
          <w:tcPr>
            <w:tcW w:w="2022" w:type="dxa"/>
            <w:tcBorders>
              <w:bottom w:val="single" w:color="000000" w:sz="4" w:space="0"/>
            </w:tcBorders>
          </w:tcPr>
          <w:p w14:paraId="36157118">
            <w:pPr>
              <w:pStyle w:val="11"/>
              <w:spacing w:line="240" w:lineRule="auto"/>
              <w:ind w:left="104"/>
              <w:jc w:val="left"/>
              <w:rPr>
                <w:sz w:val="24"/>
                <w:szCs w:val="24"/>
              </w:rPr>
            </w:pPr>
            <w:r>
              <w:rPr>
                <w:spacing w:val="-2"/>
                <w:sz w:val="24"/>
                <w:szCs w:val="24"/>
              </w:rPr>
              <w:t xml:space="preserve">пациенты перенесшие </w:t>
            </w:r>
            <w:r>
              <w:rPr>
                <w:sz w:val="24"/>
                <w:szCs w:val="24"/>
              </w:rPr>
              <w:t>ГПДР</w:t>
            </w:r>
            <w:r>
              <w:rPr>
                <w:spacing w:val="-11"/>
                <w:sz w:val="24"/>
                <w:szCs w:val="24"/>
              </w:rPr>
              <w:t xml:space="preserve"> </w:t>
            </w:r>
            <w:r>
              <w:rPr>
                <w:spacing w:val="-4"/>
                <w:sz w:val="24"/>
                <w:szCs w:val="24"/>
              </w:rPr>
              <w:t>2016-</w:t>
            </w:r>
          </w:p>
          <w:p w14:paraId="6FA06555">
            <w:pPr>
              <w:pStyle w:val="11"/>
              <w:spacing w:line="321" w:lineRule="exact"/>
              <w:ind w:left="104"/>
              <w:jc w:val="left"/>
              <w:rPr>
                <w:sz w:val="24"/>
                <w:szCs w:val="24"/>
              </w:rPr>
            </w:pPr>
            <w:r>
              <w:rPr>
                <w:sz w:val="24"/>
                <w:szCs w:val="24"/>
              </w:rPr>
              <w:t>2022</w:t>
            </w:r>
            <w:r>
              <w:rPr>
                <w:spacing w:val="-5"/>
                <w:sz w:val="24"/>
                <w:szCs w:val="24"/>
              </w:rPr>
              <w:t xml:space="preserve"> гг.</w:t>
            </w:r>
          </w:p>
        </w:tc>
        <w:tc>
          <w:tcPr>
            <w:tcW w:w="2209" w:type="dxa"/>
            <w:tcBorders>
              <w:bottom w:val="single" w:color="000000" w:sz="4" w:space="0"/>
            </w:tcBorders>
          </w:tcPr>
          <w:p w14:paraId="775C4FE2">
            <w:pPr>
              <w:pStyle w:val="11"/>
              <w:spacing w:line="240" w:lineRule="auto"/>
              <w:ind w:left="104" w:right="166"/>
              <w:jc w:val="both"/>
              <w:rPr>
                <w:sz w:val="24"/>
                <w:szCs w:val="24"/>
              </w:rPr>
            </w:pPr>
            <w:r>
              <w:rPr>
                <w:spacing w:val="-2"/>
                <w:sz w:val="24"/>
                <w:szCs w:val="24"/>
              </w:rPr>
              <w:t>аналитический, статистический, сравнительный</w:t>
            </w:r>
          </w:p>
        </w:tc>
        <w:tc>
          <w:tcPr>
            <w:tcW w:w="1714" w:type="dxa"/>
            <w:tcBorders>
              <w:bottom w:val="single" w:color="000000" w:sz="4" w:space="0"/>
            </w:tcBorders>
          </w:tcPr>
          <w:p w14:paraId="2B71816C">
            <w:pPr>
              <w:pStyle w:val="11"/>
              <w:spacing w:line="240" w:lineRule="auto"/>
              <w:ind w:left="109" w:right="147"/>
              <w:jc w:val="left"/>
              <w:rPr>
                <w:sz w:val="24"/>
                <w:szCs w:val="24"/>
              </w:rPr>
            </w:pPr>
            <w:r>
              <w:rPr>
                <w:spacing w:val="-2"/>
                <w:sz w:val="24"/>
                <w:szCs w:val="24"/>
              </w:rPr>
              <w:t xml:space="preserve">подтвержден </w:t>
            </w:r>
            <w:r>
              <w:rPr>
                <w:spacing w:val="-10"/>
                <w:sz w:val="24"/>
                <w:szCs w:val="24"/>
              </w:rPr>
              <w:t xml:space="preserve">о </w:t>
            </w:r>
            <w:r>
              <w:rPr>
                <w:spacing w:val="-2"/>
                <w:sz w:val="24"/>
                <w:szCs w:val="24"/>
              </w:rPr>
              <w:t xml:space="preserve">статистическ </w:t>
            </w:r>
            <w:r>
              <w:rPr>
                <w:sz w:val="24"/>
                <w:szCs w:val="24"/>
              </w:rPr>
              <w:t xml:space="preserve">и значимое </w:t>
            </w:r>
            <w:r>
              <w:rPr>
                <w:spacing w:val="-2"/>
                <w:sz w:val="24"/>
                <w:szCs w:val="24"/>
              </w:rPr>
              <w:t xml:space="preserve">снижение частоты клинически значимых </w:t>
            </w:r>
            <w:r>
              <w:rPr>
                <w:spacing w:val="-4"/>
                <w:sz w:val="24"/>
                <w:szCs w:val="24"/>
              </w:rPr>
              <w:t>ПС,</w:t>
            </w:r>
          </w:p>
          <w:p w14:paraId="3C7ECA80">
            <w:pPr>
              <w:pStyle w:val="11"/>
              <w:spacing w:line="240" w:lineRule="auto"/>
              <w:ind w:left="109" w:right="127"/>
              <w:jc w:val="left"/>
              <w:rPr>
                <w:sz w:val="24"/>
                <w:szCs w:val="24"/>
              </w:rPr>
            </w:pPr>
            <w:r>
              <w:rPr>
                <w:spacing w:val="-2"/>
                <w:sz w:val="24"/>
                <w:szCs w:val="24"/>
              </w:rPr>
              <w:t xml:space="preserve">повторных вмешательст </w:t>
            </w:r>
            <w:r>
              <w:rPr>
                <w:sz w:val="24"/>
                <w:szCs w:val="24"/>
              </w:rPr>
              <w:t xml:space="preserve">в и </w:t>
            </w:r>
            <w:r>
              <w:rPr>
                <w:spacing w:val="-2"/>
                <w:sz w:val="24"/>
                <w:szCs w:val="24"/>
              </w:rPr>
              <w:t>летальности</w:t>
            </w:r>
          </w:p>
          <w:p w14:paraId="672B682A">
            <w:pPr>
              <w:pStyle w:val="11"/>
              <w:ind w:left="109"/>
              <w:jc w:val="left"/>
              <w:rPr>
                <w:sz w:val="24"/>
                <w:szCs w:val="24"/>
              </w:rPr>
            </w:pPr>
            <w:r>
              <w:rPr>
                <w:sz w:val="24"/>
                <w:szCs w:val="24"/>
              </w:rPr>
              <w:t>в</w:t>
            </w:r>
            <w:r>
              <w:rPr>
                <w:spacing w:val="-2"/>
                <w:sz w:val="24"/>
                <w:szCs w:val="24"/>
              </w:rPr>
              <w:t xml:space="preserve"> группах</w:t>
            </w:r>
          </w:p>
        </w:tc>
      </w:tr>
      <w:tr w14:paraId="53567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3694" w:type="dxa"/>
            <w:tcBorders>
              <w:bottom w:val="nil"/>
            </w:tcBorders>
          </w:tcPr>
          <w:p w14:paraId="705C475A">
            <w:pPr>
              <w:pStyle w:val="11"/>
              <w:tabs>
                <w:tab w:val="left" w:pos="1798"/>
                <w:tab w:val="left" w:pos="2182"/>
              </w:tabs>
              <w:spacing w:line="240" w:lineRule="auto"/>
              <w:ind w:left="110" w:right="103"/>
              <w:jc w:val="left"/>
              <w:rPr>
                <w:sz w:val="24"/>
                <w:szCs w:val="24"/>
              </w:rPr>
            </w:pPr>
            <w:r>
              <w:rPr>
                <w:sz w:val="24"/>
                <w:szCs w:val="24"/>
              </w:rPr>
              <w:t>выявить</w:t>
            </w:r>
            <w:r>
              <w:rPr>
                <w:spacing w:val="-18"/>
                <w:sz w:val="24"/>
                <w:szCs w:val="24"/>
              </w:rPr>
              <w:t xml:space="preserve"> </w:t>
            </w:r>
            <w:r>
              <w:rPr>
                <w:sz w:val="24"/>
                <w:szCs w:val="24"/>
              </w:rPr>
              <w:t>основные</w:t>
            </w:r>
            <w:r>
              <w:rPr>
                <w:spacing w:val="-17"/>
                <w:sz w:val="24"/>
                <w:szCs w:val="24"/>
              </w:rPr>
              <w:t xml:space="preserve"> </w:t>
            </w:r>
            <w:r>
              <w:rPr>
                <w:sz w:val="24"/>
                <w:szCs w:val="24"/>
              </w:rPr>
              <w:t xml:space="preserve">причины </w:t>
            </w:r>
            <w:r>
              <w:rPr>
                <w:spacing w:val="-2"/>
                <w:sz w:val="24"/>
                <w:szCs w:val="24"/>
              </w:rPr>
              <w:t>послеоперационных осложнений</w:t>
            </w:r>
            <w:r>
              <w:rPr>
                <w:sz w:val="24"/>
                <w:szCs w:val="24"/>
              </w:rPr>
              <w:tab/>
            </w:r>
            <w:r>
              <w:rPr>
                <w:spacing w:val="-10"/>
                <w:sz w:val="24"/>
                <w:szCs w:val="24"/>
              </w:rPr>
              <w:t>и</w:t>
            </w:r>
            <w:r>
              <w:rPr>
                <w:sz w:val="24"/>
                <w:szCs w:val="24"/>
              </w:rPr>
              <w:tab/>
            </w:r>
            <w:r>
              <w:rPr>
                <w:spacing w:val="-2"/>
                <w:sz w:val="24"/>
                <w:szCs w:val="24"/>
              </w:rPr>
              <w:t xml:space="preserve">летальных </w:t>
            </w:r>
            <w:r>
              <w:rPr>
                <w:sz w:val="24"/>
                <w:szCs w:val="24"/>
              </w:rPr>
              <w:t>исходов после ГПДР</w:t>
            </w:r>
          </w:p>
        </w:tc>
        <w:tc>
          <w:tcPr>
            <w:tcW w:w="2022" w:type="dxa"/>
            <w:tcBorders>
              <w:bottom w:val="nil"/>
            </w:tcBorders>
          </w:tcPr>
          <w:p w14:paraId="429B1258">
            <w:pPr>
              <w:pStyle w:val="11"/>
              <w:spacing w:line="240" w:lineRule="auto"/>
              <w:ind w:left="104"/>
              <w:jc w:val="left"/>
              <w:rPr>
                <w:sz w:val="24"/>
                <w:szCs w:val="24"/>
              </w:rPr>
            </w:pPr>
            <w:r>
              <w:rPr>
                <w:spacing w:val="-2"/>
                <w:sz w:val="24"/>
                <w:szCs w:val="24"/>
              </w:rPr>
              <w:t xml:space="preserve">данные ретроспективн </w:t>
            </w:r>
            <w:r>
              <w:rPr>
                <w:sz w:val="24"/>
                <w:szCs w:val="24"/>
              </w:rPr>
              <w:t>ого анализа</w:t>
            </w:r>
          </w:p>
          <w:p w14:paraId="08722D52"/>
          <w:p w14:paraId="29F5F099"/>
          <w:p w14:paraId="1F2A316C">
            <w:pPr>
              <w:rPr>
                <w:lang w:val="kk-KZ"/>
              </w:rPr>
            </w:pPr>
          </w:p>
        </w:tc>
        <w:tc>
          <w:tcPr>
            <w:tcW w:w="2209" w:type="dxa"/>
            <w:tcBorders>
              <w:bottom w:val="nil"/>
            </w:tcBorders>
          </w:tcPr>
          <w:p w14:paraId="30B6BB1A">
            <w:pPr>
              <w:pStyle w:val="11"/>
              <w:spacing w:line="240" w:lineRule="auto"/>
              <w:ind w:left="104" w:right="166"/>
              <w:jc w:val="both"/>
              <w:rPr>
                <w:sz w:val="24"/>
                <w:szCs w:val="24"/>
              </w:rPr>
            </w:pPr>
            <w:r>
              <w:rPr>
                <w:spacing w:val="-2"/>
                <w:sz w:val="24"/>
                <w:szCs w:val="24"/>
              </w:rPr>
              <w:t>аналитический, статистический, сравнительный</w:t>
            </w:r>
          </w:p>
        </w:tc>
        <w:tc>
          <w:tcPr>
            <w:tcW w:w="1714" w:type="dxa"/>
            <w:tcBorders>
              <w:bottom w:val="nil"/>
            </w:tcBorders>
          </w:tcPr>
          <w:p w14:paraId="6D349721">
            <w:pPr>
              <w:pStyle w:val="11"/>
              <w:spacing w:line="240" w:lineRule="auto"/>
              <w:ind w:left="109"/>
              <w:jc w:val="left"/>
              <w:rPr>
                <w:sz w:val="24"/>
                <w:szCs w:val="24"/>
              </w:rPr>
            </w:pPr>
            <w:r>
              <w:rPr>
                <w:spacing w:val="-2"/>
                <w:sz w:val="24"/>
                <w:szCs w:val="24"/>
              </w:rPr>
              <w:t>выделены клинически значимые</w:t>
            </w:r>
          </w:p>
          <w:p w14:paraId="1596C028">
            <w:pPr>
              <w:pStyle w:val="11"/>
              <w:spacing w:line="322" w:lineRule="exact"/>
              <w:ind w:left="109"/>
              <w:jc w:val="left"/>
              <w:rPr>
                <w:sz w:val="24"/>
                <w:szCs w:val="24"/>
              </w:rPr>
            </w:pPr>
            <w:r>
              <w:rPr>
                <w:spacing w:val="-2"/>
                <w:sz w:val="24"/>
                <w:szCs w:val="24"/>
              </w:rPr>
              <w:t xml:space="preserve">предикторы </w:t>
            </w:r>
            <w:r>
              <w:rPr>
                <w:sz w:val="24"/>
                <w:szCs w:val="24"/>
              </w:rPr>
              <w:t>ПС и их</w:t>
            </w:r>
          </w:p>
        </w:tc>
      </w:tr>
    </w:tbl>
    <w:p w14:paraId="376EBC3E">
      <w:pPr>
        <w:pStyle w:val="11"/>
        <w:spacing w:line="322" w:lineRule="exact"/>
        <w:jc w:val="left"/>
        <w:rPr>
          <w:sz w:val="28"/>
        </w:rPr>
        <w:sectPr>
          <w:footerReference r:id="rId6" w:type="default"/>
          <w:pgSz w:w="11910" w:h="16840"/>
          <w:pgMar w:top="1134" w:right="567" w:bottom="1134" w:left="1701" w:header="0" w:footer="1004" w:gutter="0"/>
          <w:pgNumType w:start="45"/>
          <w:cols w:space="720" w:num="1"/>
        </w:sectPr>
      </w:pPr>
    </w:p>
    <w:p w14:paraId="2E386C2B"/>
    <w:p w14:paraId="459A78B3">
      <w:pPr>
        <w:rPr>
          <w:sz w:val="28"/>
          <w:szCs w:val="28"/>
        </w:rPr>
      </w:pPr>
      <w:r>
        <w:rPr>
          <w:sz w:val="28"/>
          <w:szCs w:val="28"/>
        </w:rPr>
        <w:t>Продолжение таблицы 3</w:t>
      </w:r>
    </w:p>
    <w:p w14:paraId="52154504">
      <w:pPr>
        <w:rPr>
          <w:sz w:val="28"/>
          <w:szCs w:val="28"/>
        </w:rPr>
      </w:pPr>
    </w:p>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94"/>
        <w:gridCol w:w="2022"/>
        <w:gridCol w:w="2209"/>
        <w:gridCol w:w="1714"/>
      </w:tblGrid>
      <w:tr w14:paraId="37504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94" w:type="dxa"/>
          </w:tcPr>
          <w:p w14:paraId="15058A11">
            <w:pPr>
              <w:pStyle w:val="11"/>
              <w:spacing w:line="301" w:lineRule="exact"/>
              <w:ind w:left="4"/>
              <w:rPr>
                <w:sz w:val="24"/>
                <w:szCs w:val="24"/>
              </w:rPr>
            </w:pPr>
            <w:r>
              <w:rPr>
                <w:spacing w:val="-10"/>
                <w:sz w:val="24"/>
                <w:szCs w:val="24"/>
              </w:rPr>
              <w:t>1</w:t>
            </w:r>
          </w:p>
        </w:tc>
        <w:tc>
          <w:tcPr>
            <w:tcW w:w="2022" w:type="dxa"/>
          </w:tcPr>
          <w:p w14:paraId="108E58F7">
            <w:pPr>
              <w:pStyle w:val="11"/>
              <w:spacing w:line="301" w:lineRule="exact"/>
              <w:ind w:right="1"/>
              <w:rPr>
                <w:sz w:val="24"/>
                <w:szCs w:val="24"/>
              </w:rPr>
            </w:pPr>
            <w:r>
              <w:rPr>
                <w:spacing w:val="-10"/>
                <w:sz w:val="24"/>
                <w:szCs w:val="24"/>
              </w:rPr>
              <w:t>2</w:t>
            </w:r>
          </w:p>
        </w:tc>
        <w:tc>
          <w:tcPr>
            <w:tcW w:w="2209" w:type="dxa"/>
          </w:tcPr>
          <w:p w14:paraId="3FF7A458">
            <w:pPr>
              <w:pStyle w:val="11"/>
              <w:spacing w:line="301" w:lineRule="exact"/>
              <w:ind w:left="3"/>
              <w:rPr>
                <w:sz w:val="24"/>
                <w:szCs w:val="24"/>
              </w:rPr>
            </w:pPr>
            <w:r>
              <w:rPr>
                <w:spacing w:val="-10"/>
                <w:sz w:val="24"/>
                <w:szCs w:val="24"/>
              </w:rPr>
              <w:t>3</w:t>
            </w:r>
          </w:p>
        </w:tc>
        <w:tc>
          <w:tcPr>
            <w:tcW w:w="1714" w:type="dxa"/>
          </w:tcPr>
          <w:p w14:paraId="1A6888AE">
            <w:pPr>
              <w:pStyle w:val="11"/>
              <w:spacing w:line="301" w:lineRule="exact"/>
              <w:ind w:left="7"/>
              <w:rPr>
                <w:sz w:val="24"/>
                <w:szCs w:val="24"/>
              </w:rPr>
            </w:pPr>
            <w:r>
              <w:rPr>
                <w:spacing w:val="-10"/>
                <w:sz w:val="24"/>
                <w:szCs w:val="24"/>
              </w:rPr>
              <w:t>4</w:t>
            </w:r>
          </w:p>
        </w:tc>
      </w:tr>
      <w:tr w14:paraId="2C738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3694" w:type="dxa"/>
          </w:tcPr>
          <w:p w14:paraId="1D5AA23D">
            <w:pPr>
              <w:pStyle w:val="11"/>
              <w:spacing w:line="240" w:lineRule="auto"/>
              <w:jc w:val="left"/>
              <w:rPr>
                <w:sz w:val="24"/>
                <w:szCs w:val="24"/>
              </w:rPr>
            </w:pPr>
          </w:p>
        </w:tc>
        <w:tc>
          <w:tcPr>
            <w:tcW w:w="2022" w:type="dxa"/>
          </w:tcPr>
          <w:p w14:paraId="390EAF77">
            <w:pPr>
              <w:pStyle w:val="11"/>
              <w:spacing w:line="240" w:lineRule="auto"/>
              <w:jc w:val="left"/>
              <w:rPr>
                <w:sz w:val="24"/>
                <w:szCs w:val="24"/>
              </w:rPr>
            </w:pPr>
          </w:p>
        </w:tc>
        <w:tc>
          <w:tcPr>
            <w:tcW w:w="2209" w:type="dxa"/>
          </w:tcPr>
          <w:p w14:paraId="036E2FA4">
            <w:pPr>
              <w:pStyle w:val="11"/>
              <w:spacing w:line="240" w:lineRule="auto"/>
              <w:jc w:val="left"/>
              <w:rPr>
                <w:sz w:val="24"/>
                <w:szCs w:val="24"/>
              </w:rPr>
            </w:pPr>
          </w:p>
        </w:tc>
        <w:tc>
          <w:tcPr>
            <w:tcW w:w="1714" w:type="dxa"/>
          </w:tcPr>
          <w:p w14:paraId="35265E07">
            <w:pPr>
              <w:pStyle w:val="11"/>
              <w:spacing w:line="315" w:lineRule="exact"/>
              <w:ind w:left="181"/>
              <w:jc w:val="left"/>
              <w:rPr>
                <w:sz w:val="24"/>
                <w:szCs w:val="24"/>
              </w:rPr>
            </w:pPr>
            <w:r>
              <w:rPr>
                <w:sz w:val="24"/>
                <w:szCs w:val="24"/>
              </w:rPr>
              <w:t>вклад</w:t>
            </w:r>
            <w:r>
              <w:rPr>
                <w:spacing w:val="-3"/>
                <w:sz w:val="24"/>
                <w:szCs w:val="24"/>
              </w:rPr>
              <w:t xml:space="preserve"> </w:t>
            </w:r>
            <w:r>
              <w:rPr>
                <w:sz w:val="24"/>
                <w:szCs w:val="24"/>
              </w:rPr>
              <w:t>в</w:t>
            </w:r>
            <w:r>
              <w:rPr>
                <w:spacing w:val="-5"/>
                <w:sz w:val="24"/>
                <w:szCs w:val="24"/>
              </w:rPr>
              <w:t xml:space="preserve"> </w:t>
            </w:r>
            <w:r>
              <w:rPr>
                <w:spacing w:val="-4"/>
                <w:sz w:val="24"/>
                <w:szCs w:val="24"/>
              </w:rPr>
              <w:t>риск</w:t>
            </w:r>
          </w:p>
          <w:p w14:paraId="1BF1F5E8">
            <w:pPr>
              <w:pStyle w:val="11"/>
              <w:spacing w:before="4"/>
              <w:ind w:left="138"/>
              <w:jc w:val="left"/>
              <w:rPr>
                <w:sz w:val="24"/>
                <w:szCs w:val="24"/>
              </w:rPr>
            </w:pPr>
            <w:r>
              <w:rPr>
                <w:sz w:val="24"/>
                <w:szCs w:val="24"/>
              </w:rPr>
              <w:t>(OR,</w:t>
            </w:r>
            <w:r>
              <w:rPr>
                <w:spacing w:val="-2"/>
                <w:sz w:val="24"/>
                <w:szCs w:val="24"/>
              </w:rPr>
              <w:t xml:space="preserve"> </w:t>
            </w:r>
            <w:r>
              <w:rPr>
                <w:sz w:val="24"/>
                <w:szCs w:val="24"/>
              </w:rPr>
              <w:t>95%</w:t>
            </w:r>
            <w:r>
              <w:rPr>
                <w:spacing w:val="-6"/>
                <w:sz w:val="24"/>
                <w:szCs w:val="24"/>
              </w:rPr>
              <w:t xml:space="preserve"> </w:t>
            </w:r>
            <w:r>
              <w:rPr>
                <w:spacing w:val="-5"/>
                <w:sz w:val="24"/>
                <w:szCs w:val="24"/>
              </w:rPr>
              <w:t>CI)</w:t>
            </w:r>
          </w:p>
        </w:tc>
      </w:tr>
      <w:tr w14:paraId="31881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1" w:hRule="atLeast"/>
        </w:trPr>
        <w:tc>
          <w:tcPr>
            <w:tcW w:w="3694" w:type="dxa"/>
          </w:tcPr>
          <w:p w14:paraId="669E889E">
            <w:pPr>
              <w:pStyle w:val="11"/>
              <w:tabs>
                <w:tab w:val="left" w:pos="2541"/>
              </w:tabs>
              <w:spacing w:line="240" w:lineRule="auto"/>
              <w:ind w:left="110" w:right="105"/>
              <w:jc w:val="left"/>
              <w:rPr>
                <w:sz w:val="24"/>
                <w:szCs w:val="24"/>
              </w:rPr>
            </w:pPr>
            <w:r>
              <w:rPr>
                <w:spacing w:val="-2"/>
                <w:sz w:val="24"/>
                <w:szCs w:val="24"/>
              </w:rPr>
              <w:t>разработать</w:t>
            </w:r>
            <w:r>
              <w:rPr>
                <w:sz w:val="24"/>
                <w:szCs w:val="24"/>
              </w:rPr>
              <w:tab/>
            </w:r>
            <w:r>
              <w:rPr>
                <w:spacing w:val="-68"/>
                <w:sz w:val="24"/>
                <w:szCs w:val="24"/>
              </w:rPr>
              <w:t xml:space="preserve"> </w:t>
            </w:r>
            <w:r>
              <w:rPr>
                <w:spacing w:val="-2"/>
                <w:sz w:val="24"/>
                <w:szCs w:val="24"/>
              </w:rPr>
              <w:t>методы профилактики панкреатических</w:t>
            </w:r>
            <w:r>
              <w:rPr>
                <w:sz w:val="24"/>
                <w:szCs w:val="24"/>
              </w:rPr>
              <w:tab/>
            </w:r>
            <w:r>
              <w:rPr>
                <w:spacing w:val="-2"/>
                <w:sz w:val="24"/>
                <w:szCs w:val="24"/>
              </w:rPr>
              <w:t xml:space="preserve">свищей </w:t>
            </w:r>
            <w:r>
              <w:rPr>
                <w:sz w:val="24"/>
                <w:szCs w:val="24"/>
              </w:rPr>
              <w:t>после ГПДР</w:t>
            </w:r>
          </w:p>
        </w:tc>
        <w:tc>
          <w:tcPr>
            <w:tcW w:w="2022" w:type="dxa"/>
          </w:tcPr>
          <w:p w14:paraId="6AEC0CAF">
            <w:pPr>
              <w:pStyle w:val="11"/>
              <w:spacing w:line="240" w:lineRule="auto"/>
              <w:ind w:left="104" w:right="384"/>
              <w:jc w:val="both"/>
              <w:rPr>
                <w:sz w:val="24"/>
                <w:szCs w:val="24"/>
              </w:rPr>
            </w:pPr>
            <w:r>
              <w:rPr>
                <w:spacing w:val="-2"/>
                <w:sz w:val="24"/>
                <w:szCs w:val="24"/>
              </w:rPr>
              <w:t xml:space="preserve">клиническая </w:t>
            </w:r>
            <w:r>
              <w:rPr>
                <w:sz w:val="24"/>
                <w:szCs w:val="24"/>
              </w:rPr>
              <w:t>разработка</w:t>
            </w:r>
            <w:r>
              <w:rPr>
                <w:spacing w:val="-18"/>
                <w:sz w:val="24"/>
                <w:szCs w:val="24"/>
              </w:rPr>
              <w:t xml:space="preserve"> </w:t>
            </w:r>
            <w:r>
              <w:rPr>
                <w:sz w:val="24"/>
                <w:szCs w:val="24"/>
              </w:rPr>
              <w:t xml:space="preserve">и </w:t>
            </w:r>
            <w:r>
              <w:rPr>
                <w:spacing w:val="-2"/>
                <w:sz w:val="24"/>
                <w:szCs w:val="24"/>
              </w:rPr>
              <w:t>внедрение</w:t>
            </w:r>
          </w:p>
        </w:tc>
        <w:tc>
          <w:tcPr>
            <w:tcW w:w="2209" w:type="dxa"/>
          </w:tcPr>
          <w:p w14:paraId="7CAF7601">
            <w:pPr>
              <w:pStyle w:val="11"/>
              <w:spacing w:line="240" w:lineRule="auto"/>
              <w:ind w:left="104"/>
              <w:jc w:val="left"/>
              <w:rPr>
                <w:sz w:val="24"/>
                <w:szCs w:val="24"/>
              </w:rPr>
            </w:pPr>
            <w:r>
              <w:rPr>
                <w:spacing w:val="-2"/>
                <w:sz w:val="24"/>
                <w:szCs w:val="24"/>
              </w:rPr>
              <w:t>клинический, аналитический, клинический</w:t>
            </w:r>
          </w:p>
        </w:tc>
        <w:tc>
          <w:tcPr>
            <w:tcW w:w="1714" w:type="dxa"/>
          </w:tcPr>
          <w:p w14:paraId="724EFBDF">
            <w:pPr>
              <w:pStyle w:val="11"/>
              <w:spacing w:line="240" w:lineRule="auto"/>
              <w:ind w:left="109" w:right="127"/>
              <w:jc w:val="left"/>
              <w:rPr>
                <w:sz w:val="24"/>
                <w:szCs w:val="24"/>
              </w:rPr>
            </w:pPr>
            <w:r>
              <w:rPr>
                <w:spacing w:val="-2"/>
                <w:sz w:val="24"/>
                <w:szCs w:val="24"/>
              </w:rPr>
              <w:t xml:space="preserve">подтвержден </w:t>
            </w:r>
            <w:r>
              <w:rPr>
                <w:spacing w:val="-10"/>
                <w:sz w:val="24"/>
                <w:szCs w:val="24"/>
              </w:rPr>
              <w:t>а</w:t>
            </w:r>
            <w:r>
              <w:rPr>
                <w:spacing w:val="40"/>
                <w:sz w:val="24"/>
                <w:szCs w:val="24"/>
              </w:rPr>
              <w:t xml:space="preserve"> </w:t>
            </w:r>
            <w:r>
              <w:rPr>
                <w:spacing w:val="-2"/>
                <w:sz w:val="24"/>
                <w:szCs w:val="24"/>
              </w:rPr>
              <w:t xml:space="preserve">техническая выполнимост </w:t>
            </w:r>
            <w:r>
              <w:rPr>
                <w:sz w:val="24"/>
                <w:szCs w:val="24"/>
              </w:rPr>
              <w:t>ь и</w:t>
            </w:r>
          </w:p>
          <w:p w14:paraId="5B218F6C">
            <w:pPr>
              <w:pStyle w:val="11"/>
              <w:spacing w:line="322" w:lineRule="exact"/>
              <w:ind w:left="109"/>
              <w:jc w:val="left"/>
              <w:rPr>
                <w:sz w:val="24"/>
                <w:szCs w:val="24"/>
              </w:rPr>
            </w:pPr>
            <w:r>
              <w:rPr>
                <w:spacing w:val="-2"/>
                <w:sz w:val="24"/>
                <w:szCs w:val="24"/>
              </w:rPr>
              <w:t>безопасность методики</w:t>
            </w:r>
          </w:p>
        </w:tc>
      </w:tr>
      <w:tr w14:paraId="753E5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54" w:hRule="atLeast"/>
        </w:trPr>
        <w:tc>
          <w:tcPr>
            <w:tcW w:w="3694" w:type="dxa"/>
          </w:tcPr>
          <w:p w14:paraId="4C818CAC">
            <w:pPr>
              <w:pStyle w:val="11"/>
              <w:spacing w:line="240" w:lineRule="auto"/>
              <w:ind w:left="110" w:right="100"/>
              <w:jc w:val="both"/>
              <w:rPr>
                <w:sz w:val="24"/>
                <w:szCs w:val="24"/>
              </w:rPr>
            </w:pPr>
            <w:r>
              <w:rPr>
                <w:sz w:val="24"/>
                <w:szCs w:val="24"/>
              </w:rPr>
              <w:t xml:space="preserve">провести сравнительный анализ результатов ГПДР с учетом предложенных методов профилактики и лечения панкреатических </w:t>
            </w:r>
            <w:r>
              <w:rPr>
                <w:spacing w:val="-2"/>
                <w:sz w:val="24"/>
                <w:szCs w:val="24"/>
              </w:rPr>
              <w:t>свищей</w:t>
            </w:r>
          </w:p>
        </w:tc>
        <w:tc>
          <w:tcPr>
            <w:tcW w:w="2022" w:type="dxa"/>
          </w:tcPr>
          <w:p w14:paraId="20FE835E">
            <w:pPr>
              <w:pStyle w:val="11"/>
              <w:spacing w:line="242" w:lineRule="auto"/>
              <w:ind w:left="104"/>
              <w:jc w:val="left"/>
              <w:rPr>
                <w:sz w:val="24"/>
                <w:szCs w:val="24"/>
              </w:rPr>
            </w:pPr>
            <w:r>
              <w:rPr>
                <w:spacing w:val="-2"/>
                <w:sz w:val="24"/>
                <w:szCs w:val="24"/>
              </w:rPr>
              <w:t xml:space="preserve">Пациенты перенесших </w:t>
            </w:r>
            <w:r>
              <w:rPr>
                <w:sz w:val="24"/>
                <w:szCs w:val="24"/>
              </w:rPr>
              <w:t>ГПДР</w:t>
            </w:r>
            <w:r>
              <w:rPr>
                <w:spacing w:val="-8"/>
                <w:sz w:val="24"/>
                <w:szCs w:val="24"/>
              </w:rPr>
              <w:t xml:space="preserve"> </w:t>
            </w:r>
            <w:r>
              <w:rPr>
                <w:sz w:val="24"/>
                <w:szCs w:val="24"/>
              </w:rPr>
              <w:t>2023</w:t>
            </w:r>
            <w:r>
              <w:rPr>
                <w:spacing w:val="-6"/>
                <w:sz w:val="24"/>
                <w:szCs w:val="24"/>
              </w:rPr>
              <w:t xml:space="preserve"> </w:t>
            </w:r>
            <w:r>
              <w:rPr>
                <w:spacing w:val="-10"/>
                <w:sz w:val="24"/>
                <w:szCs w:val="24"/>
              </w:rPr>
              <w:t>-</w:t>
            </w:r>
          </w:p>
          <w:p w14:paraId="5F0281AA">
            <w:pPr>
              <w:pStyle w:val="11"/>
              <w:spacing w:line="316" w:lineRule="exact"/>
              <w:ind w:left="104"/>
              <w:jc w:val="left"/>
              <w:rPr>
                <w:sz w:val="24"/>
                <w:szCs w:val="24"/>
              </w:rPr>
            </w:pPr>
            <w:r>
              <w:rPr>
                <w:sz w:val="24"/>
                <w:szCs w:val="24"/>
              </w:rPr>
              <w:t>2025</w:t>
            </w:r>
            <w:r>
              <w:rPr>
                <w:spacing w:val="-5"/>
                <w:sz w:val="24"/>
                <w:szCs w:val="24"/>
              </w:rPr>
              <w:t xml:space="preserve"> гг.</w:t>
            </w:r>
          </w:p>
        </w:tc>
        <w:tc>
          <w:tcPr>
            <w:tcW w:w="2209" w:type="dxa"/>
          </w:tcPr>
          <w:p w14:paraId="7E3552C3">
            <w:pPr>
              <w:pStyle w:val="11"/>
              <w:spacing w:line="242" w:lineRule="auto"/>
              <w:ind w:left="138" w:right="133" w:firstLine="38"/>
              <w:jc w:val="both"/>
              <w:rPr>
                <w:sz w:val="24"/>
                <w:szCs w:val="24"/>
              </w:rPr>
            </w:pPr>
            <w:r>
              <w:rPr>
                <w:spacing w:val="-2"/>
                <w:sz w:val="24"/>
                <w:szCs w:val="24"/>
              </w:rPr>
              <w:t>аналитический, статистический, сравнительный</w:t>
            </w:r>
          </w:p>
        </w:tc>
        <w:tc>
          <w:tcPr>
            <w:tcW w:w="1714" w:type="dxa"/>
          </w:tcPr>
          <w:p w14:paraId="5EB4F448">
            <w:pPr>
              <w:pStyle w:val="11"/>
              <w:spacing w:line="240" w:lineRule="auto"/>
              <w:ind w:left="109" w:right="112"/>
              <w:jc w:val="left"/>
              <w:rPr>
                <w:sz w:val="24"/>
                <w:szCs w:val="24"/>
              </w:rPr>
            </w:pPr>
            <w:r>
              <w:rPr>
                <w:sz w:val="24"/>
                <w:szCs w:val="24"/>
              </w:rPr>
              <w:t>снижение</w:t>
            </w:r>
            <w:r>
              <w:rPr>
                <w:spacing w:val="-18"/>
                <w:sz w:val="24"/>
                <w:szCs w:val="24"/>
              </w:rPr>
              <w:t xml:space="preserve"> </w:t>
            </w:r>
            <w:r>
              <w:rPr>
                <w:sz w:val="24"/>
                <w:szCs w:val="24"/>
              </w:rPr>
              <w:t xml:space="preserve">ПС и улучшение </w:t>
            </w:r>
            <w:r>
              <w:rPr>
                <w:spacing w:val="-2"/>
                <w:sz w:val="24"/>
                <w:szCs w:val="24"/>
              </w:rPr>
              <w:t>качество жизни послеоперац</w:t>
            </w:r>
          </w:p>
          <w:p w14:paraId="5F0C484B">
            <w:pPr>
              <w:pStyle w:val="11"/>
              <w:spacing w:line="322" w:lineRule="exact"/>
              <w:ind w:left="109" w:right="762"/>
              <w:jc w:val="left"/>
              <w:rPr>
                <w:sz w:val="24"/>
                <w:szCs w:val="24"/>
              </w:rPr>
            </w:pPr>
            <w:r>
              <w:rPr>
                <w:spacing w:val="-2"/>
                <w:sz w:val="24"/>
                <w:szCs w:val="24"/>
              </w:rPr>
              <w:t>ионном периоде</w:t>
            </w:r>
          </w:p>
        </w:tc>
      </w:tr>
      <w:tr w14:paraId="7CD5A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9" w:hRule="atLeast"/>
        </w:trPr>
        <w:tc>
          <w:tcPr>
            <w:tcW w:w="3694" w:type="dxa"/>
          </w:tcPr>
          <w:p w14:paraId="72FAFEA6">
            <w:pPr>
              <w:pStyle w:val="11"/>
              <w:spacing w:line="240" w:lineRule="auto"/>
              <w:ind w:left="110" w:right="240"/>
              <w:jc w:val="left"/>
              <w:rPr>
                <w:sz w:val="24"/>
                <w:szCs w:val="24"/>
              </w:rPr>
            </w:pPr>
            <w:r>
              <w:rPr>
                <w:sz w:val="24"/>
                <w:szCs w:val="24"/>
              </w:rPr>
              <w:t>алгоритм профилактики и лечения панкреатических свищей после ГПДР при опухолях</w:t>
            </w:r>
            <w:r>
              <w:rPr>
                <w:spacing w:val="-18"/>
                <w:sz w:val="24"/>
                <w:szCs w:val="24"/>
              </w:rPr>
              <w:t xml:space="preserve"> </w:t>
            </w:r>
            <w:r>
              <w:rPr>
                <w:sz w:val="24"/>
                <w:szCs w:val="24"/>
              </w:rPr>
              <w:t xml:space="preserve">периампулярной </w:t>
            </w:r>
            <w:r>
              <w:rPr>
                <w:spacing w:val="-4"/>
                <w:sz w:val="24"/>
                <w:szCs w:val="24"/>
              </w:rPr>
              <w:t>зоны</w:t>
            </w:r>
          </w:p>
        </w:tc>
        <w:tc>
          <w:tcPr>
            <w:tcW w:w="2022" w:type="dxa"/>
          </w:tcPr>
          <w:p w14:paraId="22081C78">
            <w:pPr>
              <w:pStyle w:val="11"/>
              <w:spacing w:line="240" w:lineRule="auto"/>
              <w:ind w:left="104" w:right="56"/>
              <w:jc w:val="left"/>
              <w:rPr>
                <w:sz w:val="24"/>
                <w:szCs w:val="24"/>
              </w:rPr>
            </w:pPr>
            <w:r>
              <w:rPr>
                <w:spacing w:val="-4"/>
                <w:sz w:val="24"/>
                <w:szCs w:val="24"/>
              </w:rPr>
              <w:t xml:space="preserve">все </w:t>
            </w:r>
            <w:r>
              <w:rPr>
                <w:spacing w:val="-2"/>
                <w:sz w:val="24"/>
                <w:szCs w:val="24"/>
              </w:rPr>
              <w:t>клинические данные</w:t>
            </w:r>
          </w:p>
        </w:tc>
        <w:tc>
          <w:tcPr>
            <w:tcW w:w="2209" w:type="dxa"/>
          </w:tcPr>
          <w:p w14:paraId="2C38EC4E">
            <w:pPr>
              <w:pStyle w:val="11"/>
              <w:spacing w:line="315" w:lineRule="exact"/>
              <w:ind w:left="104"/>
              <w:jc w:val="left"/>
              <w:rPr>
                <w:sz w:val="24"/>
                <w:szCs w:val="24"/>
              </w:rPr>
            </w:pPr>
            <w:r>
              <w:rPr>
                <w:spacing w:val="-2"/>
                <w:sz w:val="24"/>
                <w:szCs w:val="24"/>
              </w:rPr>
              <w:t>аналитический</w:t>
            </w:r>
          </w:p>
        </w:tc>
        <w:tc>
          <w:tcPr>
            <w:tcW w:w="1714" w:type="dxa"/>
          </w:tcPr>
          <w:p w14:paraId="1ECE3578">
            <w:pPr>
              <w:pStyle w:val="11"/>
              <w:spacing w:line="240" w:lineRule="auto"/>
              <w:ind w:left="109" w:right="141"/>
              <w:jc w:val="left"/>
              <w:rPr>
                <w:sz w:val="24"/>
                <w:szCs w:val="24"/>
              </w:rPr>
            </w:pPr>
            <w:r>
              <w:rPr>
                <w:spacing w:val="-2"/>
                <w:sz w:val="24"/>
                <w:szCs w:val="24"/>
              </w:rPr>
              <w:t xml:space="preserve">сформирован алгоритм предопераци онной стратификац </w:t>
            </w:r>
            <w:r>
              <w:rPr>
                <w:sz w:val="24"/>
                <w:szCs w:val="24"/>
              </w:rPr>
              <w:t xml:space="preserve">ии риска и </w:t>
            </w:r>
            <w:r>
              <w:rPr>
                <w:spacing w:val="-2"/>
                <w:sz w:val="24"/>
                <w:szCs w:val="24"/>
              </w:rPr>
              <w:t>интраоперац ионной</w:t>
            </w:r>
          </w:p>
          <w:p w14:paraId="67E5FADB">
            <w:pPr>
              <w:pStyle w:val="11"/>
              <w:ind w:left="109"/>
              <w:jc w:val="left"/>
              <w:rPr>
                <w:sz w:val="24"/>
                <w:szCs w:val="24"/>
              </w:rPr>
            </w:pPr>
            <w:r>
              <w:rPr>
                <w:spacing w:val="-2"/>
                <w:sz w:val="24"/>
                <w:szCs w:val="24"/>
              </w:rPr>
              <w:t>тактики</w:t>
            </w:r>
          </w:p>
        </w:tc>
      </w:tr>
    </w:tbl>
    <w:p w14:paraId="2AA4E544">
      <w:pPr>
        <w:pStyle w:val="7"/>
        <w:spacing w:before="9"/>
        <w:ind w:left="0" w:firstLine="0"/>
        <w:jc w:val="left"/>
      </w:pPr>
    </w:p>
    <w:p w14:paraId="12FC193A">
      <w:pPr>
        <w:pStyle w:val="7"/>
        <w:ind w:left="0" w:right="3" w:firstLine="709"/>
      </w:pPr>
      <w:r>
        <w:t>Резюмируя вторую главу, обоснован дизайн исследования, описан клинический материал и детально изложены методы анализа. Исследование основано на ретроспективно-проспективном изучении результатов ГПДР у пациентов с опухолями периампулярной зоны, выполненной в специализированных центрах Республики Казахстан. Применён комплексный подход к оценке клинико-демографических, интраоперационных и послеоперационных</w:t>
      </w:r>
      <w:r>
        <w:rPr>
          <w:spacing w:val="-14"/>
        </w:rPr>
        <w:t xml:space="preserve"> </w:t>
      </w:r>
      <w:r>
        <w:t>показателей,</w:t>
      </w:r>
      <w:r>
        <w:rPr>
          <w:spacing w:val="-8"/>
        </w:rPr>
        <w:t xml:space="preserve"> </w:t>
      </w:r>
      <w:r>
        <w:t>а</w:t>
      </w:r>
      <w:r>
        <w:rPr>
          <w:spacing w:val="-10"/>
        </w:rPr>
        <w:t xml:space="preserve"> </w:t>
      </w:r>
      <w:r>
        <w:t>также</w:t>
      </w:r>
      <w:r>
        <w:rPr>
          <w:spacing w:val="-10"/>
        </w:rPr>
        <w:t xml:space="preserve"> </w:t>
      </w:r>
      <w:r>
        <w:t>факторов</w:t>
      </w:r>
      <w:r>
        <w:rPr>
          <w:spacing w:val="-12"/>
        </w:rPr>
        <w:t xml:space="preserve"> </w:t>
      </w:r>
      <w:r>
        <w:t>риска</w:t>
      </w:r>
      <w:r>
        <w:rPr>
          <w:spacing w:val="-10"/>
        </w:rPr>
        <w:t xml:space="preserve"> </w:t>
      </w:r>
      <w:r>
        <w:t>формирования</w:t>
      </w:r>
      <w:r>
        <w:rPr>
          <w:spacing w:val="-9"/>
        </w:rPr>
        <w:t xml:space="preserve"> </w:t>
      </w:r>
      <w:r>
        <w:t>КЗ-ПС. Использование современных методов статистического анализа, включая регрессионные модели и ROC-анализ, позволило обеспечить достоверность полученных результатов. Представленные методы разработки и оценки модифицированной техники ПЕА и алгоритма хирургической тактики соответствуют целям и задачам исследования и создают методологическую основу для интерпретации полученных данных.</w:t>
      </w:r>
    </w:p>
    <w:p w14:paraId="6C609066">
      <w:pPr>
        <w:pStyle w:val="7"/>
        <w:sectPr>
          <w:type w:val="continuous"/>
          <w:pgSz w:w="11910" w:h="16840"/>
          <w:pgMar w:top="1134" w:right="567" w:bottom="1134" w:left="1701" w:header="0" w:footer="1004" w:gutter="0"/>
          <w:cols w:space="720" w:num="1"/>
        </w:sectPr>
      </w:pPr>
    </w:p>
    <w:p w14:paraId="4F907A16">
      <w:pPr>
        <w:pStyle w:val="2"/>
        <w:numPr>
          <w:ilvl w:val="0"/>
          <w:numId w:val="8"/>
        </w:numPr>
        <w:tabs>
          <w:tab w:val="left" w:pos="917"/>
        </w:tabs>
        <w:ind w:left="917" w:hanging="210"/>
        <w:jc w:val="left"/>
      </w:pPr>
      <w:r>
        <w:t>РЕЗУЛЬТАТЫ</w:t>
      </w:r>
      <w:r>
        <w:rPr>
          <w:spacing w:val="-12"/>
        </w:rPr>
        <w:t xml:space="preserve"> </w:t>
      </w:r>
      <w:r>
        <w:rPr>
          <w:spacing w:val="-2"/>
        </w:rPr>
        <w:t>ИССЛЕДОВАНИЯ</w:t>
      </w:r>
    </w:p>
    <w:p w14:paraId="74A88085">
      <w:pPr>
        <w:pStyle w:val="3"/>
        <w:numPr>
          <w:ilvl w:val="1"/>
          <w:numId w:val="8"/>
        </w:numPr>
        <w:tabs>
          <w:tab w:val="left" w:pos="1127"/>
        </w:tabs>
        <w:spacing w:before="322"/>
        <w:ind w:left="0" w:right="3" w:firstLine="709"/>
      </w:pPr>
      <w:r>
        <w:t>Эпидемиологические</w:t>
      </w:r>
      <w:r>
        <w:rPr>
          <w:spacing w:val="-8"/>
        </w:rPr>
        <w:t xml:space="preserve"> </w:t>
      </w:r>
      <w:r>
        <w:t>особенности</w:t>
      </w:r>
      <w:r>
        <w:rPr>
          <w:spacing w:val="-11"/>
        </w:rPr>
        <w:t xml:space="preserve"> </w:t>
      </w:r>
      <w:r>
        <w:t>опухолей</w:t>
      </w:r>
      <w:r>
        <w:rPr>
          <w:spacing w:val="-11"/>
        </w:rPr>
        <w:t xml:space="preserve"> </w:t>
      </w:r>
      <w:r>
        <w:t>периампулярной</w:t>
      </w:r>
      <w:r>
        <w:rPr>
          <w:spacing w:val="-15"/>
        </w:rPr>
        <w:t xml:space="preserve"> </w:t>
      </w:r>
      <w:r>
        <w:t>зоны и объёмы выполнения ГПДР в Республике Казахстан</w:t>
      </w:r>
    </w:p>
    <w:p w14:paraId="7F57690C">
      <w:pPr>
        <w:pStyle w:val="3"/>
        <w:tabs>
          <w:tab w:val="left" w:pos="1127"/>
        </w:tabs>
        <w:ind w:left="0" w:right="3" w:firstLine="709"/>
      </w:pPr>
    </w:p>
    <w:p w14:paraId="5765DF94">
      <w:pPr>
        <w:pStyle w:val="10"/>
        <w:numPr>
          <w:ilvl w:val="2"/>
          <w:numId w:val="8"/>
        </w:numPr>
        <w:tabs>
          <w:tab w:val="left" w:pos="1784"/>
        </w:tabs>
        <w:spacing w:before="4"/>
        <w:ind w:left="0" w:right="3" w:firstLine="709"/>
        <w:rPr>
          <w:sz w:val="28"/>
        </w:rPr>
      </w:pPr>
      <w:r>
        <w:rPr>
          <w:sz w:val="28"/>
        </w:rPr>
        <w:t>Региональная структура заболеваемости опухолями периампулярной зоны в Республике Казахстан</w:t>
      </w:r>
    </w:p>
    <w:p w14:paraId="7A3F1218">
      <w:pPr>
        <w:pStyle w:val="7"/>
        <w:ind w:left="0" w:right="3" w:firstLine="709"/>
      </w:pPr>
      <w:r>
        <w:t>В данной главе представленные данные о количестве пациентов с опухолями периампулярной зоны в регионах Республики Казахстан за 2022– 2025 годы и является важным инструментом для анализа онкологической ситуации в разрезе территорий. Заболеваемость опухолями периампулярной области</w:t>
      </w:r>
      <w:r>
        <w:rPr>
          <w:spacing w:val="-12"/>
        </w:rPr>
        <w:t xml:space="preserve"> </w:t>
      </w:r>
      <w:r>
        <w:t>отражает</w:t>
      </w:r>
      <w:r>
        <w:rPr>
          <w:spacing w:val="-14"/>
        </w:rPr>
        <w:t xml:space="preserve"> </w:t>
      </w:r>
      <w:r>
        <w:t>как</w:t>
      </w:r>
      <w:r>
        <w:rPr>
          <w:spacing w:val="-13"/>
        </w:rPr>
        <w:t xml:space="preserve"> </w:t>
      </w:r>
      <w:r>
        <w:t>истинную</w:t>
      </w:r>
      <w:r>
        <w:rPr>
          <w:spacing w:val="-14"/>
        </w:rPr>
        <w:t xml:space="preserve"> </w:t>
      </w:r>
      <w:r>
        <w:t>распространённость</w:t>
      </w:r>
      <w:r>
        <w:rPr>
          <w:spacing w:val="-14"/>
        </w:rPr>
        <w:t xml:space="preserve"> </w:t>
      </w:r>
      <w:r>
        <w:t>онкологической</w:t>
      </w:r>
      <w:r>
        <w:rPr>
          <w:spacing w:val="-12"/>
        </w:rPr>
        <w:t xml:space="preserve"> </w:t>
      </w:r>
      <w:r>
        <w:t>патологии, так и эффективность системы раннего выявления, маршрутизации и диагностики. Включение данной таблицы позволяет оценить межрегиональные различия,</w:t>
      </w:r>
      <w:r>
        <w:rPr>
          <w:spacing w:val="-13"/>
        </w:rPr>
        <w:t xml:space="preserve"> </w:t>
      </w:r>
      <w:r>
        <w:t>определить</w:t>
      </w:r>
      <w:r>
        <w:rPr>
          <w:spacing w:val="-16"/>
        </w:rPr>
        <w:t xml:space="preserve"> </w:t>
      </w:r>
      <w:r>
        <w:t>центры</w:t>
      </w:r>
      <w:r>
        <w:rPr>
          <w:spacing w:val="-15"/>
        </w:rPr>
        <w:t xml:space="preserve"> </w:t>
      </w:r>
      <w:r>
        <w:t>наибольшей</w:t>
      </w:r>
      <w:r>
        <w:rPr>
          <w:spacing w:val="-15"/>
        </w:rPr>
        <w:t xml:space="preserve"> </w:t>
      </w:r>
      <w:r>
        <w:t>онкологической</w:t>
      </w:r>
      <w:r>
        <w:rPr>
          <w:spacing w:val="-15"/>
        </w:rPr>
        <w:t xml:space="preserve"> </w:t>
      </w:r>
      <w:r>
        <w:t>нагрузки,</w:t>
      </w:r>
      <w:r>
        <w:rPr>
          <w:spacing w:val="-13"/>
        </w:rPr>
        <w:t xml:space="preserve"> </w:t>
      </w:r>
      <w:r>
        <w:t>проследить динамику изменения заболеваемости и выявить потенциальные организационные факторы, влияющие на обращаемость, диагностику и направление пациентов в специализированные учреждения. Эти данные имеют ключевое</w:t>
      </w:r>
      <w:r>
        <w:rPr>
          <w:spacing w:val="-4"/>
        </w:rPr>
        <w:t xml:space="preserve"> </w:t>
      </w:r>
      <w:r>
        <w:t>значение</w:t>
      </w:r>
      <w:r>
        <w:rPr>
          <w:spacing w:val="-4"/>
        </w:rPr>
        <w:t xml:space="preserve"> </w:t>
      </w:r>
      <w:r>
        <w:t>для</w:t>
      </w:r>
      <w:r>
        <w:rPr>
          <w:spacing w:val="-3"/>
        </w:rPr>
        <w:t xml:space="preserve"> </w:t>
      </w:r>
      <w:r>
        <w:t>планирования</w:t>
      </w:r>
      <w:r>
        <w:rPr>
          <w:spacing w:val="-4"/>
        </w:rPr>
        <w:t xml:space="preserve"> </w:t>
      </w:r>
      <w:r>
        <w:t>ресурсов,</w:t>
      </w:r>
      <w:r>
        <w:rPr>
          <w:spacing w:val="-2"/>
        </w:rPr>
        <w:t xml:space="preserve"> </w:t>
      </w:r>
      <w:r>
        <w:t>прогнозирования</w:t>
      </w:r>
      <w:r>
        <w:rPr>
          <w:spacing w:val="-4"/>
        </w:rPr>
        <w:t xml:space="preserve"> </w:t>
      </w:r>
      <w:r>
        <w:t>потребности</w:t>
      </w:r>
      <w:r>
        <w:rPr>
          <w:spacing w:val="-5"/>
        </w:rPr>
        <w:t xml:space="preserve"> </w:t>
      </w:r>
      <w:r>
        <w:t>в высокотехнологичной хирургической помощи и оценки эффективности скрининговых и диагностических мероприятий в стране.</w:t>
      </w:r>
    </w:p>
    <w:p w14:paraId="60A6210C">
      <w:pPr>
        <w:pStyle w:val="7"/>
        <w:spacing w:before="317"/>
        <w:ind w:left="0" w:right="3" w:firstLine="0"/>
        <w:jc w:val="left"/>
      </w:pPr>
      <w:r>
        <w:t>Таблица</w:t>
      </w:r>
      <w:r>
        <w:rPr>
          <w:spacing w:val="40"/>
        </w:rPr>
        <w:t xml:space="preserve"> </w:t>
      </w:r>
      <w:r>
        <w:t>4</w:t>
      </w:r>
      <w:r>
        <w:rPr>
          <w:spacing w:val="40"/>
        </w:rPr>
        <w:t xml:space="preserve"> </w:t>
      </w:r>
      <w:r>
        <w:t>–</w:t>
      </w:r>
      <w:r>
        <w:rPr>
          <w:spacing w:val="40"/>
        </w:rPr>
        <w:t xml:space="preserve"> </w:t>
      </w:r>
      <w:r>
        <w:t>Распределение</w:t>
      </w:r>
      <w:r>
        <w:rPr>
          <w:spacing w:val="40"/>
        </w:rPr>
        <w:t xml:space="preserve"> </w:t>
      </w:r>
      <w:r>
        <w:t>пациентов</w:t>
      </w:r>
      <w:r>
        <w:rPr>
          <w:spacing w:val="40"/>
        </w:rPr>
        <w:t xml:space="preserve"> </w:t>
      </w:r>
      <w:r>
        <w:t>с</w:t>
      </w:r>
      <w:r>
        <w:rPr>
          <w:spacing w:val="40"/>
        </w:rPr>
        <w:t xml:space="preserve"> </w:t>
      </w:r>
      <w:r>
        <w:t>опухолями</w:t>
      </w:r>
      <w:r>
        <w:rPr>
          <w:spacing w:val="39"/>
        </w:rPr>
        <w:t xml:space="preserve"> </w:t>
      </w:r>
      <w:r>
        <w:t>периампулярной</w:t>
      </w:r>
      <w:r>
        <w:rPr>
          <w:spacing w:val="39"/>
        </w:rPr>
        <w:t xml:space="preserve"> </w:t>
      </w:r>
      <w:r>
        <w:t>зоны</w:t>
      </w:r>
      <w:r>
        <w:rPr>
          <w:spacing w:val="40"/>
        </w:rPr>
        <w:t xml:space="preserve"> </w:t>
      </w:r>
      <w:r>
        <w:t>по регионам Республики Казахстан за 2022–2025 годы</w:t>
      </w:r>
    </w:p>
    <w:p w14:paraId="604EACCA">
      <w:pPr>
        <w:pStyle w:val="7"/>
        <w:spacing w:before="98"/>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2"/>
        <w:gridCol w:w="1840"/>
        <w:gridCol w:w="1844"/>
        <w:gridCol w:w="1840"/>
        <w:gridCol w:w="1593"/>
      </w:tblGrid>
      <w:tr w14:paraId="6FF97C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2522" w:type="dxa"/>
          </w:tcPr>
          <w:p w14:paraId="45479CA5">
            <w:pPr>
              <w:pStyle w:val="11"/>
              <w:spacing w:line="315" w:lineRule="exact"/>
              <w:ind w:left="773"/>
              <w:jc w:val="left"/>
              <w:rPr>
                <w:sz w:val="24"/>
                <w:szCs w:val="24"/>
              </w:rPr>
            </w:pPr>
            <w:r>
              <w:rPr>
                <w:spacing w:val="-2"/>
                <w:sz w:val="24"/>
                <w:szCs w:val="24"/>
              </w:rPr>
              <w:t>Регион</w:t>
            </w:r>
          </w:p>
        </w:tc>
        <w:tc>
          <w:tcPr>
            <w:tcW w:w="1840" w:type="dxa"/>
          </w:tcPr>
          <w:p w14:paraId="675148EB">
            <w:pPr>
              <w:pStyle w:val="11"/>
              <w:spacing w:line="315" w:lineRule="exact"/>
              <w:ind w:left="10" w:right="7"/>
              <w:rPr>
                <w:sz w:val="24"/>
                <w:szCs w:val="24"/>
              </w:rPr>
            </w:pPr>
            <w:r>
              <w:rPr>
                <w:spacing w:val="-4"/>
                <w:sz w:val="24"/>
                <w:szCs w:val="24"/>
              </w:rPr>
              <w:t>2022</w:t>
            </w:r>
          </w:p>
        </w:tc>
        <w:tc>
          <w:tcPr>
            <w:tcW w:w="1844" w:type="dxa"/>
          </w:tcPr>
          <w:p w14:paraId="34675D8D">
            <w:pPr>
              <w:pStyle w:val="11"/>
              <w:spacing w:line="315" w:lineRule="exact"/>
              <w:ind w:left="33" w:right="33"/>
              <w:rPr>
                <w:sz w:val="24"/>
                <w:szCs w:val="24"/>
              </w:rPr>
            </w:pPr>
            <w:r>
              <w:rPr>
                <w:spacing w:val="-4"/>
                <w:sz w:val="24"/>
                <w:szCs w:val="24"/>
              </w:rPr>
              <w:t>2023</w:t>
            </w:r>
          </w:p>
        </w:tc>
        <w:tc>
          <w:tcPr>
            <w:tcW w:w="1840" w:type="dxa"/>
          </w:tcPr>
          <w:p w14:paraId="7C7CBF90">
            <w:pPr>
              <w:pStyle w:val="11"/>
              <w:spacing w:line="315" w:lineRule="exact"/>
              <w:ind w:left="10" w:right="15"/>
              <w:rPr>
                <w:sz w:val="24"/>
                <w:szCs w:val="24"/>
              </w:rPr>
            </w:pPr>
            <w:r>
              <w:rPr>
                <w:spacing w:val="-4"/>
                <w:sz w:val="24"/>
                <w:szCs w:val="24"/>
              </w:rPr>
              <w:t>2024</w:t>
            </w:r>
          </w:p>
        </w:tc>
        <w:tc>
          <w:tcPr>
            <w:tcW w:w="1593" w:type="dxa"/>
          </w:tcPr>
          <w:p w14:paraId="58CDF33E">
            <w:pPr>
              <w:pStyle w:val="11"/>
              <w:spacing w:line="315" w:lineRule="exact"/>
              <w:ind w:left="4" w:right="4"/>
              <w:rPr>
                <w:sz w:val="24"/>
                <w:szCs w:val="24"/>
              </w:rPr>
            </w:pPr>
            <w:r>
              <w:rPr>
                <w:spacing w:val="-4"/>
                <w:sz w:val="24"/>
                <w:szCs w:val="24"/>
              </w:rPr>
              <w:t>2025</w:t>
            </w:r>
          </w:p>
        </w:tc>
      </w:tr>
      <w:tr w14:paraId="6524E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2522" w:type="dxa"/>
          </w:tcPr>
          <w:p w14:paraId="511C837D">
            <w:pPr>
              <w:pStyle w:val="11"/>
              <w:spacing w:line="240" w:lineRule="auto"/>
              <w:ind w:left="14"/>
              <w:rPr>
                <w:sz w:val="24"/>
                <w:szCs w:val="24"/>
              </w:rPr>
            </w:pPr>
            <w:r>
              <w:rPr>
                <w:spacing w:val="-10"/>
                <w:sz w:val="24"/>
                <w:szCs w:val="24"/>
              </w:rPr>
              <w:t>1</w:t>
            </w:r>
          </w:p>
        </w:tc>
        <w:tc>
          <w:tcPr>
            <w:tcW w:w="1840" w:type="dxa"/>
          </w:tcPr>
          <w:p w14:paraId="4DED298D">
            <w:pPr>
              <w:pStyle w:val="11"/>
              <w:spacing w:line="240" w:lineRule="auto"/>
              <w:ind w:left="13" w:right="5"/>
              <w:rPr>
                <w:sz w:val="24"/>
                <w:szCs w:val="24"/>
              </w:rPr>
            </w:pPr>
            <w:r>
              <w:rPr>
                <w:spacing w:val="-10"/>
                <w:sz w:val="24"/>
                <w:szCs w:val="24"/>
              </w:rPr>
              <w:t>2</w:t>
            </w:r>
          </w:p>
        </w:tc>
        <w:tc>
          <w:tcPr>
            <w:tcW w:w="1844" w:type="dxa"/>
          </w:tcPr>
          <w:p w14:paraId="1E5FE994">
            <w:pPr>
              <w:pStyle w:val="11"/>
              <w:spacing w:line="240" w:lineRule="auto"/>
              <w:ind w:left="33" w:right="31"/>
              <w:rPr>
                <w:sz w:val="24"/>
                <w:szCs w:val="24"/>
              </w:rPr>
            </w:pPr>
            <w:r>
              <w:rPr>
                <w:spacing w:val="-10"/>
                <w:sz w:val="24"/>
                <w:szCs w:val="24"/>
              </w:rPr>
              <w:t>3</w:t>
            </w:r>
          </w:p>
        </w:tc>
        <w:tc>
          <w:tcPr>
            <w:tcW w:w="1840" w:type="dxa"/>
          </w:tcPr>
          <w:p w14:paraId="6090A70F">
            <w:pPr>
              <w:pStyle w:val="11"/>
              <w:spacing w:line="240" w:lineRule="auto"/>
              <w:ind w:left="10" w:right="10"/>
              <w:rPr>
                <w:sz w:val="24"/>
                <w:szCs w:val="24"/>
              </w:rPr>
            </w:pPr>
            <w:r>
              <w:rPr>
                <w:spacing w:val="-10"/>
                <w:sz w:val="24"/>
                <w:szCs w:val="24"/>
              </w:rPr>
              <w:t>4</w:t>
            </w:r>
          </w:p>
        </w:tc>
        <w:tc>
          <w:tcPr>
            <w:tcW w:w="1593" w:type="dxa"/>
          </w:tcPr>
          <w:p w14:paraId="2865D18D">
            <w:pPr>
              <w:pStyle w:val="11"/>
              <w:spacing w:line="240" w:lineRule="auto"/>
              <w:ind w:left="5" w:right="1"/>
              <w:rPr>
                <w:sz w:val="24"/>
                <w:szCs w:val="24"/>
              </w:rPr>
            </w:pPr>
            <w:r>
              <w:rPr>
                <w:spacing w:val="-10"/>
                <w:sz w:val="24"/>
                <w:szCs w:val="24"/>
              </w:rPr>
              <w:t>5</w:t>
            </w:r>
          </w:p>
        </w:tc>
      </w:tr>
      <w:tr w14:paraId="76B2A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538B839F">
            <w:pPr>
              <w:pStyle w:val="11"/>
              <w:spacing w:line="301" w:lineRule="exact"/>
              <w:ind w:left="110"/>
              <w:jc w:val="left"/>
              <w:rPr>
                <w:sz w:val="24"/>
                <w:szCs w:val="24"/>
              </w:rPr>
            </w:pPr>
            <w:r>
              <w:rPr>
                <w:spacing w:val="-2"/>
                <w:sz w:val="24"/>
                <w:szCs w:val="24"/>
              </w:rPr>
              <w:t>Абайская</w:t>
            </w:r>
          </w:p>
        </w:tc>
        <w:tc>
          <w:tcPr>
            <w:tcW w:w="1840" w:type="dxa"/>
          </w:tcPr>
          <w:p w14:paraId="2A4554F0">
            <w:pPr>
              <w:pStyle w:val="11"/>
              <w:spacing w:line="301" w:lineRule="exact"/>
              <w:ind w:left="10" w:right="5"/>
              <w:rPr>
                <w:sz w:val="24"/>
                <w:szCs w:val="24"/>
              </w:rPr>
            </w:pPr>
            <w:r>
              <w:rPr>
                <w:sz w:val="24"/>
                <w:szCs w:val="24"/>
              </w:rPr>
              <w:t>81</w:t>
            </w:r>
            <w:r>
              <w:rPr>
                <w:spacing w:val="-2"/>
                <w:sz w:val="24"/>
                <w:szCs w:val="24"/>
              </w:rPr>
              <w:t xml:space="preserve"> (2,6%)</w:t>
            </w:r>
          </w:p>
        </w:tc>
        <w:tc>
          <w:tcPr>
            <w:tcW w:w="1844" w:type="dxa"/>
          </w:tcPr>
          <w:p w14:paraId="40D83D6D">
            <w:pPr>
              <w:pStyle w:val="11"/>
              <w:spacing w:line="301" w:lineRule="exact"/>
              <w:ind w:left="33" w:right="34"/>
              <w:rPr>
                <w:sz w:val="24"/>
                <w:szCs w:val="24"/>
              </w:rPr>
            </w:pPr>
            <w:r>
              <w:rPr>
                <w:sz w:val="24"/>
                <w:szCs w:val="24"/>
              </w:rPr>
              <w:t>92</w:t>
            </w:r>
            <w:r>
              <w:rPr>
                <w:spacing w:val="-2"/>
                <w:sz w:val="24"/>
                <w:szCs w:val="24"/>
              </w:rPr>
              <w:t xml:space="preserve"> (2,9%)</w:t>
            </w:r>
          </w:p>
        </w:tc>
        <w:tc>
          <w:tcPr>
            <w:tcW w:w="1840" w:type="dxa"/>
          </w:tcPr>
          <w:p w14:paraId="42B947F4">
            <w:pPr>
              <w:pStyle w:val="11"/>
              <w:spacing w:line="301" w:lineRule="exact"/>
              <w:ind w:left="10" w:right="15"/>
              <w:rPr>
                <w:sz w:val="24"/>
                <w:szCs w:val="24"/>
              </w:rPr>
            </w:pPr>
            <w:r>
              <w:rPr>
                <w:sz w:val="24"/>
                <w:szCs w:val="24"/>
              </w:rPr>
              <w:t>89</w:t>
            </w:r>
            <w:r>
              <w:rPr>
                <w:spacing w:val="-2"/>
                <w:sz w:val="24"/>
                <w:szCs w:val="24"/>
              </w:rPr>
              <w:t xml:space="preserve"> (3,0%)</w:t>
            </w:r>
          </w:p>
        </w:tc>
        <w:tc>
          <w:tcPr>
            <w:tcW w:w="1593" w:type="dxa"/>
          </w:tcPr>
          <w:p w14:paraId="590A2ECF">
            <w:pPr>
              <w:pStyle w:val="11"/>
              <w:spacing w:line="301" w:lineRule="exact"/>
              <w:ind w:left="4" w:right="3"/>
              <w:rPr>
                <w:sz w:val="24"/>
                <w:szCs w:val="24"/>
              </w:rPr>
            </w:pPr>
            <w:r>
              <w:rPr>
                <w:sz w:val="24"/>
                <w:szCs w:val="24"/>
              </w:rPr>
              <w:t>66</w:t>
            </w:r>
            <w:r>
              <w:rPr>
                <w:spacing w:val="-2"/>
                <w:sz w:val="24"/>
                <w:szCs w:val="24"/>
              </w:rPr>
              <w:t xml:space="preserve"> (2,3%)</w:t>
            </w:r>
          </w:p>
        </w:tc>
      </w:tr>
      <w:tr w14:paraId="26546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3F9E892E">
            <w:pPr>
              <w:pStyle w:val="11"/>
              <w:spacing w:line="301" w:lineRule="exact"/>
              <w:ind w:left="110"/>
              <w:jc w:val="left"/>
              <w:rPr>
                <w:sz w:val="24"/>
                <w:szCs w:val="24"/>
              </w:rPr>
            </w:pPr>
            <w:r>
              <w:rPr>
                <w:spacing w:val="-2"/>
                <w:sz w:val="24"/>
                <w:szCs w:val="24"/>
              </w:rPr>
              <w:t>Акмолинская</w:t>
            </w:r>
          </w:p>
        </w:tc>
        <w:tc>
          <w:tcPr>
            <w:tcW w:w="1840" w:type="dxa"/>
          </w:tcPr>
          <w:p w14:paraId="40017CF5">
            <w:pPr>
              <w:pStyle w:val="11"/>
              <w:spacing w:line="301" w:lineRule="exact"/>
              <w:ind w:left="10" w:right="5"/>
              <w:rPr>
                <w:sz w:val="24"/>
                <w:szCs w:val="24"/>
              </w:rPr>
            </w:pPr>
            <w:r>
              <w:rPr>
                <w:sz w:val="24"/>
                <w:szCs w:val="24"/>
              </w:rPr>
              <w:t>84</w:t>
            </w:r>
            <w:r>
              <w:rPr>
                <w:spacing w:val="-2"/>
                <w:sz w:val="24"/>
                <w:szCs w:val="24"/>
              </w:rPr>
              <w:t xml:space="preserve"> (2,7%)</w:t>
            </w:r>
          </w:p>
        </w:tc>
        <w:tc>
          <w:tcPr>
            <w:tcW w:w="1844" w:type="dxa"/>
          </w:tcPr>
          <w:p w14:paraId="14239547">
            <w:pPr>
              <w:pStyle w:val="11"/>
              <w:spacing w:line="301" w:lineRule="exact"/>
              <w:ind w:left="33" w:right="34"/>
              <w:rPr>
                <w:sz w:val="24"/>
                <w:szCs w:val="24"/>
              </w:rPr>
            </w:pPr>
            <w:r>
              <w:rPr>
                <w:sz w:val="24"/>
                <w:szCs w:val="24"/>
              </w:rPr>
              <w:t>69</w:t>
            </w:r>
            <w:r>
              <w:rPr>
                <w:spacing w:val="-2"/>
                <w:sz w:val="24"/>
                <w:szCs w:val="24"/>
              </w:rPr>
              <w:t xml:space="preserve"> (2,1%)</w:t>
            </w:r>
          </w:p>
        </w:tc>
        <w:tc>
          <w:tcPr>
            <w:tcW w:w="1840" w:type="dxa"/>
          </w:tcPr>
          <w:p w14:paraId="34228934">
            <w:pPr>
              <w:pStyle w:val="11"/>
              <w:spacing w:line="301" w:lineRule="exact"/>
              <w:ind w:left="10" w:right="15"/>
              <w:rPr>
                <w:sz w:val="24"/>
                <w:szCs w:val="24"/>
              </w:rPr>
            </w:pPr>
            <w:r>
              <w:rPr>
                <w:sz w:val="24"/>
                <w:szCs w:val="24"/>
              </w:rPr>
              <w:t>94</w:t>
            </w:r>
            <w:r>
              <w:rPr>
                <w:spacing w:val="-2"/>
                <w:sz w:val="24"/>
                <w:szCs w:val="24"/>
              </w:rPr>
              <w:t xml:space="preserve"> (3,2%)</w:t>
            </w:r>
          </w:p>
        </w:tc>
        <w:tc>
          <w:tcPr>
            <w:tcW w:w="1593" w:type="dxa"/>
          </w:tcPr>
          <w:p w14:paraId="2BF66383">
            <w:pPr>
              <w:pStyle w:val="11"/>
              <w:spacing w:line="301" w:lineRule="exact"/>
              <w:ind w:left="4" w:right="3"/>
              <w:rPr>
                <w:sz w:val="24"/>
                <w:szCs w:val="24"/>
              </w:rPr>
            </w:pPr>
            <w:r>
              <w:rPr>
                <w:sz w:val="24"/>
                <w:szCs w:val="24"/>
              </w:rPr>
              <w:t>44</w:t>
            </w:r>
            <w:r>
              <w:rPr>
                <w:spacing w:val="-2"/>
                <w:sz w:val="24"/>
                <w:szCs w:val="24"/>
              </w:rPr>
              <w:t xml:space="preserve"> (1,5%)</w:t>
            </w:r>
          </w:p>
        </w:tc>
      </w:tr>
      <w:tr w14:paraId="7A327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0F0D4AC7">
            <w:pPr>
              <w:pStyle w:val="11"/>
              <w:spacing w:line="301" w:lineRule="exact"/>
              <w:ind w:left="110"/>
              <w:jc w:val="left"/>
              <w:rPr>
                <w:sz w:val="24"/>
                <w:szCs w:val="24"/>
              </w:rPr>
            </w:pPr>
            <w:r>
              <w:rPr>
                <w:spacing w:val="-2"/>
                <w:sz w:val="24"/>
                <w:szCs w:val="24"/>
              </w:rPr>
              <w:t>Актюбинская</w:t>
            </w:r>
          </w:p>
        </w:tc>
        <w:tc>
          <w:tcPr>
            <w:tcW w:w="1840" w:type="dxa"/>
          </w:tcPr>
          <w:p w14:paraId="0BFA636D">
            <w:pPr>
              <w:pStyle w:val="11"/>
              <w:spacing w:line="301" w:lineRule="exact"/>
              <w:ind w:left="15" w:right="5"/>
              <w:rPr>
                <w:sz w:val="24"/>
                <w:szCs w:val="24"/>
              </w:rPr>
            </w:pPr>
            <w:r>
              <w:rPr>
                <w:sz w:val="24"/>
                <w:szCs w:val="24"/>
              </w:rPr>
              <w:t>169</w:t>
            </w:r>
            <w:r>
              <w:rPr>
                <w:spacing w:val="-4"/>
                <w:sz w:val="24"/>
                <w:szCs w:val="24"/>
              </w:rPr>
              <w:t xml:space="preserve"> </w:t>
            </w:r>
            <w:r>
              <w:rPr>
                <w:spacing w:val="-2"/>
                <w:sz w:val="24"/>
                <w:szCs w:val="24"/>
              </w:rPr>
              <w:t>(5,5%)</w:t>
            </w:r>
          </w:p>
        </w:tc>
        <w:tc>
          <w:tcPr>
            <w:tcW w:w="1844" w:type="dxa"/>
          </w:tcPr>
          <w:p w14:paraId="1FC509BE">
            <w:pPr>
              <w:pStyle w:val="11"/>
              <w:spacing w:line="301" w:lineRule="exact"/>
              <w:ind w:left="33" w:right="30"/>
              <w:rPr>
                <w:sz w:val="24"/>
                <w:szCs w:val="24"/>
              </w:rPr>
            </w:pPr>
            <w:r>
              <w:rPr>
                <w:sz w:val="24"/>
                <w:szCs w:val="24"/>
              </w:rPr>
              <w:t>140</w:t>
            </w:r>
            <w:r>
              <w:rPr>
                <w:spacing w:val="-4"/>
                <w:sz w:val="24"/>
                <w:szCs w:val="24"/>
              </w:rPr>
              <w:t xml:space="preserve"> </w:t>
            </w:r>
            <w:r>
              <w:rPr>
                <w:spacing w:val="-2"/>
                <w:sz w:val="24"/>
                <w:szCs w:val="24"/>
              </w:rPr>
              <w:t>(4,4%)</w:t>
            </w:r>
          </w:p>
        </w:tc>
        <w:tc>
          <w:tcPr>
            <w:tcW w:w="1840" w:type="dxa"/>
          </w:tcPr>
          <w:p w14:paraId="651379E4">
            <w:pPr>
              <w:pStyle w:val="11"/>
              <w:spacing w:line="301" w:lineRule="exact"/>
              <w:ind w:left="10" w:right="10"/>
              <w:rPr>
                <w:sz w:val="24"/>
                <w:szCs w:val="24"/>
              </w:rPr>
            </w:pPr>
            <w:r>
              <w:rPr>
                <w:sz w:val="24"/>
                <w:szCs w:val="24"/>
              </w:rPr>
              <w:t>120</w:t>
            </w:r>
            <w:r>
              <w:rPr>
                <w:spacing w:val="-4"/>
                <w:sz w:val="24"/>
                <w:szCs w:val="24"/>
              </w:rPr>
              <w:t xml:space="preserve"> </w:t>
            </w:r>
            <w:r>
              <w:rPr>
                <w:spacing w:val="-2"/>
                <w:sz w:val="24"/>
                <w:szCs w:val="24"/>
              </w:rPr>
              <w:t>(4,1%)</w:t>
            </w:r>
          </w:p>
        </w:tc>
        <w:tc>
          <w:tcPr>
            <w:tcW w:w="1593" w:type="dxa"/>
          </w:tcPr>
          <w:p w14:paraId="3737FEB0">
            <w:pPr>
              <w:pStyle w:val="11"/>
              <w:spacing w:line="301" w:lineRule="exact"/>
              <w:ind w:left="4" w:right="3"/>
              <w:rPr>
                <w:sz w:val="24"/>
                <w:szCs w:val="24"/>
              </w:rPr>
            </w:pPr>
            <w:r>
              <w:rPr>
                <w:sz w:val="24"/>
                <w:szCs w:val="24"/>
              </w:rPr>
              <w:t>88</w:t>
            </w:r>
            <w:r>
              <w:rPr>
                <w:spacing w:val="-1"/>
                <w:sz w:val="24"/>
                <w:szCs w:val="24"/>
              </w:rPr>
              <w:t xml:space="preserve"> </w:t>
            </w:r>
            <w:r>
              <w:rPr>
                <w:spacing w:val="-2"/>
                <w:sz w:val="24"/>
                <w:szCs w:val="24"/>
              </w:rPr>
              <w:t>(3,0%)</w:t>
            </w:r>
          </w:p>
        </w:tc>
      </w:tr>
      <w:tr w14:paraId="0879F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2522" w:type="dxa"/>
          </w:tcPr>
          <w:p w14:paraId="7E1D89CE">
            <w:pPr>
              <w:pStyle w:val="11"/>
              <w:spacing w:line="307" w:lineRule="exact"/>
              <w:ind w:left="110"/>
              <w:jc w:val="left"/>
              <w:rPr>
                <w:sz w:val="24"/>
                <w:szCs w:val="24"/>
              </w:rPr>
            </w:pPr>
            <w:r>
              <w:rPr>
                <w:spacing w:val="-2"/>
                <w:sz w:val="24"/>
                <w:szCs w:val="24"/>
              </w:rPr>
              <w:t>Алматинская</w:t>
            </w:r>
          </w:p>
        </w:tc>
        <w:tc>
          <w:tcPr>
            <w:tcW w:w="1840" w:type="dxa"/>
          </w:tcPr>
          <w:p w14:paraId="4E3CB186">
            <w:pPr>
              <w:pStyle w:val="11"/>
              <w:spacing w:line="307" w:lineRule="exact"/>
              <w:ind w:left="15" w:right="5"/>
              <w:rPr>
                <w:sz w:val="24"/>
                <w:szCs w:val="24"/>
              </w:rPr>
            </w:pPr>
            <w:r>
              <w:rPr>
                <w:sz w:val="24"/>
                <w:szCs w:val="24"/>
              </w:rPr>
              <w:t>137</w:t>
            </w:r>
            <w:r>
              <w:rPr>
                <w:spacing w:val="-4"/>
                <w:sz w:val="24"/>
                <w:szCs w:val="24"/>
              </w:rPr>
              <w:t xml:space="preserve"> </w:t>
            </w:r>
            <w:r>
              <w:rPr>
                <w:spacing w:val="-2"/>
                <w:sz w:val="24"/>
                <w:szCs w:val="24"/>
              </w:rPr>
              <w:t>(4,4%)</w:t>
            </w:r>
          </w:p>
        </w:tc>
        <w:tc>
          <w:tcPr>
            <w:tcW w:w="1844" w:type="dxa"/>
          </w:tcPr>
          <w:p w14:paraId="09734E1B">
            <w:pPr>
              <w:pStyle w:val="11"/>
              <w:spacing w:line="307" w:lineRule="exact"/>
              <w:ind w:left="33" w:right="30"/>
              <w:rPr>
                <w:sz w:val="24"/>
                <w:szCs w:val="24"/>
              </w:rPr>
            </w:pPr>
            <w:r>
              <w:rPr>
                <w:sz w:val="24"/>
                <w:szCs w:val="24"/>
              </w:rPr>
              <w:t>109</w:t>
            </w:r>
            <w:r>
              <w:rPr>
                <w:spacing w:val="-4"/>
                <w:sz w:val="24"/>
                <w:szCs w:val="24"/>
              </w:rPr>
              <w:t xml:space="preserve"> </w:t>
            </w:r>
            <w:r>
              <w:rPr>
                <w:spacing w:val="-2"/>
                <w:sz w:val="24"/>
                <w:szCs w:val="24"/>
              </w:rPr>
              <w:t>(3,4%)</w:t>
            </w:r>
          </w:p>
        </w:tc>
        <w:tc>
          <w:tcPr>
            <w:tcW w:w="1840" w:type="dxa"/>
          </w:tcPr>
          <w:p w14:paraId="27880EEB">
            <w:pPr>
              <w:pStyle w:val="11"/>
              <w:spacing w:line="307" w:lineRule="exact"/>
              <w:ind w:left="10" w:right="10"/>
              <w:rPr>
                <w:sz w:val="24"/>
                <w:szCs w:val="24"/>
              </w:rPr>
            </w:pPr>
            <w:r>
              <w:rPr>
                <w:sz w:val="24"/>
                <w:szCs w:val="24"/>
              </w:rPr>
              <w:t>129</w:t>
            </w:r>
            <w:r>
              <w:rPr>
                <w:spacing w:val="-4"/>
                <w:sz w:val="24"/>
                <w:szCs w:val="24"/>
              </w:rPr>
              <w:t xml:space="preserve"> </w:t>
            </w:r>
            <w:r>
              <w:rPr>
                <w:spacing w:val="-2"/>
                <w:sz w:val="24"/>
                <w:szCs w:val="24"/>
              </w:rPr>
              <w:t>(4,4%)</w:t>
            </w:r>
          </w:p>
        </w:tc>
        <w:tc>
          <w:tcPr>
            <w:tcW w:w="1593" w:type="dxa"/>
          </w:tcPr>
          <w:p w14:paraId="29B10E30">
            <w:pPr>
              <w:pStyle w:val="11"/>
              <w:spacing w:line="307" w:lineRule="exact"/>
              <w:ind w:left="4" w:right="3"/>
              <w:rPr>
                <w:sz w:val="24"/>
                <w:szCs w:val="24"/>
              </w:rPr>
            </w:pPr>
            <w:r>
              <w:rPr>
                <w:sz w:val="24"/>
                <w:szCs w:val="24"/>
              </w:rPr>
              <w:t>39</w:t>
            </w:r>
            <w:r>
              <w:rPr>
                <w:spacing w:val="-2"/>
                <w:sz w:val="24"/>
                <w:szCs w:val="24"/>
              </w:rPr>
              <w:t xml:space="preserve"> (1,3%)</w:t>
            </w:r>
          </w:p>
        </w:tc>
      </w:tr>
      <w:tr w14:paraId="431E7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4B4B0CCA">
            <w:pPr>
              <w:pStyle w:val="11"/>
              <w:spacing w:line="301" w:lineRule="exact"/>
              <w:ind w:left="110"/>
              <w:jc w:val="left"/>
              <w:rPr>
                <w:sz w:val="24"/>
                <w:szCs w:val="24"/>
              </w:rPr>
            </w:pPr>
            <w:r>
              <w:rPr>
                <w:spacing w:val="-2"/>
                <w:sz w:val="24"/>
                <w:szCs w:val="24"/>
              </w:rPr>
              <w:t>Атырауская</w:t>
            </w:r>
          </w:p>
        </w:tc>
        <w:tc>
          <w:tcPr>
            <w:tcW w:w="1840" w:type="dxa"/>
          </w:tcPr>
          <w:p w14:paraId="19368BEF">
            <w:pPr>
              <w:pStyle w:val="11"/>
              <w:spacing w:line="301" w:lineRule="exact"/>
              <w:ind w:left="15" w:right="5"/>
              <w:rPr>
                <w:sz w:val="24"/>
                <w:szCs w:val="24"/>
              </w:rPr>
            </w:pPr>
            <w:r>
              <w:rPr>
                <w:sz w:val="24"/>
                <w:szCs w:val="24"/>
              </w:rPr>
              <w:t>121</w:t>
            </w:r>
            <w:r>
              <w:rPr>
                <w:spacing w:val="-4"/>
                <w:sz w:val="24"/>
                <w:szCs w:val="24"/>
              </w:rPr>
              <w:t xml:space="preserve"> </w:t>
            </w:r>
            <w:r>
              <w:rPr>
                <w:spacing w:val="-2"/>
                <w:sz w:val="24"/>
                <w:szCs w:val="24"/>
              </w:rPr>
              <w:t>(3,9%)</w:t>
            </w:r>
          </w:p>
        </w:tc>
        <w:tc>
          <w:tcPr>
            <w:tcW w:w="1844" w:type="dxa"/>
          </w:tcPr>
          <w:p w14:paraId="5CA30E8A">
            <w:pPr>
              <w:pStyle w:val="11"/>
              <w:spacing w:line="301" w:lineRule="exact"/>
              <w:ind w:left="33" w:right="30"/>
              <w:rPr>
                <w:sz w:val="24"/>
                <w:szCs w:val="24"/>
              </w:rPr>
            </w:pPr>
            <w:r>
              <w:rPr>
                <w:sz w:val="24"/>
                <w:szCs w:val="24"/>
              </w:rPr>
              <w:t>109</w:t>
            </w:r>
            <w:r>
              <w:rPr>
                <w:spacing w:val="-4"/>
                <w:sz w:val="24"/>
                <w:szCs w:val="24"/>
              </w:rPr>
              <w:t xml:space="preserve"> </w:t>
            </w:r>
            <w:r>
              <w:rPr>
                <w:spacing w:val="-2"/>
                <w:sz w:val="24"/>
                <w:szCs w:val="24"/>
              </w:rPr>
              <w:t>(3,4%)</w:t>
            </w:r>
          </w:p>
        </w:tc>
        <w:tc>
          <w:tcPr>
            <w:tcW w:w="1840" w:type="dxa"/>
          </w:tcPr>
          <w:p w14:paraId="76719F3E">
            <w:pPr>
              <w:pStyle w:val="11"/>
              <w:spacing w:line="301" w:lineRule="exact"/>
              <w:ind w:left="10" w:right="15"/>
              <w:rPr>
                <w:sz w:val="24"/>
                <w:szCs w:val="24"/>
              </w:rPr>
            </w:pPr>
            <w:r>
              <w:rPr>
                <w:sz w:val="24"/>
                <w:szCs w:val="24"/>
              </w:rPr>
              <w:t>96</w:t>
            </w:r>
            <w:r>
              <w:rPr>
                <w:spacing w:val="-2"/>
                <w:sz w:val="24"/>
                <w:szCs w:val="24"/>
              </w:rPr>
              <w:t xml:space="preserve"> (3,3%)</w:t>
            </w:r>
          </w:p>
        </w:tc>
        <w:tc>
          <w:tcPr>
            <w:tcW w:w="1593" w:type="dxa"/>
          </w:tcPr>
          <w:p w14:paraId="7FF708ED">
            <w:pPr>
              <w:pStyle w:val="11"/>
              <w:spacing w:line="301" w:lineRule="exact"/>
              <w:ind w:left="4" w:right="3"/>
              <w:rPr>
                <w:sz w:val="24"/>
                <w:szCs w:val="24"/>
              </w:rPr>
            </w:pPr>
            <w:r>
              <w:rPr>
                <w:sz w:val="24"/>
                <w:szCs w:val="24"/>
              </w:rPr>
              <w:t>58</w:t>
            </w:r>
            <w:r>
              <w:rPr>
                <w:spacing w:val="-2"/>
                <w:sz w:val="24"/>
                <w:szCs w:val="24"/>
              </w:rPr>
              <w:t xml:space="preserve"> (2,0%)</w:t>
            </w:r>
          </w:p>
        </w:tc>
      </w:tr>
      <w:tr w14:paraId="7B717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021F0CDC">
            <w:pPr>
              <w:pStyle w:val="11"/>
              <w:spacing w:line="301" w:lineRule="exact"/>
              <w:ind w:left="110"/>
              <w:jc w:val="left"/>
              <w:rPr>
                <w:sz w:val="24"/>
                <w:szCs w:val="24"/>
              </w:rPr>
            </w:pPr>
            <w:r>
              <w:rPr>
                <w:spacing w:val="-5"/>
                <w:sz w:val="24"/>
                <w:szCs w:val="24"/>
              </w:rPr>
              <w:t>ВКО</w:t>
            </w:r>
          </w:p>
        </w:tc>
        <w:tc>
          <w:tcPr>
            <w:tcW w:w="1840" w:type="dxa"/>
          </w:tcPr>
          <w:p w14:paraId="7C3D0D04">
            <w:pPr>
              <w:pStyle w:val="11"/>
              <w:spacing w:line="301" w:lineRule="exact"/>
              <w:ind w:left="10" w:right="5"/>
              <w:rPr>
                <w:sz w:val="24"/>
                <w:szCs w:val="24"/>
              </w:rPr>
            </w:pPr>
            <w:r>
              <w:rPr>
                <w:sz w:val="24"/>
                <w:szCs w:val="24"/>
              </w:rPr>
              <w:t>71</w:t>
            </w:r>
            <w:r>
              <w:rPr>
                <w:spacing w:val="-2"/>
                <w:sz w:val="24"/>
                <w:szCs w:val="24"/>
              </w:rPr>
              <w:t xml:space="preserve"> (2,3%)</w:t>
            </w:r>
          </w:p>
        </w:tc>
        <w:tc>
          <w:tcPr>
            <w:tcW w:w="1844" w:type="dxa"/>
          </w:tcPr>
          <w:p w14:paraId="4D293C07">
            <w:pPr>
              <w:pStyle w:val="11"/>
              <w:spacing w:line="301" w:lineRule="exact"/>
              <w:ind w:left="33" w:right="30"/>
              <w:rPr>
                <w:sz w:val="24"/>
                <w:szCs w:val="24"/>
              </w:rPr>
            </w:pPr>
            <w:r>
              <w:rPr>
                <w:sz w:val="24"/>
                <w:szCs w:val="24"/>
              </w:rPr>
              <w:t>119</w:t>
            </w:r>
            <w:r>
              <w:rPr>
                <w:spacing w:val="-4"/>
                <w:sz w:val="24"/>
                <w:szCs w:val="24"/>
              </w:rPr>
              <w:t xml:space="preserve"> </w:t>
            </w:r>
            <w:r>
              <w:rPr>
                <w:spacing w:val="-2"/>
                <w:sz w:val="24"/>
                <w:szCs w:val="24"/>
              </w:rPr>
              <w:t>(3,7%)</w:t>
            </w:r>
          </w:p>
        </w:tc>
        <w:tc>
          <w:tcPr>
            <w:tcW w:w="1840" w:type="dxa"/>
          </w:tcPr>
          <w:p w14:paraId="41F0C6C3">
            <w:pPr>
              <w:pStyle w:val="11"/>
              <w:spacing w:line="301" w:lineRule="exact"/>
              <w:ind w:left="10" w:right="15"/>
              <w:rPr>
                <w:sz w:val="24"/>
                <w:szCs w:val="24"/>
              </w:rPr>
            </w:pPr>
            <w:r>
              <w:rPr>
                <w:sz w:val="24"/>
                <w:szCs w:val="24"/>
              </w:rPr>
              <w:t>67</w:t>
            </w:r>
            <w:r>
              <w:rPr>
                <w:spacing w:val="-2"/>
                <w:sz w:val="24"/>
                <w:szCs w:val="24"/>
              </w:rPr>
              <w:t xml:space="preserve"> (2,3%)</w:t>
            </w:r>
          </w:p>
        </w:tc>
        <w:tc>
          <w:tcPr>
            <w:tcW w:w="1593" w:type="dxa"/>
          </w:tcPr>
          <w:p w14:paraId="4D060819">
            <w:pPr>
              <w:pStyle w:val="11"/>
              <w:spacing w:line="301" w:lineRule="exact"/>
              <w:ind w:left="4" w:right="3"/>
              <w:rPr>
                <w:sz w:val="24"/>
                <w:szCs w:val="24"/>
              </w:rPr>
            </w:pPr>
            <w:r>
              <w:rPr>
                <w:sz w:val="24"/>
                <w:szCs w:val="24"/>
              </w:rPr>
              <w:t>48</w:t>
            </w:r>
            <w:r>
              <w:rPr>
                <w:spacing w:val="-2"/>
                <w:sz w:val="24"/>
                <w:szCs w:val="24"/>
              </w:rPr>
              <w:t xml:space="preserve"> (1,7%)</w:t>
            </w:r>
          </w:p>
        </w:tc>
      </w:tr>
      <w:tr w14:paraId="41B3C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4B187EAB">
            <w:pPr>
              <w:pStyle w:val="11"/>
              <w:spacing w:line="301" w:lineRule="exact"/>
              <w:ind w:left="110"/>
              <w:jc w:val="left"/>
              <w:rPr>
                <w:sz w:val="24"/>
                <w:szCs w:val="24"/>
              </w:rPr>
            </w:pPr>
            <w:r>
              <w:rPr>
                <w:spacing w:val="-2"/>
                <w:sz w:val="24"/>
                <w:szCs w:val="24"/>
              </w:rPr>
              <w:t>Жамбылская</w:t>
            </w:r>
          </w:p>
        </w:tc>
        <w:tc>
          <w:tcPr>
            <w:tcW w:w="1840" w:type="dxa"/>
          </w:tcPr>
          <w:p w14:paraId="05C03314">
            <w:pPr>
              <w:pStyle w:val="11"/>
              <w:spacing w:line="301" w:lineRule="exact"/>
              <w:ind w:left="10" w:right="5"/>
              <w:rPr>
                <w:sz w:val="24"/>
                <w:szCs w:val="24"/>
              </w:rPr>
            </w:pPr>
            <w:r>
              <w:rPr>
                <w:sz w:val="24"/>
                <w:szCs w:val="24"/>
              </w:rPr>
              <w:t>86</w:t>
            </w:r>
            <w:r>
              <w:rPr>
                <w:spacing w:val="-2"/>
                <w:sz w:val="24"/>
                <w:szCs w:val="24"/>
              </w:rPr>
              <w:t xml:space="preserve"> (2,8%)</w:t>
            </w:r>
          </w:p>
        </w:tc>
        <w:tc>
          <w:tcPr>
            <w:tcW w:w="1844" w:type="dxa"/>
          </w:tcPr>
          <w:p w14:paraId="39742849">
            <w:pPr>
              <w:pStyle w:val="11"/>
              <w:spacing w:line="301" w:lineRule="exact"/>
              <w:ind w:left="33" w:right="34"/>
              <w:rPr>
                <w:sz w:val="24"/>
                <w:szCs w:val="24"/>
              </w:rPr>
            </w:pPr>
            <w:r>
              <w:rPr>
                <w:sz w:val="24"/>
                <w:szCs w:val="24"/>
              </w:rPr>
              <w:t>64</w:t>
            </w:r>
            <w:r>
              <w:rPr>
                <w:spacing w:val="-2"/>
                <w:sz w:val="24"/>
                <w:szCs w:val="24"/>
              </w:rPr>
              <w:t xml:space="preserve"> (2,0%)</w:t>
            </w:r>
          </w:p>
        </w:tc>
        <w:tc>
          <w:tcPr>
            <w:tcW w:w="1840" w:type="dxa"/>
          </w:tcPr>
          <w:p w14:paraId="383A3DD4">
            <w:pPr>
              <w:pStyle w:val="11"/>
              <w:spacing w:line="301" w:lineRule="exact"/>
              <w:ind w:left="10" w:right="15"/>
              <w:rPr>
                <w:sz w:val="24"/>
                <w:szCs w:val="24"/>
              </w:rPr>
            </w:pPr>
            <w:r>
              <w:rPr>
                <w:sz w:val="24"/>
                <w:szCs w:val="24"/>
              </w:rPr>
              <w:t>88</w:t>
            </w:r>
            <w:r>
              <w:rPr>
                <w:spacing w:val="-2"/>
                <w:sz w:val="24"/>
                <w:szCs w:val="24"/>
              </w:rPr>
              <w:t xml:space="preserve"> (3,0%)</w:t>
            </w:r>
          </w:p>
        </w:tc>
        <w:tc>
          <w:tcPr>
            <w:tcW w:w="1593" w:type="dxa"/>
          </w:tcPr>
          <w:p w14:paraId="2D62C888">
            <w:pPr>
              <w:pStyle w:val="11"/>
              <w:spacing w:line="301" w:lineRule="exact"/>
              <w:ind w:left="4" w:right="5"/>
              <w:rPr>
                <w:sz w:val="24"/>
                <w:szCs w:val="24"/>
              </w:rPr>
            </w:pPr>
            <w:r>
              <w:rPr>
                <w:sz w:val="24"/>
                <w:szCs w:val="24"/>
              </w:rPr>
              <w:t>115</w:t>
            </w:r>
            <w:r>
              <w:rPr>
                <w:spacing w:val="-4"/>
                <w:sz w:val="24"/>
                <w:szCs w:val="24"/>
              </w:rPr>
              <w:t xml:space="preserve"> </w:t>
            </w:r>
            <w:r>
              <w:rPr>
                <w:spacing w:val="-2"/>
                <w:sz w:val="24"/>
                <w:szCs w:val="24"/>
              </w:rPr>
              <w:t>(4,0%)</w:t>
            </w:r>
          </w:p>
        </w:tc>
      </w:tr>
      <w:tr w14:paraId="347D7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29CEDFD7">
            <w:pPr>
              <w:pStyle w:val="11"/>
              <w:spacing w:line="301" w:lineRule="exact"/>
              <w:ind w:left="110"/>
              <w:jc w:val="left"/>
              <w:rPr>
                <w:sz w:val="24"/>
                <w:szCs w:val="24"/>
              </w:rPr>
            </w:pPr>
            <w:r>
              <w:rPr>
                <w:spacing w:val="-2"/>
                <w:sz w:val="24"/>
                <w:szCs w:val="24"/>
              </w:rPr>
              <w:t>Жетысуская</w:t>
            </w:r>
          </w:p>
        </w:tc>
        <w:tc>
          <w:tcPr>
            <w:tcW w:w="1840" w:type="dxa"/>
          </w:tcPr>
          <w:p w14:paraId="006E0CB5">
            <w:pPr>
              <w:pStyle w:val="11"/>
              <w:spacing w:line="301" w:lineRule="exact"/>
              <w:ind w:left="15" w:right="5"/>
              <w:rPr>
                <w:sz w:val="24"/>
                <w:szCs w:val="24"/>
              </w:rPr>
            </w:pPr>
            <w:r>
              <w:rPr>
                <w:sz w:val="24"/>
                <w:szCs w:val="24"/>
              </w:rPr>
              <w:t>125</w:t>
            </w:r>
            <w:r>
              <w:rPr>
                <w:spacing w:val="-4"/>
                <w:sz w:val="24"/>
                <w:szCs w:val="24"/>
              </w:rPr>
              <w:t xml:space="preserve"> </w:t>
            </w:r>
            <w:r>
              <w:rPr>
                <w:spacing w:val="-2"/>
                <w:sz w:val="24"/>
                <w:szCs w:val="24"/>
              </w:rPr>
              <w:t>(4,0%)</w:t>
            </w:r>
          </w:p>
        </w:tc>
        <w:tc>
          <w:tcPr>
            <w:tcW w:w="1844" w:type="dxa"/>
          </w:tcPr>
          <w:p w14:paraId="18EA27D1">
            <w:pPr>
              <w:pStyle w:val="11"/>
              <w:spacing w:line="301" w:lineRule="exact"/>
              <w:ind w:left="33" w:right="30"/>
              <w:rPr>
                <w:sz w:val="24"/>
                <w:szCs w:val="24"/>
              </w:rPr>
            </w:pPr>
            <w:r>
              <w:rPr>
                <w:sz w:val="24"/>
                <w:szCs w:val="24"/>
              </w:rPr>
              <w:t>114</w:t>
            </w:r>
            <w:r>
              <w:rPr>
                <w:spacing w:val="-4"/>
                <w:sz w:val="24"/>
                <w:szCs w:val="24"/>
              </w:rPr>
              <w:t xml:space="preserve"> </w:t>
            </w:r>
            <w:r>
              <w:rPr>
                <w:spacing w:val="-2"/>
                <w:sz w:val="24"/>
                <w:szCs w:val="24"/>
              </w:rPr>
              <w:t>(3,6%)</w:t>
            </w:r>
          </w:p>
        </w:tc>
        <w:tc>
          <w:tcPr>
            <w:tcW w:w="1840" w:type="dxa"/>
          </w:tcPr>
          <w:p w14:paraId="6A0628E8">
            <w:pPr>
              <w:pStyle w:val="11"/>
              <w:spacing w:line="301" w:lineRule="exact"/>
              <w:ind w:left="10" w:right="11"/>
              <w:rPr>
                <w:sz w:val="24"/>
                <w:szCs w:val="24"/>
              </w:rPr>
            </w:pPr>
            <w:r>
              <w:rPr>
                <w:sz w:val="24"/>
                <w:szCs w:val="24"/>
              </w:rPr>
              <w:t>114</w:t>
            </w:r>
            <w:r>
              <w:rPr>
                <w:spacing w:val="-3"/>
                <w:sz w:val="24"/>
                <w:szCs w:val="24"/>
              </w:rPr>
              <w:t xml:space="preserve"> </w:t>
            </w:r>
            <w:r>
              <w:rPr>
                <w:spacing w:val="-2"/>
                <w:sz w:val="24"/>
                <w:szCs w:val="24"/>
              </w:rPr>
              <w:t>(3,9%)</w:t>
            </w:r>
          </w:p>
        </w:tc>
        <w:tc>
          <w:tcPr>
            <w:tcW w:w="1593" w:type="dxa"/>
          </w:tcPr>
          <w:p w14:paraId="095C4987">
            <w:pPr>
              <w:pStyle w:val="11"/>
              <w:spacing w:line="301" w:lineRule="exact"/>
              <w:ind w:left="4" w:right="3"/>
              <w:rPr>
                <w:sz w:val="24"/>
                <w:szCs w:val="24"/>
              </w:rPr>
            </w:pPr>
            <w:r>
              <w:rPr>
                <w:sz w:val="24"/>
                <w:szCs w:val="24"/>
              </w:rPr>
              <w:t>77</w:t>
            </w:r>
            <w:r>
              <w:rPr>
                <w:spacing w:val="-2"/>
                <w:sz w:val="24"/>
                <w:szCs w:val="24"/>
              </w:rPr>
              <w:t xml:space="preserve"> (2,7%)</w:t>
            </w:r>
          </w:p>
        </w:tc>
      </w:tr>
      <w:tr w14:paraId="23606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4C695F9E">
            <w:pPr>
              <w:pStyle w:val="11"/>
              <w:spacing w:line="302" w:lineRule="exact"/>
              <w:ind w:left="110"/>
              <w:jc w:val="left"/>
              <w:rPr>
                <w:sz w:val="24"/>
                <w:szCs w:val="24"/>
              </w:rPr>
            </w:pPr>
            <w:r>
              <w:rPr>
                <w:spacing w:val="-5"/>
                <w:sz w:val="24"/>
                <w:szCs w:val="24"/>
              </w:rPr>
              <w:t>ЗКО</w:t>
            </w:r>
          </w:p>
        </w:tc>
        <w:tc>
          <w:tcPr>
            <w:tcW w:w="1840" w:type="dxa"/>
          </w:tcPr>
          <w:p w14:paraId="01860512">
            <w:pPr>
              <w:pStyle w:val="11"/>
              <w:spacing w:line="302" w:lineRule="exact"/>
              <w:ind w:left="10" w:right="5"/>
              <w:rPr>
                <w:sz w:val="24"/>
                <w:szCs w:val="24"/>
              </w:rPr>
            </w:pPr>
            <w:r>
              <w:rPr>
                <w:sz w:val="24"/>
                <w:szCs w:val="24"/>
              </w:rPr>
              <w:t>80</w:t>
            </w:r>
            <w:r>
              <w:rPr>
                <w:spacing w:val="-2"/>
                <w:sz w:val="24"/>
                <w:szCs w:val="24"/>
              </w:rPr>
              <w:t xml:space="preserve"> (2,6%)</w:t>
            </w:r>
          </w:p>
        </w:tc>
        <w:tc>
          <w:tcPr>
            <w:tcW w:w="1844" w:type="dxa"/>
          </w:tcPr>
          <w:p w14:paraId="0D7D40C2">
            <w:pPr>
              <w:pStyle w:val="11"/>
              <w:spacing w:line="302" w:lineRule="exact"/>
              <w:ind w:left="33" w:right="30"/>
              <w:rPr>
                <w:sz w:val="24"/>
                <w:szCs w:val="24"/>
              </w:rPr>
            </w:pPr>
            <w:r>
              <w:rPr>
                <w:sz w:val="24"/>
                <w:szCs w:val="24"/>
              </w:rPr>
              <w:t>101</w:t>
            </w:r>
            <w:r>
              <w:rPr>
                <w:spacing w:val="-4"/>
                <w:sz w:val="24"/>
                <w:szCs w:val="24"/>
              </w:rPr>
              <w:t xml:space="preserve"> </w:t>
            </w:r>
            <w:r>
              <w:rPr>
                <w:spacing w:val="-2"/>
                <w:sz w:val="24"/>
                <w:szCs w:val="24"/>
              </w:rPr>
              <w:t>(3,1%)</w:t>
            </w:r>
          </w:p>
        </w:tc>
        <w:tc>
          <w:tcPr>
            <w:tcW w:w="1840" w:type="dxa"/>
          </w:tcPr>
          <w:p w14:paraId="192A1551">
            <w:pPr>
              <w:pStyle w:val="11"/>
              <w:spacing w:line="302" w:lineRule="exact"/>
              <w:ind w:left="10" w:right="10"/>
              <w:rPr>
                <w:sz w:val="24"/>
                <w:szCs w:val="24"/>
              </w:rPr>
            </w:pPr>
            <w:r>
              <w:rPr>
                <w:sz w:val="24"/>
                <w:szCs w:val="24"/>
              </w:rPr>
              <w:t>106</w:t>
            </w:r>
            <w:r>
              <w:rPr>
                <w:spacing w:val="-4"/>
                <w:sz w:val="24"/>
                <w:szCs w:val="24"/>
              </w:rPr>
              <w:t xml:space="preserve"> </w:t>
            </w:r>
            <w:r>
              <w:rPr>
                <w:spacing w:val="-2"/>
                <w:sz w:val="24"/>
                <w:szCs w:val="24"/>
              </w:rPr>
              <w:t>(3,7%)</w:t>
            </w:r>
          </w:p>
        </w:tc>
        <w:tc>
          <w:tcPr>
            <w:tcW w:w="1593" w:type="dxa"/>
          </w:tcPr>
          <w:p w14:paraId="7E80844C">
            <w:pPr>
              <w:pStyle w:val="11"/>
              <w:spacing w:line="302" w:lineRule="exact"/>
              <w:ind w:left="4" w:right="5"/>
              <w:rPr>
                <w:sz w:val="24"/>
                <w:szCs w:val="24"/>
              </w:rPr>
            </w:pPr>
            <w:r>
              <w:rPr>
                <w:sz w:val="24"/>
                <w:szCs w:val="24"/>
              </w:rPr>
              <w:t>118</w:t>
            </w:r>
            <w:r>
              <w:rPr>
                <w:spacing w:val="-4"/>
                <w:sz w:val="24"/>
                <w:szCs w:val="24"/>
              </w:rPr>
              <w:t xml:space="preserve"> </w:t>
            </w:r>
            <w:r>
              <w:rPr>
                <w:spacing w:val="-2"/>
                <w:sz w:val="24"/>
                <w:szCs w:val="24"/>
              </w:rPr>
              <w:t>(4,1%)</w:t>
            </w:r>
          </w:p>
        </w:tc>
      </w:tr>
      <w:tr w14:paraId="3CCFB8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4416B130">
            <w:pPr>
              <w:pStyle w:val="11"/>
              <w:spacing w:line="301" w:lineRule="exact"/>
              <w:ind w:left="110"/>
              <w:jc w:val="left"/>
              <w:rPr>
                <w:sz w:val="24"/>
                <w:szCs w:val="24"/>
              </w:rPr>
            </w:pPr>
            <w:r>
              <w:rPr>
                <w:spacing w:val="-2"/>
                <w:sz w:val="24"/>
                <w:szCs w:val="24"/>
              </w:rPr>
              <w:t>Карагандинская</w:t>
            </w:r>
          </w:p>
        </w:tc>
        <w:tc>
          <w:tcPr>
            <w:tcW w:w="1840" w:type="dxa"/>
          </w:tcPr>
          <w:p w14:paraId="3598549B">
            <w:pPr>
              <w:pStyle w:val="11"/>
              <w:spacing w:line="301" w:lineRule="exact"/>
              <w:ind w:left="15" w:right="5"/>
              <w:rPr>
                <w:sz w:val="24"/>
                <w:szCs w:val="24"/>
              </w:rPr>
            </w:pPr>
            <w:r>
              <w:rPr>
                <w:sz w:val="24"/>
                <w:szCs w:val="24"/>
              </w:rPr>
              <w:t>193</w:t>
            </w:r>
            <w:r>
              <w:rPr>
                <w:spacing w:val="-4"/>
                <w:sz w:val="24"/>
                <w:szCs w:val="24"/>
              </w:rPr>
              <w:t xml:space="preserve"> </w:t>
            </w:r>
            <w:r>
              <w:rPr>
                <w:spacing w:val="-2"/>
                <w:sz w:val="24"/>
                <w:szCs w:val="24"/>
              </w:rPr>
              <w:t>(6,3%)</w:t>
            </w:r>
          </w:p>
        </w:tc>
        <w:tc>
          <w:tcPr>
            <w:tcW w:w="1844" w:type="dxa"/>
          </w:tcPr>
          <w:p w14:paraId="2FF293CE">
            <w:pPr>
              <w:pStyle w:val="11"/>
              <w:spacing w:line="301" w:lineRule="exact"/>
              <w:ind w:left="33" w:right="30"/>
              <w:rPr>
                <w:sz w:val="24"/>
                <w:szCs w:val="24"/>
              </w:rPr>
            </w:pPr>
            <w:r>
              <w:rPr>
                <w:sz w:val="24"/>
                <w:szCs w:val="24"/>
              </w:rPr>
              <w:t>151</w:t>
            </w:r>
            <w:r>
              <w:rPr>
                <w:spacing w:val="-4"/>
                <w:sz w:val="24"/>
                <w:szCs w:val="24"/>
              </w:rPr>
              <w:t xml:space="preserve"> </w:t>
            </w:r>
            <w:r>
              <w:rPr>
                <w:spacing w:val="-2"/>
                <w:sz w:val="24"/>
                <w:szCs w:val="24"/>
              </w:rPr>
              <w:t>(4,7%)</w:t>
            </w:r>
          </w:p>
        </w:tc>
        <w:tc>
          <w:tcPr>
            <w:tcW w:w="1840" w:type="dxa"/>
          </w:tcPr>
          <w:p w14:paraId="081D02FB">
            <w:pPr>
              <w:pStyle w:val="11"/>
              <w:spacing w:line="301" w:lineRule="exact"/>
              <w:ind w:left="10" w:right="10"/>
              <w:rPr>
                <w:sz w:val="24"/>
                <w:szCs w:val="24"/>
              </w:rPr>
            </w:pPr>
            <w:r>
              <w:rPr>
                <w:sz w:val="24"/>
                <w:szCs w:val="24"/>
              </w:rPr>
              <w:t>133</w:t>
            </w:r>
            <w:r>
              <w:rPr>
                <w:spacing w:val="-4"/>
                <w:sz w:val="24"/>
                <w:szCs w:val="24"/>
              </w:rPr>
              <w:t xml:space="preserve"> </w:t>
            </w:r>
            <w:r>
              <w:rPr>
                <w:spacing w:val="-2"/>
                <w:sz w:val="24"/>
                <w:szCs w:val="24"/>
              </w:rPr>
              <w:t>(4,6%)</w:t>
            </w:r>
          </w:p>
        </w:tc>
        <w:tc>
          <w:tcPr>
            <w:tcW w:w="1593" w:type="dxa"/>
          </w:tcPr>
          <w:p w14:paraId="5C08130D">
            <w:pPr>
              <w:pStyle w:val="11"/>
              <w:spacing w:line="301" w:lineRule="exact"/>
              <w:ind w:left="4" w:right="5"/>
              <w:rPr>
                <w:sz w:val="24"/>
                <w:szCs w:val="24"/>
              </w:rPr>
            </w:pPr>
            <w:r>
              <w:rPr>
                <w:sz w:val="24"/>
                <w:szCs w:val="24"/>
              </w:rPr>
              <w:t>124</w:t>
            </w:r>
            <w:r>
              <w:rPr>
                <w:spacing w:val="-4"/>
                <w:sz w:val="24"/>
                <w:szCs w:val="24"/>
              </w:rPr>
              <w:t xml:space="preserve"> </w:t>
            </w:r>
            <w:r>
              <w:rPr>
                <w:spacing w:val="-2"/>
                <w:sz w:val="24"/>
                <w:szCs w:val="24"/>
              </w:rPr>
              <w:t>(4,3%)</w:t>
            </w:r>
          </w:p>
        </w:tc>
      </w:tr>
      <w:tr w14:paraId="1E3EDB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2522" w:type="dxa"/>
          </w:tcPr>
          <w:p w14:paraId="07E90453">
            <w:pPr>
              <w:pStyle w:val="11"/>
              <w:spacing w:line="306" w:lineRule="exact"/>
              <w:ind w:left="110"/>
              <w:jc w:val="left"/>
              <w:rPr>
                <w:sz w:val="24"/>
                <w:szCs w:val="24"/>
              </w:rPr>
            </w:pPr>
            <w:r>
              <w:rPr>
                <w:spacing w:val="-2"/>
                <w:sz w:val="24"/>
                <w:szCs w:val="24"/>
              </w:rPr>
              <w:t>Костанайская</w:t>
            </w:r>
          </w:p>
        </w:tc>
        <w:tc>
          <w:tcPr>
            <w:tcW w:w="1840" w:type="dxa"/>
          </w:tcPr>
          <w:p w14:paraId="11578F9D">
            <w:pPr>
              <w:pStyle w:val="11"/>
              <w:spacing w:line="306" w:lineRule="exact"/>
              <w:ind w:left="10" w:right="5"/>
              <w:rPr>
                <w:sz w:val="24"/>
                <w:szCs w:val="24"/>
              </w:rPr>
            </w:pPr>
            <w:r>
              <w:rPr>
                <w:sz w:val="24"/>
                <w:szCs w:val="24"/>
              </w:rPr>
              <w:t>75</w:t>
            </w:r>
            <w:r>
              <w:rPr>
                <w:spacing w:val="-2"/>
                <w:sz w:val="24"/>
                <w:szCs w:val="24"/>
              </w:rPr>
              <w:t xml:space="preserve"> (2,4%)</w:t>
            </w:r>
          </w:p>
        </w:tc>
        <w:tc>
          <w:tcPr>
            <w:tcW w:w="1844" w:type="dxa"/>
          </w:tcPr>
          <w:p w14:paraId="672D3AFF">
            <w:pPr>
              <w:pStyle w:val="11"/>
              <w:spacing w:line="306" w:lineRule="exact"/>
              <w:ind w:left="33" w:right="34"/>
              <w:rPr>
                <w:sz w:val="24"/>
                <w:szCs w:val="24"/>
              </w:rPr>
            </w:pPr>
            <w:r>
              <w:rPr>
                <w:sz w:val="24"/>
                <w:szCs w:val="24"/>
              </w:rPr>
              <w:t>95</w:t>
            </w:r>
            <w:r>
              <w:rPr>
                <w:spacing w:val="-2"/>
                <w:sz w:val="24"/>
                <w:szCs w:val="24"/>
              </w:rPr>
              <w:t xml:space="preserve"> (3,0%)</w:t>
            </w:r>
          </w:p>
        </w:tc>
        <w:tc>
          <w:tcPr>
            <w:tcW w:w="1840" w:type="dxa"/>
          </w:tcPr>
          <w:p w14:paraId="4D3D34FC">
            <w:pPr>
              <w:pStyle w:val="11"/>
              <w:spacing w:line="306" w:lineRule="exact"/>
              <w:ind w:left="10" w:right="15"/>
              <w:rPr>
                <w:sz w:val="24"/>
                <w:szCs w:val="24"/>
              </w:rPr>
            </w:pPr>
            <w:r>
              <w:rPr>
                <w:sz w:val="24"/>
                <w:szCs w:val="24"/>
              </w:rPr>
              <w:t>94</w:t>
            </w:r>
            <w:r>
              <w:rPr>
                <w:spacing w:val="-2"/>
                <w:sz w:val="24"/>
                <w:szCs w:val="24"/>
              </w:rPr>
              <w:t xml:space="preserve"> (3,2%)</w:t>
            </w:r>
          </w:p>
        </w:tc>
        <w:tc>
          <w:tcPr>
            <w:tcW w:w="1593" w:type="dxa"/>
          </w:tcPr>
          <w:p w14:paraId="4026740D">
            <w:pPr>
              <w:pStyle w:val="11"/>
              <w:spacing w:line="306" w:lineRule="exact"/>
              <w:ind w:left="4" w:right="3"/>
              <w:rPr>
                <w:sz w:val="24"/>
                <w:szCs w:val="24"/>
              </w:rPr>
            </w:pPr>
            <w:r>
              <w:rPr>
                <w:sz w:val="24"/>
                <w:szCs w:val="24"/>
              </w:rPr>
              <w:t>58</w:t>
            </w:r>
            <w:r>
              <w:rPr>
                <w:spacing w:val="-2"/>
                <w:sz w:val="24"/>
                <w:szCs w:val="24"/>
              </w:rPr>
              <w:t xml:space="preserve"> (2,0%)</w:t>
            </w:r>
          </w:p>
        </w:tc>
      </w:tr>
      <w:tr w14:paraId="6138B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6C7D9A10">
            <w:pPr>
              <w:pStyle w:val="11"/>
              <w:spacing w:line="301" w:lineRule="exact"/>
              <w:ind w:left="110"/>
              <w:jc w:val="left"/>
              <w:rPr>
                <w:sz w:val="24"/>
                <w:szCs w:val="24"/>
              </w:rPr>
            </w:pPr>
            <w:r>
              <w:rPr>
                <w:spacing w:val="-2"/>
                <w:sz w:val="24"/>
                <w:szCs w:val="24"/>
              </w:rPr>
              <w:t>Кызылординская</w:t>
            </w:r>
          </w:p>
        </w:tc>
        <w:tc>
          <w:tcPr>
            <w:tcW w:w="1840" w:type="dxa"/>
          </w:tcPr>
          <w:p w14:paraId="298C5671">
            <w:pPr>
              <w:pStyle w:val="11"/>
              <w:spacing w:line="301" w:lineRule="exact"/>
              <w:ind w:left="15" w:right="5"/>
              <w:rPr>
                <w:sz w:val="24"/>
                <w:szCs w:val="24"/>
              </w:rPr>
            </w:pPr>
            <w:r>
              <w:rPr>
                <w:sz w:val="24"/>
                <w:szCs w:val="24"/>
              </w:rPr>
              <w:t>105</w:t>
            </w:r>
            <w:r>
              <w:rPr>
                <w:spacing w:val="-4"/>
                <w:sz w:val="24"/>
                <w:szCs w:val="24"/>
              </w:rPr>
              <w:t xml:space="preserve"> </w:t>
            </w:r>
            <w:r>
              <w:rPr>
                <w:spacing w:val="-2"/>
                <w:sz w:val="24"/>
                <w:szCs w:val="24"/>
              </w:rPr>
              <w:t>(3,4%)</w:t>
            </w:r>
          </w:p>
        </w:tc>
        <w:tc>
          <w:tcPr>
            <w:tcW w:w="1844" w:type="dxa"/>
          </w:tcPr>
          <w:p w14:paraId="07DD05FF">
            <w:pPr>
              <w:pStyle w:val="11"/>
              <w:spacing w:line="301" w:lineRule="exact"/>
              <w:ind w:left="33" w:right="30"/>
              <w:rPr>
                <w:sz w:val="24"/>
                <w:szCs w:val="24"/>
              </w:rPr>
            </w:pPr>
            <w:r>
              <w:rPr>
                <w:sz w:val="24"/>
                <w:szCs w:val="24"/>
              </w:rPr>
              <w:t>123</w:t>
            </w:r>
            <w:r>
              <w:rPr>
                <w:spacing w:val="-4"/>
                <w:sz w:val="24"/>
                <w:szCs w:val="24"/>
              </w:rPr>
              <w:t xml:space="preserve"> </w:t>
            </w:r>
            <w:r>
              <w:rPr>
                <w:spacing w:val="-2"/>
                <w:sz w:val="24"/>
                <w:szCs w:val="24"/>
              </w:rPr>
              <w:t>(3,9%)</w:t>
            </w:r>
          </w:p>
        </w:tc>
        <w:tc>
          <w:tcPr>
            <w:tcW w:w="1840" w:type="dxa"/>
          </w:tcPr>
          <w:p w14:paraId="453BAC0D">
            <w:pPr>
              <w:pStyle w:val="11"/>
              <w:spacing w:line="301" w:lineRule="exact"/>
              <w:ind w:left="10" w:right="10"/>
              <w:rPr>
                <w:sz w:val="24"/>
                <w:szCs w:val="24"/>
              </w:rPr>
            </w:pPr>
            <w:r>
              <w:rPr>
                <w:sz w:val="24"/>
                <w:szCs w:val="24"/>
              </w:rPr>
              <w:t>116</w:t>
            </w:r>
            <w:r>
              <w:rPr>
                <w:spacing w:val="-4"/>
                <w:sz w:val="24"/>
                <w:szCs w:val="24"/>
              </w:rPr>
              <w:t xml:space="preserve"> </w:t>
            </w:r>
            <w:r>
              <w:rPr>
                <w:spacing w:val="-2"/>
                <w:sz w:val="24"/>
                <w:szCs w:val="24"/>
              </w:rPr>
              <w:t>(4,0%)</w:t>
            </w:r>
          </w:p>
        </w:tc>
        <w:tc>
          <w:tcPr>
            <w:tcW w:w="1593" w:type="dxa"/>
          </w:tcPr>
          <w:p w14:paraId="1D445334">
            <w:pPr>
              <w:pStyle w:val="11"/>
              <w:spacing w:line="301" w:lineRule="exact"/>
              <w:ind w:left="4" w:right="5"/>
              <w:rPr>
                <w:sz w:val="24"/>
                <w:szCs w:val="24"/>
              </w:rPr>
            </w:pPr>
            <w:r>
              <w:rPr>
                <w:sz w:val="24"/>
                <w:szCs w:val="24"/>
              </w:rPr>
              <w:t>251</w:t>
            </w:r>
            <w:r>
              <w:rPr>
                <w:spacing w:val="-4"/>
                <w:sz w:val="24"/>
                <w:szCs w:val="24"/>
              </w:rPr>
              <w:t xml:space="preserve"> </w:t>
            </w:r>
            <w:r>
              <w:rPr>
                <w:spacing w:val="-2"/>
                <w:sz w:val="24"/>
                <w:szCs w:val="24"/>
              </w:rPr>
              <w:t>(8,8%)</w:t>
            </w:r>
          </w:p>
        </w:tc>
      </w:tr>
      <w:tr w14:paraId="4DA07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58829269">
            <w:pPr>
              <w:pStyle w:val="11"/>
              <w:spacing w:line="301" w:lineRule="exact"/>
              <w:ind w:left="110"/>
              <w:jc w:val="left"/>
              <w:rPr>
                <w:sz w:val="24"/>
                <w:szCs w:val="24"/>
              </w:rPr>
            </w:pPr>
            <w:r>
              <w:rPr>
                <w:spacing w:val="-2"/>
                <w:sz w:val="24"/>
                <w:szCs w:val="24"/>
              </w:rPr>
              <w:t>Мангыстауская</w:t>
            </w:r>
          </w:p>
        </w:tc>
        <w:tc>
          <w:tcPr>
            <w:tcW w:w="1840" w:type="dxa"/>
          </w:tcPr>
          <w:p w14:paraId="2437A335">
            <w:pPr>
              <w:pStyle w:val="11"/>
              <w:spacing w:line="301" w:lineRule="exact"/>
              <w:ind w:left="15" w:right="5"/>
              <w:rPr>
                <w:sz w:val="24"/>
                <w:szCs w:val="24"/>
              </w:rPr>
            </w:pPr>
            <w:r>
              <w:rPr>
                <w:sz w:val="24"/>
                <w:szCs w:val="24"/>
              </w:rPr>
              <w:t>144</w:t>
            </w:r>
            <w:r>
              <w:rPr>
                <w:spacing w:val="-4"/>
                <w:sz w:val="24"/>
                <w:szCs w:val="24"/>
              </w:rPr>
              <w:t xml:space="preserve"> </w:t>
            </w:r>
            <w:r>
              <w:rPr>
                <w:spacing w:val="-2"/>
                <w:sz w:val="24"/>
                <w:szCs w:val="24"/>
              </w:rPr>
              <w:t>(4,7%)</w:t>
            </w:r>
          </w:p>
        </w:tc>
        <w:tc>
          <w:tcPr>
            <w:tcW w:w="1844" w:type="dxa"/>
          </w:tcPr>
          <w:p w14:paraId="057CF2A9">
            <w:pPr>
              <w:pStyle w:val="11"/>
              <w:spacing w:line="301" w:lineRule="exact"/>
              <w:ind w:left="33" w:right="34"/>
              <w:rPr>
                <w:sz w:val="24"/>
                <w:szCs w:val="24"/>
              </w:rPr>
            </w:pPr>
            <w:r>
              <w:rPr>
                <w:sz w:val="24"/>
                <w:szCs w:val="24"/>
              </w:rPr>
              <w:t>86</w:t>
            </w:r>
            <w:r>
              <w:rPr>
                <w:spacing w:val="-2"/>
                <w:sz w:val="24"/>
                <w:szCs w:val="24"/>
              </w:rPr>
              <w:t xml:space="preserve"> (2,7%)</w:t>
            </w:r>
          </w:p>
        </w:tc>
        <w:tc>
          <w:tcPr>
            <w:tcW w:w="1840" w:type="dxa"/>
          </w:tcPr>
          <w:p w14:paraId="2575FF09">
            <w:pPr>
              <w:pStyle w:val="11"/>
              <w:spacing w:line="301" w:lineRule="exact"/>
              <w:ind w:left="10" w:right="15"/>
              <w:rPr>
                <w:sz w:val="24"/>
                <w:szCs w:val="24"/>
              </w:rPr>
            </w:pPr>
            <w:r>
              <w:rPr>
                <w:sz w:val="24"/>
                <w:szCs w:val="24"/>
              </w:rPr>
              <w:t>79</w:t>
            </w:r>
            <w:r>
              <w:rPr>
                <w:spacing w:val="-2"/>
                <w:sz w:val="24"/>
                <w:szCs w:val="24"/>
              </w:rPr>
              <w:t xml:space="preserve"> (2,7%)</w:t>
            </w:r>
          </w:p>
        </w:tc>
        <w:tc>
          <w:tcPr>
            <w:tcW w:w="1593" w:type="dxa"/>
          </w:tcPr>
          <w:p w14:paraId="3AC5B43E">
            <w:pPr>
              <w:pStyle w:val="11"/>
              <w:spacing w:line="301" w:lineRule="exact"/>
              <w:ind w:left="4" w:right="3"/>
              <w:rPr>
                <w:sz w:val="24"/>
                <w:szCs w:val="24"/>
              </w:rPr>
            </w:pPr>
            <w:r>
              <w:rPr>
                <w:sz w:val="24"/>
                <w:szCs w:val="24"/>
              </w:rPr>
              <w:t>85</w:t>
            </w:r>
            <w:r>
              <w:rPr>
                <w:spacing w:val="-2"/>
                <w:sz w:val="24"/>
                <w:szCs w:val="24"/>
              </w:rPr>
              <w:t xml:space="preserve"> (2,9%)</w:t>
            </w:r>
          </w:p>
        </w:tc>
      </w:tr>
      <w:tr w14:paraId="3D4AB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Pr>
          <w:p w14:paraId="20CD5E48">
            <w:pPr>
              <w:pStyle w:val="11"/>
              <w:spacing w:line="302" w:lineRule="exact"/>
              <w:ind w:left="110"/>
              <w:jc w:val="left"/>
              <w:rPr>
                <w:sz w:val="24"/>
                <w:szCs w:val="24"/>
              </w:rPr>
            </w:pPr>
            <w:r>
              <w:rPr>
                <w:spacing w:val="-2"/>
                <w:sz w:val="24"/>
                <w:szCs w:val="24"/>
              </w:rPr>
              <w:t>Павлодарская</w:t>
            </w:r>
          </w:p>
        </w:tc>
        <w:tc>
          <w:tcPr>
            <w:tcW w:w="1840" w:type="dxa"/>
          </w:tcPr>
          <w:p w14:paraId="01A6AE80">
            <w:pPr>
              <w:pStyle w:val="11"/>
              <w:spacing w:line="302" w:lineRule="exact"/>
              <w:ind w:left="15" w:right="5"/>
              <w:rPr>
                <w:sz w:val="24"/>
                <w:szCs w:val="24"/>
              </w:rPr>
            </w:pPr>
            <w:r>
              <w:rPr>
                <w:sz w:val="24"/>
                <w:szCs w:val="24"/>
              </w:rPr>
              <w:t>132</w:t>
            </w:r>
            <w:r>
              <w:rPr>
                <w:spacing w:val="-4"/>
                <w:sz w:val="24"/>
                <w:szCs w:val="24"/>
              </w:rPr>
              <w:t xml:space="preserve"> </w:t>
            </w:r>
            <w:r>
              <w:rPr>
                <w:spacing w:val="-2"/>
                <w:sz w:val="24"/>
                <w:szCs w:val="24"/>
              </w:rPr>
              <w:t>(4,3%)</w:t>
            </w:r>
          </w:p>
        </w:tc>
        <w:tc>
          <w:tcPr>
            <w:tcW w:w="1844" w:type="dxa"/>
          </w:tcPr>
          <w:p w14:paraId="72811CC5">
            <w:pPr>
              <w:pStyle w:val="11"/>
              <w:spacing w:line="302" w:lineRule="exact"/>
              <w:ind w:left="33" w:right="30"/>
              <w:rPr>
                <w:sz w:val="24"/>
                <w:szCs w:val="24"/>
              </w:rPr>
            </w:pPr>
            <w:r>
              <w:rPr>
                <w:sz w:val="24"/>
                <w:szCs w:val="24"/>
              </w:rPr>
              <w:t>120</w:t>
            </w:r>
            <w:r>
              <w:rPr>
                <w:spacing w:val="-4"/>
                <w:sz w:val="24"/>
                <w:szCs w:val="24"/>
              </w:rPr>
              <w:t xml:space="preserve"> </w:t>
            </w:r>
            <w:r>
              <w:rPr>
                <w:spacing w:val="-2"/>
                <w:sz w:val="24"/>
                <w:szCs w:val="24"/>
              </w:rPr>
              <w:t>(3,7%)</w:t>
            </w:r>
          </w:p>
        </w:tc>
        <w:tc>
          <w:tcPr>
            <w:tcW w:w="1840" w:type="dxa"/>
          </w:tcPr>
          <w:p w14:paraId="5E399B37">
            <w:pPr>
              <w:pStyle w:val="11"/>
              <w:spacing w:line="302" w:lineRule="exact"/>
              <w:ind w:left="10" w:right="10"/>
              <w:rPr>
                <w:sz w:val="24"/>
                <w:szCs w:val="24"/>
              </w:rPr>
            </w:pPr>
            <w:r>
              <w:rPr>
                <w:sz w:val="24"/>
                <w:szCs w:val="24"/>
              </w:rPr>
              <w:t>133</w:t>
            </w:r>
            <w:r>
              <w:rPr>
                <w:spacing w:val="-4"/>
                <w:sz w:val="24"/>
                <w:szCs w:val="24"/>
              </w:rPr>
              <w:t xml:space="preserve"> </w:t>
            </w:r>
            <w:r>
              <w:rPr>
                <w:spacing w:val="-2"/>
                <w:sz w:val="24"/>
                <w:szCs w:val="24"/>
              </w:rPr>
              <w:t>(4,6%)</w:t>
            </w:r>
          </w:p>
        </w:tc>
        <w:tc>
          <w:tcPr>
            <w:tcW w:w="1593" w:type="dxa"/>
          </w:tcPr>
          <w:p w14:paraId="630476B4">
            <w:pPr>
              <w:pStyle w:val="11"/>
              <w:spacing w:line="302" w:lineRule="exact"/>
              <w:ind w:left="4" w:right="5"/>
              <w:rPr>
                <w:sz w:val="24"/>
                <w:szCs w:val="24"/>
              </w:rPr>
            </w:pPr>
            <w:r>
              <w:rPr>
                <w:sz w:val="24"/>
                <w:szCs w:val="24"/>
              </w:rPr>
              <w:t>129</w:t>
            </w:r>
            <w:r>
              <w:rPr>
                <w:spacing w:val="-4"/>
                <w:sz w:val="24"/>
                <w:szCs w:val="24"/>
              </w:rPr>
              <w:t xml:space="preserve"> </w:t>
            </w:r>
            <w:r>
              <w:rPr>
                <w:spacing w:val="-2"/>
                <w:sz w:val="24"/>
                <w:szCs w:val="24"/>
              </w:rPr>
              <w:t>(4,5%)</w:t>
            </w:r>
          </w:p>
        </w:tc>
      </w:tr>
      <w:tr w14:paraId="09029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Borders>
              <w:bottom w:val="single" w:color="000000" w:sz="4" w:space="0"/>
            </w:tcBorders>
          </w:tcPr>
          <w:p w14:paraId="77300293">
            <w:pPr>
              <w:pStyle w:val="11"/>
              <w:spacing w:line="301" w:lineRule="exact"/>
              <w:ind w:left="110"/>
              <w:jc w:val="left"/>
              <w:rPr>
                <w:sz w:val="24"/>
                <w:szCs w:val="24"/>
              </w:rPr>
            </w:pPr>
            <w:r>
              <w:rPr>
                <w:spacing w:val="-5"/>
                <w:sz w:val="24"/>
                <w:szCs w:val="24"/>
              </w:rPr>
              <w:t>СКО</w:t>
            </w:r>
          </w:p>
        </w:tc>
        <w:tc>
          <w:tcPr>
            <w:tcW w:w="1840" w:type="dxa"/>
            <w:tcBorders>
              <w:bottom w:val="single" w:color="000000" w:sz="4" w:space="0"/>
            </w:tcBorders>
          </w:tcPr>
          <w:p w14:paraId="07DFB8B1">
            <w:pPr>
              <w:pStyle w:val="11"/>
              <w:spacing w:line="301" w:lineRule="exact"/>
              <w:ind w:left="15" w:right="5"/>
              <w:rPr>
                <w:sz w:val="24"/>
                <w:szCs w:val="24"/>
              </w:rPr>
            </w:pPr>
            <w:r>
              <w:rPr>
                <w:sz w:val="24"/>
                <w:szCs w:val="24"/>
              </w:rPr>
              <w:t>117</w:t>
            </w:r>
            <w:r>
              <w:rPr>
                <w:spacing w:val="-4"/>
                <w:sz w:val="24"/>
                <w:szCs w:val="24"/>
              </w:rPr>
              <w:t xml:space="preserve"> </w:t>
            </w:r>
            <w:r>
              <w:rPr>
                <w:spacing w:val="-2"/>
                <w:sz w:val="24"/>
                <w:szCs w:val="24"/>
              </w:rPr>
              <w:t>(3,8%)</w:t>
            </w:r>
          </w:p>
        </w:tc>
        <w:tc>
          <w:tcPr>
            <w:tcW w:w="1844" w:type="dxa"/>
            <w:tcBorders>
              <w:bottom w:val="single" w:color="000000" w:sz="4" w:space="0"/>
            </w:tcBorders>
          </w:tcPr>
          <w:p w14:paraId="2CBD185F">
            <w:pPr>
              <w:pStyle w:val="11"/>
              <w:spacing w:line="301" w:lineRule="exact"/>
              <w:ind w:left="33" w:right="30"/>
              <w:rPr>
                <w:sz w:val="24"/>
                <w:szCs w:val="24"/>
              </w:rPr>
            </w:pPr>
            <w:r>
              <w:rPr>
                <w:sz w:val="24"/>
                <w:szCs w:val="24"/>
              </w:rPr>
              <w:t>121</w:t>
            </w:r>
            <w:r>
              <w:rPr>
                <w:spacing w:val="-4"/>
                <w:sz w:val="24"/>
                <w:szCs w:val="24"/>
              </w:rPr>
              <w:t xml:space="preserve"> </w:t>
            </w:r>
            <w:r>
              <w:rPr>
                <w:spacing w:val="-2"/>
                <w:sz w:val="24"/>
                <w:szCs w:val="24"/>
              </w:rPr>
              <w:t>(3,8%)</w:t>
            </w:r>
          </w:p>
        </w:tc>
        <w:tc>
          <w:tcPr>
            <w:tcW w:w="1840" w:type="dxa"/>
            <w:tcBorders>
              <w:bottom w:val="single" w:color="000000" w:sz="4" w:space="0"/>
            </w:tcBorders>
          </w:tcPr>
          <w:p w14:paraId="6D5CC595">
            <w:pPr>
              <w:pStyle w:val="11"/>
              <w:spacing w:line="301" w:lineRule="exact"/>
              <w:ind w:left="10" w:right="15"/>
              <w:rPr>
                <w:sz w:val="24"/>
                <w:szCs w:val="24"/>
              </w:rPr>
            </w:pPr>
            <w:r>
              <w:rPr>
                <w:sz w:val="24"/>
                <w:szCs w:val="24"/>
              </w:rPr>
              <w:t>83</w:t>
            </w:r>
            <w:r>
              <w:rPr>
                <w:spacing w:val="-2"/>
                <w:sz w:val="24"/>
                <w:szCs w:val="24"/>
              </w:rPr>
              <w:t xml:space="preserve"> (2,8%)</w:t>
            </w:r>
          </w:p>
        </w:tc>
        <w:tc>
          <w:tcPr>
            <w:tcW w:w="1593" w:type="dxa"/>
            <w:tcBorders>
              <w:bottom w:val="single" w:color="000000" w:sz="4" w:space="0"/>
            </w:tcBorders>
          </w:tcPr>
          <w:p w14:paraId="1B14D380">
            <w:pPr>
              <w:pStyle w:val="11"/>
              <w:spacing w:line="301" w:lineRule="exact"/>
              <w:ind w:left="4" w:right="5"/>
              <w:rPr>
                <w:sz w:val="24"/>
                <w:szCs w:val="24"/>
              </w:rPr>
            </w:pPr>
            <w:r>
              <w:rPr>
                <w:sz w:val="24"/>
                <w:szCs w:val="24"/>
              </w:rPr>
              <w:t>104</w:t>
            </w:r>
            <w:r>
              <w:rPr>
                <w:spacing w:val="-4"/>
                <w:sz w:val="24"/>
                <w:szCs w:val="24"/>
              </w:rPr>
              <w:t xml:space="preserve"> </w:t>
            </w:r>
            <w:r>
              <w:rPr>
                <w:spacing w:val="-2"/>
                <w:sz w:val="24"/>
                <w:szCs w:val="24"/>
              </w:rPr>
              <w:t>(3,7%)</w:t>
            </w:r>
          </w:p>
        </w:tc>
      </w:tr>
      <w:tr w14:paraId="7F6E3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22" w:type="dxa"/>
            <w:tcBorders>
              <w:bottom w:val="nil"/>
            </w:tcBorders>
          </w:tcPr>
          <w:p w14:paraId="4483CB81">
            <w:pPr>
              <w:pStyle w:val="11"/>
              <w:spacing w:line="301" w:lineRule="exact"/>
              <w:ind w:left="110"/>
              <w:jc w:val="left"/>
              <w:rPr>
                <w:sz w:val="24"/>
                <w:szCs w:val="24"/>
              </w:rPr>
            </w:pPr>
            <w:r>
              <w:rPr>
                <w:spacing w:val="-2"/>
                <w:sz w:val="24"/>
                <w:szCs w:val="24"/>
              </w:rPr>
              <w:t>Туркестанская</w:t>
            </w:r>
          </w:p>
        </w:tc>
        <w:tc>
          <w:tcPr>
            <w:tcW w:w="1840" w:type="dxa"/>
            <w:tcBorders>
              <w:bottom w:val="nil"/>
            </w:tcBorders>
          </w:tcPr>
          <w:p w14:paraId="0F22F7E5">
            <w:pPr>
              <w:pStyle w:val="11"/>
              <w:spacing w:line="301" w:lineRule="exact"/>
              <w:ind w:left="15" w:right="5"/>
              <w:rPr>
                <w:sz w:val="24"/>
                <w:szCs w:val="24"/>
              </w:rPr>
            </w:pPr>
            <w:r>
              <w:rPr>
                <w:sz w:val="24"/>
                <w:szCs w:val="24"/>
              </w:rPr>
              <w:t>131</w:t>
            </w:r>
            <w:r>
              <w:rPr>
                <w:spacing w:val="-4"/>
                <w:sz w:val="24"/>
                <w:szCs w:val="24"/>
              </w:rPr>
              <w:t xml:space="preserve"> </w:t>
            </w:r>
            <w:r>
              <w:rPr>
                <w:spacing w:val="-2"/>
                <w:sz w:val="24"/>
                <w:szCs w:val="24"/>
              </w:rPr>
              <w:t>(4,2%)</w:t>
            </w:r>
          </w:p>
        </w:tc>
        <w:tc>
          <w:tcPr>
            <w:tcW w:w="1844" w:type="dxa"/>
            <w:tcBorders>
              <w:bottom w:val="nil"/>
            </w:tcBorders>
          </w:tcPr>
          <w:p w14:paraId="4B8CD279">
            <w:pPr>
              <w:pStyle w:val="11"/>
              <w:spacing w:line="301" w:lineRule="exact"/>
              <w:ind w:left="33" w:right="30"/>
              <w:rPr>
                <w:sz w:val="24"/>
                <w:szCs w:val="24"/>
              </w:rPr>
            </w:pPr>
            <w:r>
              <w:rPr>
                <w:sz w:val="24"/>
                <w:szCs w:val="24"/>
              </w:rPr>
              <w:t>117</w:t>
            </w:r>
            <w:r>
              <w:rPr>
                <w:spacing w:val="-4"/>
                <w:sz w:val="24"/>
                <w:szCs w:val="24"/>
              </w:rPr>
              <w:t xml:space="preserve"> </w:t>
            </w:r>
            <w:r>
              <w:rPr>
                <w:spacing w:val="-2"/>
                <w:sz w:val="24"/>
                <w:szCs w:val="24"/>
              </w:rPr>
              <w:t>(3,6%)</w:t>
            </w:r>
          </w:p>
        </w:tc>
        <w:tc>
          <w:tcPr>
            <w:tcW w:w="1840" w:type="dxa"/>
            <w:tcBorders>
              <w:bottom w:val="nil"/>
            </w:tcBorders>
          </w:tcPr>
          <w:p w14:paraId="74735454">
            <w:pPr>
              <w:pStyle w:val="11"/>
              <w:spacing w:line="301" w:lineRule="exact"/>
              <w:ind w:left="10" w:right="15"/>
              <w:rPr>
                <w:sz w:val="24"/>
                <w:szCs w:val="24"/>
              </w:rPr>
            </w:pPr>
            <w:r>
              <w:rPr>
                <w:sz w:val="24"/>
                <w:szCs w:val="24"/>
              </w:rPr>
              <w:t>90</w:t>
            </w:r>
            <w:r>
              <w:rPr>
                <w:spacing w:val="-2"/>
                <w:sz w:val="24"/>
                <w:szCs w:val="24"/>
              </w:rPr>
              <w:t xml:space="preserve"> (3,1%)</w:t>
            </w:r>
          </w:p>
        </w:tc>
        <w:tc>
          <w:tcPr>
            <w:tcW w:w="1593" w:type="dxa"/>
            <w:tcBorders>
              <w:bottom w:val="nil"/>
            </w:tcBorders>
          </w:tcPr>
          <w:p w14:paraId="07771BB2">
            <w:pPr>
              <w:pStyle w:val="11"/>
              <w:spacing w:line="301" w:lineRule="exact"/>
              <w:ind w:left="4" w:right="5"/>
              <w:rPr>
                <w:sz w:val="24"/>
                <w:szCs w:val="24"/>
              </w:rPr>
            </w:pPr>
            <w:r>
              <w:rPr>
                <w:sz w:val="24"/>
                <w:szCs w:val="24"/>
              </w:rPr>
              <w:t>122</w:t>
            </w:r>
            <w:r>
              <w:rPr>
                <w:spacing w:val="-4"/>
                <w:sz w:val="24"/>
                <w:szCs w:val="24"/>
              </w:rPr>
              <w:t xml:space="preserve"> </w:t>
            </w:r>
            <w:r>
              <w:rPr>
                <w:spacing w:val="-2"/>
                <w:sz w:val="24"/>
                <w:szCs w:val="24"/>
              </w:rPr>
              <w:t>(4,2%)</w:t>
            </w:r>
          </w:p>
        </w:tc>
      </w:tr>
    </w:tbl>
    <w:p w14:paraId="41EDBFEC">
      <w:pPr>
        <w:rPr>
          <w:sz w:val="28"/>
          <w:szCs w:val="28"/>
        </w:rPr>
      </w:pPr>
      <w:r>
        <w:rPr>
          <w:sz w:val="28"/>
          <w:szCs w:val="28"/>
        </w:rPr>
        <w:t>Продолжение таблицы 4</w:t>
      </w:r>
    </w:p>
    <w:p w14:paraId="58E893FA">
      <w:pPr>
        <w:rPr>
          <w:sz w:val="28"/>
          <w:szCs w:val="28"/>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2"/>
        <w:gridCol w:w="1843"/>
        <w:gridCol w:w="1842"/>
        <w:gridCol w:w="1843"/>
        <w:gridCol w:w="1559"/>
      </w:tblGrid>
      <w:tr w14:paraId="7EAAD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2552" w:type="dxa"/>
            <w:tcBorders>
              <w:top w:val="single" w:color="auto" w:sz="4" w:space="0"/>
              <w:left w:val="single" w:color="auto" w:sz="4" w:space="0"/>
              <w:bottom w:val="single" w:color="auto" w:sz="4" w:space="0"/>
              <w:right w:val="single" w:color="auto" w:sz="4" w:space="0"/>
            </w:tcBorders>
          </w:tcPr>
          <w:p w14:paraId="6D81D674">
            <w:pPr>
              <w:pStyle w:val="11"/>
              <w:spacing w:line="306" w:lineRule="exact"/>
              <w:ind w:left="110"/>
              <w:rPr>
                <w:spacing w:val="-2"/>
                <w:sz w:val="24"/>
                <w:szCs w:val="24"/>
              </w:rPr>
            </w:pPr>
            <w:r>
              <w:rPr>
                <w:spacing w:val="-2"/>
                <w:sz w:val="24"/>
                <w:szCs w:val="24"/>
              </w:rPr>
              <w:t>1</w:t>
            </w:r>
          </w:p>
        </w:tc>
        <w:tc>
          <w:tcPr>
            <w:tcW w:w="1843" w:type="dxa"/>
            <w:tcBorders>
              <w:top w:val="single" w:color="auto" w:sz="4" w:space="0"/>
              <w:left w:val="single" w:color="auto" w:sz="4" w:space="0"/>
              <w:bottom w:val="single" w:color="auto" w:sz="4" w:space="0"/>
              <w:right w:val="single" w:color="auto" w:sz="4" w:space="0"/>
            </w:tcBorders>
          </w:tcPr>
          <w:p w14:paraId="290D0AEA">
            <w:pPr>
              <w:pStyle w:val="11"/>
              <w:spacing w:line="306" w:lineRule="exact"/>
              <w:ind w:left="10" w:right="5"/>
              <w:rPr>
                <w:sz w:val="24"/>
                <w:szCs w:val="24"/>
              </w:rPr>
            </w:pPr>
            <w:r>
              <w:rPr>
                <w:sz w:val="24"/>
                <w:szCs w:val="24"/>
              </w:rPr>
              <w:t>2</w:t>
            </w:r>
          </w:p>
        </w:tc>
        <w:tc>
          <w:tcPr>
            <w:tcW w:w="1842" w:type="dxa"/>
            <w:tcBorders>
              <w:top w:val="single" w:color="auto" w:sz="4" w:space="0"/>
              <w:left w:val="single" w:color="auto" w:sz="4" w:space="0"/>
              <w:bottom w:val="single" w:color="auto" w:sz="4" w:space="0"/>
              <w:right w:val="single" w:color="auto" w:sz="4" w:space="0"/>
            </w:tcBorders>
          </w:tcPr>
          <w:p w14:paraId="746886B3">
            <w:pPr>
              <w:pStyle w:val="11"/>
              <w:spacing w:line="306" w:lineRule="exact"/>
              <w:ind w:left="33" w:right="34"/>
              <w:rPr>
                <w:sz w:val="24"/>
                <w:szCs w:val="24"/>
              </w:rPr>
            </w:pPr>
            <w:r>
              <w:rPr>
                <w:sz w:val="24"/>
                <w:szCs w:val="24"/>
              </w:rPr>
              <w:t>3</w:t>
            </w:r>
          </w:p>
        </w:tc>
        <w:tc>
          <w:tcPr>
            <w:tcW w:w="1843" w:type="dxa"/>
            <w:tcBorders>
              <w:top w:val="single" w:color="auto" w:sz="4" w:space="0"/>
              <w:left w:val="single" w:color="auto" w:sz="4" w:space="0"/>
              <w:bottom w:val="single" w:color="auto" w:sz="4" w:space="0"/>
              <w:right w:val="single" w:color="auto" w:sz="4" w:space="0"/>
            </w:tcBorders>
          </w:tcPr>
          <w:p w14:paraId="69047D1B">
            <w:pPr>
              <w:pStyle w:val="11"/>
              <w:spacing w:line="306" w:lineRule="exact"/>
              <w:ind w:left="10" w:right="15"/>
              <w:rPr>
                <w:sz w:val="24"/>
                <w:szCs w:val="24"/>
              </w:rPr>
            </w:pPr>
            <w:r>
              <w:rPr>
                <w:sz w:val="24"/>
                <w:szCs w:val="24"/>
              </w:rPr>
              <w:t>4</w:t>
            </w:r>
          </w:p>
        </w:tc>
        <w:tc>
          <w:tcPr>
            <w:tcW w:w="1559" w:type="dxa"/>
            <w:tcBorders>
              <w:top w:val="single" w:color="auto" w:sz="4" w:space="0"/>
              <w:left w:val="single" w:color="auto" w:sz="4" w:space="0"/>
              <w:bottom w:val="single" w:color="auto" w:sz="4" w:space="0"/>
              <w:right w:val="single" w:color="auto" w:sz="4" w:space="0"/>
            </w:tcBorders>
          </w:tcPr>
          <w:p w14:paraId="6C406D37">
            <w:pPr>
              <w:pStyle w:val="11"/>
              <w:spacing w:line="306" w:lineRule="exact"/>
              <w:ind w:left="4" w:right="3"/>
              <w:rPr>
                <w:sz w:val="24"/>
                <w:szCs w:val="24"/>
              </w:rPr>
            </w:pPr>
            <w:r>
              <w:rPr>
                <w:sz w:val="24"/>
                <w:szCs w:val="24"/>
              </w:rPr>
              <w:t>5</w:t>
            </w:r>
          </w:p>
        </w:tc>
      </w:tr>
      <w:tr w14:paraId="38312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2552" w:type="dxa"/>
            <w:tcBorders>
              <w:top w:val="single" w:color="auto" w:sz="4" w:space="0"/>
              <w:left w:val="single" w:color="auto" w:sz="4" w:space="0"/>
              <w:bottom w:val="single" w:color="auto" w:sz="4" w:space="0"/>
              <w:right w:val="single" w:color="auto" w:sz="4" w:space="0"/>
            </w:tcBorders>
          </w:tcPr>
          <w:p w14:paraId="7A759EBF">
            <w:pPr>
              <w:pStyle w:val="11"/>
              <w:spacing w:line="306" w:lineRule="exact"/>
              <w:ind w:left="110"/>
              <w:jc w:val="left"/>
              <w:rPr>
                <w:sz w:val="24"/>
                <w:szCs w:val="24"/>
              </w:rPr>
            </w:pPr>
            <w:r>
              <w:rPr>
                <w:spacing w:val="-2"/>
                <w:sz w:val="24"/>
                <w:szCs w:val="24"/>
              </w:rPr>
              <w:t>Улытауская</w:t>
            </w:r>
          </w:p>
        </w:tc>
        <w:tc>
          <w:tcPr>
            <w:tcW w:w="1843" w:type="dxa"/>
            <w:tcBorders>
              <w:top w:val="single" w:color="auto" w:sz="4" w:space="0"/>
              <w:left w:val="single" w:color="auto" w:sz="4" w:space="0"/>
              <w:bottom w:val="single" w:color="auto" w:sz="4" w:space="0"/>
              <w:right w:val="single" w:color="auto" w:sz="4" w:space="0"/>
            </w:tcBorders>
          </w:tcPr>
          <w:p w14:paraId="0D580764">
            <w:pPr>
              <w:pStyle w:val="11"/>
              <w:spacing w:line="306" w:lineRule="exact"/>
              <w:ind w:left="10" w:right="5"/>
              <w:rPr>
                <w:sz w:val="24"/>
                <w:szCs w:val="24"/>
              </w:rPr>
            </w:pPr>
            <w:r>
              <w:rPr>
                <w:sz w:val="24"/>
                <w:szCs w:val="24"/>
              </w:rPr>
              <w:t>81</w:t>
            </w:r>
            <w:r>
              <w:rPr>
                <w:spacing w:val="-2"/>
                <w:sz w:val="24"/>
                <w:szCs w:val="24"/>
              </w:rPr>
              <w:t xml:space="preserve"> (2,6%)</w:t>
            </w:r>
          </w:p>
        </w:tc>
        <w:tc>
          <w:tcPr>
            <w:tcW w:w="1842" w:type="dxa"/>
            <w:tcBorders>
              <w:top w:val="single" w:color="auto" w:sz="4" w:space="0"/>
              <w:left w:val="single" w:color="auto" w:sz="4" w:space="0"/>
              <w:bottom w:val="single" w:color="auto" w:sz="4" w:space="0"/>
              <w:right w:val="single" w:color="auto" w:sz="4" w:space="0"/>
            </w:tcBorders>
          </w:tcPr>
          <w:p w14:paraId="05204081">
            <w:pPr>
              <w:pStyle w:val="11"/>
              <w:spacing w:line="306" w:lineRule="exact"/>
              <w:ind w:left="33" w:right="34"/>
              <w:rPr>
                <w:sz w:val="24"/>
                <w:szCs w:val="24"/>
              </w:rPr>
            </w:pPr>
            <w:r>
              <w:rPr>
                <w:sz w:val="24"/>
                <w:szCs w:val="24"/>
              </w:rPr>
              <w:t>67</w:t>
            </w:r>
            <w:r>
              <w:rPr>
                <w:spacing w:val="-2"/>
                <w:sz w:val="24"/>
                <w:szCs w:val="24"/>
              </w:rPr>
              <w:t xml:space="preserve"> (2,1%)</w:t>
            </w:r>
          </w:p>
        </w:tc>
        <w:tc>
          <w:tcPr>
            <w:tcW w:w="1843" w:type="dxa"/>
            <w:tcBorders>
              <w:top w:val="single" w:color="auto" w:sz="4" w:space="0"/>
              <w:left w:val="single" w:color="auto" w:sz="4" w:space="0"/>
              <w:bottom w:val="single" w:color="auto" w:sz="4" w:space="0"/>
              <w:right w:val="single" w:color="auto" w:sz="4" w:space="0"/>
            </w:tcBorders>
          </w:tcPr>
          <w:p w14:paraId="415738AE">
            <w:pPr>
              <w:pStyle w:val="11"/>
              <w:spacing w:line="306" w:lineRule="exact"/>
              <w:ind w:left="10" w:right="15"/>
              <w:rPr>
                <w:sz w:val="24"/>
                <w:szCs w:val="24"/>
              </w:rPr>
            </w:pPr>
            <w:r>
              <w:rPr>
                <w:sz w:val="24"/>
                <w:szCs w:val="24"/>
              </w:rPr>
              <w:t>77</w:t>
            </w:r>
            <w:r>
              <w:rPr>
                <w:spacing w:val="-2"/>
                <w:sz w:val="24"/>
                <w:szCs w:val="24"/>
              </w:rPr>
              <w:t xml:space="preserve"> (2,6%)</w:t>
            </w:r>
          </w:p>
        </w:tc>
        <w:tc>
          <w:tcPr>
            <w:tcW w:w="1559" w:type="dxa"/>
            <w:tcBorders>
              <w:top w:val="single" w:color="auto" w:sz="4" w:space="0"/>
              <w:left w:val="single" w:color="auto" w:sz="4" w:space="0"/>
              <w:bottom w:val="single" w:color="auto" w:sz="4" w:space="0"/>
              <w:right w:val="single" w:color="auto" w:sz="4" w:space="0"/>
            </w:tcBorders>
          </w:tcPr>
          <w:p w14:paraId="4A263E4E">
            <w:pPr>
              <w:pStyle w:val="11"/>
              <w:spacing w:line="306" w:lineRule="exact"/>
              <w:ind w:left="4" w:right="3"/>
              <w:rPr>
                <w:sz w:val="24"/>
                <w:szCs w:val="24"/>
              </w:rPr>
            </w:pPr>
            <w:r>
              <w:rPr>
                <w:sz w:val="24"/>
                <w:szCs w:val="24"/>
              </w:rPr>
              <w:t>47</w:t>
            </w:r>
            <w:r>
              <w:rPr>
                <w:spacing w:val="-2"/>
                <w:sz w:val="24"/>
                <w:szCs w:val="24"/>
              </w:rPr>
              <w:t xml:space="preserve"> (1,6%)</w:t>
            </w:r>
          </w:p>
        </w:tc>
      </w:tr>
      <w:tr w14:paraId="76600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2552" w:type="dxa"/>
          </w:tcPr>
          <w:p w14:paraId="4FCD22EC">
            <w:pPr>
              <w:pStyle w:val="11"/>
              <w:spacing w:line="306" w:lineRule="exact"/>
              <w:ind w:left="110"/>
              <w:jc w:val="left"/>
              <w:rPr>
                <w:sz w:val="24"/>
                <w:szCs w:val="24"/>
              </w:rPr>
            </w:pPr>
            <w:r>
              <w:rPr>
                <w:sz w:val="24"/>
                <w:szCs w:val="24"/>
              </w:rPr>
              <w:t>г.</w:t>
            </w:r>
            <w:r>
              <w:rPr>
                <w:spacing w:val="2"/>
                <w:sz w:val="24"/>
                <w:szCs w:val="24"/>
              </w:rPr>
              <w:t xml:space="preserve"> </w:t>
            </w:r>
            <w:r>
              <w:rPr>
                <w:spacing w:val="-2"/>
                <w:sz w:val="24"/>
                <w:szCs w:val="24"/>
              </w:rPr>
              <w:t>Алматы</w:t>
            </w:r>
          </w:p>
        </w:tc>
        <w:tc>
          <w:tcPr>
            <w:tcW w:w="1843" w:type="dxa"/>
          </w:tcPr>
          <w:p w14:paraId="0BC18A9C">
            <w:pPr>
              <w:pStyle w:val="11"/>
              <w:spacing w:line="306" w:lineRule="exact"/>
              <w:ind w:left="13" w:right="5"/>
              <w:rPr>
                <w:sz w:val="24"/>
                <w:szCs w:val="24"/>
              </w:rPr>
            </w:pPr>
            <w:r>
              <w:rPr>
                <w:sz w:val="24"/>
                <w:szCs w:val="24"/>
              </w:rPr>
              <w:t>586</w:t>
            </w:r>
            <w:r>
              <w:rPr>
                <w:spacing w:val="-4"/>
                <w:sz w:val="24"/>
                <w:szCs w:val="24"/>
              </w:rPr>
              <w:t xml:space="preserve"> </w:t>
            </w:r>
            <w:r>
              <w:rPr>
                <w:spacing w:val="-2"/>
                <w:sz w:val="24"/>
                <w:szCs w:val="24"/>
              </w:rPr>
              <w:t>(19,1%)</w:t>
            </w:r>
          </w:p>
        </w:tc>
        <w:tc>
          <w:tcPr>
            <w:tcW w:w="1842" w:type="dxa"/>
          </w:tcPr>
          <w:p w14:paraId="1AEF321B">
            <w:pPr>
              <w:pStyle w:val="11"/>
              <w:spacing w:line="306" w:lineRule="exact"/>
              <w:ind w:left="33" w:right="30"/>
              <w:rPr>
                <w:sz w:val="24"/>
                <w:szCs w:val="24"/>
              </w:rPr>
            </w:pPr>
            <w:r>
              <w:rPr>
                <w:sz w:val="24"/>
                <w:szCs w:val="24"/>
              </w:rPr>
              <w:t>743</w:t>
            </w:r>
            <w:r>
              <w:rPr>
                <w:spacing w:val="-4"/>
                <w:sz w:val="24"/>
                <w:szCs w:val="24"/>
              </w:rPr>
              <w:t xml:space="preserve"> </w:t>
            </w:r>
            <w:r>
              <w:rPr>
                <w:spacing w:val="-2"/>
                <w:sz w:val="24"/>
                <w:szCs w:val="24"/>
              </w:rPr>
              <w:t>(23,4%)</w:t>
            </w:r>
          </w:p>
        </w:tc>
        <w:tc>
          <w:tcPr>
            <w:tcW w:w="1843" w:type="dxa"/>
          </w:tcPr>
          <w:p w14:paraId="6561E875">
            <w:pPr>
              <w:pStyle w:val="11"/>
              <w:spacing w:line="306" w:lineRule="exact"/>
              <w:ind w:left="10" w:right="11"/>
              <w:rPr>
                <w:sz w:val="24"/>
                <w:szCs w:val="24"/>
              </w:rPr>
            </w:pPr>
            <w:r>
              <w:rPr>
                <w:sz w:val="24"/>
                <w:szCs w:val="24"/>
              </w:rPr>
              <w:t>600</w:t>
            </w:r>
            <w:r>
              <w:rPr>
                <w:spacing w:val="-4"/>
                <w:sz w:val="24"/>
                <w:szCs w:val="24"/>
              </w:rPr>
              <w:t xml:space="preserve"> </w:t>
            </w:r>
            <w:r>
              <w:rPr>
                <w:spacing w:val="-2"/>
                <w:sz w:val="24"/>
                <w:szCs w:val="24"/>
              </w:rPr>
              <w:t>(20,7%)</w:t>
            </w:r>
          </w:p>
        </w:tc>
        <w:tc>
          <w:tcPr>
            <w:tcW w:w="1559" w:type="dxa"/>
          </w:tcPr>
          <w:p w14:paraId="781FC89C">
            <w:pPr>
              <w:pStyle w:val="11"/>
              <w:spacing w:line="306" w:lineRule="exact"/>
              <w:ind w:left="4" w:right="5"/>
              <w:rPr>
                <w:sz w:val="24"/>
                <w:szCs w:val="24"/>
              </w:rPr>
            </w:pPr>
            <w:r>
              <w:rPr>
                <w:sz w:val="24"/>
                <w:szCs w:val="24"/>
              </w:rPr>
              <w:t>813</w:t>
            </w:r>
            <w:r>
              <w:rPr>
                <w:spacing w:val="-4"/>
                <w:sz w:val="24"/>
                <w:szCs w:val="24"/>
              </w:rPr>
              <w:t xml:space="preserve"> </w:t>
            </w:r>
            <w:r>
              <w:rPr>
                <w:spacing w:val="-2"/>
                <w:sz w:val="24"/>
                <w:szCs w:val="24"/>
              </w:rPr>
              <w:t>(28,6%)</w:t>
            </w:r>
          </w:p>
        </w:tc>
      </w:tr>
      <w:tr w14:paraId="4A477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52" w:type="dxa"/>
          </w:tcPr>
          <w:p w14:paraId="5E3B5FF2">
            <w:pPr>
              <w:pStyle w:val="11"/>
              <w:spacing w:line="301" w:lineRule="exact"/>
              <w:ind w:left="110"/>
              <w:jc w:val="left"/>
              <w:rPr>
                <w:sz w:val="24"/>
                <w:szCs w:val="24"/>
              </w:rPr>
            </w:pPr>
            <w:r>
              <w:rPr>
                <w:sz w:val="24"/>
                <w:szCs w:val="24"/>
              </w:rPr>
              <w:t>г.</w:t>
            </w:r>
            <w:r>
              <w:rPr>
                <w:spacing w:val="2"/>
                <w:sz w:val="24"/>
                <w:szCs w:val="24"/>
              </w:rPr>
              <w:t xml:space="preserve"> </w:t>
            </w:r>
            <w:r>
              <w:rPr>
                <w:spacing w:val="-2"/>
                <w:sz w:val="24"/>
                <w:szCs w:val="24"/>
              </w:rPr>
              <w:t>Астана</w:t>
            </w:r>
          </w:p>
        </w:tc>
        <w:tc>
          <w:tcPr>
            <w:tcW w:w="1843" w:type="dxa"/>
          </w:tcPr>
          <w:p w14:paraId="26DCA10E">
            <w:pPr>
              <w:pStyle w:val="11"/>
              <w:spacing w:line="301" w:lineRule="exact"/>
              <w:ind w:left="13" w:right="5"/>
              <w:rPr>
                <w:sz w:val="24"/>
                <w:szCs w:val="24"/>
              </w:rPr>
            </w:pPr>
            <w:r>
              <w:rPr>
                <w:sz w:val="24"/>
                <w:szCs w:val="24"/>
              </w:rPr>
              <w:t>441</w:t>
            </w:r>
            <w:r>
              <w:rPr>
                <w:spacing w:val="-4"/>
                <w:sz w:val="24"/>
                <w:szCs w:val="24"/>
              </w:rPr>
              <w:t xml:space="preserve"> </w:t>
            </w:r>
            <w:r>
              <w:rPr>
                <w:spacing w:val="-2"/>
                <w:sz w:val="24"/>
                <w:szCs w:val="24"/>
              </w:rPr>
              <w:t>(14,3%)</w:t>
            </w:r>
          </w:p>
        </w:tc>
        <w:tc>
          <w:tcPr>
            <w:tcW w:w="1842" w:type="dxa"/>
          </w:tcPr>
          <w:p w14:paraId="791B5D44">
            <w:pPr>
              <w:pStyle w:val="11"/>
              <w:spacing w:line="301" w:lineRule="exact"/>
              <w:ind w:left="33" w:right="30"/>
              <w:rPr>
                <w:sz w:val="24"/>
                <w:szCs w:val="24"/>
              </w:rPr>
            </w:pPr>
            <w:r>
              <w:rPr>
                <w:sz w:val="24"/>
                <w:szCs w:val="24"/>
              </w:rPr>
              <w:t>428</w:t>
            </w:r>
            <w:r>
              <w:rPr>
                <w:spacing w:val="-4"/>
                <w:sz w:val="24"/>
                <w:szCs w:val="24"/>
              </w:rPr>
              <w:t xml:space="preserve"> </w:t>
            </w:r>
            <w:r>
              <w:rPr>
                <w:spacing w:val="-2"/>
                <w:sz w:val="24"/>
                <w:szCs w:val="24"/>
              </w:rPr>
              <w:t>(13,5%)</w:t>
            </w:r>
          </w:p>
        </w:tc>
        <w:tc>
          <w:tcPr>
            <w:tcW w:w="1843" w:type="dxa"/>
          </w:tcPr>
          <w:p w14:paraId="29D5E8F9">
            <w:pPr>
              <w:pStyle w:val="11"/>
              <w:spacing w:line="301" w:lineRule="exact"/>
              <w:ind w:left="10" w:right="11"/>
              <w:rPr>
                <w:sz w:val="24"/>
                <w:szCs w:val="24"/>
              </w:rPr>
            </w:pPr>
            <w:r>
              <w:rPr>
                <w:sz w:val="24"/>
                <w:szCs w:val="24"/>
              </w:rPr>
              <w:t>399</w:t>
            </w:r>
            <w:r>
              <w:rPr>
                <w:spacing w:val="-4"/>
                <w:sz w:val="24"/>
                <w:szCs w:val="24"/>
              </w:rPr>
              <w:t xml:space="preserve"> </w:t>
            </w:r>
            <w:r>
              <w:rPr>
                <w:spacing w:val="-2"/>
                <w:sz w:val="24"/>
                <w:szCs w:val="24"/>
              </w:rPr>
              <w:t>(13,8%)</w:t>
            </w:r>
          </w:p>
        </w:tc>
        <w:tc>
          <w:tcPr>
            <w:tcW w:w="1559" w:type="dxa"/>
          </w:tcPr>
          <w:p w14:paraId="0E576842">
            <w:pPr>
              <w:pStyle w:val="11"/>
              <w:spacing w:line="301" w:lineRule="exact"/>
              <w:ind w:left="4" w:right="5"/>
              <w:rPr>
                <w:sz w:val="24"/>
                <w:szCs w:val="24"/>
              </w:rPr>
            </w:pPr>
            <w:r>
              <w:rPr>
                <w:sz w:val="24"/>
                <w:szCs w:val="24"/>
              </w:rPr>
              <w:t>273</w:t>
            </w:r>
            <w:r>
              <w:rPr>
                <w:spacing w:val="-4"/>
                <w:sz w:val="24"/>
                <w:szCs w:val="24"/>
              </w:rPr>
              <w:t xml:space="preserve"> </w:t>
            </w:r>
            <w:r>
              <w:rPr>
                <w:spacing w:val="-2"/>
                <w:sz w:val="24"/>
                <w:szCs w:val="24"/>
              </w:rPr>
              <w:t>(9,6%)</w:t>
            </w:r>
          </w:p>
        </w:tc>
      </w:tr>
      <w:tr w14:paraId="7973E7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52" w:type="dxa"/>
          </w:tcPr>
          <w:p w14:paraId="31B7F933">
            <w:pPr>
              <w:pStyle w:val="11"/>
              <w:spacing w:line="302" w:lineRule="exact"/>
              <w:ind w:left="110"/>
              <w:jc w:val="left"/>
              <w:rPr>
                <w:sz w:val="24"/>
                <w:szCs w:val="24"/>
              </w:rPr>
            </w:pPr>
            <w:r>
              <w:rPr>
                <w:sz w:val="24"/>
                <w:szCs w:val="24"/>
              </w:rPr>
              <w:t>г.</w:t>
            </w:r>
            <w:r>
              <w:rPr>
                <w:spacing w:val="2"/>
                <w:sz w:val="24"/>
                <w:szCs w:val="24"/>
              </w:rPr>
              <w:t xml:space="preserve"> </w:t>
            </w:r>
            <w:r>
              <w:rPr>
                <w:spacing w:val="-2"/>
                <w:sz w:val="24"/>
                <w:szCs w:val="24"/>
              </w:rPr>
              <w:t>Шымкент</w:t>
            </w:r>
          </w:p>
        </w:tc>
        <w:tc>
          <w:tcPr>
            <w:tcW w:w="1843" w:type="dxa"/>
          </w:tcPr>
          <w:p w14:paraId="79DFDBE9">
            <w:pPr>
              <w:pStyle w:val="11"/>
              <w:spacing w:line="302" w:lineRule="exact"/>
              <w:ind w:left="15" w:right="5"/>
              <w:rPr>
                <w:sz w:val="24"/>
                <w:szCs w:val="24"/>
              </w:rPr>
            </w:pPr>
            <w:r>
              <w:rPr>
                <w:sz w:val="24"/>
                <w:szCs w:val="24"/>
              </w:rPr>
              <w:t>107</w:t>
            </w:r>
            <w:r>
              <w:rPr>
                <w:spacing w:val="-4"/>
                <w:sz w:val="24"/>
                <w:szCs w:val="24"/>
              </w:rPr>
              <w:t xml:space="preserve"> </w:t>
            </w:r>
            <w:r>
              <w:rPr>
                <w:spacing w:val="-2"/>
                <w:sz w:val="24"/>
                <w:szCs w:val="24"/>
              </w:rPr>
              <w:t>(3,5%)</w:t>
            </w:r>
          </w:p>
        </w:tc>
        <w:tc>
          <w:tcPr>
            <w:tcW w:w="1842" w:type="dxa"/>
          </w:tcPr>
          <w:p w14:paraId="1C04774D">
            <w:pPr>
              <w:pStyle w:val="11"/>
              <w:spacing w:line="302" w:lineRule="exact"/>
              <w:ind w:left="33" w:right="30"/>
              <w:rPr>
                <w:sz w:val="24"/>
                <w:szCs w:val="24"/>
              </w:rPr>
            </w:pPr>
            <w:r>
              <w:rPr>
                <w:sz w:val="24"/>
                <w:szCs w:val="24"/>
              </w:rPr>
              <w:t>201</w:t>
            </w:r>
            <w:r>
              <w:rPr>
                <w:spacing w:val="-4"/>
                <w:sz w:val="24"/>
                <w:szCs w:val="24"/>
              </w:rPr>
              <w:t xml:space="preserve"> </w:t>
            </w:r>
            <w:r>
              <w:rPr>
                <w:spacing w:val="-2"/>
                <w:sz w:val="24"/>
                <w:szCs w:val="24"/>
              </w:rPr>
              <w:t>(6,3%)</w:t>
            </w:r>
          </w:p>
        </w:tc>
        <w:tc>
          <w:tcPr>
            <w:tcW w:w="1843" w:type="dxa"/>
          </w:tcPr>
          <w:p w14:paraId="72618FF9">
            <w:pPr>
              <w:pStyle w:val="11"/>
              <w:spacing w:line="302" w:lineRule="exact"/>
              <w:ind w:left="10" w:right="10"/>
              <w:rPr>
                <w:sz w:val="24"/>
                <w:szCs w:val="24"/>
              </w:rPr>
            </w:pPr>
            <w:r>
              <w:rPr>
                <w:sz w:val="24"/>
                <w:szCs w:val="24"/>
              </w:rPr>
              <w:t>184</w:t>
            </w:r>
            <w:r>
              <w:rPr>
                <w:spacing w:val="-4"/>
                <w:sz w:val="24"/>
                <w:szCs w:val="24"/>
              </w:rPr>
              <w:t xml:space="preserve"> </w:t>
            </w:r>
            <w:r>
              <w:rPr>
                <w:spacing w:val="-2"/>
                <w:sz w:val="24"/>
                <w:szCs w:val="24"/>
              </w:rPr>
              <w:t>(6,3%)</w:t>
            </w:r>
          </w:p>
        </w:tc>
        <w:tc>
          <w:tcPr>
            <w:tcW w:w="1559" w:type="dxa"/>
          </w:tcPr>
          <w:p w14:paraId="23DD3CD8">
            <w:pPr>
              <w:pStyle w:val="11"/>
              <w:spacing w:line="302" w:lineRule="exact"/>
              <w:ind w:left="4" w:right="5"/>
              <w:rPr>
                <w:sz w:val="24"/>
                <w:szCs w:val="24"/>
              </w:rPr>
            </w:pPr>
            <w:r>
              <w:rPr>
                <w:sz w:val="24"/>
                <w:szCs w:val="24"/>
              </w:rPr>
              <w:t>181</w:t>
            </w:r>
            <w:r>
              <w:rPr>
                <w:spacing w:val="-4"/>
                <w:sz w:val="24"/>
                <w:szCs w:val="24"/>
              </w:rPr>
              <w:t xml:space="preserve"> </w:t>
            </w:r>
            <w:r>
              <w:rPr>
                <w:spacing w:val="-2"/>
                <w:sz w:val="24"/>
                <w:szCs w:val="24"/>
              </w:rPr>
              <w:t>(6,3%)</w:t>
            </w:r>
          </w:p>
        </w:tc>
      </w:tr>
      <w:tr w14:paraId="5A736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52" w:type="dxa"/>
          </w:tcPr>
          <w:p w14:paraId="6E91CD83">
            <w:pPr>
              <w:pStyle w:val="11"/>
              <w:spacing w:line="301" w:lineRule="exact"/>
              <w:ind w:left="110"/>
              <w:jc w:val="left"/>
              <w:rPr>
                <w:sz w:val="24"/>
                <w:szCs w:val="24"/>
              </w:rPr>
            </w:pPr>
            <w:r>
              <w:rPr>
                <w:spacing w:val="-2"/>
                <w:sz w:val="24"/>
                <w:szCs w:val="24"/>
              </w:rPr>
              <w:t>Итого</w:t>
            </w:r>
          </w:p>
        </w:tc>
        <w:tc>
          <w:tcPr>
            <w:tcW w:w="1843" w:type="dxa"/>
          </w:tcPr>
          <w:p w14:paraId="6A861399">
            <w:pPr>
              <w:pStyle w:val="11"/>
              <w:spacing w:line="301" w:lineRule="exact"/>
              <w:ind w:left="10" w:right="7"/>
              <w:rPr>
                <w:sz w:val="24"/>
                <w:szCs w:val="24"/>
              </w:rPr>
            </w:pPr>
            <w:r>
              <w:rPr>
                <w:spacing w:val="-4"/>
                <w:sz w:val="24"/>
                <w:szCs w:val="24"/>
              </w:rPr>
              <w:t>3066</w:t>
            </w:r>
          </w:p>
        </w:tc>
        <w:tc>
          <w:tcPr>
            <w:tcW w:w="1842" w:type="dxa"/>
          </w:tcPr>
          <w:p w14:paraId="34AABBE9">
            <w:pPr>
              <w:pStyle w:val="11"/>
              <w:spacing w:line="301" w:lineRule="exact"/>
              <w:ind w:left="33" w:right="33"/>
              <w:rPr>
                <w:sz w:val="24"/>
                <w:szCs w:val="24"/>
              </w:rPr>
            </w:pPr>
            <w:r>
              <w:rPr>
                <w:spacing w:val="-4"/>
                <w:sz w:val="24"/>
                <w:szCs w:val="24"/>
              </w:rPr>
              <w:t>3169</w:t>
            </w:r>
          </w:p>
        </w:tc>
        <w:tc>
          <w:tcPr>
            <w:tcW w:w="1843" w:type="dxa"/>
          </w:tcPr>
          <w:p w14:paraId="14F79FA1">
            <w:pPr>
              <w:pStyle w:val="11"/>
              <w:spacing w:line="301" w:lineRule="exact"/>
              <w:ind w:left="10" w:right="15"/>
              <w:rPr>
                <w:sz w:val="24"/>
                <w:szCs w:val="24"/>
              </w:rPr>
            </w:pPr>
            <w:r>
              <w:rPr>
                <w:spacing w:val="-4"/>
                <w:sz w:val="24"/>
                <w:szCs w:val="24"/>
              </w:rPr>
              <w:t>2891</w:t>
            </w:r>
          </w:p>
        </w:tc>
        <w:tc>
          <w:tcPr>
            <w:tcW w:w="1559" w:type="dxa"/>
          </w:tcPr>
          <w:p w14:paraId="7AB3AFFD">
            <w:pPr>
              <w:pStyle w:val="11"/>
              <w:spacing w:line="301" w:lineRule="exact"/>
              <w:ind w:left="4" w:right="4"/>
              <w:rPr>
                <w:sz w:val="24"/>
                <w:szCs w:val="24"/>
              </w:rPr>
            </w:pPr>
            <w:r>
              <w:rPr>
                <w:spacing w:val="-4"/>
                <w:sz w:val="24"/>
                <w:szCs w:val="24"/>
              </w:rPr>
              <w:t>2840</w:t>
            </w:r>
          </w:p>
        </w:tc>
      </w:tr>
    </w:tbl>
    <w:p w14:paraId="1871974B">
      <w:pPr>
        <w:pStyle w:val="7"/>
        <w:spacing w:before="8"/>
        <w:ind w:left="0" w:firstLine="0"/>
        <w:jc w:val="left"/>
      </w:pPr>
    </w:p>
    <w:p w14:paraId="58C5CA26">
      <w:pPr>
        <w:pStyle w:val="7"/>
        <w:ind w:left="0" w:right="3" w:firstLine="706"/>
      </w:pPr>
      <w:r>
        <w:rPr>
          <w:spacing w:val="-2"/>
        </w:rPr>
        <w:t>По</w:t>
      </w:r>
      <w:r>
        <w:rPr>
          <w:spacing w:val="-9"/>
        </w:rPr>
        <w:t xml:space="preserve"> </w:t>
      </w:r>
      <w:r>
        <w:rPr>
          <w:spacing w:val="-2"/>
        </w:rPr>
        <w:t>данным таблицы</w:t>
      </w:r>
      <w:r>
        <w:rPr>
          <w:spacing w:val="-9"/>
        </w:rPr>
        <w:t xml:space="preserve"> </w:t>
      </w:r>
      <w:r>
        <w:rPr>
          <w:spacing w:val="-2"/>
        </w:rPr>
        <w:t>4,</w:t>
      </w:r>
      <w:r>
        <w:rPr>
          <w:spacing w:val="-6"/>
        </w:rPr>
        <w:t xml:space="preserve"> </w:t>
      </w:r>
      <w:r>
        <w:rPr>
          <w:spacing w:val="-2"/>
        </w:rPr>
        <w:t>общее</w:t>
      </w:r>
      <w:r>
        <w:rPr>
          <w:spacing w:val="-8"/>
        </w:rPr>
        <w:t xml:space="preserve"> </w:t>
      </w:r>
      <w:r>
        <w:rPr>
          <w:spacing w:val="-2"/>
        </w:rPr>
        <w:t>количество случаев</w:t>
      </w:r>
      <w:r>
        <w:rPr>
          <w:spacing w:val="-11"/>
        </w:rPr>
        <w:t xml:space="preserve"> </w:t>
      </w:r>
      <w:r>
        <w:rPr>
          <w:spacing w:val="-2"/>
        </w:rPr>
        <w:t>опухолей</w:t>
      </w:r>
      <w:r>
        <w:rPr>
          <w:spacing w:val="-9"/>
        </w:rPr>
        <w:t xml:space="preserve"> </w:t>
      </w:r>
      <w:r>
        <w:rPr>
          <w:spacing w:val="-2"/>
        </w:rPr>
        <w:t xml:space="preserve">периампулярной </w:t>
      </w:r>
      <w:r>
        <w:t>зоны в каждом регионе Казахстана в период с 2022 по 2025 годы. В рассматриваемый период суммарное число новых случаев по стране варьирует от 3066 в 2022 году до 2840 в 2025 году, что свидетельствует о некотором снижении выявляемости либо изменении паттернов маршрутизации онкологических пациентов.</w:t>
      </w:r>
    </w:p>
    <w:p w14:paraId="36E8EC98">
      <w:pPr>
        <w:pStyle w:val="7"/>
        <w:spacing w:before="3"/>
        <w:ind w:left="0" w:right="3" w:firstLine="706"/>
      </w:pPr>
      <w:r>
        <w:t>Наиболее высокий уровень заболеваемости традиционно наблюдается в крупных городах Алматы, Астане и Шымкенте. В городе Алматы количество пациентов ежегодно находится на высоком уровне (от 586 до 813 случаев), что отражает концентрацию диагностических ресурсов, наличие ведущих онкологических</w:t>
      </w:r>
      <w:r>
        <w:rPr>
          <w:spacing w:val="-14"/>
        </w:rPr>
        <w:t xml:space="preserve"> </w:t>
      </w:r>
      <w:r>
        <w:t>центров</w:t>
      </w:r>
      <w:r>
        <w:rPr>
          <w:spacing w:val="-11"/>
        </w:rPr>
        <w:t xml:space="preserve"> </w:t>
      </w:r>
      <w:r>
        <w:t>и</w:t>
      </w:r>
      <w:r>
        <w:rPr>
          <w:spacing w:val="-9"/>
        </w:rPr>
        <w:t xml:space="preserve"> </w:t>
      </w:r>
      <w:r>
        <w:t>высокий</w:t>
      </w:r>
      <w:r>
        <w:rPr>
          <w:spacing w:val="-9"/>
        </w:rPr>
        <w:t xml:space="preserve"> </w:t>
      </w:r>
      <w:r>
        <w:t>поток</w:t>
      </w:r>
      <w:r>
        <w:rPr>
          <w:spacing w:val="-10"/>
        </w:rPr>
        <w:t xml:space="preserve"> </w:t>
      </w:r>
      <w:r>
        <w:t>направляемых</w:t>
      </w:r>
      <w:r>
        <w:rPr>
          <w:spacing w:val="-14"/>
        </w:rPr>
        <w:t xml:space="preserve"> </w:t>
      </w:r>
      <w:r>
        <w:t>пациентов</w:t>
      </w:r>
      <w:r>
        <w:rPr>
          <w:spacing w:val="-11"/>
        </w:rPr>
        <w:t xml:space="preserve"> </w:t>
      </w:r>
      <w:r>
        <w:t>из</w:t>
      </w:r>
      <w:r>
        <w:rPr>
          <w:spacing w:val="-9"/>
        </w:rPr>
        <w:t xml:space="preserve"> </w:t>
      </w:r>
      <w:r>
        <w:t>регионов. Аналогичная тенденция отмечается в Астане (273–441 случаев) и Шымкенте (107–201 случаев). Эти показатели подтверждают роль мегаполисов как основных диагностических и специализированных центров онкологической службы страны.</w:t>
      </w:r>
    </w:p>
    <w:p w14:paraId="20C9666D">
      <w:pPr>
        <w:pStyle w:val="7"/>
        <w:spacing w:before="64"/>
        <w:ind w:left="0" w:firstLine="0"/>
        <w:jc w:val="left"/>
        <w:rPr>
          <w:sz w:val="20"/>
        </w:rPr>
      </w:pPr>
      <w:r>
        <w:rPr>
          <w:sz w:val="20"/>
          <w:lang w:eastAsia="ru-RU"/>
        </w:rPr>
        <mc:AlternateContent>
          <mc:Choice Requires="wpg">
            <w:drawing>
              <wp:anchor distT="0" distB="0" distL="0" distR="0" simplePos="0" relativeHeight="251672576" behindDoc="1" locked="0" layoutInCell="1" allowOverlap="1">
                <wp:simplePos x="0" y="0"/>
                <wp:positionH relativeFrom="page">
                  <wp:posOffset>1943735</wp:posOffset>
                </wp:positionH>
                <wp:positionV relativeFrom="paragraph">
                  <wp:posOffset>201930</wp:posOffset>
                </wp:positionV>
                <wp:extent cx="4752975" cy="3162300"/>
                <wp:effectExtent l="0" t="0" r="0" b="0"/>
                <wp:wrapTopAndBottom/>
                <wp:docPr id="34" name="Group 34"/>
                <wp:cNvGraphicFramePr/>
                <a:graphic xmlns:a="http://schemas.openxmlformats.org/drawingml/2006/main">
                  <a:graphicData uri="http://schemas.microsoft.com/office/word/2010/wordprocessingGroup">
                    <wpg:wgp>
                      <wpg:cNvGrpSpPr/>
                      <wpg:grpSpPr>
                        <a:xfrm>
                          <a:off x="0" y="0"/>
                          <a:ext cx="4752975" cy="3162300"/>
                          <a:chOff x="0" y="0"/>
                          <a:chExt cx="4752975" cy="3162300"/>
                        </a:xfrm>
                      </wpg:grpSpPr>
                      <wps:wsp>
                        <wps:cNvPr id="35" name="Graphic 35"/>
                        <wps:cNvSpPr/>
                        <wps:spPr>
                          <a:xfrm>
                            <a:off x="474027" y="155638"/>
                            <a:ext cx="4175760" cy="2188845"/>
                          </a:xfrm>
                          <a:custGeom>
                            <a:avLst/>
                            <a:gdLst/>
                            <a:ahLst/>
                            <a:cxnLst/>
                            <a:rect l="l" t="t" r="r" b="b"/>
                            <a:pathLst>
                              <a:path w="4175760" h="2188845">
                                <a:moveTo>
                                  <a:pt x="0" y="2188591"/>
                                </a:moveTo>
                                <a:lnTo>
                                  <a:pt x="358647" y="2188591"/>
                                </a:lnTo>
                              </a:path>
                              <a:path w="4175760" h="2188845">
                                <a:moveTo>
                                  <a:pt x="684783" y="2188591"/>
                                </a:moveTo>
                                <a:lnTo>
                                  <a:pt x="1401064" y="2188591"/>
                                </a:lnTo>
                              </a:path>
                              <a:path w="4175760" h="2188845">
                                <a:moveTo>
                                  <a:pt x="3818128" y="2188591"/>
                                </a:moveTo>
                                <a:lnTo>
                                  <a:pt x="4175760" y="2188591"/>
                                </a:lnTo>
                              </a:path>
                              <a:path w="4175760" h="2188845">
                                <a:moveTo>
                                  <a:pt x="2772664" y="2188591"/>
                                </a:moveTo>
                                <a:lnTo>
                                  <a:pt x="3488944" y="2188591"/>
                                </a:lnTo>
                              </a:path>
                              <a:path w="4175760" h="2188845">
                                <a:moveTo>
                                  <a:pt x="1730247" y="2188591"/>
                                </a:moveTo>
                                <a:lnTo>
                                  <a:pt x="2446528" y="2188591"/>
                                </a:lnTo>
                              </a:path>
                              <a:path w="4175760" h="2188845">
                                <a:moveTo>
                                  <a:pt x="3818128" y="1749679"/>
                                </a:moveTo>
                                <a:lnTo>
                                  <a:pt x="4175760" y="1749679"/>
                                </a:lnTo>
                              </a:path>
                              <a:path w="4175760" h="2188845">
                                <a:moveTo>
                                  <a:pt x="1730247" y="1749679"/>
                                </a:moveTo>
                                <a:lnTo>
                                  <a:pt x="2446528" y="1749679"/>
                                </a:lnTo>
                              </a:path>
                              <a:path w="4175760" h="2188845">
                                <a:moveTo>
                                  <a:pt x="684783" y="1749679"/>
                                </a:moveTo>
                                <a:lnTo>
                                  <a:pt x="1401064" y="1749679"/>
                                </a:lnTo>
                              </a:path>
                              <a:path w="4175760" h="2188845">
                                <a:moveTo>
                                  <a:pt x="0" y="1749679"/>
                                </a:moveTo>
                                <a:lnTo>
                                  <a:pt x="358647" y="1749679"/>
                                </a:lnTo>
                              </a:path>
                              <a:path w="4175760" h="2188845">
                                <a:moveTo>
                                  <a:pt x="2772664" y="1749679"/>
                                </a:moveTo>
                                <a:lnTo>
                                  <a:pt x="3488944" y="1749679"/>
                                </a:lnTo>
                              </a:path>
                              <a:path w="4175760" h="2188845">
                                <a:moveTo>
                                  <a:pt x="0" y="1313814"/>
                                </a:moveTo>
                                <a:lnTo>
                                  <a:pt x="358647" y="1313814"/>
                                </a:lnTo>
                              </a:path>
                              <a:path w="4175760" h="2188845">
                                <a:moveTo>
                                  <a:pt x="684783" y="1313814"/>
                                </a:moveTo>
                                <a:lnTo>
                                  <a:pt x="1401064" y="1313814"/>
                                </a:lnTo>
                              </a:path>
                              <a:path w="4175760" h="2188845">
                                <a:moveTo>
                                  <a:pt x="1730247" y="1313814"/>
                                </a:moveTo>
                                <a:lnTo>
                                  <a:pt x="4175760" y="1313814"/>
                                </a:lnTo>
                              </a:path>
                              <a:path w="4175760" h="2188845">
                                <a:moveTo>
                                  <a:pt x="0" y="874903"/>
                                </a:moveTo>
                                <a:lnTo>
                                  <a:pt x="358647" y="874903"/>
                                </a:lnTo>
                              </a:path>
                              <a:path w="4175760" h="2188845">
                                <a:moveTo>
                                  <a:pt x="684783" y="874903"/>
                                </a:moveTo>
                                <a:lnTo>
                                  <a:pt x="1401064" y="874903"/>
                                </a:lnTo>
                              </a:path>
                              <a:path w="4175760" h="2188845">
                                <a:moveTo>
                                  <a:pt x="1730247" y="874903"/>
                                </a:moveTo>
                                <a:lnTo>
                                  <a:pt x="4175760" y="874903"/>
                                </a:lnTo>
                              </a:path>
                              <a:path w="4175760" h="2188845">
                                <a:moveTo>
                                  <a:pt x="0" y="439038"/>
                                </a:moveTo>
                                <a:lnTo>
                                  <a:pt x="1401064" y="439038"/>
                                </a:lnTo>
                              </a:path>
                              <a:path w="4175760" h="2188845">
                                <a:moveTo>
                                  <a:pt x="1730247" y="439038"/>
                                </a:moveTo>
                                <a:lnTo>
                                  <a:pt x="4175760" y="439038"/>
                                </a:lnTo>
                              </a:path>
                              <a:path w="4175760" h="2188845">
                                <a:moveTo>
                                  <a:pt x="0" y="0"/>
                                </a:moveTo>
                                <a:lnTo>
                                  <a:pt x="4175760" y="0"/>
                                </a:lnTo>
                              </a:path>
                            </a:pathLst>
                          </a:custGeom>
                          <a:ln w="9525">
                            <a:solidFill>
                              <a:srgbClr val="D9D9D9"/>
                            </a:solidFill>
                            <a:prstDash val="solid"/>
                          </a:ln>
                        </wps:spPr>
                        <wps:bodyPr wrap="square" lIns="0" tIns="0" rIns="0" bIns="0" rtlCol="0">
                          <a:noAutofit/>
                        </wps:bodyPr>
                      </wps:wsp>
                      <wps:wsp>
                        <wps:cNvPr id="36" name="Graphic 36"/>
                        <wps:cNvSpPr/>
                        <wps:spPr>
                          <a:xfrm>
                            <a:off x="832675" y="289877"/>
                            <a:ext cx="3459479" cy="2491740"/>
                          </a:xfrm>
                          <a:custGeom>
                            <a:avLst/>
                            <a:gdLst/>
                            <a:ahLst/>
                            <a:cxnLst/>
                            <a:rect l="l" t="t" r="r" b="b"/>
                            <a:pathLst>
                              <a:path w="3459479" h="2491740">
                                <a:moveTo>
                                  <a:pt x="326136" y="451104"/>
                                </a:moveTo>
                                <a:lnTo>
                                  <a:pt x="0" y="451104"/>
                                </a:lnTo>
                                <a:lnTo>
                                  <a:pt x="0" y="2491613"/>
                                </a:lnTo>
                                <a:lnTo>
                                  <a:pt x="326136" y="2491613"/>
                                </a:lnTo>
                                <a:lnTo>
                                  <a:pt x="326136" y="451104"/>
                                </a:lnTo>
                                <a:close/>
                              </a:path>
                              <a:path w="3459479" h="2491740">
                                <a:moveTo>
                                  <a:pt x="1371600" y="0"/>
                                </a:moveTo>
                                <a:lnTo>
                                  <a:pt x="1042416" y="0"/>
                                </a:lnTo>
                                <a:lnTo>
                                  <a:pt x="1042416" y="2491613"/>
                                </a:lnTo>
                                <a:lnTo>
                                  <a:pt x="1371600" y="2491613"/>
                                </a:lnTo>
                                <a:lnTo>
                                  <a:pt x="1371600" y="0"/>
                                </a:lnTo>
                                <a:close/>
                              </a:path>
                              <a:path w="3459479" h="2491740">
                                <a:moveTo>
                                  <a:pt x="2414016" y="1219200"/>
                                </a:moveTo>
                                <a:lnTo>
                                  <a:pt x="2087880" y="1219200"/>
                                </a:lnTo>
                                <a:lnTo>
                                  <a:pt x="2087880" y="2491613"/>
                                </a:lnTo>
                                <a:lnTo>
                                  <a:pt x="2414016" y="2491613"/>
                                </a:lnTo>
                                <a:lnTo>
                                  <a:pt x="2414016" y="1219200"/>
                                </a:lnTo>
                                <a:close/>
                              </a:path>
                              <a:path w="3459479" h="2491740">
                                <a:moveTo>
                                  <a:pt x="3459480" y="1441704"/>
                                </a:moveTo>
                                <a:lnTo>
                                  <a:pt x="3130296" y="1441704"/>
                                </a:lnTo>
                                <a:lnTo>
                                  <a:pt x="3130296" y="2491613"/>
                                </a:lnTo>
                                <a:lnTo>
                                  <a:pt x="3459480" y="2491613"/>
                                </a:lnTo>
                                <a:lnTo>
                                  <a:pt x="3459480" y="1441704"/>
                                </a:lnTo>
                                <a:close/>
                              </a:path>
                            </a:pathLst>
                          </a:custGeom>
                          <a:solidFill>
                            <a:srgbClr val="4F81BC"/>
                          </a:solidFill>
                        </wps:spPr>
                        <wps:bodyPr wrap="square" lIns="0" tIns="0" rIns="0" bIns="0" rtlCol="0">
                          <a:noAutofit/>
                        </wps:bodyPr>
                      </wps:wsp>
                      <wps:wsp>
                        <wps:cNvPr id="37" name="Graphic 37"/>
                        <wps:cNvSpPr/>
                        <wps:spPr>
                          <a:xfrm>
                            <a:off x="474027" y="2781490"/>
                            <a:ext cx="4175760" cy="1270"/>
                          </a:xfrm>
                          <a:custGeom>
                            <a:avLst/>
                            <a:gdLst/>
                            <a:ahLst/>
                            <a:cxnLst/>
                            <a:rect l="l" t="t" r="r" b="b"/>
                            <a:pathLst>
                              <a:path w="4175760">
                                <a:moveTo>
                                  <a:pt x="0" y="0"/>
                                </a:moveTo>
                                <a:lnTo>
                                  <a:pt x="4175760" y="0"/>
                                </a:lnTo>
                              </a:path>
                            </a:pathLst>
                          </a:custGeom>
                          <a:ln w="9525">
                            <a:solidFill>
                              <a:srgbClr val="D9D9D9"/>
                            </a:solidFill>
                            <a:prstDash val="solid"/>
                          </a:ln>
                        </wps:spPr>
                        <wps:bodyPr wrap="square" lIns="0" tIns="0" rIns="0" bIns="0" rtlCol="0">
                          <a:noAutofit/>
                        </wps:bodyPr>
                      </wps:wsp>
                      <wps:wsp>
                        <wps:cNvPr id="38" name="Graphic 38"/>
                        <wps:cNvSpPr/>
                        <wps:spPr>
                          <a:xfrm>
                            <a:off x="4762" y="4762"/>
                            <a:ext cx="4743450" cy="3152775"/>
                          </a:xfrm>
                          <a:custGeom>
                            <a:avLst/>
                            <a:gdLst/>
                            <a:ahLst/>
                            <a:cxnLst/>
                            <a:rect l="l" t="t" r="r" b="b"/>
                            <a:pathLst>
                              <a:path w="4743450" h="3152775">
                                <a:moveTo>
                                  <a:pt x="0" y="3152775"/>
                                </a:moveTo>
                                <a:lnTo>
                                  <a:pt x="4743450" y="3152775"/>
                                </a:lnTo>
                                <a:lnTo>
                                  <a:pt x="4743450" y="0"/>
                                </a:lnTo>
                                <a:lnTo>
                                  <a:pt x="0" y="0"/>
                                </a:lnTo>
                                <a:lnTo>
                                  <a:pt x="0" y="3152775"/>
                                </a:lnTo>
                                <a:close/>
                              </a:path>
                            </a:pathLst>
                          </a:custGeom>
                          <a:ln w="9525">
                            <a:solidFill>
                              <a:srgbClr val="D9D9D9"/>
                            </a:solidFill>
                            <a:prstDash val="solid"/>
                          </a:ln>
                        </wps:spPr>
                        <wps:bodyPr wrap="square" lIns="0" tIns="0" rIns="0" bIns="0" rtlCol="0">
                          <a:noAutofit/>
                        </wps:bodyPr>
                      </wps:wsp>
                      <wps:wsp>
                        <wps:cNvPr id="39" name="Textbox 39"/>
                        <wps:cNvSpPr txBox="1"/>
                        <wps:spPr>
                          <a:xfrm>
                            <a:off x="3915981" y="2912681"/>
                            <a:ext cx="441325" cy="152400"/>
                          </a:xfrm>
                          <a:prstGeom prst="rect">
                            <a:avLst/>
                          </a:prstGeom>
                        </wps:spPr>
                        <wps:txbx>
                          <w:txbxContent>
                            <w:p w14:paraId="4E527A70">
                              <w:pPr>
                                <w:spacing w:line="240" w:lineRule="exact"/>
                                <w:rPr>
                                  <w:rFonts w:ascii="Calibri" w:hAnsi="Calibri"/>
                                  <w:sz w:val="24"/>
                                </w:rPr>
                              </w:pPr>
                              <w:r>
                                <w:rPr>
                                  <w:rFonts w:ascii="Calibri" w:hAnsi="Calibri"/>
                                  <w:color w:val="585858"/>
                                  <w:sz w:val="24"/>
                                </w:rPr>
                                <w:t xml:space="preserve">2025 </w:t>
                              </w:r>
                              <w:r>
                                <w:rPr>
                                  <w:rFonts w:ascii="Calibri" w:hAnsi="Calibri"/>
                                  <w:color w:val="585858"/>
                                  <w:spacing w:val="-5"/>
                                  <w:sz w:val="24"/>
                                </w:rPr>
                                <w:t>г.</w:t>
                              </w:r>
                            </w:p>
                          </w:txbxContent>
                        </wps:txbx>
                        <wps:bodyPr wrap="square" lIns="0" tIns="0" rIns="0" bIns="0" rtlCol="0">
                          <a:noAutofit/>
                        </wps:bodyPr>
                      </wps:wsp>
                      <wps:wsp>
                        <wps:cNvPr id="40" name="Textbox 40"/>
                        <wps:cNvSpPr txBox="1"/>
                        <wps:spPr>
                          <a:xfrm>
                            <a:off x="2871533" y="2912681"/>
                            <a:ext cx="441325" cy="152400"/>
                          </a:xfrm>
                          <a:prstGeom prst="rect">
                            <a:avLst/>
                          </a:prstGeom>
                        </wps:spPr>
                        <wps:txbx>
                          <w:txbxContent>
                            <w:p w14:paraId="4759A776">
                              <w:pPr>
                                <w:spacing w:line="240" w:lineRule="exact"/>
                                <w:rPr>
                                  <w:rFonts w:ascii="Calibri" w:hAnsi="Calibri"/>
                                  <w:sz w:val="24"/>
                                </w:rPr>
                              </w:pPr>
                              <w:r>
                                <w:rPr>
                                  <w:rFonts w:ascii="Calibri" w:hAnsi="Calibri"/>
                                  <w:color w:val="585858"/>
                                  <w:sz w:val="24"/>
                                </w:rPr>
                                <w:t xml:space="preserve">2024 </w:t>
                              </w:r>
                              <w:r>
                                <w:rPr>
                                  <w:rFonts w:ascii="Calibri" w:hAnsi="Calibri"/>
                                  <w:color w:val="585858"/>
                                  <w:spacing w:val="-5"/>
                                  <w:sz w:val="24"/>
                                </w:rPr>
                                <w:t>г.</w:t>
                              </w:r>
                            </w:p>
                          </w:txbxContent>
                        </wps:txbx>
                        <wps:bodyPr wrap="square" lIns="0" tIns="0" rIns="0" bIns="0" rtlCol="0">
                          <a:noAutofit/>
                        </wps:bodyPr>
                      </wps:wsp>
                      <wps:wsp>
                        <wps:cNvPr id="41" name="Textbox 41"/>
                        <wps:cNvSpPr txBox="1"/>
                        <wps:spPr>
                          <a:xfrm>
                            <a:off x="1827212" y="2912681"/>
                            <a:ext cx="441325" cy="152400"/>
                          </a:xfrm>
                          <a:prstGeom prst="rect">
                            <a:avLst/>
                          </a:prstGeom>
                        </wps:spPr>
                        <wps:txbx>
                          <w:txbxContent>
                            <w:p w14:paraId="4A836AEB">
                              <w:pPr>
                                <w:spacing w:line="240" w:lineRule="exact"/>
                                <w:rPr>
                                  <w:rFonts w:ascii="Calibri" w:hAnsi="Calibri"/>
                                  <w:sz w:val="24"/>
                                </w:rPr>
                              </w:pPr>
                              <w:r>
                                <w:rPr>
                                  <w:rFonts w:ascii="Calibri" w:hAnsi="Calibri"/>
                                  <w:color w:val="585858"/>
                                  <w:sz w:val="24"/>
                                </w:rPr>
                                <w:t xml:space="preserve">2023 </w:t>
                              </w:r>
                              <w:r>
                                <w:rPr>
                                  <w:rFonts w:ascii="Calibri" w:hAnsi="Calibri"/>
                                  <w:color w:val="585858"/>
                                  <w:spacing w:val="-5"/>
                                  <w:sz w:val="24"/>
                                </w:rPr>
                                <w:t>г.</w:t>
                              </w:r>
                            </w:p>
                          </w:txbxContent>
                        </wps:txbx>
                        <wps:bodyPr wrap="square" lIns="0" tIns="0" rIns="0" bIns="0" rtlCol="0">
                          <a:noAutofit/>
                        </wps:bodyPr>
                      </wps:wsp>
                      <wps:wsp>
                        <wps:cNvPr id="42" name="Textbox 42"/>
                        <wps:cNvSpPr txBox="1"/>
                        <wps:spPr>
                          <a:xfrm>
                            <a:off x="783018" y="2912681"/>
                            <a:ext cx="441325" cy="152400"/>
                          </a:xfrm>
                          <a:prstGeom prst="rect">
                            <a:avLst/>
                          </a:prstGeom>
                        </wps:spPr>
                        <wps:txbx>
                          <w:txbxContent>
                            <w:p w14:paraId="3C83D924">
                              <w:pPr>
                                <w:spacing w:line="240" w:lineRule="exact"/>
                                <w:rPr>
                                  <w:rFonts w:ascii="Calibri" w:hAnsi="Calibri"/>
                                  <w:sz w:val="24"/>
                                </w:rPr>
                              </w:pPr>
                              <w:r>
                                <w:rPr>
                                  <w:rFonts w:ascii="Calibri" w:hAnsi="Calibri"/>
                                  <w:color w:val="585858"/>
                                  <w:sz w:val="24"/>
                                </w:rPr>
                                <w:t xml:space="preserve">2022 </w:t>
                              </w:r>
                              <w:r>
                                <w:rPr>
                                  <w:rFonts w:ascii="Calibri" w:hAnsi="Calibri"/>
                                  <w:color w:val="585858"/>
                                  <w:spacing w:val="-5"/>
                                  <w:sz w:val="24"/>
                                </w:rPr>
                                <w:t>г.</w:t>
                              </w:r>
                            </w:p>
                          </w:txbxContent>
                        </wps:txbx>
                        <wps:bodyPr wrap="square" lIns="0" tIns="0" rIns="0" bIns="0" rtlCol="0">
                          <a:noAutofit/>
                        </wps:bodyPr>
                      </wps:wsp>
                      <wps:wsp>
                        <wps:cNvPr id="43" name="Textbox 43"/>
                        <wps:cNvSpPr txBox="1"/>
                        <wps:spPr>
                          <a:xfrm>
                            <a:off x="24701" y="2714561"/>
                            <a:ext cx="321945" cy="152400"/>
                          </a:xfrm>
                          <a:prstGeom prst="rect">
                            <a:avLst/>
                          </a:prstGeom>
                        </wps:spPr>
                        <wps:txbx>
                          <w:txbxContent>
                            <w:p w14:paraId="665D5FF3">
                              <w:pPr>
                                <w:spacing w:line="240" w:lineRule="exact"/>
                                <w:rPr>
                                  <w:rFonts w:ascii="Calibri"/>
                                  <w:sz w:val="24"/>
                                </w:rPr>
                              </w:pPr>
                              <w:r>
                                <w:rPr>
                                  <w:rFonts w:ascii="Calibri"/>
                                  <w:color w:val="585858"/>
                                  <w:spacing w:val="-4"/>
                                  <w:sz w:val="24"/>
                                </w:rPr>
                                <w:t>2600</w:t>
                              </w:r>
                            </w:p>
                          </w:txbxContent>
                        </wps:txbx>
                        <wps:bodyPr wrap="square" lIns="0" tIns="0" rIns="0" bIns="0" rtlCol="0">
                          <a:noAutofit/>
                        </wps:bodyPr>
                      </wps:wsp>
                      <wps:wsp>
                        <wps:cNvPr id="44" name="Textbox 44"/>
                        <wps:cNvSpPr txBox="1"/>
                        <wps:spPr>
                          <a:xfrm>
                            <a:off x="24701" y="2276538"/>
                            <a:ext cx="321945" cy="152400"/>
                          </a:xfrm>
                          <a:prstGeom prst="rect">
                            <a:avLst/>
                          </a:prstGeom>
                        </wps:spPr>
                        <wps:txbx>
                          <w:txbxContent>
                            <w:p w14:paraId="7CA9AE3F">
                              <w:pPr>
                                <w:spacing w:line="240" w:lineRule="exact"/>
                                <w:rPr>
                                  <w:rFonts w:ascii="Calibri"/>
                                  <w:sz w:val="24"/>
                                </w:rPr>
                              </w:pPr>
                              <w:r>
                                <w:rPr>
                                  <w:rFonts w:ascii="Calibri"/>
                                  <w:color w:val="585858"/>
                                  <w:spacing w:val="-4"/>
                                  <w:sz w:val="24"/>
                                </w:rPr>
                                <w:t>2700</w:t>
                              </w:r>
                            </w:p>
                          </w:txbxContent>
                        </wps:txbx>
                        <wps:bodyPr wrap="square" lIns="0" tIns="0" rIns="0" bIns="0" rtlCol="0">
                          <a:noAutofit/>
                        </wps:bodyPr>
                      </wps:wsp>
                      <wps:wsp>
                        <wps:cNvPr id="45" name="Textbox 45"/>
                        <wps:cNvSpPr txBox="1"/>
                        <wps:spPr>
                          <a:xfrm>
                            <a:off x="24701" y="1838896"/>
                            <a:ext cx="321945" cy="152400"/>
                          </a:xfrm>
                          <a:prstGeom prst="rect">
                            <a:avLst/>
                          </a:prstGeom>
                        </wps:spPr>
                        <wps:txbx>
                          <w:txbxContent>
                            <w:p w14:paraId="3F3CD412">
                              <w:pPr>
                                <w:spacing w:line="240" w:lineRule="exact"/>
                                <w:rPr>
                                  <w:rFonts w:ascii="Calibri"/>
                                  <w:sz w:val="24"/>
                                </w:rPr>
                              </w:pPr>
                              <w:r>
                                <w:rPr>
                                  <w:rFonts w:ascii="Calibri"/>
                                  <w:color w:val="585858"/>
                                  <w:spacing w:val="-4"/>
                                  <w:sz w:val="24"/>
                                </w:rPr>
                                <w:t>2800</w:t>
                              </w:r>
                            </w:p>
                          </w:txbxContent>
                        </wps:txbx>
                        <wps:bodyPr wrap="square" lIns="0" tIns="0" rIns="0" bIns="0" rtlCol="0">
                          <a:noAutofit/>
                        </wps:bodyPr>
                      </wps:wsp>
                      <wps:wsp>
                        <wps:cNvPr id="46" name="Textbox 46"/>
                        <wps:cNvSpPr txBox="1"/>
                        <wps:spPr>
                          <a:xfrm>
                            <a:off x="3977322" y="1521904"/>
                            <a:ext cx="317500" cy="152400"/>
                          </a:xfrm>
                          <a:prstGeom prst="rect">
                            <a:avLst/>
                          </a:prstGeom>
                        </wps:spPr>
                        <wps:txbx>
                          <w:txbxContent>
                            <w:p w14:paraId="7AD53F23">
                              <w:pPr>
                                <w:spacing w:line="240" w:lineRule="exact"/>
                                <w:rPr>
                                  <w:rFonts w:ascii="Calibri"/>
                                  <w:sz w:val="24"/>
                                </w:rPr>
                              </w:pPr>
                              <w:r>
                                <w:rPr>
                                  <w:rFonts w:ascii="Calibri"/>
                                  <w:color w:val="404040"/>
                                  <w:spacing w:val="-4"/>
                                  <w:sz w:val="24"/>
                                </w:rPr>
                                <w:t>2840</w:t>
                              </w:r>
                            </w:p>
                          </w:txbxContent>
                        </wps:txbx>
                        <wps:bodyPr wrap="square" lIns="0" tIns="0" rIns="0" bIns="0" rtlCol="0">
                          <a:noAutofit/>
                        </wps:bodyPr>
                      </wps:wsp>
                      <wps:wsp>
                        <wps:cNvPr id="47" name="Textbox 47"/>
                        <wps:cNvSpPr txBox="1"/>
                        <wps:spPr>
                          <a:xfrm>
                            <a:off x="2933001" y="1298765"/>
                            <a:ext cx="317500" cy="152400"/>
                          </a:xfrm>
                          <a:prstGeom prst="rect">
                            <a:avLst/>
                          </a:prstGeom>
                        </wps:spPr>
                        <wps:txbx>
                          <w:txbxContent>
                            <w:p w14:paraId="092F57F3">
                              <w:pPr>
                                <w:spacing w:line="240" w:lineRule="exact"/>
                                <w:rPr>
                                  <w:rFonts w:ascii="Calibri"/>
                                  <w:sz w:val="24"/>
                                </w:rPr>
                              </w:pPr>
                              <w:r>
                                <w:rPr>
                                  <w:rFonts w:ascii="Calibri"/>
                                  <w:color w:val="404040"/>
                                  <w:spacing w:val="-4"/>
                                  <w:sz w:val="24"/>
                                </w:rPr>
                                <w:t>2891</w:t>
                              </w:r>
                            </w:p>
                          </w:txbxContent>
                        </wps:txbx>
                        <wps:bodyPr wrap="square" lIns="0" tIns="0" rIns="0" bIns="0" rtlCol="0">
                          <a:noAutofit/>
                        </wps:bodyPr>
                      </wps:wsp>
                      <wps:wsp>
                        <wps:cNvPr id="48" name="Textbox 48"/>
                        <wps:cNvSpPr txBox="1"/>
                        <wps:spPr>
                          <a:xfrm>
                            <a:off x="24701" y="1401127"/>
                            <a:ext cx="321945" cy="152400"/>
                          </a:xfrm>
                          <a:prstGeom prst="rect">
                            <a:avLst/>
                          </a:prstGeom>
                        </wps:spPr>
                        <wps:txbx>
                          <w:txbxContent>
                            <w:p w14:paraId="5A50A34A">
                              <w:pPr>
                                <w:spacing w:line="240" w:lineRule="exact"/>
                                <w:rPr>
                                  <w:rFonts w:ascii="Calibri"/>
                                  <w:sz w:val="24"/>
                                </w:rPr>
                              </w:pPr>
                              <w:r>
                                <w:rPr>
                                  <w:rFonts w:ascii="Calibri"/>
                                  <w:color w:val="585858"/>
                                  <w:spacing w:val="-4"/>
                                  <w:sz w:val="24"/>
                                </w:rPr>
                                <w:t>2900</w:t>
                              </w:r>
                            </w:p>
                          </w:txbxContent>
                        </wps:txbx>
                        <wps:bodyPr wrap="square" lIns="0" tIns="0" rIns="0" bIns="0" rtlCol="0">
                          <a:noAutofit/>
                        </wps:bodyPr>
                      </wps:wsp>
                      <wps:wsp>
                        <wps:cNvPr id="49" name="Textbox 49"/>
                        <wps:cNvSpPr txBox="1"/>
                        <wps:spPr>
                          <a:xfrm>
                            <a:off x="24701" y="963002"/>
                            <a:ext cx="321945" cy="153035"/>
                          </a:xfrm>
                          <a:prstGeom prst="rect">
                            <a:avLst/>
                          </a:prstGeom>
                        </wps:spPr>
                        <wps:txbx>
                          <w:txbxContent>
                            <w:p w14:paraId="12BF4C3D">
                              <w:pPr>
                                <w:spacing w:line="240" w:lineRule="exact"/>
                                <w:rPr>
                                  <w:rFonts w:ascii="Calibri"/>
                                  <w:sz w:val="24"/>
                                </w:rPr>
                              </w:pPr>
                              <w:r>
                                <w:rPr>
                                  <w:rFonts w:ascii="Calibri"/>
                                  <w:color w:val="585858"/>
                                  <w:spacing w:val="-4"/>
                                  <w:sz w:val="24"/>
                                </w:rPr>
                                <w:t>3000</w:t>
                              </w:r>
                            </w:p>
                          </w:txbxContent>
                        </wps:txbx>
                        <wps:bodyPr wrap="square" lIns="0" tIns="0" rIns="0" bIns="0" rtlCol="0">
                          <a:noAutofit/>
                        </wps:bodyPr>
                      </wps:wsp>
                      <wps:wsp>
                        <wps:cNvPr id="50" name="Textbox 50"/>
                        <wps:cNvSpPr txBox="1"/>
                        <wps:spPr>
                          <a:xfrm>
                            <a:off x="844232" y="532447"/>
                            <a:ext cx="317500" cy="152400"/>
                          </a:xfrm>
                          <a:prstGeom prst="rect">
                            <a:avLst/>
                          </a:prstGeom>
                        </wps:spPr>
                        <wps:txbx>
                          <w:txbxContent>
                            <w:p w14:paraId="59976B81">
                              <w:pPr>
                                <w:spacing w:line="240" w:lineRule="exact"/>
                                <w:rPr>
                                  <w:rFonts w:ascii="Calibri"/>
                                  <w:sz w:val="24"/>
                                </w:rPr>
                              </w:pPr>
                              <w:r>
                                <w:rPr>
                                  <w:rFonts w:ascii="Calibri"/>
                                  <w:color w:val="404040"/>
                                  <w:spacing w:val="-4"/>
                                  <w:sz w:val="24"/>
                                </w:rPr>
                                <w:t>3066</w:t>
                              </w:r>
                            </w:p>
                          </w:txbxContent>
                        </wps:txbx>
                        <wps:bodyPr wrap="square" lIns="0" tIns="0" rIns="0" bIns="0" rtlCol="0">
                          <a:noAutofit/>
                        </wps:bodyPr>
                      </wps:wsp>
                      <wps:wsp>
                        <wps:cNvPr id="51" name="Textbox 51"/>
                        <wps:cNvSpPr txBox="1"/>
                        <wps:spPr>
                          <a:xfrm>
                            <a:off x="24701" y="525462"/>
                            <a:ext cx="321945" cy="152400"/>
                          </a:xfrm>
                          <a:prstGeom prst="rect">
                            <a:avLst/>
                          </a:prstGeom>
                        </wps:spPr>
                        <wps:txbx>
                          <w:txbxContent>
                            <w:p w14:paraId="33FBBF26">
                              <w:pPr>
                                <w:spacing w:line="240" w:lineRule="exact"/>
                                <w:rPr>
                                  <w:rFonts w:ascii="Calibri"/>
                                  <w:sz w:val="24"/>
                                </w:rPr>
                              </w:pPr>
                              <w:r>
                                <w:rPr>
                                  <w:rFonts w:ascii="Calibri"/>
                                  <w:color w:val="585858"/>
                                  <w:spacing w:val="-4"/>
                                  <w:sz w:val="24"/>
                                </w:rPr>
                                <w:t>3100</w:t>
                              </w:r>
                            </w:p>
                          </w:txbxContent>
                        </wps:txbx>
                        <wps:bodyPr wrap="square" lIns="0" tIns="0" rIns="0" bIns="0" rtlCol="0">
                          <a:noAutofit/>
                        </wps:bodyPr>
                      </wps:wsp>
                      <wps:wsp>
                        <wps:cNvPr id="52" name="Textbox 52"/>
                        <wps:cNvSpPr txBox="1"/>
                        <wps:spPr>
                          <a:xfrm>
                            <a:off x="1888553" y="81724"/>
                            <a:ext cx="318770" cy="152400"/>
                          </a:xfrm>
                          <a:prstGeom prst="rect">
                            <a:avLst/>
                          </a:prstGeom>
                        </wps:spPr>
                        <wps:txbx>
                          <w:txbxContent>
                            <w:p w14:paraId="5EA607D2">
                              <w:pPr>
                                <w:spacing w:line="240" w:lineRule="exact"/>
                                <w:rPr>
                                  <w:rFonts w:ascii="Calibri"/>
                                  <w:sz w:val="24"/>
                                </w:rPr>
                              </w:pPr>
                              <w:r>
                                <w:rPr>
                                  <w:rFonts w:ascii="Calibri"/>
                                  <w:color w:val="404040"/>
                                  <w:spacing w:val="-4"/>
                                  <w:sz w:val="24"/>
                                </w:rPr>
                                <w:t>3169</w:t>
                              </w:r>
                            </w:p>
                          </w:txbxContent>
                        </wps:txbx>
                        <wps:bodyPr wrap="square" lIns="0" tIns="0" rIns="0" bIns="0" rtlCol="0">
                          <a:noAutofit/>
                        </wps:bodyPr>
                      </wps:wsp>
                      <wps:wsp>
                        <wps:cNvPr id="53" name="Textbox 53"/>
                        <wps:cNvSpPr txBox="1"/>
                        <wps:spPr>
                          <a:xfrm>
                            <a:off x="24701" y="87820"/>
                            <a:ext cx="321945" cy="152400"/>
                          </a:xfrm>
                          <a:prstGeom prst="rect">
                            <a:avLst/>
                          </a:prstGeom>
                        </wps:spPr>
                        <wps:txbx>
                          <w:txbxContent>
                            <w:p w14:paraId="2BB2C317">
                              <w:pPr>
                                <w:spacing w:line="240" w:lineRule="exact"/>
                                <w:rPr>
                                  <w:rFonts w:ascii="Calibri"/>
                                  <w:sz w:val="24"/>
                                </w:rPr>
                              </w:pPr>
                              <w:r>
                                <w:rPr>
                                  <w:rFonts w:ascii="Calibri"/>
                                  <w:color w:val="585858"/>
                                  <w:spacing w:val="-4"/>
                                  <w:sz w:val="24"/>
                                </w:rPr>
                                <w:t>3200</w:t>
                              </w:r>
                            </w:p>
                          </w:txbxContent>
                        </wps:txbx>
                        <wps:bodyPr wrap="square" lIns="0" tIns="0" rIns="0" bIns="0" rtlCol="0">
                          <a:noAutofit/>
                        </wps:bodyPr>
                      </wps:wsp>
                    </wpg:wgp>
                  </a:graphicData>
                </a:graphic>
              </wp:anchor>
            </w:drawing>
          </mc:Choice>
          <mc:Fallback>
            <w:pict>
              <v:group id="Group 34" o:spid="_x0000_s1026" o:spt="203" style="position:absolute;left:0pt;margin-left:153.05pt;margin-top:15.9pt;height:249pt;width:374.25pt;mso-position-horizontal-relative:page;mso-wrap-distance-bottom:0pt;mso-wrap-distance-top:0pt;z-index:-251643904;mso-width-relative:page;mso-height-relative:page;" coordsize="4752975,3162300" o:gfxdata="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">
                <o:lock v:ext="edit" aspectratio="f"/>
                <v:shape id="Graphic 35" o:spid="_x0000_s1026" o:spt="100" style="position:absolute;left:474027;top:155638;height:2188845;width:4175760;" filled="f" stroked="t" coordsize="4175760,2188845" o:gfxdata="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U0J0vQAA&#10;ANsAAAAPAAAAAAAAAAEAIAAAACIAAABkcnMvZG93bnJldi54bWxQSwECFAAUAAAACACHTuJAMy8F&#10;njsAAAA5AAAAEAAAAAAAAAABACAAAAAMAQAAZHJzL3NoYXBleG1sLnhtbFBLBQYAAAAABgAGAFsB&#10;AAC2AwAAAAA=&#10;" path="m0,2188591l358647,2188591em684783,2188591l1401064,2188591em3818128,2188591l4175760,2188591em2772664,2188591l3488944,2188591em1730247,2188591l2446528,2188591em3818128,1749679l4175760,1749679em1730247,1749679l2446528,1749679em684783,1749679l1401064,1749679em0,1749679l358647,1749679em2772664,1749679l3488944,1749679em0,1313814l358647,1313814em684783,1313814l1401064,1313814em1730247,1313814l4175760,1313814em0,874903l358647,874903em684783,874903l1401064,874903em1730247,874903l4175760,874903em0,439038l1401064,439038em1730247,439038l4175760,439038em0,0l4175760,0e">
                  <v:fill on="f" focussize="0,0"/>
                  <v:stroke color="#D9D9D9" joinstyle="round"/>
                  <v:imagedata o:title=""/>
                  <o:lock v:ext="edit" aspectratio="f"/>
                  <v:textbox inset="0mm,0mm,0mm,0mm"/>
                </v:shape>
                <v:shape id="Graphic 36" o:spid="_x0000_s1026" o:spt="100" style="position:absolute;left:832675;top:289877;height:2491740;width:3459479;" fillcolor="#4F81BC" filled="t" stroked="f" coordsize="3459479,2491740" o:gfxdata="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pr9UugAAANsA&#10;AAAPAAAAAAAAAAEAIAAAACIAAABkcnMvZG93bnJldi54bWxQSwECFAAUAAAACACHTuJAMy8FnjsA&#10;AAA5AAAAEAAAAAAAAAABACAAAAAJAQAAZHJzL3NoYXBleG1sLnhtbFBLBQYAAAAABgAGAFsBAACz&#10;AwAAAAA=&#10;" path="m326136,451104l0,451104,0,2491613,326136,2491613,326136,451104xem1371600,0l1042416,0,1042416,2491613,1371600,2491613,1371600,0xem2414016,1219200l2087880,1219200,2087880,2491613,2414016,2491613,2414016,1219200xem3459480,1441704l3130296,1441704,3130296,2491613,3459480,2491613,3459480,1441704xe">
                  <v:fill on="t" focussize="0,0"/>
                  <v:stroke on="f"/>
                  <v:imagedata o:title=""/>
                  <o:lock v:ext="edit" aspectratio="f"/>
                  <v:textbox inset="0mm,0mm,0mm,0mm"/>
                </v:shape>
                <v:shape id="Graphic 37" o:spid="_x0000_s1026" o:spt="100" style="position:absolute;left:474027;top:2781490;height:1270;width:4175760;" filled="f" stroked="t" coordsize="4175760,1" o:gfxdata="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RgOHvQAA&#10;ANsAAAAPAAAAAAAAAAEAIAAAACIAAABkcnMvZG93bnJldi54bWxQSwECFAAUAAAACACHTuJAMy8F&#10;njsAAAA5AAAAEAAAAAAAAAABACAAAAAMAQAAZHJzL3NoYXBleG1sLnhtbFBLBQYAAAAABgAGAFsB&#10;AAC2AwAAAAA=&#10;" path="m0,0l4175760,0e">
                  <v:fill on="f" focussize="0,0"/>
                  <v:stroke color="#D9D9D9" joinstyle="round"/>
                  <v:imagedata o:title=""/>
                  <o:lock v:ext="edit" aspectratio="f"/>
                  <v:textbox inset="0mm,0mm,0mm,0mm"/>
                </v:shape>
                <v:shape id="Graphic 38" o:spid="_x0000_s1026" o:spt="100" style="position:absolute;left:4762;top:4762;height:3152775;width:4743450;" filled="f" stroked="t" coordsize="4743450,3152775" o:gfxdata="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0uKce8AAAA&#10;2wAAAA8AAAAAAAAAAQAgAAAAIgAAAGRycy9kb3ducmV2LnhtbFBLAQIUABQAAAAIAIdO4kAzLwWe&#10;OwAAADkAAAAQAAAAAAAAAAEAIAAAAAsBAABkcnMvc2hhcGV4bWwueG1sUEsFBgAAAAAGAAYAWwEA&#10;ALUDAAAAAA==&#10;" path="m0,3152775l4743450,3152775,4743450,0,0,0,0,3152775xe">
                  <v:fill on="f" focussize="0,0"/>
                  <v:stroke color="#D9D9D9" joinstyle="round"/>
                  <v:imagedata o:title=""/>
                  <o:lock v:ext="edit" aspectratio="f"/>
                  <v:textbox inset="0mm,0mm,0mm,0mm"/>
                </v:shape>
                <v:shape id="Textbox 39" o:spid="_x0000_s1026" o:spt="202" type="#_x0000_t202" style="position:absolute;left:3915981;top:2912681;height:152400;width:441325;" filled="f" stroked="f" coordsize="21600,21600" o:gfxdata="UEsDBAoAAAAAAIdO4kAAAAAAAAAAAAAAAAAEAAAAZHJzL1BLAwQUAAAACACHTuJA0IUERb0AAADb&#10;AAAADwAAAGRycy9kb3ducmV2LnhtbEWPQWsCMRSE74L/ITyhN01sQ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hQRF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E527A70">
                        <w:pPr>
                          <w:spacing w:line="240" w:lineRule="exact"/>
                          <w:rPr>
                            <w:rFonts w:ascii="Calibri" w:hAnsi="Calibri"/>
                            <w:sz w:val="24"/>
                          </w:rPr>
                        </w:pPr>
                        <w:r>
                          <w:rPr>
                            <w:rFonts w:ascii="Calibri" w:hAnsi="Calibri"/>
                            <w:color w:val="585858"/>
                            <w:sz w:val="24"/>
                          </w:rPr>
                          <w:t xml:space="preserve">2025 </w:t>
                        </w:r>
                        <w:r>
                          <w:rPr>
                            <w:rFonts w:ascii="Calibri" w:hAnsi="Calibri"/>
                            <w:color w:val="585858"/>
                            <w:spacing w:val="-5"/>
                            <w:sz w:val="24"/>
                          </w:rPr>
                          <w:t>г.</w:t>
                        </w:r>
                      </w:p>
                    </w:txbxContent>
                  </v:textbox>
                </v:shape>
                <v:shape id="Textbox 40" o:spid="_x0000_s1026" o:spt="202" type="#_x0000_t202" style="position:absolute;left:2871533;top:2912681;height:152400;width:441325;" filled="f" stroked="f" coordsize="21600,21600" o:gfxdata="UEsDBAoAAAAAAIdO4kAAAAAAAAAAAAAAAAAEAAAAZHJzL1BLAwQUAAAACACHTuJAGbnepboAAADb&#10;AAAADwAAAGRycy9kb3ducmV2LnhtbEVPy2oCMRTdF/yHcAvd1UQp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ud6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4759A776">
                        <w:pPr>
                          <w:spacing w:line="240" w:lineRule="exact"/>
                          <w:rPr>
                            <w:rFonts w:ascii="Calibri" w:hAnsi="Calibri"/>
                            <w:sz w:val="24"/>
                          </w:rPr>
                        </w:pPr>
                        <w:r>
                          <w:rPr>
                            <w:rFonts w:ascii="Calibri" w:hAnsi="Calibri"/>
                            <w:color w:val="585858"/>
                            <w:sz w:val="24"/>
                          </w:rPr>
                          <w:t xml:space="preserve">2024 </w:t>
                        </w:r>
                        <w:r>
                          <w:rPr>
                            <w:rFonts w:ascii="Calibri" w:hAnsi="Calibri"/>
                            <w:color w:val="585858"/>
                            <w:spacing w:val="-5"/>
                            <w:sz w:val="24"/>
                          </w:rPr>
                          <w:t>г.</w:t>
                        </w:r>
                      </w:p>
                    </w:txbxContent>
                  </v:textbox>
                </v:shape>
                <v:shape id="Textbox 41" o:spid="_x0000_s1026" o:spt="202" type="#_x0000_t202" style="position:absolute;left:1827212;top:2912681;height:152400;width:441325;" filled="f" stroked="f" coordsize="21600,21600" o:gfxdata="UEsDBAoAAAAAAIdO4kAAAAAAAAAAAAAAAAAEAAAAZHJzL1BLAwQUAAAACACHTuJAdvV7Pr0AAADb&#10;AAAADwAAAGRycy9kb3ducmV2LnhtbEWPQWsCMRSE7wX/Q3hCbzXZUqS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9Xs+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A836AEB">
                        <w:pPr>
                          <w:spacing w:line="240" w:lineRule="exact"/>
                          <w:rPr>
                            <w:rFonts w:ascii="Calibri" w:hAnsi="Calibri"/>
                            <w:sz w:val="24"/>
                          </w:rPr>
                        </w:pPr>
                        <w:r>
                          <w:rPr>
                            <w:rFonts w:ascii="Calibri" w:hAnsi="Calibri"/>
                            <w:color w:val="585858"/>
                            <w:sz w:val="24"/>
                          </w:rPr>
                          <w:t xml:space="preserve">2023 </w:t>
                        </w:r>
                        <w:r>
                          <w:rPr>
                            <w:rFonts w:ascii="Calibri" w:hAnsi="Calibri"/>
                            <w:color w:val="585858"/>
                            <w:spacing w:val="-5"/>
                            <w:sz w:val="24"/>
                          </w:rPr>
                          <w:t>г.</w:t>
                        </w:r>
                      </w:p>
                    </w:txbxContent>
                  </v:textbox>
                </v:shape>
                <v:shape id="Textbox 42" o:spid="_x0000_s1026" o:spt="202" type="#_x0000_t202" style="position:absolute;left:783018;top:2912681;height:152400;width:441325;" filled="f" stroked="f" coordsize="21600,21600" o:gfxdata="UEsDBAoAAAAAAIdO4kAAAAAAAAAAAAAAAAAEAAAAZHJzL1BLAwQUAAAACACHTuJAhiflSb4AAADb&#10;AAAADwAAAGRycy9kb3ducmV2LnhtbEWPzWrDMBCE74W+g9hCb42UUEL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flS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C83D924">
                        <w:pPr>
                          <w:spacing w:line="240" w:lineRule="exact"/>
                          <w:rPr>
                            <w:rFonts w:ascii="Calibri" w:hAnsi="Calibri"/>
                            <w:sz w:val="24"/>
                          </w:rPr>
                        </w:pPr>
                        <w:r>
                          <w:rPr>
                            <w:rFonts w:ascii="Calibri" w:hAnsi="Calibri"/>
                            <w:color w:val="585858"/>
                            <w:sz w:val="24"/>
                          </w:rPr>
                          <w:t xml:space="preserve">2022 </w:t>
                        </w:r>
                        <w:r>
                          <w:rPr>
                            <w:rFonts w:ascii="Calibri" w:hAnsi="Calibri"/>
                            <w:color w:val="585858"/>
                            <w:spacing w:val="-5"/>
                            <w:sz w:val="24"/>
                          </w:rPr>
                          <w:t>г.</w:t>
                        </w:r>
                      </w:p>
                    </w:txbxContent>
                  </v:textbox>
                </v:shape>
                <v:shape id="Textbox 43" o:spid="_x0000_s1026" o:spt="202" type="#_x0000_t202" style="position:absolute;left:24701;top:2714561;height:152400;width:321945;" filled="f" stroked="f" coordsize="21600,21600" o:gfxdata="UEsDBAoAAAAAAIdO4kAAAAAAAAAAAAAAAAAEAAAAZHJzL1BLAwQUAAAACACHTuJA6WtA0r4AAADb&#10;AAAADwAAAGRycy9kb3ducmV2LnhtbEWPQWsCMRSE70L/Q3gFb5pYR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tA0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65D5FF3">
                        <w:pPr>
                          <w:spacing w:line="240" w:lineRule="exact"/>
                          <w:rPr>
                            <w:rFonts w:ascii="Calibri"/>
                            <w:sz w:val="24"/>
                          </w:rPr>
                        </w:pPr>
                        <w:r>
                          <w:rPr>
                            <w:rFonts w:ascii="Calibri"/>
                            <w:color w:val="585858"/>
                            <w:spacing w:val="-4"/>
                            <w:sz w:val="24"/>
                          </w:rPr>
                          <w:t>2600</w:t>
                        </w:r>
                      </w:p>
                    </w:txbxContent>
                  </v:textbox>
                </v:shape>
                <v:shape id="Textbox 44" o:spid="_x0000_s1026" o:spt="202" type="#_x0000_t202" style="position:absolute;left:24701;top:2276538;height:152400;width:321945;" filled="f" stroked="f" coordsize="21600,21600" o:gfxdata="UEsDBAoAAAAAAIdO4kAAAAAAAAAAAAAAAAAEAAAAZHJzL1BLAwQUAAAACACHTuJAZoLYpr4AAADb&#10;AAAADwAAAGRycy9kb3ducmV2LnhtbEWPzWrDMBCE74W+g9hCb42UE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oLYp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CA9AE3F">
                        <w:pPr>
                          <w:spacing w:line="240" w:lineRule="exact"/>
                          <w:rPr>
                            <w:rFonts w:ascii="Calibri"/>
                            <w:sz w:val="24"/>
                          </w:rPr>
                        </w:pPr>
                        <w:r>
                          <w:rPr>
                            <w:rFonts w:ascii="Calibri"/>
                            <w:color w:val="585858"/>
                            <w:spacing w:val="-4"/>
                            <w:sz w:val="24"/>
                          </w:rPr>
                          <w:t>2700</w:t>
                        </w:r>
                      </w:p>
                    </w:txbxContent>
                  </v:textbox>
                </v:shape>
                <v:shape id="Textbox 45" o:spid="_x0000_s1026" o:spt="202" type="#_x0000_t202" style="position:absolute;left:24701;top:1838896;height:152400;width:321945;" filled="f" stroked="f" coordsize="21600,21600" o:gfxdata="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59P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3F3CD412">
                        <w:pPr>
                          <w:spacing w:line="240" w:lineRule="exact"/>
                          <w:rPr>
                            <w:rFonts w:ascii="Calibri"/>
                            <w:sz w:val="24"/>
                          </w:rPr>
                        </w:pPr>
                        <w:r>
                          <w:rPr>
                            <w:rFonts w:ascii="Calibri"/>
                            <w:color w:val="585858"/>
                            <w:spacing w:val="-4"/>
                            <w:sz w:val="24"/>
                          </w:rPr>
                          <w:t>2800</w:t>
                        </w:r>
                      </w:p>
                    </w:txbxContent>
                  </v:textbox>
                </v:shape>
                <v:shape id="Textbox 46" o:spid="_x0000_s1026" o:spt="202" type="#_x0000_t202" style="position:absolute;left:3977322;top:1521904;height:152400;width:317500;" filled="f" stroked="f" coordsize="21600,21600" o:gfxdata="UEsDBAoAAAAAAIdO4kAAAAAAAAAAAAAAAAAEAAAAZHJzL1BLAwQUAAAACACHTuJA+RzjSr0AAADb&#10;AAAADwAAAGRycy9kb3ducmV2LnhtbEWPQWsCMRSE7wX/Q3hCbzWxlK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HONK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AD53F23">
                        <w:pPr>
                          <w:spacing w:line="240" w:lineRule="exact"/>
                          <w:rPr>
                            <w:rFonts w:ascii="Calibri"/>
                            <w:sz w:val="24"/>
                          </w:rPr>
                        </w:pPr>
                        <w:r>
                          <w:rPr>
                            <w:rFonts w:ascii="Calibri"/>
                            <w:color w:val="404040"/>
                            <w:spacing w:val="-4"/>
                            <w:sz w:val="24"/>
                          </w:rPr>
                          <w:t>2840</w:t>
                        </w:r>
                      </w:p>
                    </w:txbxContent>
                  </v:textbox>
                </v:shape>
                <v:shape id="Textbox 47" o:spid="_x0000_s1026" o:spt="202" type="#_x0000_t202" style="position:absolute;left:2933001;top:1298765;height:152400;width:317500;" filled="f" stroked="f" coordsize="21600,21600" o:gfxdata="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lBG0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92F57F3">
                        <w:pPr>
                          <w:spacing w:line="240" w:lineRule="exact"/>
                          <w:rPr>
                            <w:rFonts w:ascii="Calibri"/>
                            <w:sz w:val="24"/>
                          </w:rPr>
                        </w:pPr>
                        <w:r>
                          <w:rPr>
                            <w:rFonts w:ascii="Calibri"/>
                            <w:color w:val="404040"/>
                            <w:spacing w:val="-4"/>
                            <w:sz w:val="24"/>
                          </w:rPr>
                          <w:t>2891</w:t>
                        </w:r>
                      </w:p>
                    </w:txbxContent>
                  </v:textbox>
                </v:shape>
                <v:shape id="Textbox 48" o:spid="_x0000_s1026" o:spt="202" type="#_x0000_t202" style="position:absolute;left:24701;top:1401127;height:152400;width:321945;" filled="f" stroked="f" coordsize="21600,21600" o:gfxdata="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nz9K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5A50A34A">
                        <w:pPr>
                          <w:spacing w:line="240" w:lineRule="exact"/>
                          <w:rPr>
                            <w:rFonts w:ascii="Calibri"/>
                            <w:sz w:val="24"/>
                          </w:rPr>
                        </w:pPr>
                        <w:r>
                          <w:rPr>
                            <w:rFonts w:ascii="Calibri"/>
                            <w:color w:val="585858"/>
                            <w:spacing w:val="-4"/>
                            <w:sz w:val="24"/>
                          </w:rPr>
                          <w:t>2900</w:t>
                        </w:r>
                      </w:p>
                    </w:txbxContent>
                  </v:textbox>
                </v:shape>
                <v:shape id="Textbox 49" o:spid="_x0000_s1026" o:spt="202" type="#_x0000_t202" style="position:absolute;left:24701;top:963002;height:153035;width:321945;" filled="f" stroked="f" coordsize="21600,21600" o:gfxdata="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g3c4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2BF4C3D">
                        <w:pPr>
                          <w:spacing w:line="240" w:lineRule="exact"/>
                          <w:rPr>
                            <w:rFonts w:ascii="Calibri"/>
                            <w:sz w:val="24"/>
                          </w:rPr>
                        </w:pPr>
                        <w:r>
                          <w:rPr>
                            <w:rFonts w:ascii="Calibri"/>
                            <w:color w:val="585858"/>
                            <w:spacing w:val="-4"/>
                            <w:sz w:val="24"/>
                          </w:rPr>
                          <w:t>3000</w:t>
                        </w:r>
                      </w:p>
                    </w:txbxContent>
                  </v:textbox>
                </v:shape>
                <v:shape id="Textbox 50" o:spid="_x0000_s1026" o:spt="202" type="#_x0000_t202" style="position:absolute;left:844232;top:532447;height:152400;width:317500;" filled="f" stroked="f" coordsize="21600,21600" o:gfxdata="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YEh4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w:txbxContent>
                      <w:p w14:paraId="59976B81">
                        <w:pPr>
                          <w:spacing w:line="240" w:lineRule="exact"/>
                          <w:rPr>
                            <w:rFonts w:ascii="Calibri"/>
                            <w:sz w:val="24"/>
                          </w:rPr>
                        </w:pPr>
                        <w:r>
                          <w:rPr>
                            <w:rFonts w:ascii="Calibri"/>
                            <w:color w:val="404040"/>
                            <w:spacing w:val="-4"/>
                            <w:sz w:val="24"/>
                          </w:rPr>
                          <w:t>3066</w:t>
                        </w:r>
                      </w:p>
                    </w:txbxContent>
                  </v:textbox>
                </v:shape>
                <v:shape id="Textbox 51" o:spid="_x0000_s1026" o:spt="202" type="#_x0000_t202" style="position:absolute;left:24701;top:525462;height:152400;width:321945;" filled="f" stroked="f" coordsize="21600,21600" o:gfxdata="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LO3j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3FBBF26">
                        <w:pPr>
                          <w:spacing w:line="240" w:lineRule="exact"/>
                          <w:rPr>
                            <w:rFonts w:ascii="Calibri"/>
                            <w:sz w:val="24"/>
                          </w:rPr>
                        </w:pPr>
                        <w:r>
                          <w:rPr>
                            <w:rFonts w:ascii="Calibri"/>
                            <w:color w:val="585858"/>
                            <w:spacing w:val="-4"/>
                            <w:sz w:val="24"/>
                          </w:rPr>
                          <w:t>3100</w:t>
                        </w:r>
                      </w:p>
                    </w:txbxContent>
                  </v:textbox>
                </v:shape>
                <v:shape id="Textbox 52" o:spid="_x0000_s1026" o:spt="202" type="#_x0000_t202" style="position:absolute;left:1888553;top:81724;height:152400;width:318770;" filled="f" stroked="f" coordsize="21600,21600" o:gfxdata="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5zl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EA607D2">
                        <w:pPr>
                          <w:spacing w:line="240" w:lineRule="exact"/>
                          <w:rPr>
                            <w:rFonts w:ascii="Calibri"/>
                            <w:sz w:val="24"/>
                          </w:rPr>
                        </w:pPr>
                        <w:r>
                          <w:rPr>
                            <w:rFonts w:ascii="Calibri"/>
                            <w:color w:val="404040"/>
                            <w:spacing w:val="-4"/>
                            <w:sz w:val="24"/>
                          </w:rPr>
                          <w:t>3169</w:t>
                        </w:r>
                      </w:p>
                    </w:txbxContent>
                  </v:textbox>
                </v:shape>
                <v:shape id="Textbox 53" o:spid="_x0000_s1026" o:spt="202" type="#_x0000_t202" style="position:absolute;left:24701;top:87820;height:152400;width:321945;" filled="f" stroked="f" coordsize="21600,21600" o:gfxdata="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LWD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2BB2C317">
                        <w:pPr>
                          <w:spacing w:line="240" w:lineRule="exact"/>
                          <w:rPr>
                            <w:rFonts w:ascii="Calibri"/>
                            <w:sz w:val="24"/>
                          </w:rPr>
                        </w:pPr>
                        <w:r>
                          <w:rPr>
                            <w:rFonts w:ascii="Calibri"/>
                            <w:color w:val="585858"/>
                            <w:spacing w:val="-4"/>
                            <w:sz w:val="24"/>
                          </w:rPr>
                          <w:t>3200</w:t>
                        </w:r>
                      </w:p>
                    </w:txbxContent>
                  </v:textbox>
                </v:shape>
                <w10:wrap type="topAndBottom"/>
              </v:group>
            </w:pict>
          </mc:Fallback>
        </mc:AlternateContent>
      </w:r>
    </w:p>
    <w:p w14:paraId="696B29F4">
      <w:pPr>
        <w:pStyle w:val="7"/>
        <w:spacing w:before="4"/>
        <w:ind w:left="0" w:firstLine="0"/>
        <w:jc w:val="left"/>
      </w:pPr>
    </w:p>
    <w:p w14:paraId="4F3564FC">
      <w:pPr>
        <w:pStyle w:val="7"/>
        <w:ind w:left="2109" w:hanging="2037"/>
        <w:jc w:val="center"/>
      </w:pPr>
      <w:r>
        <w:t>Рисунок</w:t>
      </w:r>
      <w:r>
        <w:rPr>
          <w:spacing w:val="-5"/>
        </w:rPr>
        <w:t xml:space="preserve"> </w:t>
      </w:r>
      <w:r>
        <w:t>8</w:t>
      </w:r>
      <w:r>
        <w:rPr>
          <w:spacing w:val="-4"/>
        </w:rPr>
        <w:t xml:space="preserve"> </w:t>
      </w:r>
      <w:r>
        <w:t>-</w:t>
      </w:r>
      <w:r>
        <w:rPr>
          <w:spacing w:val="-5"/>
        </w:rPr>
        <w:t xml:space="preserve"> </w:t>
      </w:r>
      <w:r>
        <w:t>Динамика</w:t>
      </w:r>
      <w:r>
        <w:rPr>
          <w:spacing w:val="-4"/>
        </w:rPr>
        <w:t xml:space="preserve"> </w:t>
      </w:r>
      <w:r>
        <w:t>числа</w:t>
      </w:r>
      <w:r>
        <w:rPr>
          <w:spacing w:val="-4"/>
        </w:rPr>
        <w:t xml:space="preserve"> </w:t>
      </w:r>
      <w:r>
        <w:t>пациентов</w:t>
      </w:r>
      <w:r>
        <w:rPr>
          <w:spacing w:val="-5"/>
        </w:rPr>
        <w:t xml:space="preserve"> </w:t>
      </w:r>
      <w:r>
        <w:t>с</w:t>
      </w:r>
      <w:r>
        <w:rPr>
          <w:spacing w:val="-4"/>
        </w:rPr>
        <w:t xml:space="preserve"> </w:t>
      </w:r>
      <w:r>
        <w:t>опухолями</w:t>
      </w:r>
      <w:r>
        <w:rPr>
          <w:spacing w:val="-4"/>
        </w:rPr>
        <w:t xml:space="preserve"> </w:t>
      </w:r>
      <w:r>
        <w:t>периампулярной</w:t>
      </w:r>
      <w:r>
        <w:rPr>
          <w:spacing w:val="-4"/>
        </w:rPr>
        <w:t xml:space="preserve"> </w:t>
      </w:r>
      <w:r>
        <w:t>зоны</w:t>
      </w:r>
      <w:r>
        <w:rPr>
          <w:spacing w:val="-4"/>
        </w:rPr>
        <w:t xml:space="preserve"> </w:t>
      </w:r>
      <w:r>
        <w:t>в Республике Казахстан в 2022–2025 гг.</w:t>
      </w:r>
    </w:p>
    <w:p w14:paraId="4E6FEE3D">
      <w:pPr>
        <w:pStyle w:val="7"/>
        <w:spacing w:before="321"/>
        <w:ind w:left="0" w:right="3"/>
      </w:pPr>
      <w:r>
        <w:t>В областях показатели распределены относительно равномерно, однако значимые</w:t>
      </w:r>
      <w:r>
        <w:rPr>
          <w:spacing w:val="-13"/>
        </w:rPr>
        <w:t xml:space="preserve"> </w:t>
      </w:r>
      <w:r>
        <w:t>различия</w:t>
      </w:r>
      <w:r>
        <w:rPr>
          <w:spacing w:val="-13"/>
        </w:rPr>
        <w:t xml:space="preserve"> </w:t>
      </w:r>
      <w:r>
        <w:t>всё</w:t>
      </w:r>
      <w:r>
        <w:rPr>
          <w:spacing w:val="-13"/>
        </w:rPr>
        <w:t xml:space="preserve"> </w:t>
      </w:r>
      <w:r>
        <w:t>же</w:t>
      </w:r>
      <w:r>
        <w:rPr>
          <w:spacing w:val="-13"/>
        </w:rPr>
        <w:t xml:space="preserve"> </w:t>
      </w:r>
      <w:r>
        <w:t>наблюдаются.</w:t>
      </w:r>
      <w:r>
        <w:rPr>
          <w:spacing w:val="-12"/>
        </w:rPr>
        <w:t xml:space="preserve"> </w:t>
      </w:r>
      <w:r>
        <w:t>Так,</w:t>
      </w:r>
      <w:r>
        <w:rPr>
          <w:spacing w:val="-12"/>
        </w:rPr>
        <w:t xml:space="preserve"> </w:t>
      </w:r>
      <w:r>
        <w:t>высокие</w:t>
      </w:r>
      <w:r>
        <w:rPr>
          <w:spacing w:val="-13"/>
        </w:rPr>
        <w:t xml:space="preserve"> </w:t>
      </w:r>
      <w:r>
        <w:t>значения</w:t>
      </w:r>
      <w:r>
        <w:rPr>
          <w:spacing w:val="-13"/>
        </w:rPr>
        <w:t xml:space="preserve"> </w:t>
      </w:r>
      <w:r>
        <w:t>регистрируются в</w:t>
      </w:r>
      <w:r>
        <w:rPr>
          <w:spacing w:val="66"/>
        </w:rPr>
        <w:t xml:space="preserve">  </w:t>
      </w:r>
      <w:r>
        <w:t>Карагандинской</w:t>
      </w:r>
      <w:r>
        <w:rPr>
          <w:spacing w:val="68"/>
        </w:rPr>
        <w:t xml:space="preserve">  </w:t>
      </w:r>
      <w:r>
        <w:t>(124–193</w:t>
      </w:r>
      <w:r>
        <w:rPr>
          <w:spacing w:val="67"/>
        </w:rPr>
        <w:t xml:space="preserve">  </w:t>
      </w:r>
      <w:r>
        <w:t>случаев),</w:t>
      </w:r>
      <w:r>
        <w:rPr>
          <w:spacing w:val="69"/>
        </w:rPr>
        <w:t xml:space="preserve">  </w:t>
      </w:r>
      <w:r>
        <w:t>Актюбинской</w:t>
      </w:r>
      <w:r>
        <w:rPr>
          <w:spacing w:val="68"/>
        </w:rPr>
        <w:t xml:space="preserve">  </w:t>
      </w:r>
      <w:r>
        <w:t>(88–169</w:t>
      </w:r>
      <w:r>
        <w:rPr>
          <w:spacing w:val="67"/>
        </w:rPr>
        <w:t xml:space="preserve">  </w:t>
      </w:r>
      <w:r>
        <w:rPr>
          <w:spacing w:val="-2"/>
        </w:rPr>
        <w:t>случаев),</w:t>
      </w:r>
      <w:r>
        <w:t xml:space="preserve"> Павлодарской (120–133 случаев) и Туркестанской областях (90–131 случаев). В то</w:t>
      </w:r>
      <w:r>
        <w:rPr>
          <w:spacing w:val="-16"/>
        </w:rPr>
        <w:t xml:space="preserve"> </w:t>
      </w:r>
      <w:r>
        <w:t>же</w:t>
      </w:r>
      <w:r>
        <w:rPr>
          <w:spacing w:val="-14"/>
        </w:rPr>
        <w:t xml:space="preserve"> </w:t>
      </w:r>
      <w:r>
        <w:t>время</w:t>
      </w:r>
      <w:r>
        <w:rPr>
          <w:spacing w:val="-14"/>
        </w:rPr>
        <w:t xml:space="preserve"> </w:t>
      </w:r>
      <w:r>
        <w:t>более</w:t>
      </w:r>
      <w:r>
        <w:rPr>
          <w:spacing w:val="-18"/>
        </w:rPr>
        <w:t xml:space="preserve"> </w:t>
      </w:r>
      <w:r>
        <w:t>низкие</w:t>
      </w:r>
      <w:r>
        <w:rPr>
          <w:spacing w:val="-14"/>
        </w:rPr>
        <w:t xml:space="preserve"> </w:t>
      </w:r>
      <w:r>
        <w:t>показатели</w:t>
      </w:r>
      <w:r>
        <w:rPr>
          <w:spacing w:val="-15"/>
        </w:rPr>
        <w:t xml:space="preserve"> </w:t>
      </w:r>
      <w:r>
        <w:t>фиксируются</w:t>
      </w:r>
      <w:r>
        <w:rPr>
          <w:spacing w:val="-14"/>
        </w:rPr>
        <w:t xml:space="preserve"> </w:t>
      </w:r>
      <w:r>
        <w:t>в</w:t>
      </w:r>
      <w:r>
        <w:rPr>
          <w:spacing w:val="-17"/>
        </w:rPr>
        <w:t xml:space="preserve"> </w:t>
      </w:r>
      <w:r>
        <w:t>Улытауской,</w:t>
      </w:r>
      <w:r>
        <w:rPr>
          <w:spacing w:val="-13"/>
        </w:rPr>
        <w:t xml:space="preserve"> </w:t>
      </w:r>
      <w:r>
        <w:t>Костанайской, Абайской областях. Примечателен выраженный рост выявляемости в Кызылординской области в 2025 году (251 случай), что может указывать на изменения в маршрутизации, увеличение диагностической активности или рост обращаемости населения.</w:t>
      </w:r>
    </w:p>
    <w:p w14:paraId="37137A12">
      <w:pPr>
        <w:pStyle w:val="7"/>
        <w:spacing w:before="3"/>
        <w:ind w:left="0" w:firstLine="0"/>
        <w:jc w:val="left"/>
      </w:pPr>
    </w:p>
    <w:p w14:paraId="013ECB33">
      <w:pPr>
        <w:pStyle w:val="7"/>
        <w:ind w:left="0" w:right="3" w:firstLine="0"/>
      </w:pPr>
      <w:r>
        <w:t>Таблица 5 - Динамика числа пациентов с опухолями периампулярной зоны и темпы прироста в Республике Казахстан в 2022–2025 гг.</w:t>
      </w:r>
    </w:p>
    <w:p w14:paraId="61062204">
      <w:pPr>
        <w:pStyle w:val="7"/>
        <w:spacing w:before="98" w:after="1"/>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98"/>
        <w:gridCol w:w="3563"/>
        <w:gridCol w:w="4178"/>
      </w:tblGrid>
      <w:tr w14:paraId="789F7206">
        <w:tblPrEx>
          <w:tblCellMar>
            <w:top w:w="0" w:type="dxa"/>
            <w:left w:w="0" w:type="dxa"/>
            <w:bottom w:w="0" w:type="dxa"/>
            <w:right w:w="0" w:type="dxa"/>
          </w:tblCellMar>
        </w:tblPrEx>
        <w:trPr>
          <w:trHeight w:val="518" w:hRule="atLeast"/>
        </w:trPr>
        <w:tc>
          <w:tcPr>
            <w:tcW w:w="1898" w:type="dxa"/>
          </w:tcPr>
          <w:p w14:paraId="4353E007">
            <w:pPr>
              <w:pStyle w:val="11"/>
              <w:spacing w:line="315" w:lineRule="exact"/>
              <w:ind w:left="110"/>
              <w:jc w:val="left"/>
              <w:rPr>
                <w:sz w:val="28"/>
              </w:rPr>
            </w:pPr>
            <w:r>
              <w:rPr>
                <w:spacing w:val="-5"/>
                <w:sz w:val="28"/>
              </w:rPr>
              <w:t>Год</w:t>
            </w:r>
          </w:p>
        </w:tc>
        <w:tc>
          <w:tcPr>
            <w:tcW w:w="3563" w:type="dxa"/>
          </w:tcPr>
          <w:p w14:paraId="03C6330E">
            <w:pPr>
              <w:pStyle w:val="11"/>
              <w:spacing w:line="315" w:lineRule="exact"/>
              <w:ind w:left="105"/>
              <w:jc w:val="left"/>
              <w:rPr>
                <w:sz w:val="28"/>
              </w:rPr>
            </w:pPr>
            <w:r>
              <w:rPr>
                <w:sz w:val="28"/>
              </w:rPr>
              <w:t>Количество</w:t>
            </w:r>
            <w:r>
              <w:rPr>
                <w:spacing w:val="-11"/>
                <w:sz w:val="28"/>
              </w:rPr>
              <w:t xml:space="preserve"> </w:t>
            </w:r>
            <w:r>
              <w:rPr>
                <w:sz w:val="28"/>
              </w:rPr>
              <w:t>пациентов</w:t>
            </w:r>
            <w:r>
              <w:rPr>
                <w:spacing w:val="-12"/>
                <w:sz w:val="28"/>
              </w:rPr>
              <w:t xml:space="preserve"> </w:t>
            </w:r>
            <w:r>
              <w:rPr>
                <w:spacing w:val="-5"/>
                <w:sz w:val="28"/>
              </w:rPr>
              <w:t>(n)</w:t>
            </w:r>
          </w:p>
        </w:tc>
        <w:tc>
          <w:tcPr>
            <w:tcW w:w="4178" w:type="dxa"/>
          </w:tcPr>
          <w:p w14:paraId="65A150A3">
            <w:pPr>
              <w:pStyle w:val="11"/>
              <w:spacing w:line="315" w:lineRule="exact"/>
              <w:ind w:left="109"/>
              <w:jc w:val="left"/>
              <w:rPr>
                <w:sz w:val="28"/>
              </w:rPr>
            </w:pPr>
            <w:r>
              <w:rPr>
                <w:sz w:val="28"/>
              </w:rPr>
              <w:t>Прирост</w:t>
            </w:r>
            <w:r>
              <w:rPr>
                <w:spacing w:val="-7"/>
                <w:sz w:val="28"/>
              </w:rPr>
              <w:t xml:space="preserve"> </w:t>
            </w:r>
            <w:r>
              <w:rPr>
                <w:sz w:val="28"/>
              </w:rPr>
              <w:t>к</w:t>
            </w:r>
            <w:r>
              <w:rPr>
                <w:spacing w:val="-5"/>
                <w:sz w:val="28"/>
              </w:rPr>
              <w:t xml:space="preserve"> </w:t>
            </w:r>
            <w:r>
              <w:rPr>
                <w:sz w:val="28"/>
              </w:rPr>
              <w:t>предыдущему</w:t>
            </w:r>
            <w:r>
              <w:rPr>
                <w:spacing w:val="-8"/>
                <w:sz w:val="28"/>
              </w:rPr>
              <w:t xml:space="preserve"> </w:t>
            </w:r>
            <w:r>
              <w:rPr>
                <w:sz w:val="28"/>
              </w:rPr>
              <w:t>году</w:t>
            </w:r>
            <w:r>
              <w:rPr>
                <w:spacing w:val="-9"/>
                <w:sz w:val="28"/>
              </w:rPr>
              <w:t xml:space="preserve"> </w:t>
            </w:r>
            <w:r>
              <w:rPr>
                <w:spacing w:val="-5"/>
                <w:sz w:val="28"/>
              </w:rPr>
              <w:t>(%)</w:t>
            </w:r>
          </w:p>
        </w:tc>
      </w:tr>
      <w:tr w14:paraId="1DECB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898" w:type="dxa"/>
          </w:tcPr>
          <w:p w14:paraId="17E65734">
            <w:pPr>
              <w:pStyle w:val="11"/>
              <w:spacing w:line="306" w:lineRule="exact"/>
              <w:ind w:left="110"/>
              <w:jc w:val="left"/>
              <w:rPr>
                <w:sz w:val="28"/>
              </w:rPr>
            </w:pPr>
            <w:r>
              <w:rPr>
                <w:spacing w:val="-4"/>
                <w:sz w:val="28"/>
              </w:rPr>
              <w:t>2022</w:t>
            </w:r>
          </w:p>
        </w:tc>
        <w:tc>
          <w:tcPr>
            <w:tcW w:w="3563" w:type="dxa"/>
          </w:tcPr>
          <w:p w14:paraId="7AAC25A7">
            <w:pPr>
              <w:pStyle w:val="11"/>
              <w:spacing w:line="306" w:lineRule="exact"/>
              <w:ind w:left="105"/>
              <w:jc w:val="left"/>
              <w:rPr>
                <w:sz w:val="28"/>
              </w:rPr>
            </w:pPr>
            <w:r>
              <w:rPr>
                <w:spacing w:val="-4"/>
                <w:sz w:val="28"/>
              </w:rPr>
              <w:t>3066</w:t>
            </w:r>
          </w:p>
        </w:tc>
        <w:tc>
          <w:tcPr>
            <w:tcW w:w="4178" w:type="dxa"/>
          </w:tcPr>
          <w:p w14:paraId="392D679D">
            <w:pPr>
              <w:pStyle w:val="11"/>
              <w:spacing w:line="306" w:lineRule="exact"/>
              <w:ind w:left="109"/>
              <w:jc w:val="left"/>
              <w:rPr>
                <w:sz w:val="28"/>
              </w:rPr>
            </w:pPr>
            <w:r>
              <w:rPr>
                <w:spacing w:val="-10"/>
                <w:sz w:val="28"/>
              </w:rPr>
              <w:t>—</w:t>
            </w:r>
          </w:p>
        </w:tc>
      </w:tr>
      <w:tr w14:paraId="77A0A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898" w:type="dxa"/>
          </w:tcPr>
          <w:p w14:paraId="1CBE4B6F">
            <w:pPr>
              <w:pStyle w:val="11"/>
              <w:spacing w:line="301" w:lineRule="exact"/>
              <w:ind w:left="110"/>
              <w:jc w:val="left"/>
              <w:rPr>
                <w:sz w:val="28"/>
              </w:rPr>
            </w:pPr>
            <w:r>
              <w:rPr>
                <w:spacing w:val="-4"/>
                <w:sz w:val="28"/>
              </w:rPr>
              <w:t>2023</w:t>
            </w:r>
          </w:p>
        </w:tc>
        <w:tc>
          <w:tcPr>
            <w:tcW w:w="3563" w:type="dxa"/>
          </w:tcPr>
          <w:p w14:paraId="4B60A2BC">
            <w:pPr>
              <w:pStyle w:val="11"/>
              <w:spacing w:line="301" w:lineRule="exact"/>
              <w:ind w:left="105"/>
              <w:jc w:val="left"/>
              <w:rPr>
                <w:sz w:val="28"/>
              </w:rPr>
            </w:pPr>
            <w:r>
              <w:rPr>
                <w:spacing w:val="-4"/>
                <w:sz w:val="28"/>
              </w:rPr>
              <w:t>3169</w:t>
            </w:r>
          </w:p>
        </w:tc>
        <w:tc>
          <w:tcPr>
            <w:tcW w:w="4178" w:type="dxa"/>
          </w:tcPr>
          <w:p w14:paraId="554FF617">
            <w:pPr>
              <w:pStyle w:val="11"/>
              <w:spacing w:line="301" w:lineRule="exact"/>
              <w:ind w:left="109"/>
              <w:jc w:val="left"/>
              <w:rPr>
                <w:sz w:val="28"/>
              </w:rPr>
            </w:pPr>
            <w:r>
              <w:rPr>
                <w:spacing w:val="-4"/>
                <w:sz w:val="28"/>
              </w:rPr>
              <w:t>+3,1</w:t>
            </w:r>
          </w:p>
        </w:tc>
      </w:tr>
      <w:tr w14:paraId="75499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898" w:type="dxa"/>
          </w:tcPr>
          <w:p w14:paraId="69B99151">
            <w:pPr>
              <w:pStyle w:val="11"/>
              <w:spacing w:line="302" w:lineRule="exact"/>
              <w:ind w:left="110"/>
              <w:jc w:val="left"/>
              <w:rPr>
                <w:sz w:val="28"/>
              </w:rPr>
            </w:pPr>
            <w:r>
              <w:rPr>
                <w:spacing w:val="-4"/>
                <w:sz w:val="28"/>
              </w:rPr>
              <w:t>2024</w:t>
            </w:r>
          </w:p>
        </w:tc>
        <w:tc>
          <w:tcPr>
            <w:tcW w:w="3563" w:type="dxa"/>
          </w:tcPr>
          <w:p w14:paraId="0F08BFD9">
            <w:pPr>
              <w:pStyle w:val="11"/>
              <w:spacing w:line="302" w:lineRule="exact"/>
              <w:ind w:left="105"/>
              <w:jc w:val="left"/>
              <w:rPr>
                <w:sz w:val="28"/>
              </w:rPr>
            </w:pPr>
            <w:r>
              <w:rPr>
                <w:spacing w:val="-4"/>
                <w:sz w:val="28"/>
              </w:rPr>
              <w:t>2891</w:t>
            </w:r>
          </w:p>
        </w:tc>
        <w:tc>
          <w:tcPr>
            <w:tcW w:w="4178" w:type="dxa"/>
          </w:tcPr>
          <w:p w14:paraId="5DB49F21">
            <w:pPr>
              <w:pStyle w:val="11"/>
              <w:spacing w:line="302" w:lineRule="exact"/>
              <w:ind w:left="109"/>
              <w:jc w:val="left"/>
              <w:rPr>
                <w:sz w:val="28"/>
              </w:rPr>
            </w:pPr>
            <w:r>
              <w:rPr>
                <w:spacing w:val="-4"/>
                <w:sz w:val="28"/>
              </w:rPr>
              <w:t>−8,5</w:t>
            </w:r>
          </w:p>
        </w:tc>
      </w:tr>
      <w:tr w14:paraId="4AAF1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898" w:type="dxa"/>
          </w:tcPr>
          <w:p w14:paraId="2243E954">
            <w:pPr>
              <w:pStyle w:val="11"/>
              <w:spacing w:line="301" w:lineRule="exact"/>
              <w:ind w:left="110"/>
              <w:jc w:val="left"/>
              <w:rPr>
                <w:sz w:val="28"/>
              </w:rPr>
            </w:pPr>
            <w:r>
              <w:rPr>
                <w:spacing w:val="-4"/>
                <w:sz w:val="28"/>
              </w:rPr>
              <w:t>2025</w:t>
            </w:r>
          </w:p>
        </w:tc>
        <w:tc>
          <w:tcPr>
            <w:tcW w:w="3563" w:type="dxa"/>
          </w:tcPr>
          <w:p w14:paraId="225AF67D">
            <w:pPr>
              <w:pStyle w:val="11"/>
              <w:spacing w:line="301" w:lineRule="exact"/>
              <w:ind w:left="105"/>
              <w:jc w:val="left"/>
              <w:rPr>
                <w:sz w:val="28"/>
              </w:rPr>
            </w:pPr>
            <w:r>
              <w:rPr>
                <w:spacing w:val="-4"/>
                <w:sz w:val="28"/>
              </w:rPr>
              <w:t>2840</w:t>
            </w:r>
          </w:p>
        </w:tc>
        <w:tc>
          <w:tcPr>
            <w:tcW w:w="4178" w:type="dxa"/>
          </w:tcPr>
          <w:p w14:paraId="16AECB04">
            <w:pPr>
              <w:pStyle w:val="11"/>
              <w:spacing w:line="301" w:lineRule="exact"/>
              <w:ind w:left="109"/>
              <w:jc w:val="left"/>
              <w:rPr>
                <w:sz w:val="28"/>
              </w:rPr>
            </w:pPr>
            <w:r>
              <w:rPr>
                <w:spacing w:val="-4"/>
                <w:sz w:val="28"/>
              </w:rPr>
              <w:t>−5,8</w:t>
            </w:r>
          </w:p>
        </w:tc>
      </w:tr>
    </w:tbl>
    <w:p w14:paraId="39D3AAD7">
      <w:pPr>
        <w:pStyle w:val="7"/>
        <w:spacing w:before="316"/>
        <w:ind w:left="0" w:right="3" w:firstLine="709"/>
      </w:pPr>
      <w:r>
        <w:t>Проведён статистический анализ динамики показателей опухолей периампулярной зоны за 2022–2025 годы с применением методов</w:t>
      </w:r>
      <w:r>
        <w:rPr>
          <w:spacing w:val="-2"/>
        </w:rPr>
        <w:t xml:space="preserve"> </w:t>
      </w:r>
      <w:r>
        <w:t>описательной статистики. Для оценки тенденций рассчитаны</w:t>
      </w:r>
      <w:r>
        <w:rPr>
          <w:spacing w:val="-2"/>
        </w:rPr>
        <w:t xml:space="preserve"> </w:t>
      </w:r>
      <w:r>
        <w:t>относительные</w:t>
      </w:r>
      <w:r>
        <w:rPr>
          <w:spacing w:val="-1"/>
        </w:rPr>
        <w:t xml:space="preserve"> </w:t>
      </w:r>
      <w:r>
        <w:t>изменения числа пациентов по годам.</w:t>
      </w:r>
    </w:p>
    <w:p w14:paraId="084DBEF8">
      <w:pPr>
        <w:pStyle w:val="7"/>
        <w:spacing w:before="4"/>
        <w:ind w:left="0" w:right="3" w:firstLine="709"/>
      </w:pPr>
      <w:r>
        <w:t>Анализ показал, что в 2023 году отмечался незначительный рост заболеваемости (на 3,1% по сравнению</w:t>
      </w:r>
      <w:r>
        <w:rPr>
          <w:spacing w:val="-1"/>
        </w:rPr>
        <w:t xml:space="preserve"> </w:t>
      </w:r>
      <w:r>
        <w:t>с 2022 годом),</w:t>
      </w:r>
      <w:r>
        <w:rPr>
          <w:spacing w:val="-1"/>
        </w:rPr>
        <w:t xml:space="preserve"> </w:t>
      </w:r>
      <w:r>
        <w:t>что может быть</w:t>
      </w:r>
      <w:r>
        <w:rPr>
          <w:spacing w:val="-1"/>
        </w:rPr>
        <w:t xml:space="preserve"> </w:t>
      </w:r>
      <w:r>
        <w:t>связано с улучшением выявляемости и расширением диагностических возможностей. В последующие годы — 2024 и 2025 — наблюдалось снижение числа случаев на 8,5% и 5,8% соответственно.</w:t>
      </w:r>
    </w:p>
    <w:p w14:paraId="29A3E0CD">
      <w:pPr>
        <w:pStyle w:val="7"/>
        <w:ind w:left="0" w:right="3" w:firstLine="709"/>
      </w:pPr>
      <w:r>
        <w:t xml:space="preserve">Наибольшее количество пациентов регистрировалось в городах Алматы и Астана, а также в Карагандинской области, что отражает концентрацию специализированных онкологических центров и диагностических ресурсов. Наименьшие показатели отмечены в Улытауском и Абайском регионах, где сохраняется ограниченная доступность высокотехнологичных методов </w:t>
      </w:r>
      <w:r>
        <w:rPr>
          <w:spacing w:val="-2"/>
        </w:rPr>
        <w:t>диагностики.</w:t>
      </w:r>
    </w:p>
    <w:p w14:paraId="0EF3CE80">
      <w:pPr>
        <w:pStyle w:val="7"/>
        <w:spacing w:line="242" w:lineRule="auto"/>
        <w:ind w:left="0" w:right="3"/>
      </w:pPr>
      <w:r>
        <w:t>В</w:t>
      </w:r>
      <w:r>
        <w:rPr>
          <w:spacing w:val="-8"/>
        </w:rPr>
        <w:t xml:space="preserve"> </w:t>
      </w:r>
      <w:r>
        <w:t>целом,</w:t>
      </w:r>
      <w:r>
        <w:rPr>
          <w:spacing w:val="-2"/>
        </w:rPr>
        <w:t xml:space="preserve"> </w:t>
      </w:r>
      <w:r>
        <w:t>выявленная</w:t>
      </w:r>
      <w:r>
        <w:rPr>
          <w:spacing w:val="-3"/>
        </w:rPr>
        <w:t xml:space="preserve"> </w:t>
      </w:r>
      <w:r>
        <w:t>динамика</w:t>
      </w:r>
      <w:r>
        <w:rPr>
          <w:spacing w:val="-4"/>
        </w:rPr>
        <w:t xml:space="preserve"> </w:t>
      </w:r>
      <w:r>
        <w:t>свидетельствует</w:t>
      </w:r>
      <w:r>
        <w:rPr>
          <w:spacing w:val="-6"/>
        </w:rPr>
        <w:t xml:space="preserve"> </w:t>
      </w:r>
      <w:r>
        <w:t>о тенденции</w:t>
      </w:r>
      <w:r>
        <w:rPr>
          <w:spacing w:val="-1"/>
        </w:rPr>
        <w:t xml:space="preserve"> </w:t>
      </w:r>
      <w:r>
        <w:t>к</w:t>
      </w:r>
      <w:r>
        <w:rPr>
          <w:spacing w:val="-1"/>
        </w:rPr>
        <w:t xml:space="preserve"> </w:t>
      </w:r>
      <w:r>
        <w:t>умеренному снижению первичной заболеваемости при относительной стабильности эпидемиологической ситуации в целом по стране.</w:t>
      </w:r>
    </w:p>
    <w:p w14:paraId="3A45B68E">
      <w:pPr>
        <w:pStyle w:val="7"/>
        <w:ind w:left="0" w:right="3" w:firstLine="709"/>
      </w:pPr>
      <w:r>
        <w:t>Таким образом, анализ выявления опухолей периампулярной зоны демонстрирует выраженную неоднородность выявляемости опухолей между регионами,</w:t>
      </w:r>
      <w:r>
        <w:rPr>
          <w:spacing w:val="-18"/>
        </w:rPr>
        <w:t xml:space="preserve"> </w:t>
      </w:r>
      <w:r>
        <w:t>подчёркивает</w:t>
      </w:r>
      <w:r>
        <w:rPr>
          <w:spacing w:val="-17"/>
        </w:rPr>
        <w:t xml:space="preserve"> </w:t>
      </w:r>
      <w:r>
        <w:t>концентрацию</w:t>
      </w:r>
      <w:r>
        <w:rPr>
          <w:spacing w:val="-18"/>
        </w:rPr>
        <w:t xml:space="preserve"> </w:t>
      </w:r>
      <w:r>
        <w:t>онкологической</w:t>
      </w:r>
      <w:r>
        <w:rPr>
          <w:spacing w:val="-17"/>
        </w:rPr>
        <w:t xml:space="preserve"> </w:t>
      </w:r>
      <w:r>
        <w:t>диагностики</w:t>
      </w:r>
      <w:r>
        <w:rPr>
          <w:spacing w:val="-18"/>
        </w:rPr>
        <w:t xml:space="preserve"> </w:t>
      </w:r>
      <w:r>
        <w:t>в</w:t>
      </w:r>
      <w:r>
        <w:rPr>
          <w:spacing w:val="-17"/>
        </w:rPr>
        <w:t xml:space="preserve"> </w:t>
      </w:r>
      <w:r>
        <w:t>крупных городах и позволяет сформировать объективное представление о территориальном распределении онкологической нагрузки в стране за четырёхлетний период.</w:t>
      </w:r>
    </w:p>
    <w:p w14:paraId="1F7925F4">
      <w:pPr>
        <w:pStyle w:val="7"/>
        <w:sectPr>
          <w:pgSz w:w="11910" w:h="16840"/>
          <w:pgMar w:top="1134" w:right="567" w:bottom="1134" w:left="1701" w:header="0" w:footer="1004" w:gutter="0"/>
          <w:cols w:space="720" w:num="1"/>
        </w:sectPr>
      </w:pPr>
    </w:p>
    <w:p w14:paraId="05B1B63F">
      <w:pPr>
        <w:pStyle w:val="7"/>
        <w:spacing w:before="59"/>
        <w:ind w:left="141" w:right="-28" w:firstLine="0"/>
        <w:jc w:val="left"/>
      </w:pPr>
      <w:r>
        <w:t>Таблица</w:t>
      </w:r>
      <w:r>
        <w:rPr>
          <w:spacing w:val="-2"/>
        </w:rPr>
        <w:t xml:space="preserve"> </w:t>
      </w:r>
      <w:r>
        <w:t>6</w:t>
      </w:r>
      <w:r>
        <w:rPr>
          <w:spacing w:val="-1"/>
        </w:rPr>
        <w:t xml:space="preserve"> </w:t>
      </w:r>
      <w:r>
        <w:t>-</w:t>
      </w:r>
      <w:r>
        <w:rPr>
          <w:spacing w:val="-3"/>
        </w:rPr>
        <w:t xml:space="preserve"> </w:t>
      </w:r>
      <w:r>
        <w:t>Распределение</w:t>
      </w:r>
      <w:r>
        <w:rPr>
          <w:spacing w:val="-2"/>
        </w:rPr>
        <w:t xml:space="preserve"> </w:t>
      </w:r>
      <w:r>
        <w:t>больных</w:t>
      </w:r>
      <w:r>
        <w:rPr>
          <w:spacing w:val="-7"/>
        </w:rPr>
        <w:t xml:space="preserve"> </w:t>
      </w:r>
      <w:r>
        <w:t>с опухолями</w:t>
      </w:r>
      <w:r>
        <w:rPr>
          <w:spacing w:val="-3"/>
        </w:rPr>
        <w:t xml:space="preserve"> </w:t>
      </w:r>
      <w:r>
        <w:t>периампулярной</w:t>
      </w:r>
      <w:r>
        <w:rPr>
          <w:spacing w:val="-3"/>
        </w:rPr>
        <w:t xml:space="preserve"> </w:t>
      </w:r>
      <w:r>
        <w:t>зоны по</w:t>
      </w:r>
      <w:r>
        <w:rPr>
          <w:spacing w:val="-3"/>
        </w:rPr>
        <w:t xml:space="preserve"> </w:t>
      </w:r>
      <w:r>
        <w:t>локализации</w:t>
      </w:r>
      <w:r>
        <w:rPr>
          <w:spacing w:val="-3"/>
        </w:rPr>
        <w:t xml:space="preserve"> </w:t>
      </w:r>
      <w:r>
        <w:t>процесса в</w:t>
      </w:r>
      <w:r>
        <w:rPr>
          <w:spacing w:val="-4"/>
        </w:rPr>
        <w:t xml:space="preserve"> </w:t>
      </w:r>
      <w:r>
        <w:t>регионах</w:t>
      </w:r>
      <w:r>
        <w:rPr>
          <w:spacing w:val="-7"/>
        </w:rPr>
        <w:t xml:space="preserve"> </w:t>
      </w:r>
      <w:r>
        <w:t>Республики Казахстан за 2022–2025 годы</w:t>
      </w:r>
    </w:p>
    <w:p w14:paraId="0DA92FA2">
      <w:pPr>
        <w:pStyle w:val="7"/>
        <w:spacing w:before="97" w:after="1"/>
        <w:ind w:left="0" w:firstLine="0"/>
        <w:jc w:val="left"/>
        <w:rPr>
          <w:sz w:val="20"/>
        </w:rPr>
      </w:pPr>
    </w:p>
    <w:tbl>
      <w:tblPr>
        <w:tblStyle w:val="5"/>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67"/>
        <w:gridCol w:w="768"/>
        <w:gridCol w:w="739"/>
        <w:gridCol w:w="758"/>
        <w:gridCol w:w="763"/>
        <w:gridCol w:w="796"/>
        <w:gridCol w:w="739"/>
        <w:gridCol w:w="758"/>
        <w:gridCol w:w="758"/>
        <w:gridCol w:w="796"/>
        <w:gridCol w:w="739"/>
        <w:gridCol w:w="758"/>
        <w:gridCol w:w="763"/>
        <w:gridCol w:w="796"/>
        <w:gridCol w:w="738"/>
        <w:gridCol w:w="758"/>
        <w:gridCol w:w="802"/>
      </w:tblGrid>
      <w:tr w14:paraId="6B536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2367" w:type="dxa"/>
            <w:vMerge w:val="restart"/>
          </w:tcPr>
          <w:p w14:paraId="2E951BCA">
            <w:pPr>
              <w:pStyle w:val="11"/>
              <w:spacing w:before="12"/>
              <w:ind w:left="767"/>
              <w:jc w:val="left"/>
              <w:rPr>
                <w:sz w:val="28"/>
              </w:rPr>
            </w:pPr>
            <w:r>
              <w:rPr>
                <w:spacing w:val="-2"/>
                <w:sz w:val="28"/>
              </w:rPr>
              <w:t>Регион</w:t>
            </w:r>
          </w:p>
        </w:tc>
        <w:tc>
          <w:tcPr>
            <w:tcW w:w="3028" w:type="dxa"/>
            <w:gridSpan w:val="4"/>
          </w:tcPr>
          <w:p w14:paraId="2957E83B">
            <w:pPr>
              <w:pStyle w:val="11"/>
              <w:spacing w:before="12"/>
              <w:ind w:left="6"/>
              <w:rPr>
                <w:sz w:val="28"/>
              </w:rPr>
            </w:pPr>
            <w:r>
              <w:rPr>
                <w:spacing w:val="-4"/>
                <w:sz w:val="28"/>
              </w:rPr>
              <w:t>2022</w:t>
            </w:r>
          </w:p>
        </w:tc>
        <w:tc>
          <w:tcPr>
            <w:tcW w:w="3051" w:type="dxa"/>
            <w:gridSpan w:val="4"/>
          </w:tcPr>
          <w:p w14:paraId="2C74DCBA">
            <w:pPr>
              <w:pStyle w:val="11"/>
              <w:spacing w:before="12"/>
              <w:ind w:left="15"/>
              <w:rPr>
                <w:sz w:val="28"/>
              </w:rPr>
            </w:pPr>
            <w:r>
              <w:rPr>
                <w:spacing w:val="-4"/>
                <w:sz w:val="28"/>
              </w:rPr>
              <w:t>2023</w:t>
            </w:r>
          </w:p>
        </w:tc>
        <w:tc>
          <w:tcPr>
            <w:tcW w:w="3056" w:type="dxa"/>
            <w:gridSpan w:val="4"/>
          </w:tcPr>
          <w:p w14:paraId="1A449561">
            <w:pPr>
              <w:pStyle w:val="11"/>
              <w:spacing w:before="12"/>
              <w:ind w:left="15"/>
              <w:rPr>
                <w:sz w:val="28"/>
              </w:rPr>
            </w:pPr>
            <w:r>
              <w:rPr>
                <w:spacing w:val="-4"/>
                <w:sz w:val="28"/>
              </w:rPr>
              <w:t>2024</w:t>
            </w:r>
          </w:p>
        </w:tc>
        <w:tc>
          <w:tcPr>
            <w:tcW w:w="3094" w:type="dxa"/>
            <w:gridSpan w:val="4"/>
          </w:tcPr>
          <w:p w14:paraId="54235A7E">
            <w:pPr>
              <w:pStyle w:val="11"/>
              <w:spacing w:before="12"/>
              <w:ind w:left="27"/>
              <w:rPr>
                <w:sz w:val="28"/>
              </w:rPr>
            </w:pPr>
            <w:r>
              <w:rPr>
                <w:spacing w:val="-4"/>
                <w:sz w:val="28"/>
              </w:rPr>
              <w:t>2025</w:t>
            </w:r>
          </w:p>
        </w:tc>
      </w:tr>
      <w:tr w14:paraId="31BC8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vMerge w:val="continue"/>
          </w:tcPr>
          <w:p w14:paraId="7A7E7341">
            <w:pPr>
              <w:pStyle w:val="11"/>
              <w:spacing w:line="240" w:lineRule="auto"/>
              <w:jc w:val="left"/>
              <w:rPr>
                <w:sz w:val="26"/>
              </w:rPr>
            </w:pPr>
          </w:p>
        </w:tc>
        <w:tc>
          <w:tcPr>
            <w:tcW w:w="768" w:type="dxa"/>
          </w:tcPr>
          <w:p w14:paraId="60188F9B">
            <w:pPr>
              <w:pStyle w:val="11"/>
              <w:spacing w:before="59" w:line="261" w:lineRule="exact"/>
              <w:ind w:right="118"/>
              <w:jc w:val="right"/>
              <w:rPr>
                <w:sz w:val="24"/>
              </w:rPr>
            </w:pPr>
            <w:r>
              <w:rPr>
                <w:spacing w:val="-5"/>
                <w:sz w:val="24"/>
              </w:rPr>
              <w:t>ГПЖ</w:t>
            </w:r>
          </w:p>
        </w:tc>
        <w:tc>
          <w:tcPr>
            <w:tcW w:w="739" w:type="dxa"/>
          </w:tcPr>
          <w:p w14:paraId="294A050D">
            <w:pPr>
              <w:pStyle w:val="11"/>
              <w:spacing w:before="59" w:line="261" w:lineRule="exact"/>
              <w:ind w:right="153"/>
              <w:jc w:val="right"/>
              <w:rPr>
                <w:sz w:val="24"/>
              </w:rPr>
            </w:pPr>
            <w:r>
              <w:rPr>
                <w:spacing w:val="-5"/>
                <w:sz w:val="24"/>
              </w:rPr>
              <w:t>БДС</w:t>
            </w:r>
          </w:p>
        </w:tc>
        <w:tc>
          <w:tcPr>
            <w:tcW w:w="758" w:type="dxa"/>
          </w:tcPr>
          <w:p w14:paraId="17B0921A">
            <w:pPr>
              <w:pStyle w:val="11"/>
              <w:spacing w:before="59" w:line="261" w:lineRule="exact"/>
              <w:ind w:right="140"/>
              <w:jc w:val="right"/>
              <w:rPr>
                <w:sz w:val="24"/>
              </w:rPr>
            </w:pPr>
            <w:r>
              <w:rPr>
                <w:spacing w:val="-5"/>
                <w:sz w:val="24"/>
              </w:rPr>
              <w:t>ТОХ</w:t>
            </w:r>
          </w:p>
        </w:tc>
        <w:tc>
          <w:tcPr>
            <w:tcW w:w="763" w:type="dxa"/>
          </w:tcPr>
          <w:p w14:paraId="6BE1A2C5">
            <w:pPr>
              <w:pStyle w:val="11"/>
              <w:spacing w:before="59" w:line="261" w:lineRule="exact"/>
              <w:ind w:right="143"/>
              <w:jc w:val="right"/>
              <w:rPr>
                <w:sz w:val="24"/>
              </w:rPr>
            </w:pPr>
            <w:r>
              <w:rPr>
                <w:spacing w:val="-5"/>
                <w:sz w:val="24"/>
              </w:rPr>
              <w:t>ДПК</w:t>
            </w:r>
          </w:p>
        </w:tc>
        <w:tc>
          <w:tcPr>
            <w:tcW w:w="796" w:type="dxa"/>
          </w:tcPr>
          <w:p w14:paraId="4A2E49AA">
            <w:pPr>
              <w:pStyle w:val="11"/>
              <w:spacing w:before="59" w:line="261" w:lineRule="exact"/>
              <w:ind w:right="144"/>
              <w:jc w:val="right"/>
              <w:rPr>
                <w:sz w:val="24"/>
              </w:rPr>
            </w:pPr>
            <w:r>
              <w:rPr>
                <w:spacing w:val="-5"/>
                <w:sz w:val="24"/>
              </w:rPr>
              <w:t>ГПЖ</w:t>
            </w:r>
          </w:p>
        </w:tc>
        <w:tc>
          <w:tcPr>
            <w:tcW w:w="739" w:type="dxa"/>
          </w:tcPr>
          <w:p w14:paraId="6CCCE063">
            <w:pPr>
              <w:pStyle w:val="11"/>
              <w:spacing w:before="59" w:line="261" w:lineRule="exact"/>
              <w:ind w:left="112"/>
              <w:jc w:val="left"/>
              <w:rPr>
                <w:sz w:val="24"/>
              </w:rPr>
            </w:pPr>
            <w:r>
              <w:rPr>
                <w:spacing w:val="-5"/>
                <w:sz w:val="24"/>
              </w:rPr>
              <w:t>БДС</w:t>
            </w:r>
          </w:p>
        </w:tc>
        <w:tc>
          <w:tcPr>
            <w:tcW w:w="758" w:type="dxa"/>
          </w:tcPr>
          <w:p w14:paraId="0AC929CF">
            <w:pPr>
              <w:pStyle w:val="11"/>
              <w:spacing w:before="59" w:line="261" w:lineRule="exact"/>
              <w:ind w:left="113"/>
              <w:jc w:val="left"/>
              <w:rPr>
                <w:sz w:val="24"/>
              </w:rPr>
            </w:pPr>
            <w:r>
              <w:rPr>
                <w:spacing w:val="-5"/>
                <w:sz w:val="24"/>
              </w:rPr>
              <w:t>ТОХ</w:t>
            </w:r>
          </w:p>
        </w:tc>
        <w:tc>
          <w:tcPr>
            <w:tcW w:w="758" w:type="dxa"/>
          </w:tcPr>
          <w:p w14:paraId="625596C8">
            <w:pPr>
              <w:pStyle w:val="11"/>
              <w:spacing w:before="59" w:line="261" w:lineRule="exact"/>
              <w:ind w:left="108"/>
              <w:jc w:val="left"/>
              <w:rPr>
                <w:sz w:val="24"/>
              </w:rPr>
            </w:pPr>
            <w:r>
              <w:rPr>
                <w:spacing w:val="-5"/>
                <w:sz w:val="24"/>
              </w:rPr>
              <w:t>ДПК</w:t>
            </w:r>
          </w:p>
        </w:tc>
        <w:tc>
          <w:tcPr>
            <w:tcW w:w="796" w:type="dxa"/>
          </w:tcPr>
          <w:p w14:paraId="0886536C">
            <w:pPr>
              <w:pStyle w:val="11"/>
              <w:spacing w:before="59" w:line="261" w:lineRule="exact"/>
              <w:ind w:right="142"/>
              <w:jc w:val="right"/>
              <w:rPr>
                <w:sz w:val="24"/>
              </w:rPr>
            </w:pPr>
            <w:r>
              <w:rPr>
                <w:spacing w:val="-5"/>
                <w:sz w:val="24"/>
              </w:rPr>
              <w:t>ГПЖ</w:t>
            </w:r>
          </w:p>
        </w:tc>
        <w:tc>
          <w:tcPr>
            <w:tcW w:w="739" w:type="dxa"/>
          </w:tcPr>
          <w:p w14:paraId="243B04C4">
            <w:pPr>
              <w:pStyle w:val="11"/>
              <w:spacing w:before="59" w:line="261" w:lineRule="exact"/>
              <w:ind w:left="115"/>
              <w:jc w:val="left"/>
              <w:rPr>
                <w:sz w:val="24"/>
              </w:rPr>
            </w:pPr>
            <w:r>
              <w:rPr>
                <w:spacing w:val="-5"/>
                <w:sz w:val="24"/>
              </w:rPr>
              <w:t>БДС</w:t>
            </w:r>
          </w:p>
        </w:tc>
        <w:tc>
          <w:tcPr>
            <w:tcW w:w="758" w:type="dxa"/>
          </w:tcPr>
          <w:p w14:paraId="0732A554">
            <w:pPr>
              <w:pStyle w:val="11"/>
              <w:spacing w:before="59" w:line="261" w:lineRule="exact"/>
              <w:ind w:right="134"/>
              <w:jc w:val="right"/>
              <w:rPr>
                <w:sz w:val="24"/>
              </w:rPr>
            </w:pPr>
            <w:r>
              <w:rPr>
                <w:spacing w:val="-5"/>
                <w:sz w:val="24"/>
              </w:rPr>
              <w:t>ТОХ</w:t>
            </w:r>
          </w:p>
        </w:tc>
        <w:tc>
          <w:tcPr>
            <w:tcW w:w="763" w:type="dxa"/>
          </w:tcPr>
          <w:p w14:paraId="3CFD3DFD">
            <w:pPr>
              <w:pStyle w:val="11"/>
              <w:spacing w:before="59" w:line="261" w:lineRule="exact"/>
              <w:ind w:right="138"/>
              <w:jc w:val="right"/>
              <w:rPr>
                <w:sz w:val="24"/>
              </w:rPr>
            </w:pPr>
            <w:r>
              <w:rPr>
                <w:spacing w:val="-5"/>
                <w:sz w:val="24"/>
              </w:rPr>
              <w:t>ДПК</w:t>
            </w:r>
          </w:p>
        </w:tc>
        <w:tc>
          <w:tcPr>
            <w:tcW w:w="796" w:type="dxa"/>
          </w:tcPr>
          <w:p w14:paraId="5A3FEEC5">
            <w:pPr>
              <w:pStyle w:val="11"/>
              <w:spacing w:before="59" w:line="261" w:lineRule="exact"/>
              <w:ind w:right="139"/>
              <w:jc w:val="right"/>
              <w:rPr>
                <w:sz w:val="24"/>
              </w:rPr>
            </w:pPr>
            <w:r>
              <w:rPr>
                <w:spacing w:val="-5"/>
                <w:sz w:val="24"/>
              </w:rPr>
              <w:t>ГПЖ</w:t>
            </w:r>
          </w:p>
        </w:tc>
        <w:tc>
          <w:tcPr>
            <w:tcW w:w="738" w:type="dxa"/>
          </w:tcPr>
          <w:p w14:paraId="61B7EFEE">
            <w:pPr>
              <w:pStyle w:val="11"/>
              <w:spacing w:before="59" w:line="261" w:lineRule="exact"/>
              <w:ind w:right="150"/>
              <w:jc w:val="right"/>
              <w:rPr>
                <w:sz w:val="24"/>
              </w:rPr>
            </w:pPr>
            <w:r>
              <w:rPr>
                <w:spacing w:val="-5"/>
                <w:sz w:val="24"/>
              </w:rPr>
              <w:t>БДС</w:t>
            </w:r>
          </w:p>
        </w:tc>
        <w:tc>
          <w:tcPr>
            <w:tcW w:w="758" w:type="dxa"/>
          </w:tcPr>
          <w:p w14:paraId="687C5AAB">
            <w:pPr>
              <w:pStyle w:val="11"/>
              <w:spacing w:before="59" w:line="261" w:lineRule="exact"/>
              <w:ind w:right="135"/>
              <w:jc w:val="right"/>
              <w:rPr>
                <w:sz w:val="24"/>
              </w:rPr>
            </w:pPr>
            <w:r>
              <w:rPr>
                <w:spacing w:val="-5"/>
                <w:sz w:val="24"/>
              </w:rPr>
              <w:t>ТОХ</w:t>
            </w:r>
          </w:p>
        </w:tc>
        <w:tc>
          <w:tcPr>
            <w:tcW w:w="802" w:type="dxa"/>
          </w:tcPr>
          <w:p w14:paraId="05AF50D4">
            <w:pPr>
              <w:pStyle w:val="11"/>
              <w:spacing w:before="59" w:line="261" w:lineRule="exact"/>
              <w:ind w:right="134"/>
              <w:jc w:val="right"/>
              <w:rPr>
                <w:sz w:val="24"/>
              </w:rPr>
            </w:pPr>
            <w:r>
              <w:rPr>
                <w:spacing w:val="-5"/>
                <w:sz w:val="24"/>
              </w:rPr>
              <w:t>ДПК</w:t>
            </w:r>
          </w:p>
        </w:tc>
      </w:tr>
      <w:tr w14:paraId="2C795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29B0313B">
            <w:pPr>
              <w:pStyle w:val="11"/>
              <w:spacing w:before="12"/>
              <w:ind w:left="110"/>
              <w:jc w:val="left"/>
              <w:rPr>
                <w:sz w:val="28"/>
              </w:rPr>
            </w:pPr>
            <w:r>
              <w:rPr>
                <w:spacing w:val="-2"/>
                <w:sz w:val="28"/>
              </w:rPr>
              <w:t>Абайская</w:t>
            </w:r>
          </w:p>
        </w:tc>
        <w:tc>
          <w:tcPr>
            <w:tcW w:w="768" w:type="dxa"/>
          </w:tcPr>
          <w:p w14:paraId="675D6B2A">
            <w:pPr>
              <w:pStyle w:val="11"/>
              <w:spacing w:before="12"/>
              <w:ind w:right="93"/>
              <w:jc w:val="right"/>
              <w:rPr>
                <w:sz w:val="28"/>
              </w:rPr>
            </w:pPr>
            <w:r>
              <w:rPr>
                <w:spacing w:val="-5"/>
                <w:sz w:val="28"/>
              </w:rPr>
              <w:t>42</w:t>
            </w:r>
          </w:p>
        </w:tc>
        <w:tc>
          <w:tcPr>
            <w:tcW w:w="739" w:type="dxa"/>
          </w:tcPr>
          <w:p w14:paraId="05E51615">
            <w:pPr>
              <w:pStyle w:val="11"/>
              <w:spacing w:before="12"/>
              <w:ind w:right="93"/>
              <w:jc w:val="right"/>
              <w:rPr>
                <w:sz w:val="28"/>
              </w:rPr>
            </w:pPr>
            <w:r>
              <w:rPr>
                <w:spacing w:val="-5"/>
                <w:sz w:val="28"/>
              </w:rPr>
              <w:t>28</w:t>
            </w:r>
          </w:p>
        </w:tc>
        <w:tc>
          <w:tcPr>
            <w:tcW w:w="758" w:type="dxa"/>
          </w:tcPr>
          <w:p w14:paraId="408CE5B7">
            <w:pPr>
              <w:pStyle w:val="11"/>
              <w:spacing w:before="12"/>
              <w:ind w:right="92"/>
              <w:jc w:val="right"/>
              <w:rPr>
                <w:sz w:val="28"/>
              </w:rPr>
            </w:pPr>
            <w:r>
              <w:rPr>
                <w:spacing w:val="-10"/>
                <w:sz w:val="28"/>
              </w:rPr>
              <w:t>8</w:t>
            </w:r>
          </w:p>
        </w:tc>
        <w:tc>
          <w:tcPr>
            <w:tcW w:w="763" w:type="dxa"/>
          </w:tcPr>
          <w:p w14:paraId="78557F42">
            <w:pPr>
              <w:pStyle w:val="11"/>
              <w:spacing w:before="12"/>
              <w:ind w:right="92"/>
              <w:jc w:val="right"/>
              <w:rPr>
                <w:sz w:val="28"/>
              </w:rPr>
            </w:pPr>
            <w:r>
              <w:rPr>
                <w:spacing w:val="-10"/>
                <w:sz w:val="28"/>
              </w:rPr>
              <w:t>3</w:t>
            </w:r>
          </w:p>
        </w:tc>
        <w:tc>
          <w:tcPr>
            <w:tcW w:w="796" w:type="dxa"/>
          </w:tcPr>
          <w:p w14:paraId="030008C2">
            <w:pPr>
              <w:pStyle w:val="11"/>
              <w:spacing w:before="12"/>
              <w:ind w:right="91"/>
              <w:jc w:val="right"/>
              <w:rPr>
                <w:sz w:val="28"/>
              </w:rPr>
            </w:pPr>
            <w:r>
              <w:rPr>
                <w:spacing w:val="-5"/>
                <w:sz w:val="28"/>
              </w:rPr>
              <w:t>37</w:t>
            </w:r>
          </w:p>
        </w:tc>
        <w:tc>
          <w:tcPr>
            <w:tcW w:w="739" w:type="dxa"/>
          </w:tcPr>
          <w:p w14:paraId="335C9EAB">
            <w:pPr>
              <w:pStyle w:val="11"/>
              <w:spacing w:before="12"/>
              <w:ind w:right="90"/>
              <w:jc w:val="right"/>
              <w:rPr>
                <w:sz w:val="28"/>
              </w:rPr>
            </w:pPr>
            <w:r>
              <w:rPr>
                <w:spacing w:val="-5"/>
                <w:sz w:val="28"/>
              </w:rPr>
              <w:t>32</w:t>
            </w:r>
          </w:p>
        </w:tc>
        <w:tc>
          <w:tcPr>
            <w:tcW w:w="758" w:type="dxa"/>
          </w:tcPr>
          <w:p w14:paraId="033FD5B4">
            <w:pPr>
              <w:pStyle w:val="11"/>
              <w:spacing w:before="12"/>
              <w:ind w:right="90"/>
              <w:jc w:val="right"/>
              <w:rPr>
                <w:sz w:val="28"/>
              </w:rPr>
            </w:pPr>
            <w:r>
              <w:rPr>
                <w:spacing w:val="-5"/>
                <w:sz w:val="28"/>
              </w:rPr>
              <w:t>16</w:t>
            </w:r>
          </w:p>
        </w:tc>
        <w:tc>
          <w:tcPr>
            <w:tcW w:w="758" w:type="dxa"/>
          </w:tcPr>
          <w:p w14:paraId="42F5FAC3">
            <w:pPr>
              <w:pStyle w:val="11"/>
              <w:spacing w:before="12"/>
              <w:ind w:right="89"/>
              <w:jc w:val="right"/>
              <w:rPr>
                <w:sz w:val="28"/>
              </w:rPr>
            </w:pPr>
            <w:r>
              <w:rPr>
                <w:spacing w:val="-10"/>
                <w:sz w:val="28"/>
              </w:rPr>
              <w:t>7</w:t>
            </w:r>
          </w:p>
        </w:tc>
        <w:tc>
          <w:tcPr>
            <w:tcW w:w="796" w:type="dxa"/>
          </w:tcPr>
          <w:p w14:paraId="71A1D04C">
            <w:pPr>
              <w:pStyle w:val="11"/>
              <w:spacing w:before="12"/>
              <w:ind w:right="88"/>
              <w:jc w:val="right"/>
              <w:rPr>
                <w:sz w:val="28"/>
              </w:rPr>
            </w:pPr>
            <w:r>
              <w:rPr>
                <w:spacing w:val="-5"/>
                <w:sz w:val="28"/>
              </w:rPr>
              <w:t>45</w:t>
            </w:r>
          </w:p>
        </w:tc>
        <w:tc>
          <w:tcPr>
            <w:tcW w:w="739" w:type="dxa"/>
          </w:tcPr>
          <w:p w14:paraId="67C0F30F">
            <w:pPr>
              <w:pStyle w:val="11"/>
              <w:spacing w:before="12"/>
              <w:ind w:right="88"/>
              <w:jc w:val="right"/>
              <w:rPr>
                <w:sz w:val="28"/>
              </w:rPr>
            </w:pPr>
            <w:r>
              <w:rPr>
                <w:spacing w:val="-5"/>
                <w:sz w:val="28"/>
              </w:rPr>
              <w:t>26</w:t>
            </w:r>
          </w:p>
        </w:tc>
        <w:tc>
          <w:tcPr>
            <w:tcW w:w="758" w:type="dxa"/>
          </w:tcPr>
          <w:p w14:paraId="7039859A">
            <w:pPr>
              <w:pStyle w:val="11"/>
              <w:spacing w:before="12"/>
              <w:ind w:right="87"/>
              <w:jc w:val="right"/>
              <w:rPr>
                <w:sz w:val="28"/>
              </w:rPr>
            </w:pPr>
            <w:r>
              <w:rPr>
                <w:spacing w:val="-5"/>
                <w:sz w:val="28"/>
              </w:rPr>
              <w:t>12</w:t>
            </w:r>
          </w:p>
        </w:tc>
        <w:tc>
          <w:tcPr>
            <w:tcW w:w="763" w:type="dxa"/>
          </w:tcPr>
          <w:p w14:paraId="69C74826">
            <w:pPr>
              <w:pStyle w:val="11"/>
              <w:spacing w:before="12"/>
              <w:ind w:right="87"/>
              <w:jc w:val="right"/>
              <w:rPr>
                <w:sz w:val="28"/>
              </w:rPr>
            </w:pPr>
            <w:r>
              <w:rPr>
                <w:spacing w:val="-10"/>
                <w:sz w:val="28"/>
              </w:rPr>
              <w:t>6</w:t>
            </w:r>
          </w:p>
        </w:tc>
        <w:tc>
          <w:tcPr>
            <w:tcW w:w="796" w:type="dxa"/>
          </w:tcPr>
          <w:p w14:paraId="1D27C687">
            <w:pPr>
              <w:pStyle w:val="11"/>
              <w:spacing w:before="12"/>
              <w:ind w:right="86"/>
              <w:jc w:val="right"/>
              <w:rPr>
                <w:sz w:val="28"/>
              </w:rPr>
            </w:pPr>
            <w:r>
              <w:rPr>
                <w:spacing w:val="-5"/>
                <w:sz w:val="28"/>
              </w:rPr>
              <w:t>36</w:t>
            </w:r>
          </w:p>
        </w:tc>
        <w:tc>
          <w:tcPr>
            <w:tcW w:w="738" w:type="dxa"/>
          </w:tcPr>
          <w:p w14:paraId="19F7F207">
            <w:pPr>
              <w:pStyle w:val="11"/>
              <w:spacing w:before="12"/>
              <w:ind w:right="89"/>
              <w:jc w:val="right"/>
              <w:rPr>
                <w:sz w:val="28"/>
              </w:rPr>
            </w:pPr>
            <w:r>
              <w:rPr>
                <w:spacing w:val="-5"/>
                <w:sz w:val="28"/>
              </w:rPr>
              <w:t>20</w:t>
            </w:r>
          </w:p>
        </w:tc>
        <w:tc>
          <w:tcPr>
            <w:tcW w:w="758" w:type="dxa"/>
          </w:tcPr>
          <w:p w14:paraId="580CA6DF">
            <w:pPr>
              <w:pStyle w:val="11"/>
              <w:spacing w:before="12"/>
              <w:ind w:right="88"/>
              <w:jc w:val="right"/>
              <w:rPr>
                <w:sz w:val="28"/>
              </w:rPr>
            </w:pPr>
            <w:r>
              <w:rPr>
                <w:spacing w:val="-10"/>
                <w:sz w:val="28"/>
              </w:rPr>
              <w:t>7</w:t>
            </w:r>
          </w:p>
        </w:tc>
        <w:tc>
          <w:tcPr>
            <w:tcW w:w="802" w:type="dxa"/>
          </w:tcPr>
          <w:p w14:paraId="786A98EB">
            <w:pPr>
              <w:pStyle w:val="11"/>
              <w:spacing w:before="12"/>
              <w:ind w:right="82"/>
              <w:jc w:val="right"/>
              <w:rPr>
                <w:sz w:val="28"/>
              </w:rPr>
            </w:pPr>
            <w:r>
              <w:rPr>
                <w:spacing w:val="-10"/>
                <w:sz w:val="28"/>
              </w:rPr>
              <w:t>3</w:t>
            </w:r>
          </w:p>
        </w:tc>
      </w:tr>
      <w:tr w14:paraId="094D9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46DA4D42">
            <w:pPr>
              <w:pStyle w:val="11"/>
              <w:spacing w:before="12"/>
              <w:ind w:left="110"/>
              <w:jc w:val="left"/>
              <w:rPr>
                <w:sz w:val="28"/>
              </w:rPr>
            </w:pPr>
            <w:r>
              <w:rPr>
                <w:spacing w:val="-2"/>
                <w:sz w:val="28"/>
              </w:rPr>
              <w:t>Акмолинская</w:t>
            </w:r>
          </w:p>
        </w:tc>
        <w:tc>
          <w:tcPr>
            <w:tcW w:w="768" w:type="dxa"/>
          </w:tcPr>
          <w:p w14:paraId="3FD2AA27">
            <w:pPr>
              <w:pStyle w:val="11"/>
              <w:spacing w:before="12"/>
              <w:ind w:right="93"/>
              <w:jc w:val="right"/>
              <w:rPr>
                <w:sz w:val="28"/>
              </w:rPr>
            </w:pPr>
            <w:r>
              <w:rPr>
                <w:spacing w:val="-5"/>
                <w:sz w:val="28"/>
              </w:rPr>
              <w:t>47</w:t>
            </w:r>
          </w:p>
        </w:tc>
        <w:tc>
          <w:tcPr>
            <w:tcW w:w="739" w:type="dxa"/>
          </w:tcPr>
          <w:p w14:paraId="0FD67775">
            <w:pPr>
              <w:pStyle w:val="11"/>
              <w:spacing w:before="12"/>
              <w:ind w:right="93"/>
              <w:jc w:val="right"/>
              <w:rPr>
                <w:sz w:val="28"/>
              </w:rPr>
            </w:pPr>
            <w:r>
              <w:rPr>
                <w:spacing w:val="-5"/>
                <w:sz w:val="28"/>
              </w:rPr>
              <w:t>19</w:t>
            </w:r>
          </w:p>
        </w:tc>
        <w:tc>
          <w:tcPr>
            <w:tcW w:w="758" w:type="dxa"/>
          </w:tcPr>
          <w:p w14:paraId="31B17C73">
            <w:pPr>
              <w:pStyle w:val="11"/>
              <w:spacing w:before="12"/>
              <w:ind w:right="92"/>
              <w:jc w:val="right"/>
              <w:rPr>
                <w:sz w:val="28"/>
              </w:rPr>
            </w:pPr>
            <w:r>
              <w:rPr>
                <w:spacing w:val="-5"/>
                <w:sz w:val="28"/>
              </w:rPr>
              <w:t>14</w:t>
            </w:r>
          </w:p>
        </w:tc>
        <w:tc>
          <w:tcPr>
            <w:tcW w:w="763" w:type="dxa"/>
          </w:tcPr>
          <w:p w14:paraId="0100236B">
            <w:pPr>
              <w:pStyle w:val="11"/>
              <w:spacing w:before="12"/>
              <w:ind w:right="92"/>
              <w:jc w:val="right"/>
              <w:rPr>
                <w:sz w:val="28"/>
              </w:rPr>
            </w:pPr>
            <w:r>
              <w:rPr>
                <w:spacing w:val="-10"/>
                <w:sz w:val="28"/>
              </w:rPr>
              <w:t>4</w:t>
            </w:r>
          </w:p>
        </w:tc>
        <w:tc>
          <w:tcPr>
            <w:tcW w:w="796" w:type="dxa"/>
          </w:tcPr>
          <w:p w14:paraId="7D5B78F7">
            <w:pPr>
              <w:pStyle w:val="11"/>
              <w:spacing w:before="12"/>
              <w:ind w:right="91"/>
              <w:jc w:val="right"/>
              <w:rPr>
                <w:sz w:val="28"/>
              </w:rPr>
            </w:pPr>
            <w:r>
              <w:rPr>
                <w:spacing w:val="-5"/>
                <w:sz w:val="28"/>
              </w:rPr>
              <w:t>34</w:t>
            </w:r>
          </w:p>
        </w:tc>
        <w:tc>
          <w:tcPr>
            <w:tcW w:w="739" w:type="dxa"/>
          </w:tcPr>
          <w:p w14:paraId="393C854E">
            <w:pPr>
              <w:pStyle w:val="11"/>
              <w:spacing w:before="12"/>
              <w:ind w:right="90"/>
              <w:jc w:val="right"/>
              <w:rPr>
                <w:sz w:val="28"/>
              </w:rPr>
            </w:pPr>
            <w:r>
              <w:rPr>
                <w:spacing w:val="-5"/>
                <w:sz w:val="28"/>
              </w:rPr>
              <w:t>18</w:t>
            </w:r>
          </w:p>
        </w:tc>
        <w:tc>
          <w:tcPr>
            <w:tcW w:w="758" w:type="dxa"/>
          </w:tcPr>
          <w:p w14:paraId="61D2E42A">
            <w:pPr>
              <w:pStyle w:val="11"/>
              <w:spacing w:before="12"/>
              <w:ind w:right="90"/>
              <w:jc w:val="right"/>
              <w:rPr>
                <w:sz w:val="28"/>
              </w:rPr>
            </w:pPr>
            <w:r>
              <w:rPr>
                <w:spacing w:val="-5"/>
                <w:sz w:val="28"/>
              </w:rPr>
              <w:t>12</w:t>
            </w:r>
          </w:p>
        </w:tc>
        <w:tc>
          <w:tcPr>
            <w:tcW w:w="758" w:type="dxa"/>
          </w:tcPr>
          <w:p w14:paraId="72880F7F">
            <w:pPr>
              <w:pStyle w:val="11"/>
              <w:spacing w:before="12"/>
              <w:ind w:right="89"/>
              <w:jc w:val="right"/>
              <w:rPr>
                <w:sz w:val="28"/>
              </w:rPr>
            </w:pPr>
            <w:r>
              <w:rPr>
                <w:spacing w:val="-10"/>
                <w:sz w:val="28"/>
              </w:rPr>
              <w:t>5</w:t>
            </w:r>
          </w:p>
        </w:tc>
        <w:tc>
          <w:tcPr>
            <w:tcW w:w="796" w:type="dxa"/>
          </w:tcPr>
          <w:p w14:paraId="68C77F15">
            <w:pPr>
              <w:pStyle w:val="11"/>
              <w:spacing w:before="12"/>
              <w:ind w:right="88"/>
              <w:jc w:val="right"/>
              <w:rPr>
                <w:sz w:val="28"/>
              </w:rPr>
            </w:pPr>
            <w:r>
              <w:rPr>
                <w:spacing w:val="-5"/>
                <w:sz w:val="28"/>
              </w:rPr>
              <w:t>53</w:t>
            </w:r>
          </w:p>
        </w:tc>
        <w:tc>
          <w:tcPr>
            <w:tcW w:w="739" w:type="dxa"/>
          </w:tcPr>
          <w:p w14:paraId="486343E3">
            <w:pPr>
              <w:pStyle w:val="11"/>
              <w:spacing w:before="12"/>
              <w:ind w:right="88"/>
              <w:jc w:val="right"/>
              <w:rPr>
                <w:sz w:val="28"/>
              </w:rPr>
            </w:pPr>
            <w:r>
              <w:rPr>
                <w:spacing w:val="-5"/>
                <w:sz w:val="28"/>
              </w:rPr>
              <w:t>23</w:t>
            </w:r>
          </w:p>
        </w:tc>
        <w:tc>
          <w:tcPr>
            <w:tcW w:w="758" w:type="dxa"/>
          </w:tcPr>
          <w:p w14:paraId="23302D97">
            <w:pPr>
              <w:pStyle w:val="11"/>
              <w:spacing w:before="12"/>
              <w:ind w:right="87"/>
              <w:jc w:val="right"/>
              <w:rPr>
                <w:sz w:val="28"/>
              </w:rPr>
            </w:pPr>
            <w:r>
              <w:rPr>
                <w:spacing w:val="-5"/>
                <w:sz w:val="28"/>
              </w:rPr>
              <w:t>11</w:t>
            </w:r>
          </w:p>
        </w:tc>
        <w:tc>
          <w:tcPr>
            <w:tcW w:w="763" w:type="dxa"/>
          </w:tcPr>
          <w:p w14:paraId="0A51B055">
            <w:pPr>
              <w:pStyle w:val="11"/>
              <w:spacing w:before="12"/>
              <w:ind w:right="87"/>
              <w:jc w:val="right"/>
              <w:rPr>
                <w:sz w:val="28"/>
              </w:rPr>
            </w:pPr>
            <w:r>
              <w:rPr>
                <w:spacing w:val="-10"/>
                <w:sz w:val="28"/>
              </w:rPr>
              <w:t>7</w:t>
            </w:r>
          </w:p>
        </w:tc>
        <w:tc>
          <w:tcPr>
            <w:tcW w:w="796" w:type="dxa"/>
          </w:tcPr>
          <w:p w14:paraId="7AE66260">
            <w:pPr>
              <w:pStyle w:val="11"/>
              <w:spacing w:before="12"/>
              <w:ind w:right="86"/>
              <w:jc w:val="right"/>
              <w:rPr>
                <w:sz w:val="28"/>
              </w:rPr>
            </w:pPr>
            <w:r>
              <w:rPr>
                <w:spacing w:val="-5"/>
                <w:sz w:val="28"/>
              </w:rPr>
              <w:t>18</w:t>
            </w:r>
          </w:p>
        </w:tc>
        <w:tc>
          <w:tcPr>
            <w:tcW w:w="738" w:type="dxa"/>
          </w:tcPr>
          <w:p w14:paraId="7358F13C">
            <w:pPr>
              <w:pStyle w:val="11"/>
              <w:spacing w:before="12"/>
              <w:ind w:right="89"/>
              <w:jc w:val="right"/>
              <w:rPr>
                <w:sz w:val="28"/>
              </w:rPr>
            </w:pPr>
            <w:r>
              <w:rPr>
                <w:spacing w:val="-5"/>
                <w:sz w:val="28"/>
              </w:rPr>
              <w:t>15</w:t>
            </w:r>
          </w:p>
        </w:tc>
        <w:tc>
          <w:tcPr>
            <w:tcW w:w="758" w:type="dxa"/>
          </w:tcPr>
          <w:p w14:paraId="362B8E72">
            <w:pPr>
              <w:pStyle w:val="11"/>
              <w:spacing w:before="12"/>
              <w:ind w:right="88"/>
              <w:jc w:val="right"/>
              <w:rPr>
                <w:sz w:val="28"/>
              </w:rPr>
            </w:pPr>
            <w:r>
              <w:rPr>
                <w:spacing w:val="-5"/>
                <w:sz w:val="28"/>
              </w:rPr>
              <w:t>10</w:t>
            </w:r>
          </w:p>
        </w:tc>
        <w:tc>
          <w:tcPr>
            <w:tcW w:w="802" w:type="dxa"/>
          </w:tcPr>
          <w:p w14:paraId="40048ACC">
            <w:pPr>
              <w:pStyle w:val="11"/>
              <w:spacing w:before="12"/>
              <w:ind w:right="82"/>
              <w:jc w:val="right"/>
              <w:rPr>
                <w:sz w:val="28"/>
              </w:rPr>
            </w:pPr>
            <w:r>
              <w:rPr>
                <w:spacing w:val="-10"/>
                <w:sz w:val="28"/>
              </w:rPr>
              <w:t>1</w:t>
            </w:r>
          </w:p>
        </w:tc>
      </w:tr>
      <w:tr w14:paraId="602D0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009BC5D2">
            <w:pPr>
              <w:pStyle w:val="11"/>
              <w:spacing w:before="12"/>
              <w:ind w:left="110"/>
              <w:jc w:val="left"/>
              <w:rPr>
                <w:sz w:val="28"/>
              </w:rPr>
            </w:pPr>
            <w:r>
              <w:rPr>
                <w:spacing w:val="-2"/>
                <w:sz w:val="28"/>
              </w:rPr>
              <w:t>Актюбинская</w:t>
            </w:r>
          </w:p>
        </w:tc>
        <w:tc>
          <w:tcPr>
            <w:tcW w:w="768" w:type="dxa"/>
          </w:tcPr>
          <w:p w14:paraId="7300CCDF">
            <w:pPr>
              <w:pStyle w:val="11"/>
              <w:spacing w:before="12"/>
              <w:ind w:right="93"/>
              <w:jc w:val="right"/>
              <w:rPr>
                <w:sz w:val="28"/>
              </w:rPr>
            </w:pPr>
            <w:r>
              <w:rPr>
                <w:spacing w:val="-5"/>
                <w:sz w:val="28"/>
              </w:rPr>
              <w:t>98</w:t>
            </w:r>
          </w:p>
        </w:tc>
        <w:tc>
          <w:tcPr>
            <w:tcW w:w="739" w:type="dxa"/>
          </w:tcPr>
          <w:p w14:paraId="00C08113">
            <w:pPr>
              <w:pStyle w:val="11"/>
              <w:spacing w:before="12"/>
              <w:ind w:right="93"/>
              <w:jc w:val="right"/>
              <w:rPr>
                <w:sz w:val="28"/>
              </w:rPr>
            </w:pPr>
            <w:r>
              <w:rPr>
                <w:spacing w:val="-5"/>
                <w:sz w:val="28"/>
              </w:rPr>
              <w:t>46</w:t>
            </w:r>
          </w:p>
        </w:tc>
        <w:tc>
          <w:tcPr>
            <w:tcW w:w="758" w:type="dxa"/>
          </w:tcPr>
          <w:p w14:paraId="742470DE">
            <w:pPr>
              <w:pStyle w:val="11"/>
              <w:spacing w:before="12"/>
              <w:ind w:right="92"/>
              <w:jc w:val="right"/>
              <w:rPr>
                <w:sz w:val="28"/>
              </w:rPr>
            </w:pPr>
            <w:r>
              <w:rPr>
                <w:spacing w:val="-5"/>
                <w:sz w:val="28"/>
              </w:rPr>
              <w:t>15</w:t>
            </w:r>
          </w:p>
        </w:tc>
        <w:tc>
          <w:tcPr>
            <w:tcW w:w="763" w:type="dxa"/>
          </w:tcPr>
          <w:p w14:paraId="350AF2FB">
            <w:pPr>
              <w:pStyle w:val="11"/>
              <w:spacing w:before="12"/>
              <w:ind w:right="92"/>
              <w:jc w:val="right"/>
              <w:rPr>
                <w:sz w:val="28"/>
              </w:rPr>
            </w:pPr>
            <w:r>
              <w:rPr>
                <w:spacing w:val="-5"/>
                <w:sz w:val="28"/>
              </w:rPr>
              <w:t>10</w:t>
            </w:r>
          </w:p>
        </w:tc>
        <w:tc>
          <w:tcPr>
            <w:tcW w:w="796" w:type="dxa"/>
          </w:tcPr>
          <w:p w14:paraId="00184FA5">
            <w:pPr>
              <w:pStyle w:val="11"/>
              <w:spacing w:before="12"/>
              <w:ind w:right="91"/>
              <w:jc w:val="right"/>
              <w:rPr>
                <w:sz w:val="28"/>
              </w:rPr>
            </w:pPr>
            <w:r>
              <w:rPr>
                <w:spacing w:val="-5"/>
                <w:sz w:val="28"/>
              </w:rPr>
              <w:t>85</w:t>
            </w:r>
          </w:p>
        </w:tc>
        <w:tc>
          <w:tcPr>
            <w:tcW w:w="739" w:type="dxa"/>
          </w:tcPr>
          <w:p w14:paraId="3FB412DB">
            <w:pPr>
              <w:pStyle w:val="11"/>
              <w:spacing w:before="12"/>
              <w:ind w:right="90"/>
              <w:jc w:val="right"/>
              <w:rPr>
                <w:sz w:val="28"/>
              </w:rPr>
            </w:pPr>
            <w:r>
              <w:rPr>
                <w:spacing w:val="-5"/>
                <w:sz w:val="28"/>
              </w:rPr>
              <w:t>34</w:t>
            </w:r>
          </w:p>
        </w:tc>
        <w:tc>
          <w:tcPr>
            <w:tcW w:w="758" w:type="dxa"/>
          </w:tcPr>
          <w:p w14:paraId="7A4431F3">
            <w:pPr>
              <w:pStyle w:val="11"/>
              <w:spacing w:before="12"/>
              <w:ind w:right="90"/>
              <w:jc w:val="right"/>
              <w:rPr>
                <w:sz w:val="28"/>
              </w:rPr>
            </w:pPr>
            <w:r>
              <w:rPr>
                <w:spacing w:val="-5"/>
                <w:sz w:val="28"/>
              </w:rPr>
              <w:t>17</w:t>
            </w:r>
          </w:p>
        </w:tc>
        <w:tc>
          <w:tcPr>
            <w:tcW w:w="758" w:type="dxa"/>
          </w:tcPr>
          <w:p w14:paraId="253D2F50">
            <w:pPr>
              <w:pStyle w:val="11"/>
              <w:spacing w:before="12"/>
              <w:ind w:right="89"/>
              <w:jc w:val="right"/>
              <w:rPr>
                <w:sz w:val="28"/>
              </w:rPr>
            </w:pPr>
            <w:r>
              <w:rPr>
                <w:spacing w:val="-10"/>
                <w:sz w:val="28"/>
              </w:rPr>
              <w:t>4</w:t>
            </w:r>
          </w:p>
        </w:tc>
        <w:tc>
          <w:tcPr>
            <w:tcW w:w="796" w:type="dxa"/>
          </w:tcPr>
          <w:p w14:paraId="374CE99A">
            <w:pPr>
              <w:pStyle w:val="11"/>
              <w:spacing w:before="12"/>
              <w:ind w:right="88"/>
              <w:jc w:val="right"/>
              <w:rPr>
                <w:sz w:val="28"/>
              </w:rPr>
            </w:pPr>
            <w:r>
              <w:rPr>
                <w:spacing w:val="-5"/>
                <w:sz w:val="28"/>
              </w:rPr>
              <w:t>76</w:t>
            </w:r>
          </w:p>
        </w:tc>
        <w:tc>
          <w:tcPr>
            <w:tcW w:w="739" w:type="dxa"/>
          </w:tcPr>
          <w:p w14:paraId="1CAA951C">
            <w:pPr>
              <w:pStyle w:val="11"/>
              <w:spacing w:before="12"/>
              <w:ind w:right="88"/>
              <w:jc w:val="right"/>
              <w:rPr>
                <w:sz w:val="28"/>
              </w:rPr>
            </w:pPr>
            <w:r>
              <w:rPr>
                <w:spacing w:val="-5"/>
                <w:sz w:val="28"/>
              </w:rPr>
              <w:t>21</w:t>
            </w:r>
          </w:p>
        </w:tc>
        <w:tc>
          <w:tcPr>
            <w:tcW w:w="758" w:type="dxa"/>
          </w:tcPr>
          <w:p w14:paraId="572716AE">
            <w:pPr>
              <w:pStyle w:val="11"/>
              <w:spacing w:before="12"/>
              <w:ind w:right="87"/>
              <w:jc w:val="right"/>
              <w:rPr>
                <w:sz w:val="28"/>
              </w:rPr>
            </w:pPr>
            <w:r>
              <w:rPr>
                <w:spacing w:val="-5"/>
                <w:sz w:val="28"/>
              </w:rPr>
              <w:t>14</w:t>
            </w:r>
          </w:p>
        </w:tc>
        <w:tc>
          <w:tcPr>
            <w:tcW w:w="763" w:type="dxa"/>
          </w:tcPr>
          <w:p w14:paraId="119E044E">
            <w:pPr>
              <w:pStyle w:val="11"/>
              <w:spacing w:before="12"/>
              <w:ind w:right="87"/>
              <w:jc w:val="right"/>
              <w:rPr>
                <w:sz w:val="28"/>
              </w:rPr>
            </w:pPr>
            <w:r>
              <w:rPr>
                <w:spacing w:val="-10"/>
                <w:sz w:val="28"/>
              </w:rPr>
              <w:t>9</w:t>
            </w:r>
          </w:p>
        </w:tc>
        <w:tc>
          <w:tcPr>
            <w:tcW w:w="796" w:type="dxa"/>
          </w:tcPr>
          <w:p w14:paraId="7617D7CF">
            <w:pPr>
              <w:pStyle w:val="11"/>
              <w:spacing w:before="12"/>
              <w:ind w:right="86"/>
              <w:jc w:val="right"/>
              <w:rPr>
                <w:sz w:val="28"/>
              </w:rPr>
            </w:pPr>
            <w:r>
              <w:rPr>
                <w:spacing w:val="-5"/>
                <w:sz w:val="28"/>
              </w:rPr>
              <w:t>49</w:t>
            </w:r>
          </w:p>
        </w:tc>
        <w:tc>
          <w:tcPr>
            <w:tcW w:w="738" w:type="dxa"/>
          </w:tcPr>
          <w:p w14:paraId="0BBF183D">
            <w:pPr>
              <w:pStyle w:val="11"/>
              <w:spacing w:before="12"/>
              <w:ind w:right="89"/>
              <w:jc w:val="right"/>
              <w:rPr>
                <w:sz w:val="28"/>
              </w:rPr>
            </w:pPr>
            <w:r>
              <w:rPr>
                <w:spacing w:val="-5"/>
                <w:sz w:val="28"/>
              </w:rPr>
              <w:t>27</w:t>
            </w:r>
          </w:p>
        </w:tc>
        <w:tc>
          <w:tcPr>
            <w:tcW w:w="758" w:type="dxa"/>
          </w:tcPr>
          <w:p w14:paraId="3D118F56">
            <w:pPr>
              <w:pStyle w:val="11"/>
              <w:spacing w:before="12"/>
              <w:ind w:right="88"/>
              <w:jc w:val="right"/>
              <w:rPr>
                <w:sz w:val="28"/>
              </w:rPr>
            </w:pPr>
            <w:r>
              <w:rPr>
                <w:spacing w:val="-5"/>
                <w:sz w:val="28"/>
              </w:rPr>
              <w:t>12</w:t>
            </w:r>
          </w:p>
        </w:tc>
        <w:tc>
          <w:tcPr>
            <w:tcW w:w="802" w:type="dxa"/>
          </w:tcPr>
          <w:p w14:paraId="65B4B267">
            <w:pPr>
              <w:pStyle w:val="11"/>
              <w:spacing w:before="12"/>
              <w:ind w:right="82"/>
              <w:jc w:val="right"/>
              <w:rPr>
                <w:sz w:val="28"/>
              </w:rPr>
            </w:pPr>
            <w:r>
              <w:rPr>
                <w:spacing w:val="-10"/>
                <w:sz w:val="28"/>
              </w:rPr>
              <w:t>0</w:t>
            </w:r>
          </w:p>
        </w:tc>
      </w:tr>
      <w:tr w14:paraId="52178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367" w:type="dxa"/>
          </w:tcPr>
          <w:p w14:paraId="39E420F9">
            <w:pPr>
              <w:pStyle w:val="11"/>
              <w:spacing w:before="16"/>
              <w:ind w:left="110"/>
              <w:jc w:val="left"/>
              <w:rPr>
                <w:sz w:val="28"/>
              </w:rPr>
            </w:pPr>
            <w:r>
              <w:rPr>
                <w:spacing w:val="-2"/>
                <w:sz w:val="28"/>
              </w:rPr>
              <w:t>Алматинская</w:t>
            </w:r>
          </w:p>
        </w:tc>
        <w:tc>
          <w:tcPr>
            <w:tcW w:w="768" w:type="dxa"/>
          </w:tcPr>
          <w:p w14:paraId="7FD1CA4B">
            <w:pPr>
              <w:pStyle w:val="11"/>
              <w:spacing w:before="16"/>
              <w:ind w:right="93"/>
              <w:jc w:val="right"/>
              <w:rPr>
                <w:sz w:val="28"/>
              </w:rPr>
            </w:pPr>
            <w:r>
              <w:rPr>
                <w:spacing w:val="-5"/>
                <w:sz w:val="28"/>
              </w:rPr>
              <w:t>70</w:t>
            </w:r>
          </w:p>
        </w:tc>
        <w:tc>
          <w:tcPr>
            <w:tcW w:w="739" w:type="dxa"/>
          </w:tcPr>
          <w:p w14:paraId="2E4A9748">
            <w:pPr>
              <w:pStyle w:val="11"/>
              <w:spacing w:before="16"/>
              <w:ind w:right="93"/>
              <w:jc w:val="right"/>
              <w:rPr>
                <w:sz w:val="28"/>
              </w:rPr>
            </w:pPr>
            <w:r>
              <w:rPr>
                <w:spacing w:val="-5"/>
                <w:sz w:val="28"/>
              </w:rPr>
              <w:t>47</w:t>
            </w:r>
          </w:p>
        </w:tc>
        <w:tc>
          <w:tcPr>
            <w:tcW w:w="758" w:type="dxa"/>
          </w:tcPr>
          <w:p w14:paraId="7E9A7EB1">
            <w:pPr>
              <w:pStyle w:val="11"/>
              <w:spacing w:before="16"/>
              <w:ind w:right="92"/>
              <w:jc w:val="right"/>
              <w:rPr>
                <w:sz w:val="28"/>
              </w:rPr>
            </w:pPr>
            <w:r>
              <w:rPr>
                <w:spacing w:val="-5"/>
                <w:sz w:val="28"/>
              </w:rPr>
              <w:t>14</w:t>
            </w:r>
          </w:p>
        </w:tc>
        <w:tc>
          <w:tcPr>
            <w:tcW w:w="763" w:type="dxa"/>
          </w:tcPr>
          <w:p w14:paraId="07FB4ED4">
            <w:pPr>
              <w:pStyle w:val="11"/>
              <w:spacing w:before="16"/>
              <w:ind w:right="92"/>
              <w:jc w:val="right"/>
              <w:rPr>
                <w:sz w:val="28"/>
              </w:rPr>
            </w:pPr>
            <w:r>
              <w:rPr>
                <w:spacing w:val="-10"/>
                <w:sz w:val="28"/>
              </w:rPr>
              <w:t>6</w:t>
            </w:r>
          </w:p>
        </w:tc>
        <w:tc>
          <w:tcPr>
            <w:tcW w:w="796" w:type="dxa"/>
          </w:tcPr>
          <w:p w14:paraId="4F0BDEAD">
            <w:pPr>
              <w:pStyle w:val="11"/>
              <w:spacing w:before="16"/>
              <w:ind w:right="91"/>
              <w:jc w:val="right"/>
              <w:rPr>
                <w:sz w:val="28"/>
              </w:rPr>
            </w:pPr>
            <w:r>
              <w:rPr>
                <w:spacing w:val="-5"/>
                <w:sz w:val="28"/>
              </w:rPr>
              <w:t>65</w:t>
            </w:r>
          </w:p>
        </w:tc>
        <w:tc>
          <w:tcPr>
            <w:tcW w:w="739" w:type="dxa"/>
          </w:tcPr>
          <w:p w14:paraId="156A6D84">
            <w:pPr>
              <w:pStyle w:val="11"/>
              <w:spacing w:before="16"/>
              <w:ind w:right="90"/>
              <w:jc w:val="right"/>
              <w:rPr>
                <w:sz w:val="28"/>
              </w:rPr>
            </w:pPr>
            <w:r>
              <w:rPr>
                <w:spacing w:val="-5"/>
                <w:sz w:val="28"/>
              </w:rPr>
              <w:t>32</w:t>
            </w:r>
          </w:p>
        </w:tc>
        <w:tc>
          <w:tcPr>
            <w:tcW w:w="758" w:type="dxa"/>
          </w:tcPr>
          <w:p w14:paraId="2EF80C30">
            <w:pPr>
              <w:pStyle w:val="11"/>
              <w:spacing w:before="16"/>
              <w:ind w:right="90"/>
              <w:jc w:val="right"/>
              <w:rPr>
                <w:sz w:val="28"/>
              </w:rPr>
            </w:pPr>
            <w:r>
              <w:rPr>
                <w:spacing w:val="-10"/>
                <w:sz w:val="28"/>
              </w:rPr>
              <w:t>9</w:t>
            </w:r>
          </w:p>
        </w:tc>
        <w:tc>
          <w:tcPr>
            <w:tcW w:w="758" w:type="dxa"/>
          </w:tcPr>
          <w:p w14:paraId="7CF85FDB">
            <w:pPr>
              <w:pStyle w:val="11"/>
              <w:spacing w:before="16"/>
              <w:ind w:right="89"/>
              <w:jc w:val="right"/>
              <w:rPr>
                <w:sz w:val="28"/>
              </w:rPr>
            </w:pPr>
            <w:r>
              <w:rPr>
                <w:spacing w:val="-10"/>
                <w:sz w:val="28"/>
              </w:rPr>
              <w:t>3</w:t>
            </w:r>
          </w:p>
        </w:tc>
        <w:tc>
          <w:tcPr>
            <w:tcW w:w="796" w:type="dxa"/>
          </w:tcPr>
          <w:p w14:paraId="5F824D44">
            <w:pPr>
              <w:pStyle w:val="11"/>
              <w:spacing w:before="16"/>
              <w:ind w:right="88"/>
              <w:jc w:val="right"/>
              <w:rPr>
                <w:sz w:val="28"/>
              </w:rPr>
            </w:pPr>
            <w:r>
              <w:rPr>
                <w:spacing w:val="-5"/>
                <w:sz w:val="28"/>
              </w:rPr>
              <w:t>84</w:t>
            </w:r>
          </w:p>
        </w:tc>
        <w:tc>
          <w:tcPr>
            <w:tcW w:w="739" w:type="dxa"/>
          </w:tcPr>
          <w:p w14:paraId="24DB1B85">
            <w:pPr>
              <w:pStyle w:val="11"/>
              <w:spacing w:before="16"/>
              <w:ind w:right="88"/>
              <w:jc w:val="right"/>
              <w:rPr>
                <w:sz w:val="28"/>
              </w:rPr>
            </w:pPr>
            <w:r>
              <w:rPr>
                <w:spacing w:val="-5"/>
                <w:sz w:val="28"/>
              </w:rPr>
              <w:t>24</w:t>
            </w:r>
          </w:p>
        </w:tc>
        <w:tc>
          <w:tcPr>
            <w:tcW w:w="758" w:type="dxa"/>
          </w:tcPr>
          <w:p w14:paraId="04BB93CA">
            <w:pPr>
              <w:pStyle w:val="11"/>
              <w:spacing w:before="16"/>
              <w:ind w:right="87"/>
              <w:jc w:val="right"/>
              <w:rPr>
                <w:sz w:val="28"/>
              </w:rPr>
            </w:pPr>
            <w:r>
              <w:rPr>
                <w:spacing w:val="-5"/>
                <w:sz w:val="28"/>
              </w:rPr>
              <w:t>15</w:t>
            </w:r>
          </w:p>
        </w:tc>
        <w:tc>
          <w:tcPr>
            <w:tcW w:w="763" w:type="dxa"/>
          </w:tcPr>
          <w:p w14:paraId="2B215106">
            <w:pPr>
              <w:pStyle w:val="11"/>
              <w:spacing w:before="16"/>
              <w:ind w:right="87"/>
              <w:jc w:val="right"/>
              <w:rPr>
                <w:sz w:val="28"/>
              </w:rPr>
            </w:pPr>
            <w:r>
              <w:rPr>
                <w:spacing w:val="-10"/>
                <w:sz w:val="28"/>
              </w:rPr>
              <w:t>6</w:t>
            </w:r>
          </w:p>
        </w:tc>
        <w:tc>
          <w:tcPr>
            <w:tcW w:w="796" w:type="dxa"/>
          </w:tcPr>
          <w:p w14:paraId="382E2633">
            <w:pPr>
              <w:pStyle w:val="11"/>
              <w:spacing w:before="16"/>
              <w:ind w:right="86"/>
              <w:jc w:val="right"/>
              <w:rPr>
                <w:sz w:val="28"/>
              </w:rPr>
            </w:pPr>
            <w:r>
              <w:rPr>
                <w:spacing w:val="-5"/>
                <w:sz w:val="28"/>
              </w:rPr>
              <w:t>25</w:t>
            </w:r>
          </w:p>
        </w:tc>
        <w:tc>
          <w:tcPr>
            <w:tcW w:w="738" w:type="dxa"/>
          </w:tcPr>
          <w:p w14:paraId="5D7C5641">
            <w:pPr>
              <w:pStyle w:val="11"/>
              <w:spacing w:before="16"/>
              <w:ind w:right="89"/>
              <w:jc w:val="right"/>
              <w:rPr>
                <w:sz w:val="28"/>
              </w:rPr>
            </w:pPr>
            <w:r>
              <w:rPr>
                <w:spacing w:val="-5"/>
                <w:sz w:val="28"/>
              </w:rPr>
              <w:t>14</w:t>
            </w:r>
          </w:p>
        </w:tc>
        <w:tc>
          <w:tcPr>
            <w:tcW w:w="758" w:type="dxa"/>
          </w:tcPr>
          <w:p w14:paraId="0605F2C1">
            <w:pPr>
              <w:pStyle w:val="11"/>
              <w:spacing w:before="16"/>
              <w:ind w:right="88"/>
              <w:jc w:val="right"/>
              <w:rPr>
                <w:sz w:val="28"/>
              </w:rPr>
            </w:pPr>
            <w:r>
              <w:rPr>
                <w:spacing w:val="-10"/>
                <w:sz w:val="28"/>
              </w:rPr>
              <w:t>0</w:t>
            </w:r>
          </w:p>
        </w:tc>
        <w:tc>
          <w:tcPr>
            <w:tcW w:w="802" w:type="dxa"/>
          </w:tcPr>
          <w:p w14:paraId="2D3E823F">
            <w:pPr>
              <w:pStyle w:val="11"/>
              <w:spacing w:before="16"/>
              <w:ind w:right="82"/>
              <w:jc w:val="right"/>
              <w:rPr>
                <w:sz w:val="28"/>
              </w:rPr>
            </w:pPr>
            <w:r>
              <w:rPr>
                <w:spacing w:val="-10"/>
                <w:sz w:val="28"/>
              </w:rPr>
              <w:t>0</w:t>
            </w:r>
          </w:p>
        </w:tc>
      </w:tr>
      <w:tr w14:paraId="0BEE0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6B378625">
            <w:pPr>
              <w:pStyle w:val="11"/>
              <w:spacing w:before="12"/>
              <w:ind w:left="110"/>
              <w:jc w:val="left"/>
              <w:rPr>
                <w:sz w:val="28"/>
              </w:rPr>
            </w:pPr>
            <w:r>
              <w:rPr>
                <w:spacing w:val="-2"/>
                <w:sz w:val="28"/>
              </w:rPr>
              <w:t>Атырауская</w:t>
            </w:r>
          </w:p>
        </w:tc>
        <w:tc>
          <w:tcPr>
            <w:tcW w:w="768" w:type="dxa"/>
          </w:tcPr>
          <w:p w14:paraId="4C222FAE">
            <w:pPr>
              <w:pStyle w:val="11"/>
              <w:spacing w:before="12"/>
              <w:ind w:right="93"/>
              <w:jc w:val="right"/>
              <w:rPr>
                <w:sz w:val="28"/>
              </w:rPr>
            </w:pPr>
            <w:r>
              <w:rPr>
                <w:spacing w:val="-5"/>
                <w:sz w:val="28"/>
              </w:rPr>
              <w:t>92</w:t>
            </w:r>
          </w:p>
        </w:tc>
        <w:tc>
          <w:tcPr>
            <w:tcW w:w="739" w:type="dxa"/>
          </w:tcPr>
          <w:p w14:paraId="568BF1F6">
            <w:pPr>
              <w:pStyle w:val="11"/>
              <w:spacing w:before="12"/>
              <w:ind w:right="93"/>
              <w:jc w:val="right"/>
              <w:rPr>
                <w:sz w:val="28"/>
              </w:rPr>
            </w:pPr>
            <w:r>
              <w:rPr>
                <w:spacing w:val="-10"/>
                <w:sz w:val="28"/>
              </w:rPr>
              <w:t>8</w:t>
            </w:r>
          </w:p>
        </w:tc>
        <w:tc>
          <w:tcPr>
            <w:tcW w:w="758" w:type="dxa"/>
          </w:tcPr>
          <w:p w14:paraId="51CE5CB5">
            <w:pPr>
              <w:pStyle w:val="11"/>
              <w:spacing w:before="12"/>
              <w:ind w:right="92"/>
              <w:jc w:val="right"/>
              <w:rPr>
                <w:sz w:val="28"/>
              </w:rPr>
            </w:pPr>
            <w:r>
              <w:rPr>
                <w:spacing w:val="-10"/>
                <w:sz w:val="28"/>
              </w:rPr>
              <w:t>7</w:t>
            </w:r>
          </w:p>
        </w:tc>
        <w:tc>
          <w:tcPr>
            <w:tcW w:w="763" w:type="dxa"/>
          </w:tcPr>
          <w:p w14:paraId="74C76CA2">
            <w:pPr>
              <w:pStyle w:val="11"/>
              <w:spacing w:before="12"/>
              <w:ind w:right="92"/>
              <w:jc w:val="right"/>
              <w:rPr>
                <w:sz w:val="28"/>
              </w:rPr>
            </w:pPr>
            <w:r>
              <w:rPr>
                <w:spacing w:val="-5"/>
                <w:sz w:val="28"/>
              </w:rPr>
              <w:t>14</w:t>
            </w:r>
          </w:p>
        </w:tc>
        <w:tc>
          <w:tcPr>
            <w:tcW w:w="796" w:type="dxa"/>
          </w:tcPr>
          <w:p w14:paraId="219F7DBC">
            <w:pPr>
              <w:pStyle w:val="11"/>
              <w:spacing w:before="12"/>
              <w:ind w:right="91"/>
              <w:jc w:val="right"/>
              <w:rPr>
                <w:sz w:val="28"/>
              </w:rPr>
            </w:pPr>
            <w:r>
              <w:rPr>
                <w:spacing w:val="-5"/>
                <w:sz w:val="28"/>
              </w:rPr>
              <w:t>74</w:t>
            </w:r>
          </w:p>
        </w:tc>
        <w:tc>
          <w:tcPr>
            <w:tcW w:w="739" w:type="dxa"/>
          </w:tcPr>
          <w:p w14:paraId="7EA76AF0">
            <w:pPr>
              <w:pStyle w:val="11"/>
              <w:spacing w:before="12"/>
              <w:ind w:right="90"/>
              <w:jc w:val="right"/>
              <w:rPr>
                <w:sz w:val="28"/>
              </w:rPr>
            </w:pPr>
            <w:r>
              <w:rPr>
                <w:spacing w:val="-5"/>
                <w:sz w:val="28"/>
              </w:rPr>
              <w:t>11</w:t>
            </w:r>
          </w:p>
        </w:tc>
        <w:tc>
          <w:tcPr>
            <w:tcW w:w="758" w:type="dxa"/>
          </w:tcPr>
          <w:p w14:paraId="77BE6AA0">
            <w:pPr>
              <w:pStyle w:val="11"/>
              <w:spacing w:before="12"/>
              <w:ind w:right="90"/>
              <w:jc w:val="right"/>
              <w:rPr>
                <w:sz w:val="28"/>
              </w:rPr>
            </w:pPr>
            <w:r>
              <w:rPr>
                <w:spacing w:val="-5"/>
                <w:sz w:val="28"/>
              </w:rPr>
              <w:t>17</w:t>
            </w:r>
          </w:p>
        </w:tc>
        <w:tc>
          <w:tcPr>
            <w:tcW w:w="758" w:type="dxa"/>
          </w:tcPr>
          <w:p w14:paraId="5F0D7CA0">
            <w:pPr>
              <w:pStyle w:val="11"/>
              <w:spacing w:before="12"/>
              <w:ind w:right="89"/>
              <w:jc w:val="right"/>
              <w:rPr>
                <w:sz w:val="28"/>
              </w:rPr>
            </w:pPr>
            <w:r>
              <w:rPr>
                <w:spacing w:val="-10"/>
                <w:sz w:val="28"/>
              </w:rPr>
              <w:t>7</w:t>
            </w:r>
          </w:p>
        </w:tc>
        <w:tc>
          <w:tcPr>
            <w:tcW w:w="796" w:type="dxa"/>
          </w:tcPr>
          <w:p w14:paraId="2372F3BF">
            <w:pPr>
              <w:pStyle w:val="11"/>
              <w:spacing w:before="12"/>
              <w:ind w:right="88"/>
              <w:jc w:val="right"/>
              <w:rPr>
                <w:sz w:val="28"/>
              </w:rPr>
            </w:pPr>
            <w:r>
              <w:rPr>
                <w:spacing w:val="-5"/>
                <w:sz w:val="28"/>
              </w:rPr>
              <w:t>59</w:t>
            </w:r>
          </w:p>
        </w:tc>
        <w:tc>
          <w:tcPr>
            <w:tcW w:w="739" w:type="dxa"/>
          </w:tcPr>
          <w:p w14:paraId="0BFDB644">
            <w:pPr>
              <w:pStyle w:val="11"/>
              <w:spacing w:before="12"/>
              <w:ind w:right="88"/>
              <w:jc w:val="right"/>
              <w:rPr>
                <w:sz w:val="28"/>
              </w:rPr>
            </w:pPr>
            <w:r>
              <w:rPr>
                <w:spacing w:val="-10"/>
                <w:sz w:val="28"/>
              </w:rPr>
              <w:t>2</w:t>
            </w:r>
          </w:p>
        </w:tc>
        <w:tc>
          <w:tcPr>
            <w:tcW w:w="758" w:type="dxa"/>
          </w:tcPr>
          <w:p w14:paraId="1F45F3F2">
            <w:pPr>
              <w:pStyle w:val="11"/>
              <w:spacing w:before="12"/>
              <w:ind w:right="87"/>
              <w:jc w:val="right"/>
              <w:rPr>
                <w:sz w:val="28"/>
              </w:rPr>
            </w:pPr>
            <w:r>
              <w:rPr>
                <w:spacing w:val="-5"/>
                <w:sz w:val="28"/>
              </w:rPr>
              <w:t>27</w:t>
            </w:r>
          </w:p>
        </w:tc>
        <w:tc>
          <w:tcPr>
            <w:tcW w:w="763" w:type="dxa"/>
          </w:tcPr>
          <w:p w14:paraId="59AC48F4">
            <w:pPr>
              <w:pStyle w:val="11"/>
              <w:spacing w:before="12"/>
              <w:ind w:right="87"/>
              <w:jc w:val="right"/>
              <w:rPr>
                <w:sz w:val="28"/>
              </w:rPr>
            </w:pPr>
            <w:r>
              <w:rPr>
                <w:spacing w:val="-10"/>
                <w:sz w:val="28"/>
              </w:rPr>
              <w:t>8</w:t>
            </w:r>
          </w:p>
        </w:tc>
        <w:tc>
          <w:tcPr>
            <w:tcW w:w="796" w:type="dxa"/>
          </w:tcPr>
          <w:p w14:paraId="4177A1C4">
            <w:pPr>
              <w:pStyle w:val="11"/>
              <w:spacing w:before="12"/>
              <w:ind w:right="86"/>
              <w:jc w:val="right"/>
              <w:rPr>
                <w:sz w:val="28"/>
              </w:rPr>
            </w:pPr>
            <w:r>
              <w:rPr>
                <w:spacing w:val="-5"/>
                <w:sz w:val="28"/>
              </w:rPr>
              <w:t>34</w:t>
            </w:r>
          </w:p>
        </w:tc>
        <w:tc>
          <w:tcPr>
            <w:tcW w:w="738" w:type="dxa"/>
          </w:tcPr>
          <w:p w14:paraId="2585AFFA">
            <w:pPr>
              <w:pStyle w:val="11"/>
              <w:spacing w:before="12"/>
              <w:ind w:right="89"/>
              <w:jc w:val="right"/>
              <w:rPr>
                <w:sz w:val="28"/>
              </w:rPr>
            </w:pPr>
            <w:r>
              <w:rPr>
                <w:spacing w:val="-5"/>
                <w:sz w:val="28"/>
              </w:rPr>
              <w:t>21</w:t>
            </w:r>
          </w:p>
        </w:tc>
        <w:tc>
          <w:tcPr>
            <w:tcW w:w="758" w:type="dxa"/>
          </w:tcPr>
          <w:p w14:paraId="14BCC025">
            <w:pPr>
              <w:pStyle w:val="11"/>
              <w:spacing w:before="12"/>
              <w:ind w:right="88"/>
              <w:jc w:val="right"/>
              <w:rPr>
                <w:sz w:val="28"/>
              </w:rPr>
            </w:pPr>
            <w:r>
              <w:rPr>
                <w:spacing w:val="-10"/>
                <w:sz w:val="28"/>
              </w:rPr>
              <w:t>3</w:t>
            </w:r>
          </w:p>
        </w:tc>
        <w:tc>
          <w:tcPr>
            <w:tcW w:w="802" w:type="dxa"/>
          </w:tcPr>
          <w:p w14:paraId="2824195E">
            <w:pPr>
              <w:pStyle w:val="11"/>
              <w:spacing w:before="12"/>
              <w:ind w:right="82"/>
              <w:jc w:val="right"/>
              <w:rPr>
                <w:sz w:val="28"/>
              </w:rPr>
            </w:pPr>
            <w:r>
              <w:rPr>
                <w:spacing w:val="-10"/>
                <w:sz w:val="28"/>
              </w:rPr>
              <w:t>0</w:t>
            </w:r>
          </w:p>
        </w:tc>
      </w:tr>
      <w:tr w14:paraId="59E09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2367" w:type="dxa"/>
          </w:tcPr>
          <w:p w14:paraId="44B835CA">
            <w:pPr>
              <w:pStyle w:val="11"/>
              <w:spacing w:before="12"/>
              <w:ind w:left="110"/>
              <w:jc w:val="left"/>
              <w:rPr>
                <w:sz w:val="28"/>
              </w:rPr>
            </w:pPr>
            <w:r>
              <w:rPr>
                <w:spacing w:val="-5"/>
                <w:sz w:val="28"/>
              </w:rPr>
              <w:t>ВКО</w:t>
            </w:r>
          </w:p>
        </w:tc>
        <w:tc>
          <w:tcPr>
            <w:tcW w:w="768" w:type="dxa"/>
          </w:tcPr>
          <w:p w14:paraId="69F465C4">
            <w:pPr>
              <w:pStyle w:val="11"/>
              <w:spacing w:before="12"/>
              <w:ind w:right="93"/>
              <w:jc w:val="right"/>
              <w:rPr>
                <w:sz w:val="28"/>
              </w:rPr>
            </w:pPr>
            <w:r>
              <w:rPr>
                <w:spacing w:val="-5"/>
                <w:sz w:val="28"/>
              </w:rPr>
              <w:t>45</w:t>
            </w:r>
          </w:p>
        </w:tc>
        <w:tc>
          <w:tcPr>
            <w:tcW w:w="739" w:type="dxa"/>
          </w:tcPr>
          <w:p w14:paraId="5FF0F2CF">
            <w:pPr>
              <w:pStyle w:val="11"/>
              <w:spacing w:before="12"/>
              <w:ind w:right="93"/>
              <w:jc w:val="right"/>
              <w:rPr>
                <w:sz w:val="28"/>
              </w:rPr>
            </w:pPr>
            <w:r>
              <w:rPr>
                <w:spacing w:val="-5"/>
                <w:sz w:val="28"/>
              </w:rPr>
              <w:t>23</w:t>
            </w:r>
          </w:p>
        </w:tc>
        <w:tc>
          <w:tcPr>
            <w:tcW w:w="758" w:type="dxa"/>
          </w:tcPr>
          <w:p w14:paraId="399FCA8A">
            <w:pPr>
              <w:pStyle w:val="11"/>
              <w:spacing w:before="12"/>
              <w:ind w:right="92"/>
              <w:jc w:val="right"/>
              <w:rPr>
                <w:sz w:val="28"/>
              </w:rPr>
            </w:pPr>
            <w:r>
              <w:rPr>
                <w:spacing w:val="-10"/>
                <w:sz w:val="28"/>
              </w:rPr>
              <w:t>3</w:t>
            </w:r>
          </w:p>
        </w:tc>
        <w:tc>
          <w:tcPr>
            <w:tcW w:w="763" w:type="dxa"/>
          </w:tcPr>
          <w:p w14:paraId="4229D3B8">
            <w:pPr>
              <w:pStyle w:val="11"/>
              <w:spacing w:before="12"/>
              <w:ind w:right="92"/>
              <w:jc w:val="right"/>
              <w:rPr>
                <w:sz w:val="28"/>
              </w:rPr>
            </w:pPr>
            <w:r>
              <w:rPr>
                <w:spacing w:val="-10"/>
                <w:sz w:val="28"/>
              </w:rPr>
              <w:t>0</w:t>
            </w:r>
          </w:p>
        </w:tc>
        <w:tc>
          <w:tcPr>
            <w:tcW w:w="796" w:type="dxa"/>
          </w:tcPr>
          <w:p w14:paraId="59AC0D8A">
            <w:pPr>
              <w:pStyle w:val="11"/>
              <w:spacing w:before="12"/>
              <w:ind w:right="91"/>
              <w:jc w:val="right"/>
              <w:rPr>
                <w:sz w:val="28"/>
              </w:rPr>
            </w:pPr>
            <w:r>
              <w:rPr>
                <w:spacing w:val="-5"/>
                <w:sz w:val="28"/>
              </w:rPr>
              <w:t>57</w:t>
            </w:r>
          </w:p>
        </w:tc>
        <w:tc>
          <w:tcPr>
            <w:tcW w:w="739" w:type="dxa"/>
          </w:tcPr>
          <w:p w14:paraId="38903CDA">
            <w:pPr>
              <w:pStyle w:val="11"/>
              <w:spacing w:before="12"/>
              <w:ind w:right="90"/>
              <w:jc w:val="right"/>
              <w:rPr>
                <w:sz w:val="28"/>
              </w:rPr>
            </w:pPr>
            <w:r>
              <w:rPr>
                <w:spacing w:val="-5"/>
                <w:sz w:val="28"/>
              </w:rPr>
              <w:t>42</w:t>
            </w:r>
          </w:p>
        </w:tc>
        <w:tc>
          <w:tcPr>
            <w:tcW w:w="758" w:type="dxa"/>
          </w:tcPr>
          <w:p w14:paraId="107B493F">
            <w:pPr>
              <w:pStyle w:val="11"/>
              <w:spacing w:before="12"/>
              <w:ind w:right="90"/>
              <w:jc w:val="right"/>
              <w:rPr>
                <w:sz w:val="28"/>
              </w:rPr>
            </w:pPr>
            <w:r>
              <w:rPr>
                <w:spacing w:val="-5"/>
                <w:sz w:val="28"/>
              </w:rPr>
              <w:t>12</w:t>
            </w:r>
          </w:p>
        </w:tc>
        <w:tc>
          <w:tcPr>
            <w:tcW w:w="758" w:type="dxa"/>
          </w:tcPr>
          <w:p w14:paraId="64B5A564">
            <w:pPr>
              <w:pStyle w:val="11"/>
              <w:spacing w:before="12"/>
              <w:ind w:right="89"/>
              <w:jc w:val="right"/>
              <w:rPr>
                <w:sz w:val="28"/>
              </w:rPr>
            </w:pPr>
            <w:r>
              <w:rPr>
                <w:spacing w:val="-10"/>
                <w:sz w:val="28"/>
              </w:rPr>
              <w:t>8</w:t>
            </w:r>
          </w:p>
        </w:tc>
        <w:tc>
          <w:tcPr>
            <w:tcW w:w="796" w:type="dxa"/>
          </w:tcPr>
          <w:p w14:paraId="2796CD50">
            <w:pPr>
              <w:pStyle w:val="11"/>
              <w:spacing w:before="12"/>
              <w:ind w:right="88"/>
              <w:jc w:val="right"/>
              <w:rPr>
                <w:sz w:val="28"/>
              </w:rPr>
            </w:pPr>
            <w:r>
              <w:rPr>
                <w:spacing w:val="-5"/>
                <w:sz w:val="28"/>
              </w:rPr>
              <w:t>38</w:t>
            </w:r>
          </w:p>
        </w:tc>
        <w:tc>
          <w:tcPr>
            <w:tcW w:w="739" w:type="dxa"/>
          </w:tcPr>
          <w:p w14:paraId="5F4F43B0">
            <w:pPr>
              <w:pStyle w:val="11"/>
              <w:spacing w:before="12"/>
              <w:ind w:right="88"/>
              <w:jc w:val="right"/>
              <w:rPr>
                <w:sz w:val="28"/>
              </w:rPr>
            </w:pPr>
            <w:r>
              <w:rPr>
                <w:spacing w:val="-5"/>
                <w:sz w:val="28"/>
              </w:rPr>
              <w:t>20</w:t>
            </w:r>
          </w:p>
        </w:tc>
        <w:tc>
          <w:tcPr>
            <w:tcW w:w="758" w:type="dxa"/>
          </w:tcPr>
          <w:p w14:paraId="7EE497AB">
            <w:pPr>
              <w:pStyle w:val="11"/>
              <w:spacing w:before="12"/>
              <w:ind w:right="87"/>
              <w:jc w:val="right"/>
              <w:rPr>
                <w:sz w:val="28"/>
              </w:rPr>
            </w:pPr>
            <w:r>
              <w:rPr>
                <w:spacing w:val="-10"/>
                <w:sz w:val="28"/>
              </w:rPr>
              <w:t>8</w:t>
            </w:r>
          </w:p>
        </w:tc>
        <w:tc>
          <w:tcPr>
            <w:tcW w:w="763" w:type="dxa"/>
          </w:tcPr>
          <w:p w14:paraId="229B6812">
            <w:pPr>
              <w:pStyle w:val="11"/>
              <w:spacing w:before="12"/>
              <w:ind w:right="87"/>
              <w:jc w:val="right"/>
              <w:rPr>
                <w:sz w:val="28"/>
              </w:rPr>
            </w:pPr>
            <w:r>
              <w:rPr>
                <w:spacing w:val="-10"/>
                <w:sz w:val="28"/>
              </w:rPr>
              <w:t>1</w:t>
            </w:r>
          </w:p>
        </w:tc>
        <w:tc>
          <w:tcPr>
            <w:tcW w:w="796" w:type="dxa"/>
          </w:tcPr>
          <w:p w14:paraId="3EF43236">
            <w:pPr>
              <w:pStyle w:val="11"/>
              <w:spacing w:before="12"/>
              <w:ind w:right="86"/>
              <w:jc w:val="right"/>
              <w:rPr>
                <w:sz w:val="28"/>
              </w:rPr>
            </w:pPr>
            <w:r>
              <w:rPr>
                <w:spacing w:val="-5"/>
                <w:sz w:val="28"/>
              </w:rPr>
              <w:t>27</w:t>
            </w:r>
          </w:p>
        </w:tc>
        <w:tc>
          <w:tcPr>
            <w:tcW w:w="738" w:type="dxa"/>
          </w:tcPr>
          <w:p w14:paraId="393719E2">
            <w:pPr>
              <w:pStyle w:val="11"/>
              <w:spacing w:before="12"/>
              <w:ind w:right="89"/>
              <w:jc w:val="right"/>
              <w:rPr>
                <w:sz w:val="28"/>
              </w:rPr>
            </w:pPr>
            <w:r>
              <w:rPr>
                <w:spacing w:val="-5"/>
                <w:sz w:val="28"/>
              </w:rPr>
              <w:t>19</w:t>
            </w:r>
          </w:p>
        </w:tc>
        <w:tc>
          <w:tcPr>
            <w:tcW w:w="758" w:type="dxa"/>
          </w:tcPr>
          <w:p w14:paraId="11E8CBE5">
            <w:pPr>
              <w:pStyle w:val="11"/>
              <w:spacing w:before="12"/>
              <w:ind w:right="88"/>
              <w:jc w:val="right"/>
              <w:rPr>
                <w:sz w:val="28"/>
              </w:rPr>
            </w:pPr>
            <w:r>
              <w:rPr>
                <w:spacing w:val="-10"/>
                <w:sz w:val="28"/>
              </w:rPr>
              <w:t>2</w:t>
            </w:r>
          </w:p>
        </w:tc>
        <w:tc>
          <w:tcPr>
            <w:tcW w:w="802" w:type="dxa"/>
          </w:tcPr>
          <w:p w14:paraId="2AE2CD09">
            <w:pPr>
              <w:pStyle w:val="11"/>
              <w:spacing w:before="12"/>
              <w:ind w:right="82"/>
              <w:jc w:val="right"/>
              <w:rPr>
                <w:sz w:val="28"/>
              </w:rPr>
            </w:pPr>
            <w:r>
              <w:rPr>
                <w:spacing w:val="-10"/>
                <w:sz w:val="28"/>
              </w:rPr>
              <w:t>0</w:t>
            </w:r>
          </w:p>
        </w:tc>
      </w:tr>
      <w:tr w14:paraId="7E58A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184C2179">
            <w:pPr>
              <w:pStyle w:val="11"/>
              <w:spacing w:before="12"/>
              <w:ind w:left="110"/>
              <w:jc w:val="left"/>
              <w:rPr>
                <w:sz w:val="28"/>
              </w:rPr>
            </w:pPr>
            <w:r>
              <w:rPr>
                <w:spacing w:val="-2"/>
                <w:sz w:val="28"/>
              </w:rPr>
              <w:t>Жамбылская</w:t>
            </w:r>
          </w:p>
        </w:tc>
        <w:tc>
          <w:tcPr>
            <w:tcW w:w="768" w:type="dxa"/>
          </w:tcPr>
          <w:p w14:paraId="3BACCF49">
            <w:pPr>
              <w:pStyle w:val="11"/>
              <w:spacing w:before="12"/>
              <w:ind w:right="93"/>
              <w:jc w:val="right"/>
              <w:rPr>
                <w:sz w:val="28"/>
              </w:rPr>
            </w:pPr>
            <w:r>
              <w:rPr>
                <w:spacing w:val="-5"/>
                <w:sz w:val="28"/>
              </w:rPr>
              <w:t>63</w:t>
            </w:r>
          </w:p>
        </w:tc>
        <w:tc>
          <w:tcPr>
            <w:tcW w:w="739" w:type="dxa"/>
          </w:tcPr>
          <w:p w14:paraId="6F99036D">
            <w:pPr>
              <w:pStyle w:val="11"/>
              <w:spacing w:before="12"/>
              <w:ind w:right="93"/>
              <w:jc w:val="right"/>
              <w:rPr>
                <w:sz w:val="28"/>
              </w:rPr>
            </w:pPr>
            <w:r>
              <w:rPr>
                <w:spacing w:val="-5"/>
                <w:sz w:val="28"/>
              </w:rPr>
              <w:t>16</w:t>
            </w:r>
          </w:p>
        </w:tc>
        <w:tc>
          <w:tcPr>
            <w:tcW w:w="758" w:type="dxa"/>
          </w:tcPr>
          <w:p w14:paraId="5C25599E">
            <w:pPr>
              <w:pStyle w:val="11"/>
              <w:spacing w:before="12"/>
              <w:ind w:right="92"/>
              <w:jc w:val="right"/>
              <w:rPr>
                <w:sz w:val="28"/>
              </w:rPr>
            </w:pPr>
            <w:r>
              <w:rPr>
                <w:spacing w:val="-10"/>
                <w:sz w:val="28"/>
              </w:rPr>
              <w:t>2</w:t>
            </w:r>
          </w:p>
        </w:tc>
        <w:tc>
          <w:tcPr>
            <w:tcW w:w="763" w:type="dxa"/>
          </w:tcPr>
          <w:p w14:paraId="1FEBE754">
            <w:pPr>
              <w:pStyle w:val="11"/>
              <w:spacing w:before="12"/>
              <w:ind w:right="92"/>
              <w:jc w:val="right"/>
              <w:rPr>
                <w:sz w:val="28"/>
              </w:rPr>
            </w:pPr>
            <w:r>
              <w:rPr>
                <w:spacing w:val="-10"/>
                <w:sz w:val="28"/>
              </w:rPr>
              <w:t>5</w:t>
            </w:r>
          </w:p>
        </w:tc>
        <w:tc>
          <w:tcPr>
            <w:tcW w:w="796" w:type="dxa"/>
          </w:tcPr>
          <w:p w14:paraId="38164EB1">
            <w:pPr>
              <w:pStyle w:val="11"/>
              <w:spacing w:before="12"/>
              <w:ind w:right="91"/>
              <w:jc w:val="right"/>
              <w:rPr>
                <w:sz w:val="28"/>
              </w:rPr>
            </w:pPr>
            <w:r>
              <w:rPr>
                <w:spacing w:val="-5"/>
                <w:sz w:val="28"/>
              </w:rPr>
              <w:t>41</w:t>
            </w:r>
          </w:p>
        </w:tc>
        <w:tc>
          <w:tcPr>
            <w:tcW w:w="739" w:type="dxa"/>
          </w:tcPr>
          <w:p w14:paraId="4AD5B996">
            <w:pPr>
              <w:pStyle w:val="11"/>
              <w:spacing w:before="12"/>
              <w:ind w:right="90"/>
              <w:jc w:val="right"/>
              <w:rPr>
                <w:sz w:val="28"/>
              </w:rPr>
            </w:pPr>
            <w:r>
              <w:rPr>
                <w:spacing w:val="-5"/>
                <w:sz w:val="28"/>
              </w:rPr>
              <w:t>10</w:t>
            </w:r>
          </w:p>
        </w:tc>
        <w:tc>
          <w:tcPr>
            <w:tcW w:w="758" w:type="dxa"/>
          </w:tcPr>
          <w:p w14:paraId="043D8ECE">
            <w:pPr>
              <w:pStyle w:val="11"/>
              <w:spacing w:before="12"/>
              <w:ind w:right="90"/>
              <w:jc w:val="right"/>
              <w:rPr>
                <w:sz w:val="28"/>
              </w:rPr>
            </w:pPr>
            <w:r>
              <w:rPr>
                <w:spacing w:val="-5"/>
                <w:sz w:val="28"/>
              </w:rPr>
              <w:t>11</w:t>
            </w:r>
          </w:p>
        </w:tc>
        <w:tc>
          <w:tcPr>
            <w:tcW w:w="758" w:type="dxa"/>
          </w:tcPr>
          <w:p w14:paraId="489C2A1C">
            <w:pPr>
              <w:pStyle w:val="11"/>
              <w:spacing w:before="12"/>
              <w:ind w:right="89"/>
              <w:jc w:val="right"/>
              <w:rPr>
                <w:sz w:val="28"/>
              </w:rPr>
            </w:pPr>
            <w:r>
              <w:rPr>
                <w:spacing w:val="-10"/>
                <w:sz w:val="28"/>
              </w:rPr>
              <w:t>2</w:t>
            </w:r>
          </w:p>
        </w:tc>
        <w:tc>
          <w:tcPr>
            <w:tcW w:w="796" w:type="dxa"/>
          </w:tcPr>
          <w:p w14:paraId="2A0853A2">
            <w:pPr>
              <w:pStyle w:val="11"/>
              <w:spacing w:before="12"/>
              <w:ind w:right="88"/>
              <w:jc w:val="right"/>
              <w:rPr>
                <w:sz w:val="28"/>
              </w:rPr>
            </w:pPr>
            <w:r>
              <w:rPr>
                <w:spacing w:val="-5"/>
                <w:sz w:val="28"/>
              </w:rPr>
              <w:t>54</w:t>
            </w:r>
          </w:p>
        </w:tc>
        <w:tc>
          <w:tcPr>
            <w:tcW w:w="739" w:type="dxa"/>
          </w:tcPr>
          <w:p w14:paraId="1C7D3111">
            <w:pPr>
              <w:pStyle w:val="11"/>
              <w:spacing w:before="12"/>
              <w:ind w:right="88"/>
              <w:jc w:val="right"/>
              <w:rPr>
                <w:sz w:val="28"/>
              </w:rPr>
            </w:pPr>
            <w:r>
              <w:rPr>
                <w:spacing w:val="-5"/>
                <w:sz w:val="28"/>
              </w:rPr>
              <w:t>26</w:t>
            </w:r>
          </w:p>
        </w:tc>
        <w:tc>
          <w:tcPr>
            <w:tcW w:w="758" w:type="dxa"/>
          </w:tcPr>
          <w:p w14:paraId="09D00A08">
            <w:pPr>
              <w:pStyle w:val="11"/>
              <w:spacing w:before="12"/>
              <w:ind w:right="87"/>
              <w:jc w:val="right"/>
              <w:rPr>
                <w:sz w:val="28"/>
              </w:rPr>
            </w:pPr>
            <w:r>
              <w:rPr>
                <w:spacing w:val="-10"/>
                <w:sz w:val="28"/>
              </w:rPr>
              <w:t>5</w:t>
            </w:r>
          </w:p>
        </w:tc>
        <w:tc>
          <w:tcPr>
            <w:tcW w:w="763" w:type="dxa"/>
          </w:tcPr>
          <w:p w14:paraId="0D1D98DF">
            <w:pPr>
              <w:pStyle w:val="11"/>
              <w:spacing w:before="12"/>
              <w:ind w:right="87"/>
              <w:jc w:val="right"/>
              <w:rPr>
                <w:sz w:val="28"/>
              </w:rPr>
            </w:pPr>
            <w:r>
              <w:rPr>
                <w:spacing w:val="-10"/>
                <w:sz w:val="28"/>
              </w:rPr>
              <w:t>3</w:t>
            </w:r>
          </w:p>
        </w:tc>
        <w:tc>
          <w:tcPr>
            <w:tcW w:w="796" w:type="dxa"/>
          </w:tcPr>
          <w:p w14:paraId="437E4CD2">
            <w:pPr>
              <w:pStyle w:val="11"/>
              <w:spacing w:before="12"/>
              <w:ind w:right="86"/>
              <w:jc w:val="right"/>
              <w:rPr>
                <w:sz w:val="28"/>
              </w:rPr>
            </w:pPr>
            <w:r>
              <w:rPr>
                <w:spacing w:val="-5"/>
                <w:sz w:val="28"/>
              </w:rPr>
              <w:t>96</w:t>
            </w:r>
          </w:p>
        </w:tc>
        <w:tc>
          <w:tcPr>
            <w:tcW w:w="738" w:type="dxa"/>
          </w:tcPr>
          <w:p w14:paraId="5F55FBC3">
            <w:pPr>
              <w:pStyle w:val="11"/>
              <w:spacing w:before="12"/>
              <w:ind w:right="89"/>
              <w:jc w:val="right"/>
              <w:rPr>
                <w:sz w:val="28"/>
              </w:rPr>
            </w:pPr>
            <w:r>
              <w:rPr>
                <w:spacing w:val="-5"/>
                <w:sz w:val="28"/>
              </w:rPr>
              <w:t>10</w:t>
            </w:r>
          </w:p>
        </w:tc>
        <w:tc>
          <w:tcPr>
            <w:tcW w:w="758" w:type="dxa"/>
          </w:tcPr>
          <w:p w14:paraId="00A86221">
            <w:pPr>
              <w:pStyle w:val="11"/>
              <w:spacing w:before="12"/>
              <w:ind w:right="88"/>
              <w:jc w:val="right"/>
              <w:rPr>
                <w:sz w:val="28"/>
              </w:rPr>
            </w:pPr>
            <w:r>
              <w:rPr>
                <w:spacing w:val="-10"/>
                <w:sz w:val="28"/>
              </w:rPr>
              <w:t>6</w:t>
            </w:r>
          </w:p>
        </w:tc>
        <w:tc>
          <w:tcPr>
            <w:tcW w:w="802" w:type="dxa"/>
          </w:tcPr>
          <w:p w14:paraId="56C929E2">
            <w:pPr>
              <w:pStyle w:val="11"/>
              <w:spacing w:before="12"/>
              <w:ind w:right="82"/>
              <w:jc w:val="right"/>
              <w:rPr>
                <w:sz w:val="28"/>
              </w:rPr>
            </w:pPr>
            <w:r>
              <w:rPr>
                <w:spacing w:val="-10"/>
                <w:sz w:val="28"/>
              </w:rPr>
              <w:t>3</w:t>
            </w:r>
          </w:p>
        </w:tc>
      </w:tr>
      <w:tr w14:paraId="25B57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2B442743">
            <w:pPr>
              <w:pStyle w:val="11"/>
              <w:spacing w:before="12"/>
              <w:ind w:left="110"/>
              <w:jc w:val="left"/>
              <w:rPr>
                <w:sz w:val="28"/>
              </w:rPr>
            </w:pPr>
            <w:r>
              <w:rPr>
                <w:spacing w:val="-2"/>
                <w:sz w:val="28"/>
              </w:rPr>
              <w:t>Жетысуская</w:t>
            </w:r>
          </w:p>
        </w:tc>
        <w:tc>
          <w:tcPr>
            <w:tcW w:w="768" w:type="dxa"/>
          </w:tcPr>
          <w:p w14:paraId="70A302E3">
            <w:pPr>
              <w:pStyle w:val="11"/>
              <w:spacing w:before="12"/>
              <w:ind w:right="93"/>
              <w:jc w:val="right"/>
              <w:rPr>
                <w:sz w:val="28"/>
              </w:rPr>
            </w:pPr>
            <w:r>
              <w:rPr>
                <w:spacing w:val="-5"/>
                <w:sz w:val="28"/>
              </w:rPr>
              <w:t>58</w:t>
            </w:r>
          </w:p>
        </w:tc>
        <w:tc>
          <w:tcPr>
            <w:tcW w:w="739" w:type="dxa"/>
          </w:tcPr>
          <w:p w14:paraId="38B2BE98">
            <w:pPr>
              <w:pStyle w:val="11"/>
              <w:spacing w:before="12"/>
              <w:ind w:right="93"/>
              <w:jc w:val="right"/>
              <w:rPr>
                <w:sz w:val="28"/>
              </w:rPr>
            </w:pPr>
            <w:r>
              <w:rPr>
                <w:spacing w:val="-5"/>
                <w:sz w:val="28"/>
              </w:rPr>
              <w:t>44</w:t>
            </w:r>
          </w:p>
        </w:tc>
        <w:tc>
          <w:tcPr>
            <w:tcW w:w="758" w:type="dxa"/>
          </w:tcPr>
          <w:p w14:paraId="3C469813">
            <w:pPr>
              <w:pStyle w:val="11"/>
              <w:spacing w:before="12"/>
              <w:ind w:right="92"/>
              <w:jc w:val="right"/>
              <w:rPr>
                <w:sz w:val="28"/>
              </w:rPr>
            </w:pPr>
            <w:r>
              <w:rPr>
                <w:spacing w:val="-5"/>
                <w:sz w:val="28"/>
              </w:rPr>
              <w:t>17</w:t>
            </w:r>
          </w:p>
        </w:tc>
        <w:tc>
          <w:tcPr>
            <w:tcW w:w="763" w:type="dxa"/>
          </w:tcPr>
          <w:p w14:paraId="7B44D5FC">
            <w:pPr>
              <w:pStyle w:val="11"/>
              <w:spacing w:before="12"/>
              <w:ind w:right="92"/>
              <w:jc w:val="right"/>
              <w:rPr>
                <w:sz w:val="28"/>
              </w:rPr>
            </w:pPr>
            <w:r>
              <w:rPr>
                <w:spacing w:val="-10"/>
                <w:sz w:val="28"/>
              </w:rPr>
              <w:t>6</w:t>
            </w:r>
          </w:p>
        </w:tc>
        <w:tc>
          <w:tcPr>
            <w:tcW w:w="796" w:type="dxa"/>
          </w:tcPr>
          <w:p w14:paraId="1AD21085">
            <w:pPr>
              <w:pStyle w:val="11"/>
              <w:spacing w:before="12"/>
              <w:ind w:right="91"/>
              <w:jc w:val="right"/>
              <w:rPr>
                <w:sz w:val="28"/>
              </w:rPr>
            </w:pPr>
            <w:r>
              <w:rPr>
                <w:spacing w:val="-5"/>
                <w:sz w:val="28"/>
              </w:rPr>
              <w:t>63</w:t>
            </w:r>
          </w:p>
        </w:tc>
        <w:tc>
          <w:tcPr>
            <w:tcW w:w="739" w:type="dxa"/>
          </w:tcPr>
          <w:p w14:paraId="07D08E6B">
            <w:pPr>
              <w:pStyle w:val="11"/>
              <w:spacing w:before="12"/>
              <w:ind w:right="90"/>
              <w:jc w:val="right"/>
              <w:rPr>
                <w:sz w:val="28"/>
              </w:rPr>
            </w:pPr>
            <w:r>
              <w:rPr>
                <w:spacing w:val="-5"/>
                <w:sz w:val="28"/>
              </w:rPr>
              <w:t>27</w:t>
            </w:r>
          </w:p>
        </w:tc>
        <w:tc>
          <w:tcPr>
            <w:tcW w:w="758" w:type="dxa"/>
          </w:tcPr>
          <w:p w14:paraId="66F45903">
            <w:pPr>
              <w:pStyle w:val="11"/>
              <w:spacing w:before="12"/>
              <w:ind w:right="90"/>
              <w:jc w:val="right"/>
              <w:rPr>
                <w:sz w:val="28"/>
              </w:rPr>
            </w:pPr>
            <w:r>
              <w:rPr>
                <w:spacing w:val="-5"/>
                <w:sz w:val="28"/>
              </w:rPr>
              <w:t>21</w:t>
            </w:r>
          </w:p>
        </w:tc>
        <w:tc>
          <w:tcPr>
            <w:tcW w:w="758" w:type="dxa"/>
          </w:tcPr>
          <w:p w14:paraId="4707C67E">
            <w:pPr>
              <w:pStyle w:val="11"/>
              <w:spacing w:before="12"/>
              <w:ind w:right="89"/>
              <w:jc w:val="right"/>
              <w:rPr>
                <w:sz w:val="28"/>
              </w:rPr>
            </w:pPr>
            <w:r>
              <w:rPr>
                <w:spacing w:val="-10"/>
                <w:sz w:val="28"/>
              </w:rPr>
              <w:t>3</w:t>
            </w:r>
          </w:p>
        </w:tc>
        <w:tc>
          <w:tcPr>
            <w:tcW w:w="796" w:type="dxa"/>
          </w:tcPr>
          <w:p w14:paraId="1056BA06">
            <w:pPr>
              <w:pStyle w:val="11"/>
              <w:spacing w:before="12"/>
              <w:ind w:right="88"/>
              <w:jc w:val="right"/>
              <w:rPr>
                <w:sz w:val="28"/>
              </w:rPr>
            </w:pPr>
            <w:r>
              <w:rPr>
                <w:spacing w:val="-5"/>
                <w:sz w:val="28"/>
              </w:rPr>
              <w:t>73</w:t>
            </w:r>
          </w:p>
        </w:tc>
        <w:tc>
          <w:tcPr>
            <w:tcW w:w="739" w:type="dxa"/>
          </w:tcPr>
          <w:p w14:paraId="6A2B4162">
            <w:pPr>
              <w:pStyle w:val="11"/>
              <w:spacing w:before="12"/>
              <w:ind w:right="88"/>
              <w:jc w:val="right"/>
              <w:rPr>
                <w:sz w:val="28"/>
              </w:rPr>
            </w:pPr>
            <w:r>
              <w:rPr>
                <w:spacing w:val="-5"/>
                <w:sz w:val="28"/>
              </w:rPr>
              <w:t>28</w:t>
            </w:r>
          </w:p>
        </w:tc>
        <w:tc>
          <w:tcPr>
            <w:tcW w:w="758" w:type="dxa"/>
          </w:tcPr>
          <w:p w14:paraId="18783834">
            <w:pPr>
              <w:pStyle w:val="11"/>
              <w:spacing w:before="12"/>
              <w:ind w:right="87"/>
              <w:jc w:val="right"/>
              <w:rPr>
                <w:sz w:val="28"/>
              </w:rPr>
            </w:pPr>
            <w:r>
              <w:rPr>
                <w:spacing w:val="-10"/>
                <w:sz w:val="28"/>
              </w:rPr>
              <w:t>9</w:t>
            </w:r>
          </w:p>
        </w:tc>
        <w:tc>
          <w:tcPr>
            <w:tcW w:w="763" w:type="dxa"/>
          </w:tcPr>
          <w:p w14:paraId="5710D012">
            <w:pPr>
              <w:pStyle w:val="11"/>
              <w:spacing w:before="12"/>
              <w:ind w:right="87"/>
              <w:jc w:val="right"/>
              <w:rPr>
                <w:sz w:val="28"/>
              </w:rPr>
            </w:pPr>
            <w:r>
              <w:rPr>
                <w:spacing w:val="-10"/>
                <w:sz w:val="28"/>
              </w:rPr>
              <w:t>4</w:t>
            </w:r>
          </w:p>
        </w:tc>
        <w:tc>
          <w:tcPr>
            <w:tcW w:w="796" w:type="dxa"/>
          </w:tcPr>
          <w:p w14:paraId="3B0B30AF">
            <w:pPr>
              <w:pStyle w:val="11"/>
              <w:spacing w:before="12"/>
              <w:ind w:right="86"/>
              <w:jc w:val="right"/>
              <w:rPr>
                <w:sz w:val="28"/>
              </w:rPr>
            </w:pPr>
            <w:r>
              <w:rPr>
                <w:spacing w:val="-5"/>
                <w:sz w:val="28"/>
              </w:rPr>
              <w:t>45</w:t>
            </w:r>
          </w:p>
        </w:tc>
        <w:tc>
          <w:tcPr>
            <w:tcW w:w="738" w:type="dxa"/>
          </w:tcPr>
          <w:p w14:paraId="375783DD">
            <w:pPr>
              <w:pStyle w:val="11"/>
              <w:spacing w:before="12"/>
              <w:ind w:right="89"/>
              <w:jc w:val="right"/>
              <w:rPr>
                <w:sz w:val="28"/>
              </w:rPr>
            </w:pPr>
            <w:r>
              <w:rPr>
                <w:spacing w:val="-5"/>
                <w:sz w:val="28"/>
              </w:rPr>
              <w:t>22</w:t>
            </w:r>
          </w:p>
        </w:tc>
        <w:tc>
          <w:tcPr>
            <w:tcW w:w="758" w:type="dxa"/>
          </w:tcPr>
          <w:p w14:paraId="336A8A68">
            <w:pPr>
              <w:pStyle w:val="11"/>
              <w:spacing w:before="12"/>
              <w:ind w:right="88"/>
              <w:jc w:val="right"/>
              <w:rPr>
                <w:sz w:val="28"/>
              </w:rPr>
            </w:pPr>
            <w:r>
              <w:rPr>
                <w:spacing w:val="-10"/>
                <w:sz w:val="28"/>
              </w:rPr>
              <w:t>8</w:t>
            </w:r>
          </w:p>
        </w:tc>
        <w:tc>
          <w:tcPr>
            <w:tcW w:w="802" w:type="dxa"/>
          </w:tcPr>
          <w:p w14:paraId="194C7872">
            <w:pPr>
              <w:pStyle w:val="11"/>
              <w:spacing w:before="12"/>
              <w:ind w:right="82"/>
              <w:jc w:val="right"/>
              <w:rPr>
                <w:sz w:val="28"/>
              </w:rPr>
            </w:pPr>
            <w:r>
              <w:rPr>
                <w:spacing w:val="-10"/>
                <w:sz w:val="28"/>
              </w:rPr>
              <w:t>2</w:t>
            </w:r>
          </w:p>
        </w:tc>
      </w:tr>
      <w:tr w14:paraId="17D1B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3EAB4A74">
            <w:pPr>
              <w:pStyle w:val="11"/>
              <w:spacing w:before="12"/>
              <w:ind w:left="110"/>
              <w:jc w:val="left"/>
              <w:rPr>
                <w:sz w:val="28"/>
              </w:rPr>
            </w:pPr>
            <w:r>
              <w:rPr>
                <w:spacing w:val="-5"/>
                <w:sz w:val="28"/>
              </w:rPr>
              <w:t>ЗКО</w:t>
            </w:r>
          </w:p>
        </w:tc>
        <w:tc>
          <w:tcPr>
            <w:tcW w:w="768" w:type="dxa"/>
          </w:tcPr>
          <w:p w14:paraId="4C540793">
            <w:pPr>
              <w:pStyle w:val="11"/>
              <w:spacing w:before="12"/>
              <w:ind w:right="93"/>
              <w:jc w:val="right"/>
              <w:rPr>
                <w:sz w:val="28"/>
              </w:rPr>
            </w:pPr>
            <w:r>
              <w:rPr>
                <w:spacing w:val="-5"/>
                <w:sz w:val="28"/>
              </w:rPr>
              <w:t>65</w:t>
            </w:r>
          </w:p>
        </w:tc>
        <w:tc>
          <w:tcPr>
            <w:tcW w:w="739" w:type="dxa"/>
          </w:tcPr>
          <w:p w14:paraId="4EB37E86">
            <w:pPr>
              <w:pStyle w:val="11"/>
              <w:spacing w:before="12"/>
              <w:ind w:right="93"/>
              <w:jc w:val="right"/>
              <w:rPr>
                <w:sz w:val="28"/>
              </w:rPr>
            </w:pPr>
            <w:r>
              <w:rPr>
                <w:spacing w:val="-5"/>
                <w:sz w:val="28"/>
              </w:rPr>
              <w:t>11</w:t>
            </w:r>
          </w:p>
        </w:tc>
        <w:tc>
          <w:tcPr>
            <w:tcW w:w="758" w:type="dxa"/>
          </w:tcPr>
          <w:p w14:paraId="5709B8A4">
            <w:pPr>
              <w:pStyle w:val="11"/>
              <w:spacing w:before="12"/>
              <w:ind w:right="92"/>
              <w:jc w:val="right"/>
              <w:rPr>
                <w:sz w:val="28"/>
              </w:rPr>
            </w:pPr>
            <w:r>
              <w:rPr>
                <w:spacing w:val="-10"/>
                <w:sz w:val="28"/>
              </w:rPr>
              <w:t>3</w:t>
            </w:r>
          </w:p>
        </w:tc>
        <w:tc>
          <w:tcPr>
            <w:tcW w:w="763" w:type="dxa"/>
          </w:tcPr>
          <w:p w14:paraId="2AFD3CE0">
            <w:pPr>
              <w:pStyle w:val="11"/>
              <w:spacing w:before="12"/>
              <w:ind w:right="92"/>
              <w:jc w:val="right"/>
              <w:rPr>
                <w:sz w:val="28"/>
              </w:rPr>
            </w:pPr>
            <w:r>
              <w:rPr>
                <w:spacing w:val="-10"/>
                <w:sz w:val="28"/>
              </w:rPr>
              <w:t>1</w:t>
            </w:r>
          </w:p>
        </w:tc>
        <w:tc>
          <w:tcPr>
            <w:tcW w:w="796" w:type="dxa"/>
          </w:tcPr>
          <w:p w14:paraId="50153A49">
            <w:pPr>
              <w:pStyle w:val="11"/>
              <w:spacing w:before="12"/>
              <w:ind w:right="91"/>
              <w:jc w:val="right"/>
              <w:rPr>
                <w:sz w:val="28"/>
              </w:rPr>
            </w:pPr>
            <w:r>
              <w:rPr>
                <w:spacing w:val="-5"/>
                <w:sz w:val="28"/>
              </w:rPr>
              <w:t>75</w:t>
            </w:r>
          </w:p>
        </w:tc>
        <w:tc>
          <w:tcPr>
            <w:tcW w:w="739" w:type="dxa"/>
          </w:tcPr>
          <w:p w14:paraId="5969E559">
            <w:pPr>
              <w:pStyle w:val="11"/>
              <w:spacing w:before="12"/>
              <w:ind w:right="90"/>
              <w:jc w:val="right"/>
              <w:rPr>
                <w:sz w:val="28"/>
              </w:rPr>
            </w:pPr>
            <w:r>
              <w:rPr>
                <w:spacing w:val="-5"/>
                <w:sz w:val="28"/>
              </w:rPr>
              <w:t>13</w:t>
            </w:r>
          </w:p>
        </w:tc>
        <w:tc>
          <w:tcPr>
            <w:tcW w:w="758" w:type="dxa"/>
          </w:tcPr>
          <w:p w14:paraId="4E907793">
            <w:pPr>
              <w:pStyle w:val="11"/>
              <w:spacing w:before="12"/>
              <w:ind w:right="90"/>
              <w:jc w:val="right"/>
              <w:rPr>
                <w:sz w:val="28"/>
              </w:rPr>
            </w:pPr>
            <w:r>
              <w:rPr>
                <w:spacing w:val="-10"/>
                <w:sz w:val="28"/>
              </w:rPr>
              <w:t>9</w:t>
            </w:r>
          </w:p>
        </w:tc>
        <w:tc>
          <w:tcPr>
            <w:tcW w:w="758" w:type="dxa"/>
          </w:tcPr>
          <w:p w14:paraId="17481FFE">
            <w:pPr>
              <w:pStyle w:val="11"/>
              <w:spacing w:before="12"/>
              <w:ind w:right="89"/>
              <w:jc w:val="right"/>
              <w:rPr>
                <w:sz w:val="28"/>
              </w:rPr>
            </w:pPr>
            <w:r>
              <w:rPr>
                <w:spacing w:val="-10"/>
                <w:sz w:val="28"/>
              </w:rPr>
              <w:t>4</w:t>
            </w:r>
          </w:p>
        </w:tc>
        <w:tc>
          <w:tcPr>
            <w:tcW w:w="796" w:type="dxa"/>
          </w:tcPr>
          <w:p w14:paraId="450001BB">
            <w:pPr>
              <w:pStyle w:val="11"/>
              <w:spacing w:before="12"/>
              <w:ind w:right="88"/>
              <w:jc w:val="right"/>
              <w:rPr>
                <w:sz w:val="28"/>
              </w:rPr>
            </w:pPr>
            <w:r>
              <w:rPr>
                <w:spacing w:val="-5"/>
                <w:sz w:val="28"/>
              </w:rPr>
              <w:t>92</w:t>
            </w:r>
          </w:p>
        </w:tc>
        <w:tc>
          <w:tcPr>
            <w:tcW w:w="739" w:type="dxa"/>
          </w:tcPr>
          <w:p w14:paraId="2C4F2E17">
            <w:pPr>
              <w:pStyle w:val="11"/>
              <w:spacing w:before="12"/>
              <w:ind w:right="88"/>
              <w:jc w:val="right"/>
              <w:rPr>
                <w:sz w:val="28"/>
              </w:rPr>
            </w:pPr>
            <w:r>
              <w:rPr>
                <w:spacing w:val="-10"/>
                <w:sz w:val="28"/>
              </w:rPr>
              <w:t>5</w:t>
            </w:r>
          </w:p>
        </w:tc>
        <w:tc>
          <w:tcPr>
            <w:tcW w:w="758" w:type="dxa"/>
          </w:tcPr>
          <w:p w14:paraId="74A7E2F2">
            <w:pPr>
              <w:pStyle w:val="11"/>
              <w:spacing w:before="12"/>
              <w:ind w:right="87"/>
              <w:jc w:val="right"/>
              <w:rPr>
                <w:sz w:val="28"/>
              </w:rPr>
            </w:pPr>
            <w:r>
              <w:rPr>
                <w:spacing w:val="-10"/>
                <w:sz w:val="28"/>
              </w:rPr>
              <w:t>7</w:t>
            </w:r>
          </w:p>
        </w:tc>
        <w:tc>
          <w:tcPr>
            <w:tcW w:w="763" w:type="dxa"/>
          </w:tcPr>
          <w:p w14:paraId="67BA5FC3">
            <w:pPr>
              <w:pStyle w:val="11"/>
              <w:spacing w:before="12"/>
              <w:ind w:right="87"/>
              <w:jc w:val="right"/>
              <w:rPr>
                <w:sz w:val="28"/>
              </w:rPr>
            </w:pPr>
            <w:r>
              <w:rPr>
                <w:spacing w:val="-10"/>
                <w:sz w:val="28"/>
              </w:rPr>
              <w:t>2</w:t>
            </w:r>
          </w:p>
        </w:tc>
        <w:tc>
          <w:tcPr>
            <w:tcW w:w="796" w:type="dxa"/>
          </w:tcPr>
          <w:p w14:paraId="73F8B3CC">
            <w:pPr>
              <w:pStyle w:val="11"/>
              <w:spacing w:before="12"/>
              <w:ind w:right="86"/>
              <w:jc w:val="right"/>
              <w:rPr>
                <w:sz w:val="28"/>
              </w:rPr>
            </w:pPr>
            <w:r>
              <w:rPr>
                <w:spacing w:val="-5"/>
                <w:sz w:val="28"/>
              </w:rPr>
              <w:t>99</w:t>
            </w:r>
          </w:p>
        </w:tc>
        <w:tc>
          <w:tcPr>
            <w:tcW w:w="738" w:type="dxa"/>
          </w:tcPr>
          <w:p w14:paraId="271691E5">
            <w:pPr>
              <w:pStyle w:val="11"/>
              <w:spacing w:before="12"/>
              <w:ind w:right="89"/>
              <w:jc w:val="right"/>
              <w:rPr>
                <w:sz w:val="28"/>
              </w:rPr>
            </w:pPr>
            <w:r>
              <w:rPr>
                <w:spacing w:val="-10"/>
                <w:sz w:val="28"/>
              </w:rPr>
              <w:t>5</w:t>
            </w:r>
          </w:p>
        </w:tc>
        <w:tc>
          <w:tcPr>
            <w:tcW w:w="758" w:type="dxa"/>
          </w:tcPr>
          <w:p w14:paraId="27E7D08A">
            <w:pPr>
              <w:pStyle w:val="11"/>
              <w:spacing w:before="12"/>
              <w:ind w:right="88"/>
              <w:jc w:val="right"/>
              <w:rPr>
                <w:sz w:val="28"/>
              </w:rPr>
            </w:pPr>
            <w:r>
              <w:rPr>
                <w:spacing w:val="-5"/>
                <w:sz w:val="28"/>
              </w:rPr>
              <w:t>14</w:t>
            </w:r>
          </w:p>
        </w:tc>
        <w:tc>
          <w:tcPr>
            <w:tcW w:w="802" w:type="dxa"/>
          </w:tcPr>
          <w:p w14:paraId="03380984">
            <w:pPr>
              <w:pStyle w:val="11"/>
              <w:spacing w:before="12"/>
              <w:ind w:right="82"/>
              <w:jc w:val="right"/>
              <w:rPr>
                <w:sz w:val="28"/>
              </w:rPr>
            </w:pPr>
            <w:r>
              <w:rPr>
                <w:spacing w:val="-10"/>
                <w:sz w:val="28"/>
              </w:rPr>
              <w:t>0</w:t>
            </w:r>
          </w:p>
        </w:tc>
      </w:tr>
      <w:tr w14:paraId="00F50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63435F7B">
            <w:pPr>
              <w:pStyle w:val="11"/>
              <w:spacing w:before="12"/>
              <w:ind w:left="110"/>
              <w:jc w:val="left"/>
              <w:rPr>
                <w:sz w:val="28"/>
              </w:rPr>
            </w:pPr>
            <w:r>
              <w:rPr>
                <w:spacing w:val="-2"/>
                <w:sz w:val="28"/>
              </w:rPr>
              <w:t>Карагандинская</w:t>
            </w:r>
          </w:p>
        </w:tc>
        <w:tc>
          <w:tcPr>
            <w:tcW w:w="768" w:type="dxa"/>
          </w:tcPr>
          <w:p w14:paraId="2AB2DB56">
            <w:pPr>
              <w:pStyle w:val="11"/>
              <w:spacing w:before="12"/>
              <w:ind w:right="93"/>
              <w:jc w:val="right"/>
              <w:rPr>
                <w:sz w:val="28"/>
              </w:rPr>
            </w:pPr>
            <w:r>
              <w:rPr>
                <w:spacing w:val="-5"/>
                <w:sz w:val="28"/>
              </w:rPr>
              <w:t>101</w:t>
            </w:r>
          </w:p>
        </w:tc>
        <w:tc>
          <w:tcPr>
            <w:tcW w:w="739" w:type="dxa"/>
          </w:tcPr>
          <w:p w14:paraId="2A952A11">
            <w:pPr>
              <w:pStyle w:val="11"/>
              <w:spacing w:before="12"/>
              <w:ind w:right="93"/>
              <w:jc w:val="right"/>
              <w:rPr>
                <w:sz w:val="28"/>
              </w:rPr>
            </w:pPr>
            <w:r>
              <w:rPr>
                <w:spacing w:val="-5"/>
                <w:sz w:val="28"/>
              </w:rPr>
              <w:t>54</w:t>
            </w:r>
          </w:p>
        </w:tc>
        <w:tc>
          <w:tcPr>
            <w:tcW w:w="758" w:type="dxa"/>
          </w:tcPr>
          <w:p w14:paraId="377B8E04">
            <w:pPr>
              <w:pStyle w:val="11"/>
              <w:spacing w:before="12"/>
              <w:ind w:right="92"/>
              <w:jc w:val="right"/>
              <w:rPr>
                <w:sz w:val="28"/>
              </w:rPr>
            </w:pPr>
            <w:r>
              <w:rPr>
                <w:spacing w:val="-5"/>
                <w:sz w:val="28"/>
              </w:rPr>
              <w:t>28</w:t>
            </w:r>
          </w:p>
        </w:tc>
        <w:tc>
          <w:tcPr>
            <w:tcW w:w="763" w:type="dxa"/>
          </w:tcPr>
          <w:p w14:paraId="1A040001">
            <w:pPr>
              <w:pStyle w:val="11"/>
              <w:spacing w:before="12"/>
              <w:ind w:right="92"/>
              <w:jc w:val="right"/>
              <w:rPr>
                <w:sz w:val="28"/>
              </w:rPr>
            </w:pPr>
            <w:r>
              <w:rPr>
                <w:spacing w:val="-5"/>
                <w:sz w:val="28"/>
              </w:rPr>
              <w:t>10</w:t>
            </w:r>
          </w:p>
        </w:tc>
        <w:tc>
          <w:tcPr>
            <w:tcW w:w="796" w:type="dxa"/>
          </w:tcPr>
          <w:p w14:paraId="2680E3F5">
            <w:pPr>
              <w:pStyle w:val="11"/>
              <w:spacing w:before="12"/>
              <w:ind w:right="91"/>
              <w:jc w:val="right"/>
              <w:rPr>
                <w:sz w:val="28"/>
              </w:rPr>
            </w:pPr>
            <w:r>
              <w:rPr>
                <w:spacing w:val="-5"/>
                <w:sz w:val="28"/>
              </w:rPr>
              <w:t>92</w:t>
            </w:r>
          </w:p>
        </w:tc>
        <w:tc>
          <w:tcPr>
            <w:tcW w:w="739" w:type="dxa"/>
          </w:tcPr>
          <w:p w14:paraId="39B5ED52">
            <w:pPr>
              <w:pStyle w:val="11"/>
              <w:spacing w:before="12"/>
              <w:ind w:right="90"/>
              <w:jc w:val="right"/>
              <w:rPr>
                <w:sz w:val="28"/>
              </w:rPr>
            </w:pPr>
            <w:r>
              <w:rPr>
                <w:spacing w:val="-5"/>
                <w:sz w:val="28"/>
              </w:rPr>
              <w:t>45</w:t>
            </w:r>
          </w:p>
        </w:tc>
        <w:tc>
          <w:tcPr>
            <w:tcW w:w="758" w:type="dxa"/>
          </w:tcPr>
          <w:p w14:paraId="135E28ED">
            <w:pPr>
              <w:pStyle w:val="11"/>
              <w:spacing w:before="12"/>
              <w:ind w:right="90"/>
              <w:jc w:val="right"/>
              <w:rPr>
                <w:sz w:val="28"/>
              </w:rPr>
            </w:pPr>
            <w:r>
              <w:rPr>
                <w:spacing w:val="-5"/>
                <w:sz w:val="28"/>
              </w:rPr>
              <w:t>11</w:t>
            </w:r>
          </w:p>
        </w:tc>
        <w:tc>
          <w:tcPr>
            <w:tcW w:w="758" w:type="dxa"/>
          </w:tcPr>
          <w:p w14:paraId="1E54C02D">
            <w:pPr>
              <w:pStyle w:val="11"/>
              <w:spacing w:before="12"/>
              <w:ind w:right="89"/>
              <w:jc w:val="right"/>
              <w:rPr>
                <w:sz w:val="28"/>
              </w:rPr>
            </w:pPr>
            <w:r>
              <w:rPr>
                <w:spacing w:val="-10"/>
                <w:sz w:val="28"/>
              </w:rPr>
              <w:t>3</w:t>
            </w:r>
          </w:p>
        </w:tc>
        <w:tc>
          <w:tcPr>
            <w:tcW w:w="796" w:type="dxa"/>
          </w:tcPr>
          <w:p w14:paraId="345D3B0A">
            <w:pPr>
              <w:pStyle w:val="11"/>
              <w:spacing w:before="12"/>
              <w:ind w:right="88"/>
              <w:jc w:val="right"/>
              <w:rPr>
                <w:sz w:val="28"/>
              </w:rPr>
            </w:pPr>
            <w:r>
              <w:rPr>
                <w:spacing w:val="-5"/>
                <w:sz w:val="28"/>
              </w:rPr>
              <w:t>87</w:t>
            </w:r>
          </w:p>
        </w:tc>
        <w:tc>
          <w:tcPr>
            <w:tcW w:w="739" w:type="dxa"/>
          </w:tcPr>
          <w:p w14:paraId="77AECD6A">
            <w:pPr>
              <w:pStyle w:val="11"/>
              <w:spacing w:before="12"/>
              <w:ind w:right="88"/>
              <w:jc w:val="right"/>
              <w:rPr>
                <w:sz w:val="28"/>
              </w:rPr>
            </w:pPr>
            <w:r>
              <w:rPr>
                <w:spacing w:val="-5"/>
                <w:sz w:val="28"/>
              </w:rPr>
              <w:t>27</w:t>
            </w:r>
          </w:p>
        </w:tc>
        <w:tc>
          <w:tcPr>
            <w:tcW w:w="758" w:type="dxa"/>
          </w:tcPr>
          <w:p w14:paraId="080B5319">
            <w:pPr>
              <w:pStyle w:val="11"/>
              <w:spacing w:before="12"/>
              <w:ind w:right="87"/>
              <w:jc w:val="right"/>
              <w:rPr>
                <w:sz w:val="28"/>
              </w:rPr>
            </w:pPr>
            <w:r>
              <w:rPr>
                <w:spacing w:val="-5"/>
                <w:sz w:val="28"/>
              </w:rPr>
              <w:t>15</w:t>
            </w:r>
          </w:p>
        </w:tc>
        <w:tc>
          <w:tcPr>
            <w:tcW w:w="763" w:type="dxa"/>
          </w:tcPr>
          <w:p w14:paraId="357F95AA">
            <w:pPr>
              <w:pStyle w:val="11"/>
              <w:spacing w:before="12"/>
              <w:ind w:right="87"/>
              <w:jc w:val="right"/>
              <w:rPr>
                <w:sz w:val="28"/>
              </w:rPr>
            </w:pPr>
            <w:r>
              <w:rPr>
                <w:spacing w:val="-10"/>
                <w:sz w:val="28"/>
              </w:rPr>
              <w:t>4</w:t>
            </w:r>
          </w:p>
        </w:tc>
        <w:tc>
          <w:tcPr>
            <w:tcW w:w="796" w:type="dxa"/>
          </w:tcPr>
          <w:p w14:paraId="7A9D5B58">
            <w:pPr>
              <w:pStyle w:val="11"/>
              <w:spacing w:before="12"/>
              <w:ind w:right="86"/>
              <w:jc w:val="right"/>
              <w:rPr>
                <w:sz w:val="28"/>
              </w:rPr>
            </w:pPr>
            <w:r>
              <w:rPr>
                <w:spacing w:val="-5"/>
                <w:sz w:val="28"/>
              </w:rPr>
              <w:t>75</w:t>
            </w:r>
          </w:p>
        </w:tc>
        <w:tc>
          <w:tcPr>
            <w:tcW w:w="738" w:type="dxa"/>
          </w:tcPr>
          <w:p w14:paraId="01C62ED7">
            <w:pPr>
              <w:pStyle w:val="11"/>
              <w:spacing w:before="12"/>
              <w:ind w:right="89"/>
              <w:jc w:val="right"/>
              <w:rPr>
                <w:sz w:val="28"/>
              </w:rPr>
            </w:pPr>
            <w:r>
              <w:rPr>
                <w:spacing w:val="-5"/>
                <w:sz w:val="28"/>
              </w:rPr>
              <w:t>34</w:t>
            </w:r>
          </w:p>
        </w:tc>
        <w:tc>
          <w:tcPr>
            <w:tcW w:w="758" w:type="dxa"/>
          </w:tcPr>
          <w:p w14:paraId="2AFFA8ED">
            <w:pPr>
              <w:pStyle w:val="11"/>
              <w:spacing w:before="12"/>
              <w:ind w:right="88"/>
              <w:jc w:val="right"/>
              <w:rPr>
                <w:sz w:val="28"/>
              </w:rPr>
            </w:pPr>
            <w:r>
              <w:rPr>
                <w:spacing w:val="-5"/>
                <w:sz w:val="28"/>
              </w:rPr>
              <w:t>11</w:t>
            </w:r>
          </w:p>
        </w:tc>
        <w:tc>
          <w:tcPr>
            <w:tcW w:w="802" w:type="dxa"/>
          </w:tcPr>
          <w:p w14:paraId="2D005621">
            <w:pPr>
              <w:pStyle w:val="11"/>
              <w:spacing w:before="12"/>
              <w:ind w:right="82"/>
              <w:jc w:val="right"/>
              <w:rPr>
                <w:sz w:val="28"/>
              </w:rPr>
            </w:pPr>
            <w:r>
              <w:rPr>
                <w:spacing w:val="-10"/>
                <w:sz w:val="28"/>
              </w:rPr>
              <w:t>4</w:t>
            </w:r>
          </w:p>
        </w:tc>
      </w:tr>
      <w:tr w14:paraId="63FAE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53DFF7AD">
            <w:pPr>
              <w:pStyle w:val="11"/>
              <w:spacing w:before="12"/>
              <w:ind w:left="110"/>
              <w:jc w:val="left"/>
              <w:rPr>
                <w:sz w:val="28"/>
              </w:rPr>
            </w:pPr>
            <w:r>
              <w:rPr>
                <w:spacing w:val="-2"/>
                <w:sz w:val="28"/>
              </w:rPr>
              <w:t>Костанайская</w:t>
            </w:r>
          </w:p>
        </w:tc>
        <w:tc>
          <w:tcPr>
            <w:tcW w:w="768" w:type="dxa"/>
          </w:tcPr>
          <w:p w14:paraId="522D9AF0">
            <w:pPr>
              <w:pStyle w:val="11"/>
              <w:spacing w:before="12"/>
              <w:ind w:right="93"/>
              <w:jc w:val="right"/>
              <w:rPr>
                <w:sz w:val="28"/>
              </w:rPr>
            </w:pPr>
            <w:r>
              <w:rPr>
                <w:spacing w:val="-5"/>
                <w:sz w:val="28"/>
              </w:rPr>
              <w:t>42</w:t>
            </w:r>
          </w:p>
        </w:tc>
        <w:tc>
          <w:tcPr>
            <w:tcW w:w="739" w:type="dxa"/>
          </w:tcPr>
          <w:p w14:paraId="3A9DCE7E">
            <w:pPr>
              <w:pStyle w:val="11"/>
              <w:spacing w:before="12"/>
              <w:ind w:right="93"/>
              <w:jc w:val="right"/>
              <w:rPr>
                <w:sz w:val="28"/>
              </w:rPr>
            </w:pPr>
            <w:r>
              <w:rPr>
                <w:spacing w:val="-5"/>
                <w:sz w:val="28"/>
              </w:rPr>
              <w:t>23</w:t>
            </w:r>
          </w:p>
        </w:tc>
        <w:tc>
          <w:tcPr>
            <w:tcW w:w="758" w:type="dxa"/>
          </w:tcPr>
          <w:p w14:paraId="5307816D">
            <w:pPr>
              <w:pStyle w:val="11"/>
              <w:spacing w:before="12"/>
              <w:ind w:right="92"/>
              <w:jc w:val="right"/>
              <w:rPr>
                <w:sz w:val="28"/>
              </w:rPr>
            </w:pPr>
            <w:r>
              <w:rPr>
                <w:spacing w:val="-10"/>
                <w:sz w:val="28"/>
              </w:rPr>
              <w:t>7</w:t>
            </w:r>
          </w:p>
        </w:tc>
        <w:tc>
          <w:tcPr>
            <w:tcW w:w="763" w:type="dxa"/>
          </w:tcPr>
          <w:p w14:paraId="61FD21A4">
            <w:pPr>
              <w:pStyle w:val="11"/>
              <w:spacing w:before="12"/>
              <w:ind w:right="92"/>
              <w:jc w:val="right"/>
              <w:rPr>
                <w:sz w:val="28"/>
              </w:rPr>
            </w:pPr>
            <w:r>
              <w:rPr>
                <w:spacing w:val="-10"/>
                <w:sz w:val="28"/>
              </w:rPr>
              <w:t>3</w:t>
            </w:r>
          </w:p>
        </w:tc>
        <w:tc>
          <w:tcPr>
            <w:tcW w:w="796" w:type="dxa"/>
          </w:tcPr>
          <w:p w14:paraId="470071C3">
            <w:pPr>
              <w:pStyle w:val="11"/>
              <w:spacing w:before="12"/>
              <w:ind w:right="91"/>
              <w:jc w:val="right"/>
              <w:rPr>
                <w:sz w:val="28"/>
              </w:rPr>
            </w:pPr>
            <w:r>
              <w:rPr>
                <w:spacing w:val="-5"/>
                <w:sz w:val="28"/>
              </w:rPr>
              <w:t>54</w:t>
            </w:r>
          </w:p>
        </w:tc>
        <w:tc>
          <w:tcPr>
            <w:tcW w:w="739" w:type="dxa"/>
          </w:tcPr>
          <w:p w14:paraId="77190FDE">
            <w:pPr>
              <w:pStyle w:val="11"/>
              <w:spacing w:before="12"/>
              <w:ind w:right="90"/>
              <w:jc w:val="right"/>
              <w:rPr>
                <w:sz w:val="28"/>
              </w:rPr>
            </w:pPr>
            <w:r>
              <w:rPr>
                <w:spacing w:val="-5"/>
                <w:sz w:val="28"/>
              </w:rPr>
              <w:t>27</w:t>
            </w:r>
          </w:p>
        </w:tc>
        <w:tc>
          <w:tcPr>
            <w:tcW w:w="758" w:type="dxa"/>
          </w:tcPr>
          <w:p w14:paraId="1782A32C">
            <w:pPr>
              <w:pStyle w:val="11"/>
              <w:spacing w:before="12"/>
              <w:ind w:right="90"/>
              <w:jc w:val="right"/>
              <w:rPr>
                <w:sz w:val="28"/>
              </w:rPr>
            </w:pPr>
            <w:r>
              <w:rPr>
                <w:spacing w:val="-5"/>
                <w:sz w:val="28"/>
              </w:rPr>
              <w:t>10</w:t>
            </w:r>
          </w:p>
        </w:tc>
        <w:tc>
          <w:tcPr>
            <w:tcW w:w="758" w:type="dxa"/>
          </w:tcPr>
          <w:p w14:paraId="09BA9BA4">
            <w:pPr>
              <w:pStyle w:val="11"/>
              <w:spacing w:before="12"/>
              <w:ind w:right="89"/>
              <w:jc w:val="right"/>
              <w:rPr>
                <w:sz w:val="28"/>
              </w:rPr>
            </w:pPr>
            <w:r>
              <w:rPr>
                <w:spacing w:val="-10"/>
                <w:sz w:val="28"/>
              </w:rPr>
              <w:t>4</w:t>
            </w:r>
          </w:p>
        </w:tc>
        <w:tc>
          <w:tcPr>
            <w:tcW w:w="796" w:type="dxa"/>
          </w:tcPr>
          <w:p w14:paraId="56F18F16">
            <w:pPr>
              <w:pStyle w:val="11"/>
              <w:spacing w:before="12"/>
              <w:ind w:right="88"/>
              <w:jc w:val="right"/>
              <w:rPr>
                <w:sz w:val="28"/>
              </w:rPr>
            </w:pPr>
            <w:r>
              <w:rPr>
                <w:spacing w:val="-5"/>
                <w:sz w:val="28"/>
              </w:rPr>
              <w:t>53</w:t>
            </w:r>
          </w:p>
        </w:tc>
        <w:tc>
          <w:tcPr>
            <w:tcW w:w="739" w:type="dxa"/>
          </w:tcPr>
          <w:p w14:paraId="0C0B14CA">
            <w:pPr>
              <w:pStyle w:val="11"/>
              <w:spacing w:before="12"/>
              <w:ind w:right="88"/>
              <w:jc w:val="right"/>
              <w:rPr>
                <w:sz w:val="28"/>
              </w:rPr>
            </w:pPr>
            <w:r>
              <w:rPr>
                <w:spacing w:val="-5"/>
                <w:sz w:val="28"/>
              </w:rPr>
              <w:t>29</w:t>
            </w:r>
          </w:p>
        </w:tc>
        <w:tc>
          <w:tcPr>
            <w:tcW w:w="758" w:type="dxa"/>
          </w:tcPr>
          <w:p w14:paraId="20293C09">
            <w:pPr>
              <w:pStyle w:val="11"/>
              <w:spacing w:before="12"/>
              <w:ind w:right="87"/>
              <w:jc w:val="right"/>
              <w:rPr>
                <w:sz w:val="28"/>
              </w:rPr>
            </w:pPr>
            <w:r>
              <w:rPr>
                <w:spacing w:val="-5"/>
                <w:sz w:val="28"/>
              </w:rPr>
              <w:t>10</w:t>
            </w:r>
          </w:p>
        </w:tc>
        <w:tc>
          <w:tcPr>
            <w:tcW w:w="763" w:type="dxa"/>
          </w:tcPr>
          <w:p w14:paraId="68F0F704">
            <w:pPr>
              <w:pStyle w:val="11"/>
              <w:spacing w:before="12"/>
              <w:ind w:right="87"/>
              <w:jc w:val="right"/>
              <w:rPr>
                <w:sz w:val="28"/>
              </w:rPr>
            </w:pPr>
            <w:r>
              <w:rPr>
                <w:spacing w:val="-10"/>
                <w:sz w:val="28"/>
              </w:rPr>
              <w:t>2</w:t>
            </w:r>
          </w:p>
        </w:tc>
        <w:tc>
          <w:tcPr>
            <w:tcW w:w="796" w:type="dxa"/>
          </w:tcPr>
          <w:p w14:paraId="7F4134CF">
            <w:pPr>
              <w:pStyle w:val="11"/>
              <w:spacing w:before="12"/>
              <w:ind w:right="86"/>
              <w:jc w:val="right"/>
              <w:rPr>
                <w:sz w:val="28"/>
              </w:rPr>
            </w:pPr>
            <w:r>
              <w:rPr>
                <w:spacing w:val="-5"/>
                <w:sz w:val="28"/>
              </w:rPr>
              <w:t>32</w:t>
            </w:r>
          </w:p>
        </w:tc>
        <w:tc>
          <w:tcPr>
            <w:tcW w:w="738" w:type="dxa"/>
          </w:tcPr>
          <w:p w14:paraId="0393D9AC">
            <w:pPr>
              <w:pStyle w:val="11"/>
              <w:spacing w:before="12"/>
              <w:ind w:right="89"/>
              <w:jc w:val="right"/>
              <w:rPr>
                <w:sz w:val="28"/>
              </w:rPr>
            </w:pPr>
            <w:r>
              <w:rPr>
                <w:spacing w:val="-5"/>
                <w:sz w:val="28"/>
              </w:rPr>
              <w:t>19</w:t>
            </w:r>
          </w:p>
        </w:tc>
        <w:tc>
          <w:tcPr>
            <w:tcW w:w="758" w:type="dxa"/>
          </w:tcPr>
          <w:p w14:paraId="5A124152">
            <w:pPr>
              <w:pStyle w:val="11"/>
              <w:spacing w:before="12"/>
              <w:ind w:right="88"/>
              <w:jc w:val="right"/>
              <w:rPr>
                <w:sz w:val="28"/>
              </w:rPr>
            </w:pPr>
            <w:r>
              <w:rPr>
                <w:spacing w:val="-10"/>
                <w:sz w:val="28"/>
              </w:rPr>
              <w:t>5</w:t>
            </w:r>
          </w:p>
        </w:tc>
        <w:tc>
          <w:tcPr>
            <w:tcW w:w="802" w:type="dxa"/>
          </w:tcPr>
          <w:p w14:paraId="0960DC94">
            <w:pPr>
              <w:pStyle w:val="11"/>
              <w:spacing w:before="12"/>
              <w:ind w:right="82"/>
              <w:jc w:val="right"/>
              <w:rPr>
                <w:sz w:val="28"/>
              </w:rPr>
            </w:pPr>
            <w:r>
              <w:rPr>
                <w:spacing w:val="-10"/>
                <w:sz w:val="28"/>
              </w:rPr>
              <w:t>2</w:t>
            </w:r>
          </w:p>
        </w:tc>
      </w:tr>
      <w:tr w14:paraId="3894C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367" w:type="dxa"/>
          </w:tcPr>
          <w:p w14:paraId="2AB9F181">
            <w:pPr>
              <w:pStyle w:val="11"/>
              <w:spacing w:before="16"/>
              <w:ind w:left="110"/>
              <w:jc w:val="left"/>
              <w:rPr>
                <w:sz w:val="28"/>
              </w:rPr>
            </w:pPr>
            <w:r>
              <w:rPr>
                <w:spacing w:val="-2"/>
                <w:sz w:val="28"/>
              </w:rPr>
              <w:t>Кызылординская</w:t>
            </w:r>
          </w:p>
        </w:tc>
        <w:tc>
          <w:tcPr>
            <w:tcW w:w="768" w:type="dxa"/>
          </w:tcPr>
          <w:p w14:paraId="3A72A261">
            <w:pPr>
              <w:pStyle w:val="11"/>
              <w:spacing w:before="16"/>
              <w:ind w:right="93"/>
              <w:jc w:val="right"/>
              <w:rPr>
                <w:sz w:val="28"/>
              </w:rPr>
            </w:pPr>
            <w:r>
              <w:rPr>
                <w:spacing w:val="-5"/>
                <w:sz w:val="28"/>
              </w:rPr>
              <w:t>93</w:t>
            </w:r>
          </w:p>
        </w:tc>
        <w:tc>
          <w:tcPr>
            <w:tcW w:w="739" w:type="dxa"/>
          </w:tcPr>
          <w:p w14:paraId="5ACC25C6">
            <w:pPr>
              <w:pStyle w:val="11"/>
              <w:spacing w:before="16"/>
              <w:ind w:right="93"/>
              <w:jc w:val="right"/>
              <w:rPr>
                <w:sz w:val="28"/>
              </w:rPr>
            </w:pPr>
            <w:r>
              <w:rPr>
                <w:spacing w:val="-10"/>
                <w:sz w:val="28"/>
              </w:rPr>
              <w:t>9</w:t>
            </w:r>
          </w:p>
        </w:tc>
        <w:tc>
          <w:tcPr>
            <w:tcW w:w="758" w:type="dxa"/>
          </w:tcPr>
          <w:p w14:paraId="64D20228">
            <w:pPr>
              <w:pStyle w:val="11"/>
              <w:spacing w:before="16"/>
              <w:ind w:right="92"/>
              <w:jc w:val="right"/>
              <w:rPr>
                <w:sz w:val="28"/>
              </w:rPr>
            </w:pPr>
            <w:r>
              <w:rPr>
                <w:spacing w:val="-10"/>
                <w:sz w:val="28"/>
              </w:rPr>
              <w:t>2</w:t>
            </w:r>
          </w:p>
        </w:tc>
        <w:tc>
          <w:tcPr>
            <w:tcW w:w="763" w:type="dxa"/>
          </w:tcPr>
          <w:p w14:paraId="67A9A194">
            <w:pPr>
              <w:pStyle w:val="11"/>
              <w:spacing w:before="16"/>
              <w:ind w:right="92"/>
              <w:jc w:val="right"/>
              <w:rPr>
                <w:sz w:val="28"/>
              </w:rPr>
            </w:pPr>
            <w:r>
              <w:rPr>
                <w:spacing w:val="-10"/>
                <w:sz w:val="28"/>
              </w:rPr>
              <w:t>1</w:t>
            </w:r>
          </w:p>
        </w:tc>
        <w:tc>
          <w:tcPr>
            <w:tcW w:w="796" w:type="dxa"/>
          </w:tcPr>
          <w:p w14:paraId="71A89DED">
            <w:pPr>
              <w:pStyle w:val="11"/>
              <w:spacing w:before="16"/>
              <w:ind w:right="91"/>
              <w:jc w:val="right"/>
              <w:rPr>
                <w:sz w:val="28"/>
              </w:rPr>
            </w:pPr>
            <w:r>
              <w:rPr>
                <w:spacing w:val="-5"/>
                <w:sz w:val="28"/>
              </w:rPr>
              <w:t>104</w:t>
            </w:r>
          </w:p>
        </w:tc>
        <w:tc>
          <w:tcPr>
            <w:tcW w:w="739" w:type="dxa"/>
          </w:tcPr>
          <w:p w14:paraId="6CBF9444">
            <w:pPr>
              <w:pStyle w:val="11"/>
              <w:spacing w:before="16"/>
              <w:ind w:right="90"/>
              <w:jc w:val="right"/>
              <w:rPr>
                <w:sz w:val="28"/>
              </w:rPr>
            </w:pPr>
            <w:r>
              <w:rPr>
                <w:spacing w:val="-5"/>
                <w:sz w:val="28"/>
              </w:rPr>
              <w:t>15</w:t>
            </w:r>
          </w:p>
        </w:tc>
        <w:tc>
          <w:tcPr>
            <w:tcW w:w="758" w:type="dxa"/>
          </w:tcPr>
          <w:p w14:paraId="0CA7E89F">
            <w:pPr>
              <w:pStyle w:val="11"/>
              <w:spacing w:before="16"/>
              <w:ind w:right="90"/>
              <w:jc w:val="right"/>
              <w:rPr>
                <w:sz w:val="28"/>
              </w:rPr>
            </w:pPr>
            <w:r>
              <w:rPr>
                <w:spacing w:val="-10"/>
                <w:sz w:val="28"/>
              </w:rPr>
              <w:t>4</w:t>
            </w:r>
          </w:p>
        </w:tc>
        <w:tc>
          <w:tcPr>
            <w:tcW w:w="758" w:type="dxa"/>
          </w:tcPr>
          <w:p w14:paraId="2093CF3D">
            <w:pPr>
              <w:pStyle w:val="11"/>
              <w:spacing w:before="16"/>
              <w:ind w:right="89"/>
              <w:jc w:val="right"/>
              <w:rPr>
                <w:sz w:val="28"/>
              </w:rPr>
            </w:pPr>
            <w:r>
              <w:rPr>
                <w:spacing w:val="-10"/>
                <w:sz w:val="28"/>
              </w:rPr>
              <w:t>0</w:t>
            </w:r>
          </w:p>
        </w:tc>
        <w:tc>
          <w:tcPr>
            <w:tcW w:w="796" w:type="dxa"/>
          </w:tcPr>
          <w:p w14:paraId="618228D5">
            <w:pPr>
              <w:pStyle w:val="11"/>
              <w:spacing w:before="16"/>
              <w:ind w:right="88"/>
              <w:jc w:val="right"/>
              <w:rPr>
                <w:sz w:val="28"/>
              </w:rPr>
            </w:pPr>
            <w:r>
              <w:rPr>
                <w:spacing w:val="-5"/>
                <w:sz w:val="28"/>
              </w:rPr>
              <w:t>86</w:t>
            </w:r>
          </w:p>
        </w:tc>
        <w:tc>
          <w:tcPr>
            <w:tcW w:w="739" w:type="dxa"/>
          </w:tcPr>
          <w:p w14:paraId="59654CC4">
            <w:pPr>
              <w:pStyle w:val="11"/>
              <w:spacing w:before="16"/>
              <w:ind w:right="88"/>
              <w:jc w:val="right"/>
              <w:rPr>
                <w:sz w:val="28"/>
              </w:rPr>
            </w:pPr>
            <w:r>
              <w:rPr>
                <w:spacing w:val="-5"/>
                <w:sz w:val="28"/>
              </w:rPr>
              <w:t>16</w:t>
            </w:r>
          </w:p>
        </w:tc>
        <w:tc>
          <w:tcPr>
            <w:tcW w:w="758" w:type="dxa"/>
          </w:tcPr>
          <w:p w14:paraId="1E3EEFCB">
            <w:pPr>
              <w:pStyle w:val="11"/>
              <w:spacing w:before="16"/>
              <w:ind w:right="87"/>
              <w:jc w:val="right"/>
              <w:rPr>
                <w:sz w:val="28"/>
              </w:rPr>
            </w:pPr>
            <w:r>
              <w:rPr>
                <w:spacing w:val="-5"/>
                <w:sz w:val="28"/>
              </w:rPr>
              <w:t>14</w:t>
            </w:r>
          </w:p>
        </w:tc>
        <w:tc>
          <w:tcPr>
            <w:tcW w:w="763" w:type="dxa"/>
          </w:tcPr>
          <w:p w14:paraId="6F820A7F">
            <w:pPr>
              <w:pStyle w:val="11"/>
              <w:spacing w:before="16"/>
              <w:ind w:right="87"/>
              <w:jc w:val="right"/>
              <w:rPr>
                <w:sz w:val="28"/>
              </w:rPr>
            </w:pPr>
            <w:r>
              <w:rPr>
                <w:spacing w:val="-10"/>
                <w:sz w:val="28"/>
              </w:rPr>
              <w:t>0</w:t>
            </w:r>
          </w:p>
        </w:tc>
        <w:tc>
          <w:tcPr>
            <w:tcW w:w="796" w:type="dxa"/>
          </w:tcPr>
          <w:p w14:paraId="6AD99C7A">
            <w:pPr>
              <w:pStyle w:val="11"/>
              <w:spacing w:before="16"/>
              <w:ind w:right="86"/>
              <w:jc w:val="right"/>
              <w:rPr>
                <w:sz w:val="28"/>
              </w:rPr>
            </w:pPr>
            <w:r>
              <w:rPr>
                <w:spacing w:val="-5"/>
                <w:sz w:val="28"/>
              </w:rPr>
              <w:t>109</w:t>
            </w:r>
          </w:p>
        </w:tc>
        <w:tc>
          <w:tcPr>
            <w:tcW w:w="738" w:type="dxa"/>
          </w:tcPr>
          <w:p w14:paraId="3954D55A">
            <w:pPr>
              <w:pStyle w:val="11"/>
              <w:spacing w:before="16"/>
              <w:ind w:right="89"/>
              <w:jc w:val="right"/>
              <w:rPr>
                <w:sz w:val="28"/>
              </w:rPr>
            </w:pPr>
            <w:r>
              <w:rPr>
                <w:spacing w:val="-5"/>
                <w:sz w:val="28"/>
              </w:rPr>
              <w:t>10</w:t>
            </w:r>
          </w:p>
        </w:tc>
        <w:tc>
          <w:tcPr>
            <w:tcW w:w="758" w:type="dxa"/>
          </w:tcPr>
          <w:p w14:paraId="0689C03B">
            <w:pPr>
              <w:pStyle w:val="11"/>
              <w:spacing w:before="16"/>
              <w:ind w:right="88"/>
              <w:jc w:val="right"/>
              <w:rPr>
                <w:sz w:val="28"/>
              </w:rPr>
            </w:pPr>
            <w:r>
              <w:rPr>
                <w:spacing w:val="-5"/>
                <w:sz w:val="28"/>
              </w:rPr>
              <w:t>13</w:t>
            </w:r>
          </w:p>
        </w:tc>
        <w:tc>
          <w:tcPr>
            <w:tcW w:w="802" w:type="dxa"/>
          </w:tcPr>
          <w:p w14:paraId="6DA04570">
            <w:pPr>
              <w:pStyle w:val="11"/>
              <w:spacing w:before="16"/>
              <w:ind w:right="82"/>
              <w:jc w:val="right"/>
              <w:rPr>
                <w:sz w:val="28"/>
              </w:rPr>
            </w:pPr>
            <w:r>
              <w:rPr>
                <w:spacing w:val="-10"/>
                <w:sz w:val="28"/>
              </w:rPr>
              <w:t>2</w:t>
            </w:r>
          </w:p>
        </w:tc>
      </w:tr>
      <w:tr w14:paraId="7264FC9D">
        <w:tblPrEx>
          <w:tblCellMar>
            <w:top w:w="0" w:type="dxa"/>
            <w:left w:w="0" w:type="dxa"/>
            <w:bottom w:w="0" w:type="dxa"/>
            <w:right w:w="0" w:type="dxa"/>
          </w:tblCellMar>
        </w:tblPrEx>
        <w:trPr>
          <w:trHeight w:val="340" w:hRule="atLeast"/>
        </w:trPr>
        <w:tc>
          <w:tcPr>
            <w:tcW w:w="2367" w:type="dxa"/>
          </w:tcPr>
          <w:p w14:paraId="3EC030DF">
            <w:pPr>
              <w:pStyle w:val="11"/>
              <w:spacing w:before="12"/>
              <w:ind w:left="110"/>
              <w:jc w:val="left"/>
              <w:rPr>
                <w:sz w:val="28"/>
              </w:rPr>
            </w:pPr>
            <w:r>
              <w:rPr>
                <w:spacing w:val="-2"/>
                <w:sz w:val="28"/>
              </w:rPr>
              <w:t>Мангыстауская</w:t>
            </w:r>
          </w:p>
        </w:tc>
        <w:tc>
          <w:tcPr>
            <w:tcW w:w="768" w:type="dxa"/>
          </w:tcPr>
          <w:p w14:paraId="6E1FBB38">
            <w:pPr>
              <w:pStyle w:val="11"/>
              <w:spacing w:before="12"/>
              <w:ind w:right="93"/>
              <w:jc w:val="right"/>
              <w:rPr>
                <w:sz w:val="28"/>
              </w:rPr>
            </w:pPr>
            <w:r>
              <w:rPr>
                <w:spacing w:val="-5"/>
                <w:sz w:val="28"/>
              </w:rPr>
              <w:t>86</w:t>
            </w:r>
          </w:p>
        </w:tc>
        <w:tc>
          <w:tcPr>
            <w:tcW w:w="739" w:type="dxa"/>
          </w:tcPr>
          <w:p w14:paraId="525E35E0">
            <w:pPr>
              <w:pStyle w:val="11"/>
              <w:spacing w:before="12"/>
              <w:ind w:right="93"/>
              <w:jc w:val="right"/>
              <w:rPr>
                <w:sz w:val="28"/>
              </w:rPr>
            </w:pPr>
            <w:r>
              <w:rPr>
                <w:spacing w:val="-5"/>
                <w:sz w:val="28"/>
              </w:rPr>
              <w:t>27</w:t>
            </w:r>
          </w:p>
        </w:tc>
        <w:tc>
          <w:tcPr>
            <w:tcW w:w="758" w:type="dxa"/>
          </w:tcPr>
          <w:p w14:paraId="0345A6D3">
            <w:pPr>
              <w:pStyle w:val="11"/>
              <w:spacing w:before="12"/>
              <w:ind w:right="92"/>
              <w:jc w:val="right"/>
              <w:rPr>
                <w:sz w:val="28"/>
              </w:rPr>
            </w:pPr>
            <w:r>
              <w:rPr>
                <w:spacing w:val="-5"/>
                <w:sz w:val="28"/>
              </w:rPr>
              <w:t>18</w:t>
            </w:r>
          </w:p>
        </w:tc>
        <w:tc>
          <w:tcPr>
            <w:tcW w:w="763" w:type="dxa"/>
          </w:tcPr>
          <w:p w14:paraId="221D94F7">
            <w:pPr>
              <w:pStyle w:val="11"/>
              <w:spacing w:before="12"/>
              <w:ind w:right="92"/>
              <w:jc w:val="right"/>
              <w:rPr>
                <w:sz w:val="28"/>
              </w:rPr>
            </w:pPr>
            <w:r>
              <w:rPr>
                <w:spacing w:val="-5"/>
                <w:sz w:val="28"/>
              </w:rPr>
              <w:t>13</w:t>
            </w:r>
          </w:p>
        </w:tc>
        <w:tc>
          <w:tcPr>
            <w:tcW w:w="796" w:type="dxa"/>
          </w:tcPr>
          <w:p w14:paraId="63E896EE">
            <w:pPr>
              <w:pStyle w:val="11"/>
              <w:spacing w:before="12"/>
              <w:ind w:right="91"/>
              <w:jc w:val="right"/>
              <w:rPr>
                <w:sz w:val="28"/>
              </w:rPr>
            </w:pPr>
            <w:r>
              <w:rPr>
                <w:spacing w:val="-5"/>
                <w:sz w:val="28"/>
              </w:rPr>
              <w:t>57</w:t>
            </w:r>
          </w:p>
        </w:tc>
        <w:tc>
          <w:tcPr>
            <w:tcW w:w="739" w:type="dxa"/>
          </w:tcPr>
          <w:p w14:paraId="6CF31913">
            <w:pPr>
              <w:pStyle w:val="11"/>
              <w:spacing w:before="12"/>
              <w:ind w:right="90"/>
              <w:jc w:val="right"/>
              <w:rPr>
                <w:sz w:val="28"/>
              </w:rPr>
            </w:pPr>
            <w:r>
              <w:rPr>
                <w:spacing w:val="-10"/>
                <w:sz w:val="28"/>
              </w:rPr>
              <w:t>2</w:t>
            </w:r>
          </w:p>
        </w:tc>
        <w:tc>
          <w:tcPr>
            <w:tcW w:w="758" w:type="dxa"/>
          </w:tcPr>
          <w:p w14:paraId="4515EE54">
            <w:pPr>
              <w:pStyle w:val="11"/>
              <w:spacing w:before="12"/>
              <w:ind w:right="90"/>
              <w:jc w:val="right"/>
              <w:rPr>
                <w:sz w:val="28"/>
              </w:rPr>
            </w:pPr>
            <w:r>
              <w:rPr>
                <w:spacing w:val="-5"/>
                <w:sz w:val="28"/>
              </w:rPr>
              <w:t>12</w:t>
            </w:r>
          </w:p>
        </w:tc>
        <w:tc>
          <w:tcPr>
            <w:tcW w:w="758" w:type="dxa"/>
          </w:tcPr>
          <w:p w14:paraId="7564F33D">
            <w:pPr>
              <w:pStyle w:val="11"/>
              <w:spacing w:before="12"/>
              <w:ind w:right="89"/>
              <w:jc w:val="right"/>
              <w:rPr>
                <w:sz w:val="28"/>
              </w:rPr>
            </w:pPr>
            <w:r>
              <w:rPr>
                <w:spacing w:val="-5"/>
                <w:sz w:val="28"/>
              </w:rPr>
              <w:t>15</w:t>
            </w:r>
          </w:p>
        </w:tc>
        <w:tc>
          <w:tcPr>
            <w:tcW w:w="796" w:type="dxa"/>
          </w:tcPr>
          <w:p w14:paraId="3CD46C7D">
            <w:pPr>
              <w:pStyle w:val="11"/>
              <w:spacing w:before="12"/>
              <w:ind w:right="88"/>
              <w:jc w:val="right"/>
              <w:rPr>
                <w:sz w:val="28"/>
              </w:rPr>
            </w:pPr>
            <w:r>
              <w:rPr>
                <w:spacing w:val="-5"/>
                <w:sz w:val="28"/>
              </w:rPr>
              <w:t>43</w:t>
            </w:r>
          </w:p>
        </w:tc>
        <w:tc>
          <w:tcPr>
            <w:tcW w:w="739" w:type="dxa"/>
          </w:tcPr>
          <w:p w14:paraId="3C52BEAB">
            <w:pPr>
              <w:pStyle w:val="11"/>
              <w:spacing w:before="12"/>
              <w:ind w:right="88"/>
              <w:jc w:val="right"/>
              <w:rPr>
                <w:sz w:val="28"/>
              </w:rPr>
            </w:pPr>
            <w:r>
              <w:rPr>
                <w:spacing w:val="-5"/>
                <w:sz w:val="28"/>
              </w:rPr>
              <w:t>11</w:t>
            </w:r>
          </w:p>
        </w:tc>
        <w:tc>
          <w:tcPr>
            <w:tcW w:w="758" w:type="dxa"/>
          </w:tcPr>
          <w:p w14:paraId="4D6975FF">
            <w:pPr>
              <w:pStyle w:val="11"/>
              <w:spacing w:before="12"/>
              <w:ind w:right="87"/>
              <w:jc w:val="right"/>
              <w:rPr>
                <w:sz w:val="28"/>
              </w:rPr>
            </w:pPr>
            <w:r>
              <w:rPr>
                <w:spacing w:val="-5"/>
                <w:sz w:val="28"/>
              </w:rPr>
              <w:t>17</w:t>
            </w:r>
          </w:p>
        </w:tc>
        <w:tc>
          <w:tcPr>
            <w:tcW w:w="763" w:type="dxa"/>
          </w:tcPr>
          <w:p w14:paraId="61E0833D">
            <w:pPr>
              <w:pStyle w:val="11"/>
              <w:spacing w:before="12"/>
              <w:ind w:right="87"/>
              <w:jc w:val="right"/>
              <w:rPr>
                <w:sz w:val="28"/>
              </w:rPr>
            </w:pPr>
            <w:r>
              <w:rPr>
                <w:spacing w:val="-10"/>
                <w:sz w:val="28"/>
              </w:rPr>
              <w:t>8</w:t>
            </w:r>
          </w:p>
        </w:tc>
        <w:tc>
          <w:tcPr>
            <w:tcW w:w="796" w:type="dxa"/>
          </w:tcPr>
          <w:p w14:paraId="7D179F90">
            <w:pPr>
              <w:pStyle w:val="11"/>
              <w:spacing w:before="12"/>
              <w:ind w:right="86"/>
              <w:jc w:val="right"/>
              <w:rPr>
                <w:sz w:val="28"/>
              </w:rPr>
            </w:pPr>
            <w:r>
              <w:rPr>
                <w:spacing w:val="-5"/>
                <w:sz w:val="28"/>
              </w:rPr>
              <w:t>72</w:t>
            </w:r>
          </w:p>
        </w:tc>
        <w:tc>
          <w:tcPr>
            <w:tcW w:w="738" w:type="dxa"/>
          </w:tcPr>
          <w:p w14:paraId="0E514071">
            <w:pPr>
              <w:pStyle w:val="11"/>
              <w:spacing w:before="12"/>
              <w:ind w:right="89"/>
              <w:jc w:val="right"/>
              <w:rPr>
                <w:sz w:val="28"/>
              </w:rPr>
            </w:pPr>
            <w:r>
              <w:rPr>
                <w:spacing w:val="-10"/>
                <w:sz w:val="28"/>
              </w:rPr>
              <w:t>9</w:t>
            </w:r>
          </w:p>
        </w:tc>
        <w:tc>
          <w:tcPr>
            <w:tcW w:w="758" w:type="dxa"/>
          </w:tcPr>
          <w:p w14:paraId="5E21DC88">
            <w:pPr>
              <w:pStyle w:val="11"/>
              <w:spacing w:before="12"/>
              <w:ind w:right="88"/>
              <w:jc w:val="right"/>
              <w:rPr>
                <w:sz w:val="28"/>
              </w:rPr>
            </w:pPr>
            <w:r>
              <w:rPr>
                <w:spacing w:val="-10"/>
                <w:sz w:val="28"/>
              </w:rPr>
              <w:t>3</w:t>
            </w:r>
          </w:p>
        </w:tc>
        <w:tc>
          <w:tcPr>
            <w:tcW w:w="802" w:type="dxa"/>
          </w:tcPr>
          <w:p w14:paraId="5416310F">
            <w:pPr>
              <w:pStyle w:val="11"/>
              <w:spacing w:before="12"/>
              <w:ind w:right="82"/>
              <w:jc w:val="right"/>
              <w:rPr>
                <w:sz w:val="28"/>
              </w:rPr>
            </w:pPr>
            <w:r>
              <w:rPr>
                <w:spacing w:val="-10"/>
                <w:sz w:val="28"/>
              </w:rPr>
              <w:t>1</w:t>
            </w:r>
          </w:p>
        </w:tc>
      </w:tr>
      <w:tr w14:paraId="39F22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273C1004">
            <w:pPr>
              <w:pStyle w:val="11"/>
              <w:spacing w:before="12"/>
              <w:ind w:left="110"/>
              <w:jc w:val="left"/>
              <w:rPr>
                <w:sz w:val="28"/>
              </w:rPr>
            </w:pPr>
            <w:r>
              <w:rPr>
                <w:spacing w:val="-2"/>
                <w:sz w:val="28"/>
              </w:rPr>
              <w:t>Павлодарская</w:t>
            </w:r>
          </w:p>
        </w:tc>
        <w:tc>
          <w:tcPr>
            <w:tcW w:w="768" w:type="dxa"/>
          </w:tcPr>
          <w:p w14:paraId="463F4265">
            <w:pPr>
              <w:pStyle w:val="11"/>
              <w:spacing w:before="12"/>
              <w:ind w:right="93"/>
              <w:jc w:val="right"/>
              <w:rPr>
                <w:sz w:val="28"/>
              </w:rPr>
            </w:pPr>
            <w:r>
              <w:rPr>
                <w:spacing w:val="-5"/>
                <w:sz w:val="28"/>
              </w:rPr>
              <w:t>67</w:t>
            </w:r>
          </w:p>
        </w:tc>
        <w:tc>
          <w:tcPr>
            <w:tcW w:w="739" w:type="dxa"/>
          </w:tcPr>
          <w:p w14:paraId="03E2E779">
            <w:pPr>
              <w:pStyle w:val="11"/>
              <w:spacing w:before="12"/>
              <w:ind w:right="93"/>
              <w:jc w:val="right"/>
              <w:rPr>
                <w:sz w:val="28"/>
              </w:rPr>
            </w:pPr>
            <w:r>
              <w:rPr>
                <w:spacing w:val="-5"/>
                <w:sz w:val="28"/>
              </w:rPr>
              <w:t>42</w:t>
            </w:r>
          </w:p>
        </w:tc>
        <w:tc>
          <w:tcPr>
            <w:tcW w:w="758" w:type="dxa"/>
          </w:tcPr>
          <w:p w14:paraId="32D6CB13">
            <w:pPr>
              <w:pStyle w:val="11"/>
              <w:spacing w:before="12"/>
              <w:ind w:right="92"/>
              <w:jc w:val="right"/>
              <w:rPr>
                <w:sz w:val="28"/>
              </w:rPr>
            </w:pPr>
            <w:r>
              <w:rPr>
                <w:spacing w:val="-5"/>
                <w:sz w:val="28"/>
              </w:rPr>
              <w:t>19</w:t>
            </w:r>
          </w:p>
        </w:tc>
        <w:tc>
          <w:tcPr>
            <w:tcW w:w="763" w:type="dxa"/>
          </w:tcPr>
          <w:p w14:paraId="753961A1">
            <w:pPr>
              <w:pStyle w:val="11"/>
              <w:spacing w:before="12"/>
              <w:ind w:right="92"/>
              <w:jc w:val="right"/>
              <w:rPr>
                <w:sz w:val="28"/>
              </w:rPr>
            </w:pPr>
            <w:r>
              <w:rPr>
                <w:spacing w:val="-10"/>
                <w:sz w:val="28"/>
              </w:rPr>
              <w:t>4</w:t>
            </w:r>
          </w:p>
        </w:tc>
        <w:tc>
          <w:tcPr>
            <w:tcW w:w="796" w:type="dxa"/>
          </w:tcPr>
          <w:p w14:paraId="35635380">
            <w:pPr>
              <w:pStyle w:val="11"/>
              <w:spacing w:before="12"/>
              <w:ind w:right="91"/>
              <w:jc w:val="right"/>
              <w:rPr>
                <w:sz w:val="28"/>
              </w:rPr>
            </w:pPr>
            <w:r>
              <w:rPr>
                <w:spacing w:val="-5"/>
                <w:sz w:val="28"/>
              </w:rPr>
              <w:t>65</w:t>
            </w:r>
          </w:p>
        </w:tc>
        <w:tc>
          <w:tcPr>
            <w:tcW w:w="739" w:type="dxa"/>
          </w:tcPr>
          <w:p w14:paraId="3E8732A3">
            <w:pPr>
              <w:pStyle w:val="11"/>
              <w:spacing w:before="12"/>
              <w:ind w:right="90"/>
              <w:jc w:val="right"/>
              <w:rPr>
                <w:sz w:val="28"/>
              </w:rPr>
            </w:pPr>
            <w:r>
              <w:rPr>
                <w:spacing w:val="-5"/>
                <w:sz w:val="28"/>
              </w:rPr>
              <w:t>32</w:t>
            </w:r>
          </w:p>
        </w:tc>
        <w:tc>
          <w:tcPr>
            <w:tcW w:w="758" w:type="dxa"/>
          </w:tcPr>
          <w:p w14:paraId="63AE6896">
            <w:pPr>
              <w:pStyle w:val="11"/>
              <w:spacing w:before="12"/>
              <w:ind w:right="90"/>
              <w:jc w:val="right"/>
              <w:rPr>
                <w:sz w:val="28"/>
              </w:rPr>
            </w:pPr>
            <w:r>
              <w:rPr>
                <w:spacing w:val="-5"/>
                <w:sz w:val="28"/>
              </w:rPr>
              <w:t>15</w:t>
            </w:r>
          </w:p>
        </w:tc>
        <w:tc>
          <w:tcPr>
            <w:tcW w:w="758" w:type="dxa"/>
          </w:tcPr>
          <w:p w14:paraId="34EF265F">
            <w:pPr>
              <w:pStyle w:val="11"/>
              <w:spacing w:before="12"/>
              <w:ind w:right="89"/>
              <w:jc w:val="right"/>
              <w:rPr>
                <w:sz w:val="28"/>
              </w:rPr>
            </w:pPr>
            <w:r>
              <w:rPr>
                <w:spacing w:val="-10"/>
                <w:sz w:val="28"/>
              </w:rPr>
              <w:t>8</w:t>
            </w:r>
          </w:p>
        </w:tc>
        <w:tc>
          <w:tcPr>
            <w:tcW w:w="796" w:type="dxa"/>
          </w:tcPr>
          <w:p w14:paraId="559FE938">
            <w:pPr>
              <w:pStyle w:val="11"/>
              <w:spacing w:before="12"/>
              <w:ind w:right="88"/>
              <w:jc w:val="right"/>
              <w:rPr>
                <w:sz w:val="28"/>
              </w:rPr>
            </w:pPr>
            <w:r>
              <w:rPr>
                <w:spacing w:val="-5"/>
                <w:sz w:val="28"/>
              </w:rPr>
              <w:t>57</w:t>
            </w:r>
          </w:p>
        </w:tc>
        <w:tc>
          <w:tcPr>
            <w:tcW w:w="739" w:type="dxa"/>
          </w:tcPr>
          <w:p w14:paraId="72C2F9F5">
            <w:pPr>
              <w:pStyle w:val="11"/>
              <w:spacing w:before="12"/>
              <w:ind w:right="88"/>
              <w:jc w:val="right"/>
              <w:rPr>
                <w:sz w:val="28"/>
              </w:rPr>
            </w:pPr>
            <w:r>
              <w:rPr>
                <w:spacing w:val="-5"/>
                <w:sz w:val="28"/>
              </w:rPr>
              <w:t>45</w:t>
            </w:r>
          </w:p>
        </w:tc>
        <w:tc>
          <w:tcPr>
            <w:tcW w:w="758" w:type="dxa"/>
          </w:tcPr>
          <w:p w14:paraId="3CFC2C6E">
            <w:pPr>
              <w:pStyle w:val="11"/>
              <w:spacing w:before="12"/>
              <w:ind w:right="87"/>
              <w:jc w:val="right"/>
              <w:rPr>
                <w:sz w:val="28"/>
              </w:rPr>
            </w:pPr>
            <w:r>
              <w:rPr>
                <w:spacing w:val="-5"/>
                <w:sz w:val="28"/>
              </w:rPr>
              <w:t>21</w:t>
            </w:r>
          </w:p>
        </w:tc>
        <w:tc>
          <w:tcPr>
            <w:tcW w:w="763" w:type="dxa"/>
          </w:tcPr>
          <w:p w14:paraId="31415EB0">
            <w:pPr>
              <w:pStyle w:val="11"/>
              <w:spacing w:before="12"/>
              <w:ind w:right="87"/>
              <w:jc w:val="right"/>
              <w:rPr>
                <w:sz w:val="28"/>
              </w:rPr>
            </w:pPr>
            <w:r>
              <w:rPr>
                <w:spacing w:val="-5"/>
                <w:sz w:val="28"/>
              </w:rPr>
              <w:t>10</w:t>
            </w:r>
          </w:p>
        </w:tc>
        <w:tc>
          <w:tcPr>
            <w:tcW w:w="796" w:type="dxa"/>
          </w:tcPr>
          <w:p w14:paraId="33DA60E7">
            <w:pPr>
              <w:pStyle w:val="11"/>
              <w:spacing w:before="12"/>
              <w:ind w:right="86"/>
              <w:jc w:val="right"/>
              <w:rPr>
                <w:sz w:val="28"/>
              </w:rPr>
            </w:pPr>
            <w:r>
              <w:rPr>
                <w:spacing w:val="-5"/>
                <w:sz w:val="28"/>
              </w:rPr>
              <w:t>82</w:t>
            </w:r>
          </w:p>
        </w:tc>
        <w:tc>
          <w:tcPr>
            <w:tcW w:w="738" w:type="dxa"/>
          </w:tcPr>
          <w:p w14:paraId="5BC44506">
            <w:pPr>
              <w:pStyle w:val="11"/>
              <w:spacing w:before="12"/>
              <w:ind w:right="89"/>
              <w:jc w:val="right"/>
              <w:rPr>
                <w:sz w:val="28"/>
              </w:rPr>
            </w:pPr>
            <w:r>
              <w:rPr>
                <w:spacing w:val="-5"/>
                <w:sz w:val="28"/>
              </w:rPr>
              <w:t>29</w:t>
            </w:r>
          </w:p>
        </w:tc>
        <w:tc>
          <w:tcPr>
            <w:tcW w:w="758" w:type="dxa"/>
          </w:tcPr>
          <w:p w14:paraId="1398DF7C">
            <w:pPr>
              <w:pStyle w:val="11"/>
              <w:spacing w:before="12"/>
              <w:ind w:right="88"/>
              <w:jc w:val="right"/>
              <w:rPr>
                <w:sz w:val="28"/>
              </w:rPr>
            </w:pPr>
            <w:r>
              <w:rPr>
                <w:spacing w:val="-5"/>
                <w:sz w:val="28"/>
              </w:rPr>
              <w:t>13</w:t>
            </w:r>
          </w:p>
        </w:tc>
        <w:tc>
          <w:tcPr>
            <w:tcW w:w="802" w:type="dxa"/>
          </w:tcPr>
          <w:p w14:paraId="6AC24587">
            <w:pPr>
              <w:pStyle w:val="11"/>
              <w:spacing w:before="12"/>
              <w:ind w:right="82"/>
              <w:jc w:val="right"/>
              <w:rPr>
                <w:sz w:val="28"/>
              </w:rPr>
            </w:pPr>
            <w:r>
              <w:rPr>
                <w:spacing w:val="-10"/>
                <w:sz w:val="28"/>
              </w:rPr>
              <w:t>5</w:t>
            </w:r>
          </w:p>
        </w:tc>
      </w:tr>
      <w:tr w14:paraId="55344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1B1CAFD6">
            <w:pPr>
              <w:pStyle w:val="11"/>
              <w:spacing w:before="12"/>
              <w:ind w:left="110"/>
              <w:jc w:val="left"/>
              <w:rPr>
                <w:sz w:val="28"/>
              </w:rPr>
            </w:pPr>
            <w:r>
              <w:rPr>
                <w:spacing w:val="-5"/>
                <w:sz w:val="28"/>
              </w:rPr>
              <w:t>СКО</w:t>
            </w:r>
          </w:p>
        </w:tc>
        <w:tc>
          <w:tcPr>
            <w:tcW w:w="768" w:type="dxa"/>
          </w:tcPr>
          <w:p w14:paraId="369254FF">
            <w:pPr>
              <w:pStyle w:val="11"/>
              <w:spacing w:before="12"/>
              <w:ind w:right="93"/>
              <w:jc w:val="right"/>
              <w:rPr>
                <w:sz w:val="28"/>
              </w:rPr>
            </w:pPr>
            <w:r>
              <w:rPr>
                <w:spacing w:val="-5"/>
                <w:sz w:val="28"/>
              </w:rPr>
              <w:t>64</w:t>
            </w:r>
          </w:p>
        </w:tc>
        <w:tc>
          <w:tcPr>
            <w:tcW w:w="739" w:type="dxa"/>
          </w:tcPr>
          <w:p w14:paraId="26D39394">
            <w:pPr>
              <w:pStyle w:val="11"/>
              <w:spacing w:before="12"/>
              <w:ind w:right="93"/>
              <w:jc w:val="right"/>
              <w:rPr>
                <w:sz w:val="28"/>
              </w:rPr>
            </w:pPr>
            <w:r>
              <w:rPr>
                <w:spacing w:val="-5"/>
                <w:sz w:val="28"/>
              </w:rPr>
              <w:t>23</w:t>
            </w:r>
          </w:p>
        </w:tc>
        <w:tc>
          <w:tcPr>
            <w:tcW w:w="758" w:type="dxa"/>
          </w:tcPr>
          <w:p w14:paraId="1DD15F8C">
            <w:pPr>
              <w:pStyle w:val="11"/>
              <w:spacing w:before="12"/>
              <w:ind w:right="92"/>
              <w:jc w:val="right"/>
              <w:rPr>
                <w:sz w:val="28"/>
              </w:rPr>
            </w:pPr>
            <w:r>
              <w:rPr>
                <w:spacing w:val="-5"/>
                <w:sz w:val="28"/>
              </w:rPr>
              <w:t>21</w:t>
            </w:r>
          </w:p>
        </w:tc>
        <w:tc>
          <w:tcPr>
            <w:tcW w:w="763" w:type="dxa"/>
          </w:tcPr>
          <w:p w14:paraId="044B3BFB">
            <w:pPr>
              <w:pStyle w:val="11"/>
              <w:spacing w:before="12"/>
              <w:ind w:right="92"/>
              <w:jc w:val="right"/>
              <w:rPr>
                <w:sz w:val="28"/>
              </w:rPr>
            </w:pPr>
            <w:r>
              <w:rPr>
                <w:spacing w:val="-10"/>
                <w:sz w:val="28"/>
              </w:rPr>
              <w:t>9</w:t>
            </w:r>
          </w:p>
        </w:tc>
        <w:tc>
          <w:tcPr>
            <w:tcW w:w="796" w:type="dxa"/>
          </w:tcPr>
          <w:p w14:paraId="5548AF8C">
            <w:pPr>
              <w:pStyle w:val="11"/>
              <w:spacing w:before="12"/>
              <w:ind w:right="91"/>
              <w:jc w:val="right"/>
              <w:rPr>
                <w:sz w:val="28"/>
              </w:rPr>
            </w:pPr>
            <w:r>
              <w:rPr>
                <w:spacing w:val="-5"/>
                <w:sz w:val="28"/>
              </w:rPr>
              <w:t>78</w:t>
            </w:r>
          </w:p>
        </w:tc>
        <w:tc>
          <w:tcPr>
            <w:tcW w:w="739" w:type="dxa"/>
          </w:tcPr>
          <w:p w14:paraId="608383DF">
            <w:pPr>
              <w:pStyle w:val="11"/>
              <w:spacing w:before="12"/>
              <w:ind w:right="90"/>
              <w:jc w:val="right"/>
              <w:rPr>
                <w:sz w:val="28"/>
              </w:rPr>
            </w:pPr>
            <w:r>
              <w:rPr>
                <w:spacing w:val="-5"/>
                <w:sz w:val="28"/>
              </w:rPr>
              <w:t>29</w:t>
            </w:r>
          </w:p>
        </w:tc>
        <w:tc>
          <w:tcPr>
            <w:tcW w:w="758" w:type="dxa"/>
          </w:tcPr>
          <w:p w14:paraId="3066DF13">
            <w:pPr>
              <w:pStyle w:val="11"/>
              <w:spacing w:before="12"/>
              <w:ind w:right="90"/>
              <w:jc w:val="right"/>
              <w:rPr>
                <w:sz w:val="28"/>
              </w:rPr>
            </w:pPr>
            <w:r>
              <w:rPr>
                <w:spacing w:val="-5"/>
                <w:sz w:val="28"/>
              </w:rPr>
              <w:t>11</w:t>
            </w:r>
          </w:p>
        </w:tc>
        <w:tc>
          <w:tcPr>
            <w:tcW w:w="758" w:type="dxa"/>
          </w:tcPr>
          <w:p w14:paraId="7588A64E">
            <w:pPr>
              <w:pStyle w:val="11"/>
              <w:spacing w:before="12"/>
              <w:ind w:right="89"/>
              <w:jc w:val="right"/>
              <w:rPr>
                <w:sz w:val="28"/>
              </w:rPr>
            </w:pPr>
            <w:r>
              <w:rPr>
                <w:spacing w:val="-10"/>
                <w:sz w:val="28"/>
              </w:rPr>
              <w:t>3</w:t>
            </w:r>
          </w:p>
        </w:tc>
        <w:tc>
          <w:tcPr>
            <w:tcW w:w="796" w:type="dxa"/>
          </w:tcPr>
          <w:p w14:paraId="1660E657">
            <w:pPr>
              <w:pStyle w:val="11"/>
              <w:spacing w:before="12"/>
              <w:ind w:right="88"/>
              <w:jc w:val="right"/>
              <w:rPr>
                <w:sz w:val="28"/>
              </w:rPr>
            </w:pPr>
            <w:r>
              <w:rPr>
                <w:spacing w:val="-5"/>
                <w:sz w:val="28"/>
              </w:rPr>
              <w:t>48</w:t>
            </w:r>
          </w:p>
        </w:tc>
        <w:tc>
          <w:tcPr>
            <w:tcW w:w="739" w:type="dxa"/>
          </w:tcPr>
          <w:p w14:paraId="1E714F94">
            <w:pPr>
              <w:pStyle w:val="11"/>
              <w:spacing w:before="12"/>
              <w:ind w:right="88"/>
              <w:jc w:val="right"/>
              <w:rPr>
                <w:sz w:val="28"/>
              </w:rPr>
            </w:pPr>
            <w:r>
              <w:rPr>
                <w:spacing w:val="-5"/>
                <w:sz w:val="28"/>
              </w:rPr>
              <w:t>23</w:t>
            </w:r>
          </w:p>
        </w:tc>
        <w:tc>
          <w:tcPr>
            <w:tcW w:w="758" w:type="dxa"/>
          </w:tcPr>
          <w:p w14:paraId="7C06AE8A">
            <w:pPr>
              <w:pStyle w:val="11"/>
              <w:spacing w:before="12"/>
              <w:ind w:right="87"/>
              <w:jc w:val="right"/>
              <w:rPr>
                <w:sz w:val="28"/>
              </w:rPr>
            </w:pPr>
            <w:r>
              <w:rPr>
                <w:spacing w:val="-5"/>
                <w:sz w:val="28"/>
              </w:rPr>
              <w:t>10</w:t>
            </w:r>
          </w:p>
        </w:tc>
        <w:tc>
          <w:tcPr>
            <w:tcW w:w="763" w:type="dxa"/>
          </w:tcPr>
          <w:p w14:paraId="2762D2CE">
            <w:pPr>
              <w:pStyle w:val="11"/>
              <w:spacing w:before="12"/>
              <w:ind w:right="87"/>
              <w:jc w:val="right"/>
              <w:rPr>
                <w:sz w:val="28"/>
              </w:rPr>
            </w:pPr>
            <w:r>
              <w:rPr>
                <w:spacing w:val="-10"/>
                <w:sz w:val="28"/>
              </w:rPr>
              <w:t>2</w:t>
            </w:r>
          </w:p>
        </w:tc>
        <w:tc>
          <w:tcPr>
            <w:tcW w:w="796" w:type="dxa"/>
          </w:tcPr>
          <w:p w14:paraId="153DE741">
            <w:pPr>
              <w:pStyle w:val="11"/>
              <w:spacing w:before="12"/>
              <w:ind w:right="86"/>
              <w:jc w:val="right"/>
              <w:rPr>
                <w:sz w:val="28"/>
              </w:rPr>
            </w:pPr>
            <w:r>
              <w:rPr>
                <w:spacing w:val="-5"/>
                <w:sz w:val="28"/>
              </w:rPr>
              <w:t>54</w:t>
            </w:r>
          </w:p>
        </w:tc>
        <w:tc>
          <w:tcPr>
            <w:tcW w:w="738" w:type="dxa"/>
          </w:tcPr>
          <w:p w14:paraId="02DD67DB">
            <w:pPr>
              <w:pStyle w:val="11"/>
              <w:spacing w:before="12"/>
              <w:ind w:right="89"/>
              <w:jc w:val="right"/>
              <w:rPr>
                <w:sz w:val="28"/>
              </w:rPr>
            </w:pPr>
            <w:r>
              <w:rPr>
                <w:spacing w:val="-5"/>
                <w:sz w:val="28"/>
              </w:rPr>
              <w:t>33</w:t>
            </w:r>
          </w:p>
        </w:tc>
        <w:tc>
          <w:tcPr>
            <w:tcW w:w="758" w:type="dxa"/>
          </w:tcPr>
          <w:p w14:paraId="02E5FBBA">
            <w:pPr>
              <w:pStyle w:val="11"/>
              <w:spacing w:before="12"/>
              <w:ind w:right="88"/>
              <w:jc w:val="right"/>
              <w:rPr>
                <w:sz w:val="28"/>
              </w:rPr>
            </w:pPr>
            <w:r>
              <w:rPr>
                <w:spacing w:val="-5"/>
                <w:sz w:val="28"/>
              </w:rPr>
              <w:t>12</w:t>
            </w:r>
          </w:p>
        </w:tc>
        <w:tc>
          <w:tcPr>
            <w:tcW w:w="802" w:type="dxa"/>
          </w:tcPr>
          <w:p w14:paraId="4BF6C6C5">
            <w:pPr>
              <w:pStyle w:val="11"/>
              <w:spacing w:before="12"/>
              <w:ind w:right="82"/>
              <w:jc w:val="right"/>
              <w:rPr>
                <w:sz w:val="28"/>
              </w:rPr>
            </w:pPr>
            <w:r>
              <w:rPr>
                <w:spacing w:val="-10"/>
                <w:sz w:val="28"/>
              </w:rPr>
              <w:t>4</w:t>
            </w:r>
          </w:p>
        </w:tc>
      </w:tr>
      <w:tr w14:paraId="775AE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51901DB3">
            <w:pPr>
              <w:pStyle w:val="11"/>
              <w:spacing w:before="12"/>
              <w:ind w:left="110"/>
              <w:jc w:val="left"/>
              <w:rPr>
                <w:sz w:val="28"/>
              </w:rPr>
            </w:pPr>
            <w:r>
              <w:rPr>
                <w:spacing w:val="-2"/>
                <w:sz w:val="28"/>
              </w:rPr>
              <w:t>Туркестанская</w:t>
            </w:r>
          </w:p>
        </w:tc>
        <w:tc>
          <w:tcPr>
            <w:tcW w:w="768" w:type="dxa"/>
          </w:tcPr>
          <w:p w14:paraId="20D02E73">
            <w:pPr>
              <w:pStyle w:val="11"/>
              <w:spacing w:before="12"/>
              <w:ind w:right="93"/>
              <w:jc w:val="right"/>
              <w:rPr>
                <w:sz w:val="28"/>
              </w:rPr>
            </w:pPr>
            <w:r>
              <w:rPr>
                <w:spacing w:val="-5"/>
                <w:sz w:val="28"/>
              </w:rPr>
              <w:t>78</w:t>
            </w:r>
          </w:p>
        </w:tc>
        <w:tc>
          <w:tcPr>
            <w:tcW w:w="739" w:type="dxa"/>
          </w:tcPr>
          <w:p w14:paraId="6D92C41F">
            <w:pPr>
              <w:pStyle w:val="11"/>
              <w:spacing w:before="12"/>
              <w:ind w:right="93"/>
              <w:jc w:val="right"/>
              <w:rPr>
                <w:sz w:val="28"/>
              </w:rPr>
            </w:pPr>
            <w:r>
              <w:rPr>
                <w:spacing w:val="-5"/>
                <w:sz w:val="28"/>
              </w:rPr>
              <w:t>33</w:t>
            </w:r>
          </w:p>
        </w:tc>
        <w:tc>
          <w:tcPr>
            <w:tcW w:w="758" w:type="dxa"/>
          </w:tcPr>
          <w:p w14:paraId="327ACB01">
            <w:pPr>
              <w:pStyle w:val="11"/>
              <w:spacing w:before="12"/>
              <w:ind w:right="92"/>
              <w:jc w:val="right"/>
              <w:rPr>
                <w:sz w:val="28"/>
              </w:rPr>
            </w:pPr>
            <w:r>
              <w:rPr>
                <w:spacing w:val="-5"/>
                <w:sz w:val="28"/>
              </w:rPr>
              <w:t>14</w:t>
            </w:r>
          </w:p>
        </w:tc>
        <w:tc>
          <w:tcPr>
            <w:tcW w:w="763" w:type="dxa"/>
          </w:tcPr>
          <w:p w14:paraId="2BCAB503">
            <w:pPr>
              <w:pStyle w:val="11"/>
              <w:spacing w:before="12"/>
              <w:ind w:right="92"/>
              <w:jc w:val="right"/>
              <w:rPr>
                <w:sz w:val="28"/>
              </w:rPr>
            </w:pPr>
            <w:r>
              <w:rPr>
                <w:spacing w:val="-10"/>
                <w:sz w:val="28"/>
              </w:rPr>
              <w:t>6</w:t>
            </w:r>
          </w:p>
        </w:tc>
        <w:tc>
          <w:tcPr>
            <w:tcW w:w="796" w:type="dxa"/>
          </w:tcPr>
          <w:p w14:paraId="1A8F1127">
            <w:pPr>
              <w:pStyle w:val="11"/>
              <w:spacing w:before="12"/>
              <w:ind w:right="91"/>
              <w:jc w:val="right"/>
              <w:rPr>
                <w:sz w:val="28"/>
              </w:rPr>
            </w:pPr>
            <w:r>
              <w:rPr>
                <w:spacing w:val="-5"/>
                <w:sz w:val="28"/>
              </w:rPr>
              <w:t>67</w:t>
            </w:r>
          </w:p>
        </w:tc>
        <w:tc>
          <w:tcPr>
            <w:tcW w:w="739" w:type="dxa"/>
          </w:tcPr>
          <w:p w14:paraId="7D91CF91">
            <w:pPr>
              <w:pStyle w:val="11"/>
              <w:spacing w:before="12"/>
              <w:ind w:right="90"/>
              <w:jc w:val="right"/>
              <w:rPr>
                <w:sz w:val="28"/>
              </w:rPr>
            </w:pPr>
            <w:r>
              <w:rPr>
                <w:spacing w:val="-5"/>
                <w:sz w:val="28"/>
              </w:rPr>
              <w:t>28</w:t>
            </w:r>
          </w:p>
        </w:tc>
        <w:tc>
          <w:tcPr>
            <w:tcW w:w="758" w:type="dxa"/>
          </w:tcPr>
          <w:p w14:paraId="5DD4FC0A">
            <w:pPr>
              <w:pStyle w:val="11"/>
              <w:spacing w:before="12"/>
              <w:ind w:right="90"/>
              <w:jc w:val="right"/>
              <w:rPr>
                <w:sz w:val="28"/>
              </w:rPr>
            </w:pPr>
            <w:r>
              <w:rPr>
                <w:spacing w:val="-5"/>
                <w:sz w:val="28"/>
              </w:rPr>
              <w:t>14</w:t>
            </w:r>
          </w:p>
        </w:tc>
        <w:tc>
          <w:tcPr>
            <w:tcW w:w="758" w:type="dxa"/>
          </w:tcPr>
          <w:p w14:paraId="4ED5E9F8">
            <w:pPr>
              <w:pStyle w:val="11"/>
              <w:spacing w:before="12"/>
              <w:ind w:right="89"/>
              <w:jc w:val="right"/>
              <w:rPr>
                <w:sz w:val="28"/>
              </w:rPr>
            </w:pPr>
            <w:r>
              <w:rPr>
                <w:spacing w:val="-10"/>
                <w:sz w:val="28"/>
              </w:rPr>
              <w:t>8</w:t>
            </w:r>
          </w:p>
        </w:tc>
        <w:tc>
          <w:tcPr>
            <w:tcW w:w="796" w:type="dxa"/>
          </w:tcPr>
          <w:p w14:paraId="7F7D9CDE">
            <w:pPr>
              <w:pStyle w:val="11"/>
              <w:spacing w:before="12"/>
              <w:ind w:right="88"/>
              <w:jc w:val="right"/>
              <w:rPr>
                <w:sz w:val="28"/>
              </w:rPr>
            </w:pPr>
            <w:r>
              <w:rPr>
                <w:spacing w:val="-5"/>
                <w:sz w:val="28"/>
              </w:rPr>
              <w:t>58</w:t>
            </w:r>
          </w:p>
        </w:tc>
        <w:tc>
          <w:tcPr>
            <w:tcW w:w="739" w:type="dxa"/>
          </w:tcPr>
          <w:p w14:paraId="10F7DF52">
            <w:pPr>
              <w:pStyle w:val="11"/>
              <w:spacing w:before="12"/>
              <w:ind w:right="88"/>
              <w:jc w:val="right"/>
              <w:rPr>
                <w:sz w:val="28"/>
              </w:rPr>
            </w:pPr>
            <w:r>
              <w:rPr>
                <w:spacing w:val="-5"/>
                <w:sz w:val="28"/>
              </w:rPr>
              <w:t>19</w:t>
            </w:r>
          </w:p>
        </w:tc>
        <w:tc>
          <w:tcPr>
            <w:tcW w:w="758" w:type="dxa"/>
          </w:tcPr>
          <w:p w14:paraId="103F0B35">
            <w:pPr>
              <w:pStyle w:val="11"/>
              <w:spacing w:before="12"/>
              <w:ind w:right="87"/>
              <w:jc w:val="right"/>
              <w:rPr>
                <w:sz w:val="28"/>
              </w:rPr>
            </w:pPr>
            <w:r>
              <w:rPr>
                <w:spacing w:val="-10"/>
                <w:sz w:val="28"/>
              </w:rPr>
              <w:t>9</w:t>
            </w:r>
          </w:p>
        </w:tc>
        <w:tc>
          <w:tcPr>
            <w:tcW w:w="763" w:type="dxa"/>
          </w:tcPr>
          <w:p w14:paraId="5D9DAF7E">
            <w:pPr>
              <w:pStyle w:val="11"/>
              <w:spacing w:before="12"/>
              <w:ind w:right="87"/>
              <w:jc w:val="right"/>
              <w:rPr>
                <w:sz w:val="28"/>
              </w:rPr>
            </w:pPr>
            <w:r>
              <w:rPr>
                <w:spacing w:val="-10"/>
                <w:sz w:val="28"/>
              </w:rPr>
              <w:t>4</w:t>
            </w:r>
          </w:p>
        </w:tc>
        <w:tc>
          <w:tcPr>
            <w:tcW w:w="796" w:type="dxa"/>
          </w:tcPr>
          <w:p w14:paraId="05625A4E">
            <w:pPr>
              <w:pStyle w:val="11"/>
              <w:spacing w:before="12"/>
              <w:ind w:right="86"/>
              <w:jc w:val="right"/>
              <w:rPr>
                <w:sz w:val="28"/>
              </w:rPr>
            </w:pPr>
            <w:r>
              <w:rPr>
                <w:spacing w:val="-5"/>
                <w:sz w:val="28"/>
              </w:rPr>
              <w:t>71</w:t>
            </w:r>
          </w:p>
        </w:tc>
        <w:tc>
          <w:tcPr>
            <w:tcW w:w="738" w:type="dxa"/>
          </w:tcPr>
          <w:p w14:paraId="292F1A89">
            <w:pPr>
              <w:pStyle w:val="11"/>
              <w:spacing w:before="12"/>
              <w:ind w:right="89"/>
              <w:jc w:val="right"/>
              <w:rPr>
                <w:sz w:val="28"/>
              </w:rPr>
            </w:pPr>
            <w:r>
              <w:rPr>
                <w:spacing w:val="-5"/>
                <w:sz w:val="28"/>
              </w:rPr>
              <w:t>36</w:t>
            </w:r>
          </w:p>
        </w:tc>
        <w:tc>
          <w:tcPr>
            <w:tcW w:w="758" w:type="dxa"/>
          </w:tcPr>
          <w:p w14:paraId="0F19B617">
            <w:pPr>
              <w:pStyle w:val="11"/>
              <w:spacing w:before="12"/>
              <w:ind w:right="88"/>
              <w:jc w:val="right"/>
              <w:rPr>
                <w:sz w:val="28"/>
              </w:rPr>
            </w:pPr>
            <w:r>
              <w:rPr>
                <w:spacing w:val="-10"/>
                <w:sz w:val="28"/>
              </w:rPr>
              <w:t>8</w:t>
            </w:r>
          </w:p>
        </w:tc>
        <w:tc>
          <w:tcPr>
            <w:tcW w:w="802" w:type="dxa"/>
          </w:tcPr>
          <w:p w14:paraId="686B4C4C">
            <w:pPr>
              <w:pStyle w:val="11"/>
              <w:spacing w:before="12"/>
              <w:ind w:right="82"/>
              <w:jc w:val="right"/>
              <w:rPr>
                <w:sz w:val="28"/>
              </w:rPr>
            </w:pPr>
            <w:r>
              <w:rPr>
                <w:spacing w:val="-10"/>
                <w:sz w:val="28"/>
              </w:rPr>
              <w:t>7</w:t>
            </w:r>
          </w:p>
        </w:tc>
      </w:tr>
      <w:tr w14:paraId="3C15A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2367" w:type="dxa"/>
          </w:tcPr>
          <w:p w14:paraId="7520CDC1">
            <w:pPr>
              <w:pStyle w:val="11"/>
              <w:spacing w:before="12"/>
              <w:ind w:left="110"/>
              <w:jc w:val="left"/>
              <w:rPr>
                <w:sz w:val="28"/>
              </w:rPr>
            </w:pPr>
            <w:r>
              <w:rPr>
                <w:spacing w:val="-2"/>
                <w:sz w:val="28"/>
              </w:rPr>
              <w:t>Улытауская</w:t>
            </w:r>
          </w:p>
        </w:tc>
        <w:tc>
          <w:tcPr>
            <w:tcW w:w="768" w:type="dxa"/>
          </w:tcPr>
          <w:p w14:paraId="06825DD4">
            <w:pPr>
              <w:pStyle w:val="11"/>
              <w:spacing w:before="12"/>
              <w:ind w:right="93"/>
              <w:jc w:val="right"/>
              <w:rPr>
                <w:sz w:val="28"/>
              </w:rPr>
            </w:pPr>
            <w:r>
              <w:rPr>
                <w:spacing w:val="-5"/>
                <w:sz w:val="28"/>
              </w:rPr>
              <w:t>35</w:t>
            </w:r>
          </w:p>
        </w:tc>
        <w:tc>
          <w:tcPr>
            <w:tcW w:w="739" w:type="dxa"/>
          </w:tcPr>
          <w:p w14:paraId="5256331B">
            <w:pPr>
              <w:pStyle w:val="11"/>
              <w:spacing w:before="12"/>
              <w:ind w:right="93"/>
              <w:jc w:val="right"/>
              <w:rPr>
                <w:sz w:val="28"/>
              </w:rPr>
            </w:pPr>
            <w:r>
              <w:rPr>
                <w:spacing w:val="-5"/>
                <w:sz w:val="28"/>
              </w:rPr>
              <w:t>28</w:t>
            </w:r>
          </w:p>
        </w:tc>
        <w:tc>
          <w:tcPr>
            <w:tcW w:w="758" w:type="dxa"/>
          </w:tcPr>
          <w:p w14:paraId="4FF36946">
            <w:pPr>
              <w:pStyle w:val="11"/>
              <w:spacing w:before="12"/>
              <w:ind w:right="92"/>
              <w:jc w:val="right"/>
              <w:rPr>
                <w:sz w:val="28"/>
              </w:rPr>
            </w:pPr>
            <w:r>
              <w:rPr>
                <w:spacing w:val="-5"/>
                <w:sz w:val="28"/>
              </w:rPr>
              <w:t>11</w:t>
            </w:r>
          </w:p>
        </w:tc>
        <w:tc>
          <w:tcPr>
            <w:tcW w:w="763" w:type="dxa"/>
          </w:tcPr>
          <w:p w14:paraId="481A93CC">
            <w:pPr>
              <w:pStyle w:val="11"/>
              <w:spacing w:before="12"/>
              <w:ind w:right="92"/>
              <w:jc w:val="right"/>
              <w:rPr>
                <w:sz w:val="28"/>
              </w:rPr>
            </w:pPr>
            <w:r>
              <w:rPr>
                <w:spacing w:val="-10"/>
                <w:sz w:val="28"/>
              </w:rPr>
              <w:t>7</w:t>
            </w:r>
          </w:p>
        </w:tc>
        <w:tc>
          <w:tcPr>
            <w:tcW w:w="796" w:type="dxa"/>
          </w:tcPr>
          <w:p w14:paraId="3EA4CC21">
            <w:pPr>
              <w:pStyle w:val="11"/>
              <w:spacing w:before="12"/>
              <w:ind w:right="91"/>
              <w:jc w:val="right"/>
              <w:rPr>
                <w:sz w:val="28"/>
              </w:rPr>
            </w:pPr>
            <w:r>
              <w:rPr>
                <w:spacing w:val="-5"/>
                <w:sz w:val="28"/>
              </w:rPr>
              <w:t>43</w:t>
            </w:r>
          </w:p>
        </w:tc>
        <w:tc>
          <w:tcPr>
            <w:tcW w:w="739" w:type="dxa"/>
          </w:tcPr>
          <w:p w14:paraId="5337F1B8">
            <w:pPr>
              <w:pStyle w:val="11"/>
              <w:spacing w:before="12"/>
              <w:ind w:right="90"/>
              <w:jc w:val="right"/>
              <w:rPr>
                <w:sz w:val="28"/>
              </w:rPr>
            </w:pPr>
            <w:r>
              <w:rPr>
                <w:spacing w:val="-5"/>
                <w:sz w:val="28"/>
              </w:rPr>
              <w:t>15</w:t>
            </w:r>
          </w:p>
        </w:tc>
        <w:tc>
          <w:tcPr>
            <w:tcW w:w="758" w:type="dxa"/>
          </w:tcPr>
          <w:p w14:paraId="2440F09E">
            <w:pPr>
              <w:pStyle w:val="11"/>
              <w:spacing w:before="12"/>
              <w:ind w:right="90"/>
              <w:jc w:val="right"/>
              <w:rPr>
                <w:sz w:val="28"/>
              </w:rPr>
            </w:pPr>
            <w:r>
              <w:rPr>
                <w:spacing w:val="-10"/>
                <w:sz w:val="28"/>
              </w:rPr>
              <w:t>4</w:t>
            </w:r>
          </w:p>
        </w:tc>
        <w:tc>
          <w:tcPr>
            <w:tcW w:w="758" w:type="dxa"/>
          </w:tcPr>
          <w:p w14:paraId="6A5BAFE4">
            <w:pPr>
              <w:pStyle w:val="11"/>
              <w:spacing w:before="12"/>
              <w:ind w:right="89"/>
              <w:jc w:val="right"/>
              <w:rPr>
                <w:sz w:val="28"/>
              </w:rPr>
            </w:pPr>
            <w:r>
              <w:rPr>
                <w:spacing w:val="-10"/>
                <w:sz w:val="28"/>
              </w:rPr>
              <w:t>5</w:t>
            </w:r>
          </w:p>
        </w:tc>
        <w:tc>
          <w:tcPr>
            <w:tcW w:w="796" w:type="dxa"/>
          </w:tcPr>
          <w:p w14:paraId="5A77BD81">
            <w:pPr>
              <w:pStyle w:val="11"/>
              <w:spacing w:before="12"/>
              <w:ind w:right="88"/>
              <w:jc w:val="right"/>
              <w:rPr>
                <w:sz w:val="28"/>
              </w:rPr>
            </w:pPr>
            <w:r>
              <w:rPr>
                <w:spacing w:val="-5"/>
                <w:sz w:val="28"/>
              </w:rPr>
              <w:t>47</w:t>
            </w:r>
          </w:p>
        </w:tc>
        <w:tc>
          <w:tcPr>
            <w:tcW w:w="739" w:type="dxa"/>
          </w:tcPr>
          <w:p w14:paraId="3EADEB7C">
            <w:pPr>
              <w:pStyle w:val="11"/>
              <w:spacing w:before="12"/>
              <w:ind w:right="88"/>
              <w:jc w:val="right"/>
              <w:rPr>
                <w:sz w:val="28"/>
              </w:rPr>
            </w:pPr>
            <w:r>
              <w:rPr>
                <w:spacing w:val="-5"/>
                <w:sz w:val="28"/>
              </w:rPr>
              <w:t>18</w:t>
            </w:r>
          </w:p>
        </w:tc>
        <w:tc>
          <w:tcPr>
            <w:tcW w:w="758" w:type="dxa"/>
          </w:tcPr>
          <w:p w14:paraId="312FC3EC">
            <w:pPr>
              <w:pStyle w:val="11"/>
              <w:spacing w:before="12"/>
              <w:ind w:right="87"/>
              <w:jc w:val="right"/>
              <w:rPr>
                <w:sz w:val="28"/>
              </w:rPr>
            </w:pPr>
            <w:r>
              <w:rPr>
                <w:spacing w:val="-10"/>
                <w:sz w:val="28"/>
              </w:rPr>
              <w:t>9</w:t>
            </w:r>
          </w:p>
        </w:tc>
        <w:tc>
          <w:tcPr>
            <w:tcW w:w="763" w:type="dxa"/>
          </w:tcPr>
          <w:p w14:paraId="107C0057">
            <w:pPr>
              <w:pStyle w:val="11"/>
              <w:spacing w:before="12"/>
              <w:ind w:right="87"/>
              <w:jc w:val="right"/>
              <w:rPr>
                <w:sz w:val="28"/>
              </w:rPr>
            </w:pPr>
            <w:r>
              <w:rPr>
                <w:spacing w:val="-10"/>
                <w:sz w:val="28"/>
              </w:rPr>
              <w:t>3</w:t>
            </w:r>
          </w:p>
        </w:tc>
        <w:tc>
          <w:tcPr>
            <w:tcW w:w="796" w:type="dxa"/>
          </w:tcPr>
          <w:p w14:paraId="0025C7A6">
            <w:pPr>
              <w:pStyle w:val="11"/>
              <w:spacing w:before="12"/>
              <w:ind w:right="86"/>
              <w:jc w:val="right"/>
              <w:rPr>
                <w:sz w:val="28"/>
              </w:rPr>
            </w:pPr>
            <w:r>
              <w:rPr>
                <w:spacing w:val="-5"/>
                <w:sz w:val="28"/>
              </w:rPr>
              <w:t>27</w:t>
            </w:r>
          </w:p>
        </w:tc>
        <w:tc>
          <w:tcPr>
            <w:tcW w:w="738" w:type="dxa"/>
          </w:tcPr>
          <w:p w14:paraId="4468EE11">
            <w:pPr>
              <w:pStyle w:val="11"/>
              <w:spacing w:before="12"/>
              <w:ind w:right="89"/>
              <w:jc w:val="right"/>
              <w:rPr>
                <w:sz w:val="28"/>
              </w:rPr>
            </w:pPr>
            <w:r>
              <w:rPr>
                <w:spacing w:val="-5"/>
                <w:sz w:val="28"/>
              </w:rPr>
              <w:t>12</w:t>
            </w:r>
          </w:p>
        </w:tc>
        <w:tc>
          <w:tcPr>
            <w:tcW w:w="758" w:type="dxa"/>
          </w:tcPr>
          <w:p w14:paraId="0881D5F3">
            <w:pPr>
              <w:pStyle w:val="11"/>
              <w:spacing w:before="12"/>
              <w:ind w:right="88"/>
              <w:jc w:val="right"/>
              <w:rPr>
                <w:sz w:val="28"/>
              </w:rPr>
            </w:pPr>
            <w:r>
              <w:rPr>
                <w:spacing w:val="-10"/>
                <w:sz w:val="28"/>
              </w:rPr>
              <w:t>5</w:t>
            </w:r>
          </w:p>
        </w:tc>
        <w:tc>
          <w:tcPr>
            <w:tcW w:w="802" w:type="dxa"/>
          </w:tcPr>
          <w:p w14:paraId="77F98FFC">
            <w:pPr>
              <w:pStyle w:val="11"/>
              <w:spacing w:before="12"/>
              <w:ind w:right="82"/>
              <w:jc w:val="right"/>
              <w:rPr>
                <w:sz w:val="28"/>
              </w:rPr>
            </w:pPr>
            <w:r>
              <w:rPr>
                <w:spacing w:val="-10"/>
                <w:sz w:val="28"/>
              </w:rPr>
              <w:t>3</w:t>
            </w:r>
          </w:p>
        </w:tc>
      </w:tr>
      <w:tr w14:paraId="06B34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258FB243">
            <w:pPr>
              <w:pStyle w:val="11"/>
              <w:spacing w:before="12"/>
              <w:ind w:left="110"/>
              <w:jc w:val="left"/>
              <w:rPr>
                <w:sz w:val="28"/>
              </w:rPr>
            </w:pPr>
            <w:r>
              <w:rPr>
                <w:sz w:val="28"/>
              </w:rPr>
              <w:t>г.</w:t>
            </w:r>
            <w:r>
              <w:rPr>
                <w:spacing w:val="2"/>
                <w:sz w:val="28"/>
              </w:rPr>
              <w:t xml:space="preserve"> </w:t>
            </w:r>
            <w:r>
              <w:rPr>
                <w:spacing w:val="-2"/>
                <w:sz w:val="28"/>
              </w:rPr>
              <w:t>Алматы</w:t>
            </w:r>
          </w:p>
        </w:tc>
        <w:tc>
          <w:tcPr>
            <w:tcW w:w="768" w:type="dxa"/>
          </w:tcPr>
          <w:p w14:paraId="14B68C02">
            <w:pPr>
              <w:pStyle w:val="11"/>
              <w:spacing w:before="12"/>
              <w:ind w:right="93"/>
              <w:jc w:val="right"/>
              <w:rPr>
                <w:sz w:val="28"/>
              </w:rPr>
            </w:pPr>
            <w:r>
              <w:rPr>
                <w:spacing w:val="-5"/>
                <w:sz w:val="28"/>
              </w:rPr>
              <w:t>421</w:t>
            </w:r>
          </w:p>
        </w:tc>
        <w:tc>
          <w:tcPr>
            <w:tcW w:w="739" w:type="dxa"/>
          </w:tcPr>
          <w:p w14:paraId="3A25F022">
            <w:pPr>
              <w:pStyle w:val="11"/>
              <w:spacing w:before="12"/>
              <w:ind w:right="93"/>
              <w:jc w:val="right"/>
              <w:rPr>
                <w:sz w:val="28"/>
              </w:rPr>
            </w:pPr>
            <w:r>
              <w:rPr>
                <w:spacing w:val="-5"/>
                <w:sz w:val="28"/>
              </w:rPr>
              <w:t>117</w:t>
            </w:r>
          </w:p>
        </w:tc>
        <w:tc>
          <w:tcPr>
            <w:tcW w:w="758" w:type="dxa"/>
          </w:tcPr>
          <w:p w14:paraId="5C7A2629">
            <w:pPr>
              <w:pStyle w:val="11"/>
              <w:spacing w:before="12"/>
              <w:ind w:right="92"/>
              <w:jc w:val="right"/>
              <w:rPr>
                <w:sz w:val="28"/>
              </w:rPr>
            </w:pPr>
            <w:r>
              <w:rPr>
                <w:spacing w:val="-5"/>
                <w:sz w:val="28"/>
              </w:rPr>
              <w:t>33</w:t>
            </w:r>
          </w:p>
        </w:tc>
        <w:tc>
          <w:tcPr>
            <w:tcW w:w="763" w:type="dxa"/>
          </w:tcPr>
          <w:p w14:paraId="5516DC9E">
            <w:pPr>
              <w:pStyle w:val="11"/>
              <w:spacing w:before="12"/>
              <w:ind w:right="92"/>
              <w:jc w:val="right"/>
              <w:rPr>
                <w:sz w:val="28"/>
              </w:rPr>
            </w:pPr>
            <w:r>
              <w:rPr>
                <w:spacing w:val="-5"/>
                <w:sz w:val="28"/>
              </w:rPr>
              <w:t>15</w:t>
            </w:r>
          </w:p>
        </w:tc>
        <w:tc>
          <w:tcPr>
            <w:tcW w:w="796" w:type="dxa"/>
          </w:tcPr>
          <w:p w14:paraId="691A7E8D">
            <w:pPr>
              <w:pStyle w:val="11"/>
              <w:spacing w:before="12"/>
              <w:ind w:right="91"/>
              <w:jc w:val="right"/>
              <w:rPr>
                <w:sz w:val="28"/>
              </w:rPr>
            </w:pPr>
            <w:r>
              <w:rPr>
                <w:spacing w:val="-5"/>
                <w:sz w:val="28"/>
              </w:rPr>
              <w:t>545</w:t>
            </w:r>
          </w:p>
        </w:tc>
        <w:tc>
          <w:tcPr>
            <w:tcW w:w="739" w:type="dxa"/>
          </w:tcPr>
          <w:p w14:paraId="3875C94E">
            <w:pPr>
              <w:pStyle w:val="11"/>
              <w:spacing w:before="12"/>
              <w:ind w:right="90"/>
              <w:jc w:val="right"/>
              <w:rPr>
                <w:sz w:val="28"/>
              </w:rPr>
            </w:pPr>
            <w:r>
              <w:rPr>
                <w:spacing w:val="-5"/>
                <w:sz w:val="28"/>
              </w:rPr>
              <w:t>57</w:t>
            </w:r>
          </w:p>
        </w:tc>
        <w:tc>
          <w:tcPr>
            <w:tcW w:w="758" w:type="dxa"/>
          </w:tcPr>
          <w:p w14:paraId="19B88643">
            <w:pPr>
              <w:pStyle w:val="11"/>
              <w:spacing w:before="12"/>
              <w:ind w:right="90"/>
              <w:jc w:val="right"/>
              <w:rPr>
                <w:sz w:val="28"/>
              </w:rPr>
            </w:pPr>
            <w:r>
              <w:rPr>
                <w:spacing w:val="-5"/>
                <w:sz w:val="28"/>
              </w:rPr>
              <w:t>65</w:t>
            </w:r>
          </w:p>
        </w:tc>
        <w:tc>
          <w:tcPr>
            <w:tcW w:w="758" w:type="dxa"/>
          </w:tcPr>
          <w:p w14:paraId="57037268">
            <w:pPr>
              <w:pStyle w:val="11"/>
              <w:spacing w:before="12"/>
              <w:ind w:right="89"/>
              <w:jc w:val="right"/>
              <w:rPr>
                <w:sz w:val="28"/>
              </w:rPr>
            </w:pPr>
            <w:r>
              <w:rPr>
                <w:spacing w:val="-5"/>
                <w:sz w:val="28"/>
              </w:rPr>
              <w:t>67</w:t>
            </w:r>
          </w:p>
        </w:tc>
        <w:tc>
          <w:tcPr>
            <w:tcW w:w="796" w:type="dxa"/>
          </w:tcPr>
          <w:p w14:paraId="3A48F738">
            <w:pPr>
              <w:pStyle w:val="11"/>
              <w:spacing w:before="12"/>
              <w:ind w:right="88"/>
              <w:jc w:val="right"/>
              <w:rPr>
                <w:sz w:val="28"/>
              </w:rPr>
            </w:pPr>
            <w:r>
              <w:rPr>
                <w:spacing w:val="-5"/>
                <w:sz w:val="28"/>
              </w:rPr>
              <w:t>420</w:t>
            </w:r>
          </w:p>
        </w:tc>
        <w:tc>
          <w:tcPr>
            <w:tcW w:w="739" w:type="dxa"/>
          </w:tcPr>
          <w:p w14:paraId="1C40E75A">
            <w:pPr>
              <w:pStyle w:val="11"/>
              <w:spacing w:before="12"/>
              <w:ind w:right="88"/>
              <w:jc w:val="right"/>
              <w:rPr>
                <w:sz w:val="28"/>
              </w:rPr>
            </w:pPr>
            <w:r>
              <w:rPr>
                <w:spacing w:val="-5"/>
                <w:sz w:val="28"/>
              </w:rPr>
              <w:t>104</w:t>
            </w:r>
          </w:p>
        </w:tc>
        <w:tc>
          <w:tcPr>
            <w:tcW w:w="758" w:type="dxa"/>
          </w:tcPr>
          <w:p w14:paraId="00F83088">
            <w:pPr>
              <w:pStyle w:val="11"/>
              <w:spacing w:before="12"/>
              <w:ind w:right="87"/>
              <w:jc w:val="right"/>
              <w:rPr>
                <w:sz w:val="28"/>
              </w:rPr>
            </w:pPr>
            <w:r>
              <w:rPr>
                <w:spacing w:val="-5"/>
                <w:sz w:val="28"/>
              </w:rPr>
              <w:t>39</w:t>
            </w:r>
          </w:p>
        </w:tc>
        <w:tc>
          <w:tcPr>
            <w:tcW w:w="763" w:type="dxa"/>
          </w:tcPr>
          <w:p w14:paraId="4C6A73CC">
            <w:pPr>
              <w:pStyle w:val="11"/>
              <w:spacing w:before="12"/>
              <w:ind w:right="87"/>
              <w:jc w:val="right"/>
              <w:rPr>
                <w:sz w:val="28"/>
              </w:rPr>
            </w:pPr>
            <w:r>
              <w:rPr>
                <w:spacing w:val="-5"/>
                <w:sz w:val="28"/>
              </w:rPr>
              <w:t>37</w:t>
            </w:r>
          </w:p>
        </w:tc>
        <w:tc>
          <w:tcPr>
            <w:tcW w:w="796" w:type="dxa"/>
          </w:tcPr>
          <w:p w14:paraId="2AE94143">
            <w:pPr>
              <w:pStyle w:val="11"/>
              <w:spacing w:before="12"/>
              <w:ind w:right="86"/>
              <w:jc w:val="right"/>
              <w:rPr>
                <w:sz w:val="28"/>
              </w:rPr>
            </w:pPr>
            <w:r>
              <w:rPr>
                <w:spacing w:val="-5"/>
                <w:sz w:val="28"/>
              </w:rPr>
              <w:t>613</w:t>
            </w:r>
          </w:p>
        </w:tc>
        <w:tc>
          <w:tcPr>
            <w:tcW w:w="738" w:type="dxa"/>
          </w:tcPr>
          <w:p w14:paraId="517978B6">
            <w:pPr>
              <w:pStyle w:val="11"/>
              <w:spacing w:before="12"/>
              <w:ind w:right="89"/>
              <w:jc w:val="right"/>
              <w:rPr>
                <w:sz w:val="28"/>
              </w:rPr>
            </w:pPr>
            <w:r>
              <w:rPr>
                <w:spacing w:val="-5"/>
                <w:sz w:val="28"/>
              </w:rPr>
              <w:t>74</w:t>
            </w:r>
          </w:p>
        </w:tc>
        <w:tc>
          <w:tcPr>
            <w:tcW w:w="758" w:type="dxa"/>
          </w:tcPr>
          <w:p w14:paraId="3C18C1FF">
            <w:pPr>
              <w:pStyle w:val="11"/>
              <w:spacing w:before="12"/>
              <w:ind w:right="88"/>
              <w:jc w:val="right"/>
              <w:rPr>
                <w:sz w:val="28"/>
              </w:rPr>
            </w:pPr>
            <w:r>
              <w:rPr>
                <w:spacing w:val="-5"/>
                <w:sz w:val="28"/>
              </w:rPr>
              <w:t>46</w:t>
            </w:r>
          </w:p>
        </w:tc>
        <w:tc>
          <w:tcPr>
            <w:tcW w:w="802" w:type="dxa"/>
          </w:tcPr>
          <w:p w14:paraId="1CD73259">
            <w:pPr>
              <w:pStyle w:val="11"/>
              <w:spacing w:before="12"/>
              <w:ind w:right="82"/>
              <w:jc w:val="right"/>
              <w:rPr>
                <w:sz w:val="28"/>
              </w:rPr>
            </w:pPr>
            <w:r>
              <w:rPr>
                <w:spacing w:val="-5"/>
                <w:sz w:val="28"/>
              </w:rPr>
              <w:t>80</w:t>
            </w:r>
          </w:p>
        </w:tc>
      </w:tr>
      <w:tr w14:paraId="61246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2367" w:type="dxa"/>
          </w:tcPr>
          <w:p w14:paraId="2741368F">
            <w:pPr>
              <w:pStyle w:val="11"/>
              <w:spacing w:before="12"/>
              <w:ind w:left="110"/>
              <w:jc w:val="left"/>
              <w:rPr>
                <w:sz w:val="28"/>
              </w:rPr>
            </w:pPr>
            <w:r>
              <w:rPr>
                <w:sz w:val="28"/>
              </w:rPr>
              <w:t>г.</w:t>
            </w:r>
            <w:r>
              <w:rPr>
                <w:spacing w:val="2"/>
                <w:sz w:val="28"/>
              </w:rPr>
              <w:t xml:space="preserve"> </w:t>
            </w:r>
            <w:r>
              <w:rPr>
                <w:spacing w:val="-2"/>
                <w:sz w:val="28"/>
              </w:rPr>
              <w:t>Астана</w:t>
            </w:r>
          </w:p>
        </w:tc>
        <w:tc>
          <w:tcPr>
            <w:tcW w:w="768" w:type="dxa"/>
          </w:tcPr>
          <w:p w14:paraId="0BD6CC2B">
            <w:pPr>
              <w:pStyle w:val="11"/>
              <w:spacing w:before="12"/>
              <w:ind w:right="93"/>
              <w:jc w:val="right"/>
              <w:rPr>
                <w:sz w:val="28"/>
              </w:rPr>
            </w:pPr>
            <w:r>
              <w:rPr>
                <w:spacing w:val="-5"/>
                <w:sz w:val="28"/>
              </w:rPr>
              <w:t>275</w:t>
            </w:r>
          </w:p>
        </w:tc>
        <w:tc>
          <w:tcPr>
            <w:tcW w:w="739" w:type="dxa"/>
          </w:tcPr>
          <w:p w14:paraId="4A633449">
            <w:pPr>
              <w:pStyle w:val="11"/>
              <w:spacing w:before="12"/>
              <w:ind w:right="93"/>
              <w:jc w:val="right"/>
              <w:rPr>
                <w:sz w:val="28"/>
              </w:rPr>
            </w:pPr>
            <w:r>
              <w:rPr>
                <w:spacing w:val="-5"/>
                <w:sz w:val="28"/>
              </w:rPr>
              <w:t>121</w:t>
            </w:r>
          </w:p>
        </w:tc>
        <w:tc>
          <w:tcPr>
            <w:tcW w:w="758" w:type="dxa"/>
          </w:tcPr>
          <w:p w14:paraId="5AD9A3DE">
            <w:pPr>
              <w:pStyle w:val="11"/>
              <w:spacing w:before="12"/>
              <w:ind w:right="92"/>
              <w:jc w:val="right"/>
              <w:rPr>
                <w:sz w:val="28"/>
              </w:rPr>
            </w:pPr>
            <w:r>
              <w:rPr>
                <w:spacing w:val="-5"/>
                <w:sz w:val="28"/>
              </w:rPr>
              <w:t>27</w:t>
            </w:r>
          </w:p>
        </w:tc>
        <w:tc>
          <w:tcPr>
            <w:tcW w:w="763" w:type="dxa"/>
          </w:tcPr>
          <w:p w14:paraId="6A706332">
            <w:pPr>
              <w:pStyle w:val="11"/>
              <w:spacing w:before="12"/>
              <w:ind w:right="92"/>
              <w:jc w:val="right"/>
              <w:rPr>
                <w:sz w:val="28"/>
              </w:rPr>
            </w:pPr>
            <w:r>
              <w:rPr>
                <w:spacing w:val="-5"/>
                <w:sz w:val="28"/>
              </w:rPr>
              <w:t>18</w:t>
            </w:r>
          </w:p>
        </w:tc>
        <w:tc>
          <w:tcPr>
            <w:tcW w:w="796" w:type="dxa"/>
          </w:tcPr>
          <w:p w14:paraId="749A766A">
            <w:pPr>
              <w:pStyle w:val="11"/>
              <w:spacing w:before="12"/>
              <w:ind w:right="91"/>
              <w:jc w:val="right"/>
              <w:rPr>
                <w:sz w:val="28"/>
              </w:rPr>
            </w:pPr>
            <w:r>
              <w:rPr>
                <w:spacing w:val="-5"/>
                <w:sz w:val="28"/>
              </w:rPr>
              <w:t>293</w:t>
            </w:r>
          </w:p>
        </w:tc>
        <w:tc>
          <w:tcPr>
            <w:tcW w:w="739" w:type="dxa"/>
          </w:tcPr>
          <w:p w14:paraId="64BDA702">
            <w:pPr>
              <w:pStyle w:val="11"/>
              <w:spacing w:before="12"/>
              <w:ind w:right="90"/>
              <w:jc w:val="right"/>
              <w:rPr>
                <w:sz w:val="28"/>
              </w:rPr>
            </w:pPr>
            <w:r>
              <w:rPr>
                <w:spacing w:val="-5"/>
                <w:sz w:val="28"/>
              </w:rPr>
              <w:t>87</w:t>
            </w:r>
          </w:p>
        </w:tc>
        <w:tc>
          <w:tcPr>
            <w:tcW w:w="758" w:type="dxa"/>
          </w:tcPr>
          <w:p w14:paraId="5ABCE426">
            <w:pPr>
              <w:pStyle w:val="11"/>
              <w:spacing w:before="12"/>
              <w:ind w:right="90"/>
              <w:jc w:val="right"/>
              <w:rPr>
                <w:sz w:val="28"/>
              </w:rPr>
            </w:pPr>
            <w:r>
              <w:rPr>
                <w:spacing w:val="-5"/>
                <w:sz w:val="28"/>
              </w:rPr>
              <w:t>38</w:t>
            </w:r>
          </w:p>
        </w:tc>
        <w:tc>
          <w:tcPr>
            <w:tcW w:w="758" w:type="dxa"/>
          </w:tcPr>
          <w:p w14:paraId="1B895947">
            <w:pPr>
              <w:pStyle w:val="11"/>
              <w:spacing w:before="12"/>
              <w:ind w:right="89"/>
              <w:jc w:val="right"/>
              <w:rPr>
                <w:sz w:val="28"/>
              </w:rPr>
            </w:pPr>
            <w:r>
              <w:rPr>
                <w:spacing w:val="-5"/>
                <w:sz w:val="28"/>
              </w:rPr>
              <w:t>10</w:t>
            </w:r>
          </w:p>
        </w:tc>
        <w:tc>
          <w:tcPr>
            <w:tcW w:w="796" w:type="dxa"/>
          </w:tcPr>
          <w:p w14:paraId="7F32B99A">
            <w:pPr>
              <w:pStyle w:val="11"/>
              <w:spacing w:before="12"/>
              <w:ind w:right="88"/>
              <w:jc w:val="right"/>
              <w:rPr>
                <w:sz w:val="28"/>
              </w:rPr>
            </w:pPr>
            <w:r>
              <w:rPr>
                <w:spacing w:val="-5"/>
                <w:sz w:val="28"/>
              </w:rPr>
              <w:t>256</w:t>
            </w:r>
          </w:p>
        </w:tc>
        <w:tc>
          <w:tcPr>
            <w:tcW w:w="739" w:type="dxa"/>
          </w:tcPr>
          <w:p w14:paraId="58074DB8">
            <w:pPr>
              <w:pStyle w:val="11"/>
              <w:spacing w:before="12"/>
              <w:ind w:right="88"/>
              <w:jc w:val="right"/>
              <w:rPr>
                <w:sz w:val="28"/>
              </w:rPr>
            </w:pPr>
            <w:r>
              <w:rPr>
                <w:spacing w:val="-5"/>
                <w:sz w:val="28"/>
              </w:rPr>
              <w:t>78</w:t>
            </w:r>
          </w:p>
        </w:tc>
        <w:tc>
          <w:tcPr>
            <w:tcW w:w="758" w:type="dxa"/>
          </w:tcPr>
          <w:p w14:paraId="2B3D6097">
            <w:pPr>
              <w:pStyle w:val="11"/>
              <w:spacing w:before="12"/>
              <w:ind w:right="87"/>
              <w:jc w:val="right"/>
              <w:rPr>
                <w:sz w:val="28"/>
              </w:rPr>
            </w:pPr>
            <w:r>
              <w:rPr>
                <w:spacing w:val="-5"/>
                <w:sz w:val="28"/>
              </w:rPr>
              <w:t>47</w:t>
            </w:r>
          </w:p>
        </w:tc>
        <w:tc>
          <w:tcPr>
            <w:tcW w:w="763" w:type="dxa"/>
          </w:tcPr>
          <w:p w14:paraId="6CAF450A">
            <w:pPr>
              <w:pStyle w:val="11"/>
              <w:spacing w:before="12"/>
              <w:ind w:right="87"/>
              <w:jc w:val="right"/>
              <w:rPr>
                <w:sz w:val="28"/>
              </w:rPr>
            </w:pPr>
            <w:r>
              <w:rPr>
                <w:spacing w:val="-5"/>
                <w:sz w:val="28"/>
              </w:rPr>
              <w:t>18</w:t>
            </w:r>
          </w:p>
        </w:tc>
        <w:tc>
          <w:tcPr>
            <w:tcW w:w="796" w:type="dxa"/>
          </w:tcPr>
          <w:p w14:paraId="1AF875B7">
            <w:pPr>
              <w:pStyle w:val="11"/>
              <w:spacing w:before="12"/>
              <w:ind w:right="86"/>
              <w:jc w:val="right"/>
              <w:rPr>
                <w:sz w:val="28"/>
              </w:rPr>
            </w:pPr>
            <w:r>
              <w:rPr>
                <w:spacing w:val="-5"/>
                <w:sz w:val="28"/>
              </w:rPr>
              <w:t>178</w:t>
            </w:r>
          </w:p>
        </w:tc>
        <w:tc>
          <w:tcPr>
            <w:tcW w:w="738" w:type="dxa"/>
          </w:tcPr>
          <w:p w14:paraId="48C8A24E">
            <w:pPr>
              <w:pStyle w:val="11"/>
              <w:spacing w:before="12"/>
              <w:ind w:right="89"/>
              <w:jc w:val="right"/>
              <w:rPr>
                <w:sz w:val="28"/>
              </w:rPr>
            </w:pPr>
            <w:r>
              <w:rPr>
                <w:spacing w:val="-5"/>
                <w:sz w:val="28"/>
              </w:rPr>
              <w:t>57</w:t>
            </w:r>
          </w:p>
        </w:tc>
        <w:tc>
          <w:tcPr>
            <w:tcW w:w="758" w:type="dxa"/>
          </w:tcPr>
          <w:p w14:paraId="54076659">
            <w:pPr>
              <w:pStyle w:val="11"/>
              <w:spacing w:before="12"/>
              <w:ind w:right="88"/>
              <w:jc w:val="right"/>
              <w:rPr>
                <w:sz w:val="28"/>
              </w:rPr>
            </w:pPr>
            <w:r>
              <w:rPr>
                <w:spacing w:val="-5"/>
                <w:sz w:val="28"/>
              </w:rPr>
              <w:t>23</w:t>
            </w:r>
          </w:p>
        </w:tc>
        <w:tc>
          <w:tcPr>
            <w:tcW w:w="802" w:type="dxa"/>
          </w:tcPr>
          <w:p w14:paraId="3AEE4045">
            <w:pPr>
              <w:pStyle w:val="11"/>
              <w:spacing w:before="12"/>
              <w:ind w:right="82"/>
              <w:jc w:val="right"/>
              <w:rPr>
                <w:sz w:val="28"/>
              </w:rPr>
            </w:pPr>
            <w:r>
              <w:rPr>
                <w:spacing w:val="-5"/>
                <w:sz w:val="28"/>
              </w:rPr>
              <w:t>15</w:t>
            </w:r>
          </w:p>
        </w:tc>
      </w:tr>
      <w:tr w14:paraId="1BCFE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2367" w:type="dxa"/>
          </w:tcPr>
          <w:p w14:paraId="4D516E5C">
            <w:pPr>
              <w:pStyle w:val="11"/>
              <w:spacing w:before="16" w:line="309" w:lineRule="exact"/>
              <w:ind w:left="110"/>
              <w:jc w:val="left"/>
              <w:rPr>
                <w:sz w:val="28"/>
              </w:rPr>
            </w:pPr>
            <w:r>
              <w:rPr>
                <w:sz w:val="28"/>
              </w:rPr>
              <w:t>г.</w:t>
            </w:r>
            <w:r>
              <w:rPr>
                <w:spacing w:val="2"/>
                <w:sz w:val="28"/>
              </w:rPr>
              <w:t xml:space="preserve"> </w:t>
            </w:r>
            <w:r>
              <w:rPr>
                <w:spacing w:val="-2"/>
                <w:sz w:val="28"/>
              </w:rPr>
              <w:t>Шымкент</w:t>
            </w:r>
          </w:p>
        </w:tc>
        <w:tc>
          <w:tcPr>
            <w:tcW w:w="768" w:type="dxa"/>
          </w:tcPr>
          <w:p w14:paraId="48039823">
            <w:pPr>
              <w:pStyle w:val="11"/>
              <w:spacing w:before="16" w:line="309" w:lineRule="exact"/>
              <w:ind w:right="93"/>
              <w:jc w:val="right"/>
              <w:rPr>
                <w:sz w:val="28"/>
              </w:rPr>
            </w:pPr>
            <w:r>
              <w:rPr>
                <w:spacing w:val="-5"/>
                <w:sz w:val="28"/>
              </w:rPr>
              <w:t>71</w:t>
            </w:r>
          </w:p>
        </w:tc>
        <w:tc>
          <w:tcPr>
            <w:tcW w:w="739" w:type="dxa"/>
          </w:tcPr>
          <w:p w14:paraId="4CF052F3">
            <w:pPr>
              <w:pStyle w:val="11"/>
              <w:spacing w:before="16" w:line="309" w:lineRule="exact"/>
              <w:ind w:right="93"/>
              <w:jc w:val="right"/>
              <w:rPr>
                <w:sz w:val="28"/>
              </w:rPr>
            </w:pPr>
            <w:r>
              <w:rPr>
                <w:spacing w:val="-10"/>
                <w:sz w:val="28"/>
              </w:rPr>
              <w:t>7</w:t>
            </w:r>
          </w:p>
        </w:tc>
        <w:tc>
          <w:tcPr>
            <w:tcW w:w="758" w:type="dxa"/>
          </w:tcPr>
          <w:p w14:paraId="3AAB251F">
            <w:pPr>
              <w:pStyle w:val="11"/>
              <w:spacing w:before="16" w:line="309" w:lineRule="exact"/>
              <w:ind w:right="92"/>
              <w:jc w:val="right"/>
              <w:rPr>
                <w:sz w:val="28"/>
              </w:rPr>
            </w:pPr>
            <w:r>
              <w:rPr>
                <w:spacing w:val="-5"/>
                <w:sz w:val="28"/>
              </w:rPr>
              <w:t>15</w:t>
            </w:r>
          </w:p>
        </w:tc>
        <w:tc>
          <w:tcPr>
            <w:tcW w:w="763" w:type="dxa"/>
          </w:tcPr>
          <w:p w14:paraId="52BBDEDE">
            <w:pPr>
              <w:pStyle w:val="11"/>
              <w:spacing w:before="16" w:line="309" w:lineRule="exact"/>
              <w:ind w:right="92"/>
              <w:jc w:val="right"/>
              <w:rPr>
                <w:sz w:val="28"/>
              </w:rPr>
            </w:pPr>
            <w:r>
              <w:rPr>
                <w:spacing w:val="-5"/>
                <w:sz w:val="28"/>
              </w:rPr>
              <w:t>14</w:t>
            </w:r>
          </w:p>
        </w:tc>
        <w:tc>
          <w:tcPr>
            <w:tcW w:w="796" w:type="dxa"/>
          </w:tcPr>
          <w:p w14:paraId="0C61C4DE">
            <w:pPr>
              <w:pStyle w:val="11"/>
              <w:spacing w:before="16" w:line="309" w:lineRule="exact"/>
              <w:ind w:right="91"/>
              <w:jc w:val="right"/>
              <w:rPr>
                <w:sz w:val="28"/>
              </w:rPr>
            </w:pPr>
            <w:r>
              <w:rPr>
                <w:spacing w:val="-5"/>
                <w:sz w:val="28"/>
              </w:rPr>
              <w:t>155</w:t>
            </w:r>
          </w:p>
        </w:tc>
        <w:tc>
          <w:tcPr>
            <w:tcW w:w="739" w:type="dxa"/>
          </w:tcPr>
          <w:p w14:paraId="1DCA2070">
            <w:pPr>
              <w:pStyle w:val="11"/>
              <w:spacing w:before="16" w:line="309" w:lineRule="exact"/>
              <w:ind w:right="90"/>
              <w:jc w:val="right"/>
              <w:rPr>
                <w:sz w:val="28"/>
              </w:rPr>
            </w:pPr>
            <w:r>
              <w:rPr>
                <w:spacing w:val="-5"/>
                <w:sz w:val="28"/>
              </w:rPr>
              <w:t>11</w:t>
            </w:r>
          </w:p>
        </w:tc>
        <w:tc>
          <w:tcPr>
            <w:tcW w:w="758" w:type="dxa"/>
          </w:tcPr>
          <w:p w14:paraId="6E4B2D78">
            <w:pPr>
              <w:pStyle w:val="11"/>
              <w:spacing w:before="16" w:line="309" w:lineRule="exact"/>
              <w:ind w:right="90"/>
              <w:jc w:val="right"/>
              <w:rPr>
                <w:sz w:val="28"/>
              </w:rPr>
            </w:pPr>
            <w:r>
              <w:rPr>
                <w:spacing w:val="-5"/>
                <w:sz w:val="28"/>
              </w:rPr>
              <w:t>17</w:t>
            </w:r>
          </w:p>
        </w:tc>
        <w:tc>
          <w:tcPr>
            <w:tcW w:w="758" w:type="dxa"/>
          </w:tcPr>
          <w:p w14:paraId="551C4B0E">
            <w:pPr>
              <w:pStyle w:val="11"/>
              <w:spacing w:before="16" w:line="309" w:lineRule="exact"/>
              <w:ind w:right="89"/>
              <w:jc w:val="right"/>
              <w:rPr>
                <w:sz w:val="28"/>
              </w:rPr>
            </w:pPr>
            <w:r>
              <w:rPr>
                <w:spacing w:val="-5"/>
                <w:sz w:val="28"/>
              </w:rPr>
              <w:t>18</w:t>
            </w:r>
          </w:p>
        </w:tc>
        <w:tc>
          <w:tcPr>
            <w:tcW w:w="796" w:type="dxa"/>
          </w:tcPr>
          <w:p w14:paraId="397838AB">
            <w:pPr>
              <w:pStyle w:val="11"/>
              <w:spacing w:before="16" w:line="309" w:lineRule="exact"/>
              <w:ind w:right="88"/>
              <w:jc w:val="right"/>
              <w:rPr>
                <w:sz w:val="28"/>
              </w:rPr>
            </w:pPr>
            <w:r>
              <w:rPr>
                <w:spacing w:val="-5"/>
                <w:sz w:val="28"/>
              </w:rPr>
              <w:t>118</w:t>
            </w:r>
          </w:p>
        </w:tc>
        <w:tc>
          <w:tcPr>
            <w:tcW w:w="739" w:type="dxa"/>
          </w:tcPr>
          <w:p w14:paraId="5422D721">
            <w:pPr>
              <w:pStyle w:val="11"/>
              <w:spacing w:before="16" w:line="309" w:lineRule="exact"/>
              <w:ind w:right="88"/>
              <w:jc w:val="right"/>
              <w:rPr>
                <w:sz w:val="28"/>
              </w:rPr>
            </w:pPr>
            <w:r>
              <w:rPr>
                <w:spacing w:val="-5"/>
                <w:sz w:val="28"/>
              </w:rPr>
              <w:t>14</w:t>
            </w:r>
          </w:p>
        </w:tc>
        <w:tc>
          <w:tcPr>
            <w:tcW w:w="758" w:type="dxa"/>
          </w:tcPr>
          <w:p w14:paraId="57A3F31D">
            <w:pPr>
              <w:pStyle w:val="11"/>
              <w:spacing w:before="16" w:line="309" w:lineRule="exact"/>
              <w:ind w:right="87"/>
              <w:jc w:val="right"/>
              <w:rPr>
                <w:sz w:val="28"/>
              </w:rPr>
            </w:pPr>
            <w:r>
              <w:rPr>
                <w:spacing w:val="-5"/>
                <w:sz w:val="28"/>
              </w:rPr>
              <w:t>28</w:t>
            </w:r>
          </w:p>
        </w:tc>
        <w:tc>
          <w:tcPr>
            <w:tcW w:w="763" w:type="dxa"/>
          </w:tcPr>
          <w:p w14:paraId="47B28F7A">
            <w:pPr>
              <w:pStyle w:val="11"/>
              <w:spacing w:before="16" w:line="309" w:lineRule="exact"/>
              <w:ind w:right="87"/>
              <w:jc w:val="right"/>
              <w:rPr>
                <w:sz w:val="28"/>
              </w:rPr>
            </w:pPr>
            <w:r>
              <w:rPr>
                <w:spacing w:val="-5"/>
                <w:sz w:val="28"/>
              </w:rPr>
              <w:t>24</w:t>
            </w:r>
          </w:p>
        </w:tc>
        <w:tc>
          <w:tcPr>
            <w:tcW w:w="796" w:type="dxa"/>
          </w:tcPr>
          <w:p w14:paraId="28372366">
            <w:pPr>
              <w:pStyle w:val="11"/>
              <w:spacing w:before="16" w:line="309" w:lineRule="exact"/>
              <w:ind w:right="86"/>
              <w:jc w:val="right"/>
              <w:rPr>
                <w:sz w:val="28"/>
              </w:rPr>
            </w:pPr>
            <w:r>
              <w:rPr>
                <w:spacing w:val="-5"/>
                <w:sz w:val="28"/>
              </w:rPr>
              <w:t>114</w:t>
            </w:r>
          </w:p>
        </w:tc>
        <w:tc>
          <w:tcPr>
            <w:tcW w:w="738" w:type="dxa"/>
          </w:tcPr>
          <w:p w14:paraId="6655BEFE">
            <w:pPr>
              <w:pStyle w:val="11"/>
              <w:spacing w:before="16" w:line="309" w:lineRule="exact"/>
              <w:ind w:right="89"/>
              <w:jc w:val="right"/>
              <w:rPr>
                <w:sz w:val="28"/>
              </w:rPr>
            </w:pPr>
            <w:r>
              <w:rPr>
                <w:spacing w:val="-5"/>
                <w:sz w:val="28"/>
              </w:rPr>
              <w:t>38</w:t>
            </w:r>
          </w:p>
        </w:tc>
        <w:tc>
          <w:tcPr>
            <w:tcW w:w="758" w:type="dxa"/>
          </w:tcPr>
          <w:p w14:paraId="028D064C">
            <w:pPr>
              <w:pStyle w:val="11"/>
              <w:spacing w:before="16" w:line="309" w:lineRule="exact"/>
              <w:ind w:right="88"/>
              <w:jc w:val="right"/>
              <w:rPr>
                <w:sz w:val="28"/>
              </w:rPr>
            </w:pPr>
            <w:r>
              <w:rPr>
                <w:spacing w:val="-5"/>
                <w:sz w:val="28"/>
              </w:rPr>
              <w:t>19</w:t>
            </w:r>
          </w:p>
        </w:tc>
        <w:tc>
          <w:tcPr>
            <w:tcW w:w="802" w:type="dxa"/>
          </w:tcPr>
          <w:p w14:paraId="773733EC">
            <w:pPr>
              <w:pStyle w:val="11"/>
              <w:spacing w:before="16" w:line="309" w:lineRule="exact"/>
              <w:ind w:right="82"/>
              <w:jc w:val="right"/>
              <w:rPr>
                <w:sz w:val="28"/>
              </w:rPr>
            </w:pPr>
            <w:r>
              <w:rPr>
                <w:spacing w:val="-5"/>
                <w:sz w:val="28"/>
              </w:rPr>
              <w:t>10</w:t>
            </w:r>
          </w:p>
        </w:tc>
      </w:tr>
    </w:tbl>
    <w:p w14:paraId="12A86731">
      <w:pPr>
        <w:pStyle w:val="11"/>
        <w:spacing w:line="309" w:lineRule="exact"/>
        <w:jc w:val="right"/>
        <w:rPr>
          <w:sz w:val="28"/>
        </w:rPr>
        <w:sectPr>
          <w:footerReference r:id="rId7" w:type="default"/>
          <w:pgSz w:w="16840" w:h="11910" w:orient="landscape"/>
          <w:pgMar w:top="660" w:right="992" w:bottom="1200" w:left="992" w:header="0" w:footer="1005" w:gutter="0"/>
          <w:cols w:space="720" w:num="1"/>
        </w:sectPr>
      </w:pPr>
    </w:p>
    <w:p w14:paraId="618B7EE4">
      <w:pPr>
        <w:pStyle w:val="7"/>
        <w:spacing w:before="67"/>
        <w:ind w:left="0" w:right="3" w:firstLine="709"/>
      </w:pPr>
      <w:r>
        <w:t>Представленная таблица содержит данные о распределении пациентов с опухолями периампулярной зоны в разрезе регионов Республики Казахстан за период</w:t>
      </w:r>
      <w:r>
        <w:rPr>
          <w:spacing w:val="-6"/>
        </w:rPr>
        <w:t xml:space="preserve"> </w:t>
      </w:r>
      <w:r>
        <w:t>с</w:t>
      </w:r>
      <w:r>
        <w:rPr>
          <w:spacing w:val="-8"/>
        </w:rPr>
        <w:t xml:space="preserve"> </w:t>
      </w:r>
      <w:r>
        <w:t>2022</w:t>
      </w:r>
      <w:r>
        <w:rPr>
          <w:spacing w:val="-8"/>
        </w:rPr>
        <w:t xml:space="preserve"> </w:t>
      </w:r>
      <w:r>
        <w:t>по</w:t>
      </w:r>
      <w:r>
        <w:rPr>
          <w:spacing w:val="-8"/>
        </w:rPr>
        <w:t xml:space="preserve"> </w:t>
      </w:r>
      <w:r>
        <w:t>2025</w:t>
      </w:r>
      <w:r>
        <w:rPr>
          <w:spacing w:val="-8"/>
        </w:rPr>
        <w:t xml:space="preserve"> </w:t>
      </w:r>
      <w:r>
        <w:t>годы.</w:t>
      </w:r>
      <w:r>
        <w:rPr>
          <w:spacing w:val="-6"/>
        </w:rPr>
        <w:t xml:space="preserve"> </w:t>
      </w:r>
      <w:r>
        <w:t>В</w:t>
      </w:r>
      <w:r>
        <w:rPr>
          <w:spacing w:val="-12"/>
        </w:rPr>
        <w:t xml:space="preserve"> </w:t>
      </w:r>
      <w:r>
        <w:t>таблицу</w:t>
      </w:r>
      <w:r>
        <w:rPr>
          <w:spacing w:val="-8"/>
        </w:rPr>
        <w:t xml:space="preserve"> </w:t>
      </w:r>
      <w:r>
        <w:t>включены</w:t>
      </w:r>
      <w:r>
        <w:rPr>
          <w:spacing w:val="-8"/>
        </w:rPr>
        <w:t xml:space="preserve"> </w:t>
      </w:r>
      <w:r>
        <w:t>четыре</w:t>
      </w:r>
      <w:r>
        <w:rPr>
          <w:spacing w:val="-7"/>
        </w:rPr>
        <w:t xml:space="preserve"> </w:t>
      </w:r>
      <w:r>
        <w:t>основные</w:t>
      </w:r>
      <w:r>
        <w:rPr>
          <w:spacing w:val="-8"/>
        </w:rPr>
        <w:t xml:space="preserve"> </w:t>
      </w:r>
      <w:r>
        <w:t>локализации опухолевого процесса: опухоли ГПЖ, опухоли БДС, опухоли ТОХ и опухоли ДПК. Каждая из указанных локализаций имеет различную клиническую значимость, особенности течения и хирургической тактики, что делает их стратификацию важной для оценки региональной онкологической нагрузки и распределения специализированной хирургической помощи.</w:t>
      </w:r>
    </w:p>
    <w:p w14:paraId="3F8FE498">
      <w:pPr>
        <w:pStyle w:val="7"/>
        <w:spacing w:before="3"/>
        <w:ind w:left="0" w:right="3" w:firstLine="709"/>
      </w:pPr>
      <w:r>
        <w:t>Данные</w:t>
      </w:r>
      <w:r>
        <w:rPr>
          <w:spacing w:val="-18"/>
        </w:rPr>
        <w:t xml:space="preserve"> </w:t>
      </w:r>
      <w:r>
        <w:t>таблицы</w:t>
      </w:r>
      <w:r>
        <w:rPr>
          <w:spacing w:val="-17"/>
        </w:rPr>
        <w:t xml:space="preserve"> </w:t>
      </w:r>
      <w:r>
        <w:t>6</w:t>
      </w:r>
      <w:r>
        <w:rPr>
          <w:spacing w:val="-18"/>
        </w:rPr>
        <w:t xml:space="preserve"> </w:t>
      </w:r>
      <w:r>
        <w:t>демонстрируют</w:t>
      </w:r>
      <w:r>
        <w:rPr>
          <w:spacing w:val="-17"/>
        </w:rPr>
        <w:t xml:space="preserve"> </w:t>
      </w:r>
      <w:r>
        <w:t>выраженные</w:t>
      </w:r>
      <w:r>
        <w:rPr>
          <w:spacing w:val="-18"/>
        </w:rPr>
        <w:t xml:space="preserve"> </w:t>
      </w:r>
      <w:r>
        <w:t>межрегиональные</w:t>
      </w:r>
      <w:r>
        <w:rPr>
          <w:spacing w:val="-17"/>
        </w:rPr>
        <w:t xml:space="preserve"> </w:t>
      </w:r>
      <w:r>
        <w:t>различия как по общему числу выявленных опухолей периампулярной зоны, так и по структуре локализаций. Наиболее высокая частота опухолей ГПЖ, являющихся ведущей нозологией среди новообразований периампулярной области, отмечается в крупных городах — Алматы, Астане и Шымкенте, что отражает концентрацию диагностических возможностей, развитую маршрутизацию пациентов и наличие специализированных онкологических центров. В городе Алматы количество пациентов</w:t>
      </w:r>
      <w:r>
        <w:rPr>
          <w:spacing w:val="-1"/>
        </w:rPr>
        <w:t xml:space="preserve"> </w:t>
      </w:r>
      <w:r>
        <w:t>с ГПЖ варьирует</w:t>
      </w:r>
      <w:r>
        <w:rPr>
          <w:spacing w:val="-1"/>
        </w:rPr>
        <w:t xml:space="preserve"> </w:t>
      </w:r>
      <w:r>
        <w:t>от</w:t>
      </w:r>
      <w:r>
        <w:rPr>
          <w:spacing w:val="-1"/>
        </w:rPr>
        <w:t xml:space="preserve"> </w:t>
      </w:r>
      <w:r>
        <w:t>420 до</w:t>
      </w:r>
      <w:r>
        <w:rPr>
          <w:spacing w:val="-4"/>
        </w:rPr>
        <w:t xml:space="preserve"> </w:t>
      </w:r>
      <w:r>
        <w:t>613 случаев</w:t>
      </w:r>
      <w:r>
        <w:rPr>
          <w:spacing w:val="-1"/>
        </w:rPr>
        <w:t xml:space="preserve"> </w:t>
      </w:r>
      <w:r>
        <w:t>в</w:t>
      </w:r>
      <w:r>
        <w:rPr>
          <w:spacing w:val="-1"/>
        </w:rPr>
        <w:t xml:space="preserve"> </w:t>
      </w:r>
      <w:r>
        <w:t>разные годы</w:t>
      </w:r>
      <w:r>
        <w:rPr>
          <w:spacing w:val="-4"/>
        </w:rPr>
        <w:t xml:space="preserve"> </w:t>
      </w:r>
      <w:r>
        <w:t>наблюдений,</w:t>
      </w:r>
      <w:r>
        <w:rPr>
          <w:spacing w:val="-2"/>
        </w:rPr>
        <w:t xml:space="preserve"> </w:t>
      </w:r>
      <w:r>
        <w:t>в</w:t>
      </w:r>
      <w:r>
        <w:rPr>
          <w:spacing w:val="-9"/>
        </w:rPr>
        <w:t xml:space="preserve"> </w:t>
      </w:r>
      <w:r>
        <w:t>г.</w:t>
      </w:r>
      <w:r>
        <w:rPr>
          <w:spacing w:val="-5"/>
        </w:rPr>
        <w:t xml:space="preserve"> </w:t>
      </w:r>
      <w:r>
        <w:t>Астане</w:t>
      </w:r>
      <w:r>
        <w:rPr>
          <w:spacing w:val="-3"/>
        </w:rPr>
        <w:t xml:space="preserve"> </w:t>
      </w:r>
      <w:r>
        <w:t>от</w:t>
      </w:r>
      <w:r>
        <w:rPr>
          <w:spacing w:val="-5"/>
        </w:rPr>
        <w:t xml:space="preserve"> </w:t>
      </w:r>
      <w:r>
        <w:t>178</w:t>
      </w:r>
      <w:r>
        <w:rPr>
          <w:spacing w:val="-4"/>
        </w:rPr>
        <w:t xml:space="preserve"> </w:t>
      </w:r>
      <w:r>
        <w:t>до</w:t>
      </w:r>
      <w:r>
        <w:rPr>
          <w:spacing w:val="-12"/>
        </w:rPr>
        <w:t xml:space="preserve"> </w:t>
      </w:r>
      <w:r>
        <w:t>293</w:t>
      </w:r>
      <w:r>
        <w:rPr>
          <w:spacing w:val="-4"/>
        </w:rPr>
        <w:t xml:space="preserve"> </w:t>
      </w:r>
      <w:r>
        <w:t>случаев,</w:t>
      </w:r>
      <w:r>
        <w:rPr>
          <w:spacing w:val="-1"/>
        </w:rPr>
        <w:t xml:space="preserve"> </w:t>
      </w:r>
      <w:r>
        <w:t>в</w:t>
      </w:r>
      <w:r>
        <w:rPr>
          <w:spacing w:val="-5"/>
        </w:rPr>
        <w:t xml:space="preserve"> </w:t>
      </w:r>
      <w:r>
        <w:t>г.</w:t>
      </w:r>
      <w:r>
        <w:rPr>
          <w:spacing w:val="-1"/>
        </w:rPr>
        <w:t xml:space="preserve"> </w:t>
      </w:r>
      <w:r>
        <w:t>Шымкенте</w:t>
      </w:r>
      <w:r>
        <w:rPr>
          <w:spacing w:val="-3"/>
        </w:rPr>
        <w:t xml:space="preserve"> </w:t>
      </w:r>
      <w:r>
        <w:t>от</w:t>
      </w:r>
      <w:r>
        <w:rPr>
          <w:spacing w:val="-5"/>
        </w:rPr>
        <w:t xml:space="preserve"> </w:t>
      </w:r>
      <w:r>
        <w:t>71</w:t>
      </w:r>
      <w:r>
        <w:rPr>
          <w:spacing w:val="-4"/>
        </w:rPr>
        <w:t xml:space="preserve"> </w:t>
      </w:r>
      <w:r>
        <w:t>до</w:t>
      </w:r>
      <w:r>
        <w:rPr>
          <w:spacing w:val="-7"/>
        </w:rPr>
        <w:t xml:space="preserve"> </w:t>
      </w:r>
      <w:r>
        <w:t>155 случаев. Аналогичная тенденция характерна и для других локализаций, что подтверждает более широкие возможности ранней диагностики и привлечения потока пациентов из различных регионов.</w:t>
      </w:r>
    </w:p>
    <w:p w14:paraId="0E41670D">
      <w:pPr>
        <w:pStyle w:val="7"/>
        <w:spacing w:before="72"/>
        <w:ind w:left="0" w:right="3" w:firstLine="709"/>
        <w:jc w:val="left"/>
        <w:rPr>
          <w:sz w:val="20"/>
        </w:rPr>
      </w:pPr>
      <w:r>
        <w:rPr>
          <w:sz w:val="20"/>
          <w:lang w:eastAsia="ru-RU"/>
        </w:rPr>
        <mc:AlternateContent>
          <mc:Choice Requires="wpg">
            <w:drawing>
              <wp:anchor distT="0" distB="0" distL="0" distR="0" simplePos="0" relativeHeight="251676672" behindDoc="1" locked="0" layoutInCell="1" allowOverlap="1">
                <wp:simplePos x="0" y="0"/>
                <wp:positionH relativeFrom="page">
                  <wp:posOffset>1439545</wp:posOffset>
                </wp:positionH>
                <wp:positionV relativeFrom="paragraph">
                  <wp:posOffset>207645</wp:posOffset>
                </wp:positionV>
                <wp:extent cx="5229225" cy="3162300"/>
                <wp:effectExtent l="0" t="0" r="0" b="0"/>
                <wp:wrapTopAndBottom/>
                <wp:docPr id="56" name="Group 56"/>
                <wp:cNvGraphicFramePr/>
                <a:graphic xmlns:a="http://schemas.openxmlformats.org/drawingml/2006/main">
                  <a:graphicData uri="http://schemas.microsoft.com/office/word/2010/wordprocessingGroup">
                    <wpg:wgp>
                      <wpg:cNvGrpSpPr/>
                      <wpg:grpSpPr>
                        <a:xfrm>
                          <a:off x="0" y="0"/>
                          <a:ext cx="5229225" cy="3162300"/>
                          <a:chOff x="0" y="0"/>
                          <a:chExt cx="5229225" cy="3162300"/>
                        </a:xfrm>
                      </wpg:grpSpPr>
                      <wps:wsp>
                        <wps:cNvPr id="57" name="Graphic 57"/>
                        <wps:cNvSpPr/>
                        <wps:spPr>
                          <a:xfrm>
                            <a:off x="537527" y="161353"/>
                            <a:ext cx="4547235" cy="2294255"/>
                          </a:xfrm>
                          <a:custGeom>
                            <a:avLst/>
                            <a:gdLst/>
                            <a:ahLst/>
                            <a:cxnLst/>
                            <a:rect l="l" t="t" r="r" b="b"/>
                            <a:pathLst>
                              <a:path w="4547235" h="2294255">
                                <a:moveTo>
                                  <a:pt x="0" y="1835785"/>
                                </a:moveTo>
                                <a:lnTo>
                                  <a:pt x="4547235" y="1835785"/>
                                </a:lnTo>
                              </a:path>
                              <a:path w="4547235" h="2294255">
                                <a:moveTo>
                                  <a:pt x="0" y="1375537"/>
                                </a:moveTo>
                                <a:lnTo>
                                  <a:pt x="4547235" y="1375537"/>
                                </a:lnTo>
                              </a:path>
                              <a:path w="4547235" h="2294255">
                                <a:moveTo>
                                  <a:pt x="0" y="918337"/>
                                </a:moveTo>
                                <a:lnTo>
                                  <a:pt x="4547235" y="918337"/>
                                </a:lnTo>
                              </a:path>
                              <a:path w="4547235" h="2294255">
                                <a:moveTo>
                                  <a:pt x="0" y="458089"/>
                                </a:moveTo>
                                <a:lnTo>
                                  <a:pt x="4547235" y="458089"/>
                                </a:lnTo>
                              </a:path>
                              <a:path w="4547235" h="2294255">
                                <a:moveTo>
                                  <a:pt x="0" y="0"/>
                                </a:moveTo>
                                <a:lnTo>
                                  <a:pt x="4547235" y="0"/>
                                </a:lnTo>
                              </a:path>
                              <a:path w="4547235" h="2294255">
                                <a:moveTo>
                                  <a:pt x="0" y="2294255"/>
                                </a:moveTo>
                                <a:lnTo>
                                  <a:pt x="4547235" y="2294255"/>
                                </a:lnTo>
                              </a:path>
                            </a:pathLst>
                          </a:custGeom>
                          <a:ln w="9525">
                            <a:solidFill>
                              <a:srgbClr val="D9D9D9"/>
                            </a:solidFill>
                            <a:prstDash val="solid"/>
                          </a:ln>
                        </wps:spPr>
                        <wps:bodyPr wrap="square" lIns="0" tIns="0" rIns="0" bIns="0" rtlCol="0">
                          <a:noAutofit/>
                        </wps:bodyPr>
                      </wps:wsp>
                      <wps:wsp>
                        <wps:cNvPr id="58" name="Graphic 58"/>
                        <wps:cNvSpPr/>
                        <wps:spPr>
                          <a:xfrm>
                            <a:off x="1105979" y="543115"/>
                            <a:ext cx="3410585" cy="217804"/>
                          </a:xfrm>
                          <a:custGeom>
                            <a:avLst/>
                            <a:gdLst/>
                            <a:ahLst/>
                            <a:cxnLst/>
                            <a:rect l="l" t="t" r="r" b="b"/>
                            <a:pathLst>
                              <a:path w="3410585" h="217804">
                                <a:moveTo>
                                  <a:pt x="0" y="155575"/>
                                </a:moveTo>
                                <a:lnTo>
                                  <a:pt x="1136142" y="0"/>
                                </a:lnTo>
                                <a:lnTo>
                                  <a:pt x="2273046" y="217424"/>
                                </a:lnTo>
                                <a:lnTo>
                                  <a:pt x="3410330" y="210439"/>
                                </a:lnTo>
                              </a:path>
                            </a:pathLst>
                          </a:custGeom>
                          <a:ln w="28575">
                            <a:solidFill>
                              <a:srgbClr val="4F81BC"/>
                            </a:solidFill>
                            <a:prstDash val="solid"/>
                          </a:ln>
                        </wps:spPr>
                        <wps:bodyPr wrap="square" lIns="0" tIns="0" rIns="0" bIns="0" rtlCol="0">
                          <a:noAutofit/>
                        </wps:bodyPr>
                      </wps:wsp>
                      <pic:pic xmlns:pic="http://schemas.openxmlformats.org/drawingml/2006/picture">
                        <pic:nvPicPr>
                          <pic:cNvPr id="59" name="Image 59"/>
                          <pic:cNvPicPr/>
                        </pic:nvPicPr>
                        <pic:blipFill>
                          <a:blip r:embed="rId20" cstate="print"/>
                          <a:stretch>
                            <a:fillRect/>
                          </a:stretch>
                        </pic:blipFill>
                        <pic:spPr>
                          <a:xfrm>
                            <a:off x="1071562" y="666178"/>
                            <a:ext cx="70104" cy="70104"/>
                          </a:xfrm>
                          <a:prstGeom prst="rect">
                            <a:avLst/>
                          </a:prstGeom>
                        </pic:spPr>
                      </pic:pic>
                      <pic:pic xmlns:pic="http://schemas.openxmlformats.org/drawingml/2006/picture">
                        <pic:nvPicPr>
                          <pic:cNvPr id="60" name="Image 60"/>
                          <pic:cNvPicPr/>
                        </pic:nvPicPr>
                        <pic:blipFill>
                          <a:blip r:embed="rId20" cstate="print"/>
                          <a:stretch>
                            <a:fillRect/>
                          </a:stretch>
                        </pic:blipFill>
                        <pic:spPr>
                          <a:xfrm>
                            <a:off x="2208466" y="507682"/>
                            <a:ext cx="70104" cy="70103"/>
                          </a:xfrm>
                          <a:prstGeom prst="rect">
                            <a:avLst/>
                          </a:prstGeom>
                        </pic:spPr>
                      </pic:pic>
                      <pic:pic xmlns:pic="http://schemas.openxmlformats.org/drawingml/2006/picture">
                        <pic:nvPicPr>
                          <pic:cNvPr id="61" name="Image 61"/>
                          <pic:cNvPicPr/>
                        </pic:nvPicPr>
                        <pic:blipFill>
                          <a:blip r:embed="rId21" cstate="print"/>
                          <a:stretch>
                            <a:fillRect/>
                          </a:stretch>
                        </pic:blipFill>
                        <pic:spPr>
                          <a:xfrm>
                            <a:off x="3345370" y="727138"/>
                            <a:ext cx="70104" cy="70104"/>
                          </a:xfrm>
                          <a:prstGeom prst="rect">
                            <a:avLst/>
                          </a:prstGeom>
                        </pic:spPr>
                      </pic:pic>
                      <pic:pic xmlns:pic="http://schemas.openxmlformats.org/drawingml/2006/picture">
                        <pic:nvPicPr>
                          <pic:cNvPr id="62" name="Image 62"/>
                          <pic:cNvPicPr/>
                        </pic:nvPicPr>
                        <pic:blipFill>
                          <a:blip r:embed="rId20" cstate="print"/>
                          <a:stretch>
                            <a:fillRect/>
                          </a:stretch>
                        </pic:blipFill>
                        <pic:spPr>
                          <a:xfrm>
                            <a:off x="4482274" y="717994"/>
                            <a:ext cx="70104" cy="70103"/>
                          </a:xfrm>
                          <a:prstGeom prst="rect">
                            <a:avLst/>
                          </a:prstGeom>
                        </pic:spPr>
                      </pic:pic>
                      <wps:wsp>
                        <wps:cNvPr id="63" name="Graphic 63"/>
                        <wps:cNvSpPr/>
                        <wps:spPr>
                          <a:xfrm>
                            <a:off x="1105979" y="1789366"/>
                            <a:ext cx="3410585" cy="203835"/>
                          </a:xfrm>
                          <a:custGeom>
                            <a:avLst/>
                            <a:gdLst/>
                            <a:ahLst/>
                            <a:cxnLst/>
                            <a:rect l="l" t="t" r="r" b="b"/>
                            <a:pathLst>
                              <a:path w="3410585" h="203835">
                                <a:moveTo>
                                  <a:pt x="0" y="0"/>
                                </a:moveTo>
                                <a:lnTo>
                                  <a:pt x="1136142" y="146811"/>
                                </a:lnTo>
                                <a:lnTo>
                                  <a:pt x="2273046" y="152907"/>
                                </a:lnTo>
                                <a:lnTo>
                                  <a:pt x="3410330" y="203707"/>
                                </a:lnTo>
                              </a:path>
                            </a:pathLst>
                          </a:custGeom>
                          <a:ln w="28574">
                            <a:solidFill>
                              <a:srgbClr val="C0504D"/>
                            </a:solidFill>
                            <a:prstDash val="solid"/>
                          </a:ln>
                        </wps:spPr>
                        <wps:bodyPr wrap="square" lIns="0" tIns="0" rIns="0" bIns="0" rtlCol="0">
                          <a:noAutofit/>
                        </wps:bodyPr>
                      </wps:wsp>
                      <pic:pic xmlns:pic="http://schemas.openxmlformats.org/drawingml/2006/picture">
                        <pic:nvPicPr>
                          <pic:cNvPr id="64" name="Image 64"/>
                          <pic:cNvPicPr/>
                        </pic:nvPicPr>
                        <pic:blipFill>
                          <a:blip r:embed="rId22" cstate="print"/>
                          <a:stretch>
                            <a:fillRect/>
                          </a:stretch>
                        </pic:blipFill>
                        <pic:spPr>
                          <a:xfrm>
                            <a:off x="1071562" y="1754314"/>
                            <a:ext cx="70104" cy="70104"/>
                          </a:xfrm>
                          <a:prstGeom prst="rect">
                            <a:avLst/>
                          </a:prstGeom>
                        </pic:spPr>
                      </pic:pic>
                      <pic:pic xmlns:pic="http://schemas.openxmlformats.org/drawingml/2006/picture">
                        <pic:nvPicPr>
                          <pic:cNvPr id="65" name="Image 65"/>
                          <pic:cNvPicPr/>
                        </pic:nvPicPr>
                        <pic:blipFill>
                          <a:blip r:embed="rId23" cstate="print"/>
                          <a:stretch>
                            <a:fillRect/>
                          </a:stretch>
                        </pic:blipFill>
                        <pic:spPr>
                          <a:xfrm>
                            <a:off x="2208466" y="1900618"/>
                            <a:ext cx="70104" cy="70104"/>
                          </a:xfrm>
                          <a:prstGeom prst="rect">
                            <a:avLst/>
                          </a:prstGeom>
                        </pic:spPr>
                      </pic:pic>
                      <pic:pic xmlns:pic="http://schemas.openxmlformats.org/drawingml/2006/picture">
                        <pic:nvPicPr>
                          <pic:cNvPr id="66" name="Image 66"/>
                          <pic:cNvPicPr/>
                        </pic:nvPicPr>
                        <pic:blipFill>
                          <a:blip r:embed="rId24" cstate="print"/>
                          <a:stretch>
                            <a:fillRect/>
                          </a:stretch>
                        </pic:blipFill>
                        <pic:spPr>
                          <a:xfrm>
                            <a:off x="3345370" y="1909762"/>
                            <a:ext cx="70104" cy="70104"/>
                          </a:xfrm>
                          <a:prstGeom prst="rect">
                            <a:avLst/>
                          </a:prstGeom>
                        </pic:spPr>
                      </pic:pic>
                      <pic:pic xmlns:pic="http://schemas.openxmlformats.org/drawingml/2006/picture">
                        <pic:nvPicPr>
                          <pic:cNvPr id="67" name="Image 67"/>
                          <pic:cNvPicPr/>
                        </pic:nvPicPr>
                        <pic:blipFill>
                          <a:blip r:embed="rId23" cstate="print"/>
                          <a:stretch>
                            <a:fillRect/>
                          </a:stretch>
                        </pic:blipFill>
                        <pic:spPr>
                          <a:xfrm>
                            <a:off x="4482274" y="1958530"/>
                            <a:ext cx="70104" cy="70104"/>
                          </a:xfrm>
                          <a:prstGeom prst="rect">
                            <a:avLst/>
                          </a:prstGeom>
                        </pic:spPr>
                      </pic:pic>
                      <wps:wsp>
                        <wps:cNvPr id="68" name="Graphic 68"/>
                        <wps:cNvSpPr/>
                        <wps:spPr>
                          <a:xfrm>
                            <a:off x="1105979" y="2155507"/>
                            <a:ext cx="3410585" cy="98425"/>
                          </a:xfrm>
                          <a:custGeom>
                            <a:avLst/>
                            <a:gdLst/>
                            <a:ahLst/>
                            <a:cxnLst/>
                            <a:rect l="l" t="t" r="r" b="b"/>
                            <a:pathLst>
                              <a:path w="3410585" h="98425">
                                <a:moveTo>
                                  <a:pt x="0" y="45847"/>
                                </a:moveTo>
                                <a:lnTo>
                                  <a:pt x="1136142" y="3175"/>
                                </a:lnTo>
                                <a:lnTo>
                                  <a:pt x="2273046" y="0"/>
                                </a:lnTo>
                                <a:lnTo>
                                  <a:pt x="3410330" y="98171"/>
                                </a:lnTo>
                              </a:path>
                            </a:pathLst>
                          </a:custGeom>
                          <a:ln w="28575">
                            <a:solidFill>
                              <a:srgbClr val="9BBA58"/>
                            </a:solidFill>
                            <a:prstDash val="solid"/>
                          </a:ln>
                        </wps:spPr>
                        <wps:bodyPr wrap="square" lIns="0" tIns="0" rIns="0" bIns="0" rtlCol="0">
                          <a:noAutofit/>
                        </wps:bodyPr>
                      </wps:wsp>
                      <pic:pic xmlns:pic="http://schemas.openxmlformats.org/drawingml/2006/picture">
                        <pic:nvPicPr>
                          <pic:cNvPr id="69" name="Image 69"/>
                          <pic:cNvPicPr/>
                        </pic:nvPicPr>
                        <pic:blipFill>
                          <a:blip r:embed="rId25" cstate="print"/>
                          <a:stretch>
                            <a:fillRect/>
                          </a:stretch>
                        </pic:blipFill>
                        <pic:spPr>
                          <a:xfrm>
                            <a:off x="1071562" y="2165794"/>
                            <a:ext cx="70104" cy="70103"/>
                          </a:xfrm>
                          <a:prstGeom prst="rect">
                            <a:avLst/>
                          </a:prstGeom>
                        </pic:spPr>
                      </pic:pic>
                      <pic:pic xmlns:pic="http://schemas.openxmlformats.org/drawingml/2006/picture">
                        <pic:nvPicPr>
                          <pic:cNvPr id="70" name="Image 70"/>
                          <pic:cNvPicPr/>
                        </pic:nvPicPr>
                        <pic:blipFill>
                          <a:blip r:embed="rId25" cstate="print"/>
                          <a:stretch>
                            <a:fillRect/>
                          </a:stretch>
                        </pic:blipFill>
                        <pic:spPr>
                          <a:xfrm>
                            <a:off x="2208466" y="2123122"/>
                            <a:ext cx="70104" cy="70104"/>
                          </a:xfrm>
                          <a:prstGeom prst="rect">
                            <a:avLst/>
                          </a:prstGeom>
                        </pic:spPr>
                      </pic:pic>
                      <pic:pic xmlns:pic="http://schemas.openxmlformats.org/drawingml/2006/picture">
                        <pic:nvPicPr>
                          <pic:cNvPr id="71" name="Image 71"/>
                          <pic:cNvPicPr/>
                        </pic:nvPicPr>
                        <pic:blipFill>
                          <a:blip r:embed="rId26" cstate="print"/>
                          <a:stretch>
                            <a:fillRect/>
                          </a:stretch>
                        </pic:blipFill>
                        <pic:spPr>
                          <a:xfrm>
                            <a:off x="3345370" y="2120074"/>
                            <a:ext cx="70104" cy="70104"/>
                          </a:xfrm>
                          <a:prstGeom prst="rect">
                            <a:avLst/>
                          </a:prstGeom>
                        </pic:spPr>
                      </pic:pic>
                      <pic:pic xmlns:pic="http://schemas.openxmlformats.org/drawingml/2006/picture">
                        <pic:nvPicPr>
                          <pic:cNvPr id="72" name="Image 72"/>
                          <pic:cNvPicPr/>
                        </pic:nvPicPr>
                        <pic:blipFill>
                          <a:blip r:embed="rId25" cstate="print"/>
                          <a:stretch>
                            <a:fillRect/>
                          </a:stretch>
                        </pic:blipFill>
                        <pic:spPr>
                          <a:xfrm>
                            <a:off x="4482274" y="2220658"/>
                            <a:ext cx="70104" cy="70103"/>
                          </a:xfrm>
                          <a:prstGeom prst="rect">
                            <a:avLst/>
                          </a:prstGeom>
                        </pic:spPr>
                      </pic:pic>
                      <wps:wsp>
                        <wps:cNvPr id="73" name="Graphic 73"/>
                        <wps:cNvSpPr/>
                        <wps:spPr>
                          <a:xfrm>
                            <a:off x="1105979" y="2286698"/>
                            <a:ext cx="3410585" cy="38735"/>
                          </a:xfrm>
                          <a:custGeom>
                            <a:avLst/>
                            <a:gdLst/>
                            <a:ahLst/>
                            <a:cxnLst/>
                            <a:rect l="l" t="t" r="r" b="b"/>
                            <a:pathLst>
                              <a:path w="3410585" h="38735">
                                <a:moveTo>
                                  <a:pt x="0" y="33527"/>
                                </a:moveTo>
                                <a:lnTo>
                                  <a:pt x="1136142" y="0"/>
                                </a:lnTo>
                                <a:lnTo>
                                  <a:pt x="2273046" y="24384"/>
                                </a:lnTo>
                                <a:lnTo>
                                  <a:pt x="3410330" y="38608"/>
                                </a:lnTo>
                              </a:path>
                            </a:pathLst>
                          </a:custGeom>
                          <a:ln w="28575">
                            <a:solidFill>
                              <a:srgbClr val="8063A1"/>
                            </a:solidFill>
                            <a:prstDash val="solid"/>
                          </a:ln>
                        </wps:spPr>
                        <wps:bodyPr wrap="square" lIns="0" tIns="0" rIns="0" bIns="0" rtlCol="0">
                          <a:noAutofit/>
                        </wps:bodyPr>
                      </wps:wsp>
                      <pic:pic xmlns:pic="http://schemas.openxmlformats.org/drawingml/2006/picture">
                        <pic:nvPicPr>
                          <pic:cNvPr id="74" name="Image 74"/>
                          <pic:cNvPicPr/>
                        </pic:nvPicPr>
                        <pic:blipFill>
                          <a:blip r:embed="rId27" cstate="print"/>
                          <a:stretch>
                            <a:fillRect/>
                          </a:stretch>
                        </pic:blipFill>
                        <pic:spPr>
                          <a:xfrm>
                            <a:off x="1071562" y="2284666"/>
                            <a:ext cx="70104" cy="70104"/>
                          </a:xfrm>
                          <a:prstGeom prst="rect">
                            <a:avLst/>
                          </a:prstGeom>
                        </pic:spPr>
                      </pic:pic>
                      <pic:pic xmlns:pic="http://schemas.openxmlformats.org/drawingml/2006/picture">
                        <pic:nvPicPr>
                          <pic:cNvPr id="75" name="Image 75"/>
                          <pic:cNvPicPr/>
                        </pic:nvPicPr>
                        <pic:blipFill>
                          <a:blip r:embed="rId27" cstate="print"/>
                          <a:stretch>
                            <a:fillRect/>
                          </a:stretch>
                        </pic:blipFill>
                        <pic:spPr>
                          <a:xfrm>
                            <a:off x="2208466" y="2254186"/>
                            <a:ext cx="70104" cy="70104"/>
                          </a:xfrm>
                          <a:prstGeom prst="rect">
                            <a:avLst/>
                          </a:prstGeom>
                        </pic:spPr>
                      </pic:pic>
                      <pic:pic xmlns:pic="http://schemas.openxmlformats.org/drawingml/2006/picture">
                        <pic:nvPicPr>
                          <pic:cNvPr id="76" name="Image 76"/>
                          <pic:cNvPicPr/>
                        </pic:nvPicPr>
                        <pic:blipFill>
                          <a:blip r:embed="rId28" cstate="print"/>
                          <a:stretch>
                            <a:fillRect/>
                          </a:stretch>
                        </pic:blipFill>
                        <pic:spPr>
                          <a:xfrm>
                            <a:off x="3345370" y="2275522"/>
                            <a:ext cx="70104" cy="70104"/>
                          </a:xfrm>
                          <a:prstGeom prst="rect">
                            <a:avLst/>
                          </a:prstGeom>
                        </pic:spPr>
                      </pic:pic>
                      <pic:pic xmlns:pic="http://schemas.openxmlformats.org/drawingml/2006/picture">
                        <pic:nvPicPr>
                          <pic:cNvPr id="77" name="Image 77"/>
                          <pic:cNvPicPr/>
                        </pic:nvPicPr>
                        <pic:blipFill>
                          <a:blip r:embed="rId29" cstate="print"/>
                          <a:stretch>
                            <a:fillRect/>
                          </a:stretch>
                        </pic:blipFill>
                        <pic:spPr>
                          <a:xfrm>
                            <a:off x="4482274" y="2290762"/>
                            <a:ext cx="70104" cy="70104"/>
                          </a:xfrm>
                          <a:prstGeom prst="rect">
                            <a:avLst/>
                          </a:prstGeom>
                        </pic:spPr>
                      </pic:pic>
                      <pic:pic xmlns:pic="http://schemas.openxmlformats.org/drawingml/2006/picture">
                        <pic:nvPicPr>
                          <pic:cNvPr id="78" name="Image 78"/>
                          <pic:cNvPicPr/>
                        </pic:nvPicPr>
                        <pic:blipFill>
                          <a:blip r:embed="rId30" cstate="print"/>
                          <a:stretch>
                            <a:fillRect/>
                          </a:stretch>
                        </pic:blipFill>
                        <pic:spPr>
                          <a:xfrm>
                            <a:off x="1356169" y="2914395"/>
                            <a:ext cx="243840" cy="70484"/>
                          </a:xfrm>
                          <a:prstGeom prst="rect">
                            <a:avLst/>
                          </a:prstGeom>
                        </pic:spPr>
                      </pic:pic>
                      <pic:pic xmlns:pic="http://schemas.openxmlformats.org/drawingml/2006/picture">
                        <pic:nvPicPr>
                          <pic:cNvPr id="79" name="Image 79"/>
                          <pic:cNvPicPr/>
                        </pic:nvPicPr>
                        <pic:blipFill>
                          <a:blip r:embed="rId31" cstate="print"/>
                          <a:stretch>
                            <a:fillRect/>
                          </a:stretch>
                        </pic:blipFill>
                        <pic:spPr>
                          <a:xfrm>
                            <a:off x="2035873" y="2914395"/>
                            <a:ext cx="243839" cy="70484"/>
                          </a:xfrm>
                          <a:prstGeom prst="rect">
                            <a:avLst/>
                          </a:prstGeom>
                        </pic:spPr>
                      </pic:pic>
                      <pic:pic xmlns:pic="http://schemas.openxmlformats.org/drawingml/2006/picture">
                        <pic:nvPicPr>
                          <pic:cNvPr id="80" name="Image 80"/>
                          <pic:cNvPicPr/>
                        </pic:nvPicPr>
                        <pic:blipFill>
                          <a:blip r:embed="rId32" cstate="print"/>
                          <a:stretch>
                            <a:fillRect/>
                          </a:stretch>
                        </pic:blipFill>
                        <pic:spPr>
                          <a:xfrm>
                            <a:off x="2692590" y="2914395"/>
                            <a:ext cx="243839" cy="70484"/>
                          </a:xfrm>
                          <a:prstGeom prst="rect">
                            <a:avLst/>
                          </a:prstGeom>
                        </pic:spPr>
                      </pic:pic>
                      <pic:pic xmlns:pic="http://schemas.openxmlformats.org/drawingml/2006/picture">
                        <pic:nvPicPr>
                          <pic:cNvPr id="81" name="Image 81"/>
                          <pic:cNvPicPr/>
                        </pic:nvPicPr>
                        <pic:blipFill>
                          <a:blip r:embed="rId33" cstate="print"/>
                          <a:stretch>
                            <a:fillRect/>
                          </a:stretch>
                        </pic:blipFill>
                        <pic:spPr>
                          <a:xfrm>
                            <a:off x="3338131" y="2914395"/>
                            <a:ext cx="243839" cy="70484"/>
                          </a:xfrm>
                          <a:prstGeom prst="rect">
                            <a:avLst/>
                          </a:prstGeom>
                        </pic:spPr>
                      </pic:pic>
                      <wps:wsp>
                        <wps:cNvPr id="82" name="Graphic 82"/>
                        <wps:cNvSpPr/>
                        <wps:spPr>
                          <a:xfrm>
                            <a:off x="4762" y="4762"/>
                            <a:ext cx="5219700" cy="3152775"/>
                          </a:xfrm>
                          <a:custGeom>
                            <a:avLst/>
                            <a:gdLst/>
                            <a:ahLst/>
                            <a:cxnLst/>
                            <a:rect l="l" t="t" r="r" b="b"/>
                            <a:pathLst>
                              <a:path w="5219700" h="3152775">
                                <a:moveTo>
                                  <a:pt x="0" y="3152775"/>
                                </a:moveTo>
                                <a:lnTo>
                                  <a:pt x="5219700" y="3152775"/>
                                </a:lnTo>
                                <a:lnTo>
                                  <a:pt x="5219700" y="0"/>
                                </a:lnTo>
                                <a:lnTo>
                                  <a:pt x="0" y="0"/>
                                </a:lnTo>
                                <a:lnTo>
                                  <a:pt x="0" y="3152775"/>
                                </a:lnTo>
                                <a:close/>
                              </a:path>
                            </a:pathLst>
                          </a:custGeom>
                          <a:ln w="9525">
                            <a:solidFill>
                              <a:srgbClr val="D9D9D9"/>
                            </a:solidFill>
                            <a:prstDash val="solid"/>
                          </a:ln>
                        </wps:spPr>
                        <wps:bodyPr wrap="square" lIns="0" tIns="0" rIns="0" bIns="0" rtlCol="0">
                          <a:noAutofit/>
                        </wps:bodyPr>
                      </wps:wsp>
                      <wps:wsp>
                        <wps:cNvPr id="83" name="Textbox 83"/>
                        <wps:cNvSpPr txBox="1"/>
                        <wps:spPr>
                          <a:xfrm>
                            <a:off x="3609784" y="2884106"/>
                            <a:ext cx="288290" cy="152400"/>
                          </a:xfrm>
                          <a:prstGeom prst="rect">
                            <a:avLst/>
                          </a:prstGeom>
                        </wps:spPr>
                        <wps:txbx>
                          <w:txbxContent>
                            <w:p w14:paraId="21D38440">
                              <w:pPr>
                                <w:spacing w:line="240" w:lineRule="exact"/>
                                <w:rPr>
                                  <w:rFonts w:ascii="Calibri" w:hAnsi="Calibri"/>
                                  <w:sz w:val="24"/>
                                </w:rPr>
                              </w:pPr>
                              <w:r>
                                <w:rPr>
                                  <w:rFonts w:ascii="Calibri" w:hAnsi="Calibri"/>
                                  <w:color w:val="585858"/>
                                  <w:spacing w:val="-5"/>
                                  <w:sz w:val="24"/>
                                </w:rPr>
                                <w:t>ДПК</w:t>
                              </w:r>
                            </w:p>
                          </w:txbxContent>
                        </wps:txbx>
                        <wps:bodyPr wrap="square" lIns="0" tIns="0" rIns="0" bIns="0" rtlCol="0">
                          <a:noAutofit/>
                        </wps:bodyPr>
                      </wps:wsp>
                      <wps:wsp>
                        <wps:cNvPr id="84" name="Textbox 84"/>
                        <wps:cNvSpPr txBox="1"/>
                        <wps:spPr>
                          <a:xfrm>
                            <a:off x="2963862" y="2884106"/>
                            <a:ext cx="259715" cy="152400"/>
                          </a:xfrm>
                          <a:prstGeom prst="rect">
                            <a:avLst/>
                          </a:prstGeom>
                        </wps:spPr>
                        <wps:txbx>
                          <w:txbxContent>
                            <w:p w14:paraId="79983FA1">
                              <w:pPr>
                                <w:spacing w:line="240" w:lineRule="exact"/>
                                <w:rPr>
                                  <w:rFonts w:ascii="Calibri" w:hAnsi="Calibri"/>
                                  <w:sz w:val="24"/>
                                </w:rPr>
                              </w:pPr>
                              <w:r>
                                <w:rPr>
                                  <w:rFonts w:ascii="Calibri" w:hAnsi="Calibri"/>
                                  <w:color w:val="585858"/>
                                  <w:spacing w:val="-5"/>
                                  <w:sz w:val="24"/>
                                </w:rPr>
                                <w:t>ТОХ</w:t>
                              </w:r>
                            </w:p>
                          </w:txbxContent>
                        </wps:txbx>
                        <wps:bodyPr wrap="square" lIns="0" tIns="0" rIns="0" bIns="0" rtlCol="0">
                          <a:noAutofit/>
                        </wps:bodyPr>
                      </wps:wsp>
                      <wps:wsp>
                        <wps:cNvPr id="85" name="Textbox 85"/>
                        <wps:cNvSpPr txBox="1"/>
                        <wps:spPr>
                          <a:xfrm>
                            <a:off x="2307018" y="2884106"/>
                            <a:ext cx="271145" cy="152400"/>
                          </a:xfrm>
                          <a:prstGeom prst="rect">
                            <a:avLst/>
                          </a:prstGeom>
                        </wps:spPr>
                        <wps:txbx>
                          <w:txbxContent>
                            <w:p w14:paraId="59457C7F">
                              <w:pPr>
                                <w:spacing w:line="240" w:lineRule="exact"/>
                                <w:rPr>
                                  <w:rFonts w:ascii="Calibri" w:hAnsi="Calibri"/>
                                  <w:sz w:val="24"/>
                                </w:rPr>
                              </w:pPr>
                              <w:r>
                                <w:rPr>
                                  <w:rFonts w:ascii="Calibri" w:hAnsi="Calibri"/>
                                  <w:color w:val="585858"/>
                                  <w:spacing w:val="-5"/>
                                  <w:sz w:val="24"/>
                                </w:rPr>
                                <w:t>БДС</w:t>
                              </w:r>
                            </w:p>
                          </w:txbxContent>
                        </wps:txbx>
                        <wps:bodyPr wrap="square" lIns="0" tIns="0" rIns="0" bIns="0" rtlCol="0">
                          <a:noAutofit/>
                        </wps:bodyPr>
                      </wps:wsp>
                      <wps:wsp>
                        <wps:cNvPr id="86" name="Textbox 86"/>
                        <wps:cNvSpPr txBox="1"/>
                        <wps:spPr>
                          <a:xfrm>
                            <a:off x="1626679" y="2884106"/>
                            <a:ext cx="294005" cy="152400"/>
                          </a:xfrm>
                          <a:prstGeom prst="rect">
                            <a:avLst/>
                          </a:prstGeom>
                        </wps:spPr>
                        <wps:txbx>
                          <w:txbxContent>
                            <w:p w14:paraId="1B3E6ADD">
                              <w:pPr>
                                <w:spacing w:line="240" w:lineRule="exact"/>
                                <w:rPr>
                                  <w:rFonts w:ascii="Calibri" w:hAnsi="Calibri"/>
                                  <w:sz w:val="24"/>
                                </w:rPr>
                              </w:pPr>
                              <w:r>
                                <w:rPr>
                                  <w:rFonts w:ascii="Calibri" w:hAnsi="Calibri"/>
                                  <w:color w:val="585858"/>
                                  <w:spacing w:val="-5"/>
                                  <w:sz w:val="24"/>
                                </w:rPr>
                                <w:t>ГПЖ</w:t>
                              </w:r>
                            </w:p>
                          </w:txbxContent>
                        </wps:txbx>
                        <wps:bodyPr wrap="square" lIns="0" tIns="0" rIns="0" bIns="0" rtlCol="0">
                          <a:noAutofit/>
                        </wps:bodyPr>
                      </wps:wsp>
                      <wps:wsp>
                        <wps:cNvPr id="87" name="Textbox 87"/>
                        <wps:cNvSpPr txBox="1"/>
                        <wps:spPr>
                          <a:xfrm>
                            <a:off x="4364164" y="2586672"/>
                            <a:ext cx="321945" cy="152400"/>
                          </a:xfrm>
                          <a:prstGeom prst="rect">
                            <a:avLst/>
                          </a:prstGeom>
                        </wps:spPr>
                        <wps:txbx>
                          <w:txbxContent>
                            <w:p w14:paraId="572F04F7">
                              <w:pPr>
                                <w:spacing w:line="240" w:lineRule="exact"/>
                                <w:rPr>
                                  <w:rFonts w:ascii="Calibri"/>
                                  <w:sz w:val="24"/>
                                </w:rPr>
                              </w:pPr>
                              <w:r>
                                <w:rPr>
                                  <w:rFonts w:ascii="Calibri"/>
                                  <w:color w:val="585858"/>
                                  <w:spacing w:val="-4"/>
                                  <w:sz w:val="24"/>
                                </w:rPr>
                                <w:t>2025</w:t>
                              </w:r>
                            </w:p>
                          </w:txbxContent>
                        </wps:txbx>
                        <wps:bodyPr wrap="square" lIns="0" tIns="0" rIns="0" bIns="0" rtlCol="0">
                          <a:noAutofit/>
                        </wps:bodyPr>
                      </wps:wsp>
                      <wps:wsp>
                        <wps:cNvPr id="88" name="Textbox 88"/>
                        <wps:cNvSpPr txBox="1"/>
                        <wps:spPr>
                          <a:xfrm>
                            <a:off x="3226879" y="2586672"/>
                            <a:ext cx="321945" cy="152400"/>
                          </a:xfrm>
                          <a:prstGeom prst="rect">
                            <a:avLst/>
                          </a:prstGeom>
                        </wps:spPr>
                        <wps:txbx>
                          <w:txbxContent>
                            <w:p w14:paraId="0C309A15">
                              <w:pPr>
                                <w:spacing w:line="240" w:lineRule="exact"/>
                                <w:rPr>
                                  <w:rFonts w:ascii="Calibri"/>
                                  <w:sz w:val="24"/>
                                </w:rPr>
                              </w:pPr>
                              <w:r>
                                <w:rPr>
                                  <w:rFonts w:ascii="Calibri"/>
                                  <w:color w:val="585858"/>
                                  <w:spacing w:val="-4"/>
                                  <w:sz w:val="24"/>
                                </w:rPr>
                                <w:t>2024</w:t>
                              </w:r>
                            </w:p>
                          </w:txbxContent>
                        </wps:txbx>
                        <wps:bodyPr wrap="square" lIns="0" tIns="0" rIns="0" bIns="0" rtlCol="0">
                          <a:noAutofit/>
                        </wps:bodyPr>
                      </wps:wsp>
                      <wps:wsp>
                        <wps:cNvPr id="89" name="Textbox 89"/>
                        <wps:cNvSpPr txBox="1"/>
                        <wps:spPr>
                          <a:xfrm>
                            <a:off x="2089721" y="2586672"/>
                            <a:ext cx="321945" cy="152400"/>
                          </a:xfrm>
                          <a:prstGeom prst="rect">
                            <a:avLst/>
                          </a:prstGeom>
                        </wps:spPr>
                        <wps:txbx>
                          <w:txbxContent>
                            <w:p w14:paraId="22540E75">
                              <w:pPr>
                                <w:spacing w:line="240" w:lineRule="exact"/>
                                <w:rPr>
                                  <w:rFonts w:ascii="Calibri"/>
                                  <w:sz w:val="24"/>
                                </w:rPr>
                              </w:pPr>
                              <w:r>
                                <w:rPr>
                                  <w:rFonts w:ascii="Calibri"/>
                                  <w:color w:val="585858"/>
                                  <w:spacing w:val="-4"/>
                                  <w:sz w:val="24"/>
                                </w:rPr>
                                <w:t>2023</w:t>
                              </w:r>
                            </w:p>
                          </w:txbxContent>
                        </wps:txbx>
                        <wps:bodyPr wrap="square" lIns="0" tIns="0" rIns="0" bIns="0" rtlCol="0">
                          <a:noAutofit/>
                        </wps:bodyPr>
                      </wps:wsp>
                      <wps:wsp>
                        <wps:cNvPr id="90" name="Textbox 90"/>
                        <wps:cNvSpPr txBox="1"/>
                        <wps:spPr>
                          <a:xfrm>
                            <a:off x="952563" y="2586672"/>
                            <a:ext cx="321945" cy="152400"/>
                          </a:xfrm>
                          <a:prstGeom prst="rect">
                            <a:avLst/>
                          </a:prstGeom>
                        </wps:spPr>
                        <wps:txbx>
                          <w:txbxContent>
                            <w:p w14:paraId="6B8EBEF1">
                              <w:pPr>
                                <w:spacing w:line="240" w:lineRule="exact"/>
                                <w:rPr>
                                  <w:rFonts w:ascii="Calibri"/>
                                  <w:sz w:val="24"/>
                                </w:rPr>
                              </w:pPr>
                              <w:r>
                                <w:rPr>
                                  <w:rFonts w:ascii="Calibri"/>
                                  <w:color w:val="585858"/>
                                  <w:spacing w:val="-4"/>
                                  <w:sz w:val="24"/>
                                </w:rPr>
                                <w:t>2022</w:t>
                              </w:r>
                            </w:p>
                          </w:txbxContent>
                        </wps:txbx>
                        <wps:bodyPr wrap="square" lIns="0" tIns="0" rIns="0" bIns="0" rtlCol="0">
                          <a:noAutofit/>
                        </wps:bodyPr>
                      </wps:wsp>
                      <wps:wsp>
                        <wps:cNvPr id="91" name="Textbox 91"/>
                        <wps:cNvSpPr txBox="1"/>
                        <wps:spPr>
                          <a:xfrm>
                            <a:off x="4627435" y="2266022"/>
                            <a:ext cx="241300" cy="153035"/>
                          </a:xfrm>
                          <a:prstGeom prst="rect">
                            <a:avLst/>
                          </a:prstGeom>
                        </wps:spPr>
                        <wps:txbx>
                          <w:txbxContent>
                            <w:p w14:paraId="5A2A7D01">
                              <w:pPr>
                                <w:spacing w:line="240" w:lineRule="exact"/>
                                <w:rPr>
                                  <w:rFonts w:ascii="Calibri"/>
                                  <w:sz w:val="24"/>
                                </w:rPr>
                              </w:pPr>
                              <w:r>
                                <w:rPr>
                                  <w:rFonts w:ascii="Calibri"/>
                                  <w:color w:val="404040"/>
                                  <w:spacing w:val="-5"/>
                                  <w:sz w:val="24"/>
                                </w:rPr>
                                <w:t>142</w:t>
                              </w:r>
                            </w:p>
                          </w:txbxContent>
                        </wps:txbx>
                        <wps:bodyPr wrap="square" lIns="0" tIns="0" rIns="0" bIns="0" rtlCol="0">
                          <a:noAutofit/>
                        </wps:bodyPr>
                      </wps:wsp>
                      <wps:wsp>
                        <wps:cNvPr id="92" name="Textbox 92"/>
                        <wps:cNvSpPr txBox="1"/>
                        <wps:spPr>
                          <a:xfrm>
                            <a:off x="319722" y="2387942"/>
                            <a:ext cx="90170" cy="153035"/>
                          </a:xfrm>
                          <a:prstGeom prst="rect">
                            <a:avLst/>
                          </a:prstGeom>
                        </wps:spPr>
                        <wps:txbx>
                          <w:txbxContent>
                            <w:p w14:paraId="4BBA474F">
                              <w:pPr>
                                <w:spacing w:line="240" w:lineRule="exact"/>
                                <w:rPr>
                                  <w:rFonts w:ascii="Calibri"/>
                                  <w:sz w:val="24"/>
                                </w:rPr>
                              </w:pPr>
                              <w:r>
                                <w:rPr>
                                  <w:rFonts w:ascii="Calibri"/>
                                  <w:color w:val="585858"/>
                                  <w:spacing w:val="-10"/>
                                  <w:sz w:val="24"/>
                                </w:rPr>
                                <w:t>0</w:t>
                              </w:r>
                            </w:p>
                          </w:txbxContent>
                        </wps:txbx>
                        <wps:bodyPr wrap="square" lIns="0" tIns="0" rIns="0" bIns="0" rtlCol="0">
                          <a:noAutofit/>
                        </wps:bodyPr>
                      </wps:wsp>
                      <wps:wsp>
                        <wps:cNvPr id="93" name="Textbox 93"/>
                        <wps:cNvSpPr txBox="1"/>
                        <wps:spPr>
                          <a:xfrm>
                            <a:off x="4627435" y="2194394"/>
                            <a:ext cx="241300" cy="153035"/>
                          </a:xfrm>
                          <a:prstGeom prst="rect">
                            <a:avLst/>
                          </a:prstGeom>
                        </wps:spPr>
                        <wps:txbx>
                          <w:txbxContent>
                            <w:p w14:paraId="12F182C8">
                              <w:pPr>
                                <w:spacing w:line="240" w:lineRule="exact"/>
                                <w:rPr>
                                  <w:rFonts w:ascii="Calibri"/>
                                  <w:sz w:val="24"/>
                                </w:rPr>
                              </w:pPr>
                              <w:r>
                                <w:rPr>
                                  <w:rFonts w:ascii="Calibri"/>
                                  <w:color w:val="404040"/>
                                  <w:spacing w:val="-5"/>
                                  <w:sz w:val="24"/>
                                </w:rPr>
                                <w:t>220</w:t>
                              </w:r>
                            </w:p>
                          </w:txbxContent>
                        </wps:txbx>
                        <wps:bodyPr wrap="square" lIns="0" tIns="0" rIns="0" bIns="0" rtlCol="0">
                          <a:noAutofit/>
                        </wps:bodyPr>
                      </wps:wsp>
                      <wps:wsp>
                        <wps:cNvPr id="94" name="Textbox 94"/>
                        <wps:cNvSpPr txBox="1"/>
                        <wps:spPr>
                          <a:xfrm>
                            <a:off x="1215580" y="2141664"/>
                            <a:ext cx="242570" cy="271145"/>
                          </a:xfrm>
                          <a:prstGeom prst="rect">
                            <a:avLst/>
                          </a:prstGeom>
                        </wps:spPr>
                        <wps:txbx>
                          <w:txbxContent>
                            <w:p w14:paraId="79B09826">
                              <w:pPr>
                                <w:spacing w:line="191" w:lineRule="exact"/>
                                <w:rPr>
                                  <w:rFonts w:ascii="Calibri"/>
                                  <w:sz w:val="24"/>
                                </w:rPr>
                              </w:pPr>
                              <w:r>
                                <w:rPr>
                                  <w:rFonts w:ascii="Calibri"/>
                                  <w:color w:val="404040"/>
                                  <w:spacing w:val="-5"/>
                                  <w:sz w:val="24"/>
                                </w:rPr>
                                <w:t>278</w:t>
                              </w:r>
                            </w:p>
                            <w:p w14:paraId="06C9EDAF">
                              <w:pPr>
                                <w:spacing w:line="235" w:lineRule="exact"/>
                                <w:rPr>
                                  <w:rFonts w:ascii="Calibri"/>
                                  <w:sz w:val="24"/>
                                </w:rPr>
                              </w:pPr>
                              <w:r>
                                <w:rPr>
                                  <w:rFonts w:ascii="Calibri"/>
                                  <w:color w:val="404040"/>
                                  <w:spacing w:val="-5"/>
                                  <w:sz w:val="24"/>
                                </w:rPr>
                                <w:t>149</w:t>
                              </w:r>
                            </w:p>
                          </w:txbxContent>
                        </wps:txbx>
                        <wps:bodyPr wrap="square" lIns="0" tIns="0" rIns="0" bIns="0" rtlCol="0">
                          <a:noAutofit/>
                        </wps:bodyPr>
                      </wps:wsp>
                      <wps:wsp>
                        <wps:cNvPr id="95" name="Textbox 95"/>
                        <wps:cNvSpPr txBox="1"/>
                        <wps:spPr>
                          <a:xfrm>
                            <a:off x="4627435" y="1934019"/>
                            <a:ext cx="241300" cy="152400"/>
                          </a:xfrm>
                          <a:prstGeom prst="rect">
                            <a:avLst/>
                          </a:prstGeom>
                        </wps:spPr>
                        <wps:txbx>
                          <w:txbxContent>
                            <w:p w14:paraId="79190715">
                              <w:pPr>
                                <w:spacing w:line="240" w:lineRule="exact"/>
                                <w:rPr>
                                  <w:rFonts w:ascii="Calibri"/>
                                  <w:sz w:val="24"/>
                                </w:rPr>
                              </w:pPr>
                              <w:r>
                                <w:rPr>
                                  <w:rFonts w:ascii="Calibri"/>
                                  <w:color w:val="404040"/>
                                  <w:spacing w:val="-5"/>
                                  <w:sz w:val="24"/>
                                </w:rPr>
                                <w:t>504</w:t>
                              </w:r>
                            </w:p>
                          </w:txbxContent>
                        </wps:txbx>
                        <wps:bodyPr wrap="square" lIns="0" tIns="0" rIns="0" bIns="0" rtlCol="0">
                          <a:noAutofit/>
                        </wps:bodyPr>
                      </wps:wsp>
                      <wps:wsp>
                        <wps:cNvPr id="96" name="Textbox 96"/>
                        <wps:cNvSpPr txBox="1"/>
                        <wps:spPr>
                          <a:xfrm>
                            <a:off x="3490277" y="1883244"/>
                            <a:ext cx="241300" cy="521334"/>
                          </a:xfrm>
                          <a:prstGeom prst="rect">
                            <a:avLst/>
                          </a:prstGeom>
                        </wps:spPr>
                        <wps:txbx>
                          <w:txbxContent>
                            <w:p w14:paraId="1E5C617D">
                              <w:pPr>
                                <w:spacing w:line="245" w:lineRule="exact"/>
                                <w:rPr>
                                  <w:rFonts w:ascii="Calibri"/>
                                  <w:sz w:val="24"/>
                                </w:rPr>
                              </w:pPr>
                              <w:r>
                                <w:rPr>
                                  <w:rFonts w:ascii="Calibri"/>
                                  <w:color w:val="404040"/>
                                  <w:spacing w:val="-5"/>
                                  <w:sz w:val="24"/>
                                </w:rPr>
                                <w:t>559</w:t>
                              </w:r>
                            </w:p>
                            <w:p w14:paraId="5914BF24">
                              <w:pPr>
                                <w:spacing w:before="42" w:line="269" w:lineRule="exact"/>
                                <w:rPr>
                                  <w:rFonts w:ascii="Calibri"/>
                                  <w:sz w:val="24"/>
                                </w:rPr>
                              </w:pPr>
                              <w:r>
                                <w:rPr>
                                  <w:rFonts w:ascii="Calibri"/>
                                  <w:color w:val="404040"/>
                                  <w:spacing w:val="-5"/>
                                  <w:sz w:val="24"/>
                                </w:rPr>
                                <w:t>327</w:t>
                              </w:r>
                            </w:p>
                            <w:p w14:paraId="0BF5B3E7">
                              <w:pPr>
                                <w:spacing w:line="264" w:lineRule="exact"/>
                                <w:rPr>
                                  <w:rFonts w:ascii="Calibri"/>
                                  <w:sz w:val="24"/>
                                </w:rPr>
                              </w:pPr>
                              <w:r>
                                <w:rPr>
                                  <w:rFonts w:ascii="Calibri"/>
                                  <w:color w:val="404040"/>
                                  <w:spacing w:val="-5"/>
                                  <w:sz w:val="24"/>
                                </w:rPr>
                                <w:t>158</w:t>
                              </w:r>
                            </w:p>
                          </w:txbxContent>
                        </wps:txbx>
                        <wps:bodyPr wrap="square" lIns="0" tIns="0" rIns="0" bIns="0" rtlCol="0">
                          <a:noAutofit/>
                        </wps:bodyPr>
                      </wps:wsp>
                      <wps:wsp>
                        <wps:cNvPr id="97" name="Textbox 97"/>
                        <wps:cNvSpPr txBox="1"/>
                        <wps:spPr>
                          <a:xfrm>
                            <a:off x="2353119" y="1875878"/>
                            <a:ext cx="241300" cy="504825"/>
                          </a:xfrm>
                          <a:prstGeom prst="rect">
                            <a:avLst/>
                          </a:prstGeom>
                        </wps:spPr>
                        <wps:txbx>
                          <w:txbxContent>
                            <w:p w14:paraId="59937325">
                              <w:pPr>
                                <w:spacing w:line="245" w:lineRule="exact"/>
                                <w:rPr>
                                  <w:rFonts w:ascii="Calibri"/>
                                  <w:sz w:val="24"/>
                                </w:rPr>
                              </w:pPr>
                              <w:r>
                                <w:rPr>
                                  <w:rFonts w:ascii="Calibri"/>
                                  <w:color w:val="404040"/>
                                  <w:spacing w:val="-5"/>
                                  <w:sz w:val="24"/>
                                </w:rPr>
                                <w:t>567</w:t>
                              </w:r>
                            </w:p>
                            <w:p w14:paraId="08B52DEF">
                              <w:pPr>
                                <w:spacing w:before="57" w:line="248" w:lineRule="exact"/>
                                <w:rPr>
                                  <w:rFonts w:ascii="Calibri"/>
                                  <w:sz w:val="24"/>
                                </w:rPr>
                              </w:pPr>
                              <w:r>
                                <w:rPr>
                                  <w:rFonts w:ascii="Calibri"/>
                                  <w:color w:val="404040"/>
                                  <w:spacing w:val="-5"/>
                                  <w:sz w:val="24"/>
                                </w:rPr>
                                <w:t>325</w:t>
                              </w:r>
                            </w:p>
                            <w:p w14:paraId="29AFD4FC">
                              <w:pPr>
                                <w:spacing w:line="244" w:lineRule="exact"/>
                                <w:rPr>
                                  <w:rFonts w:ascii="Calibri"/>
                                  <w:sz w:val="24"/>
                                </w:rPr>
                              </w:pPr>
                              <w:r>
                                <w:rPr>
                                  <w:rFonts w:ascii="Calibri"/>
                                  <w:color w:val="404040"/>
                                  <w:spacing w:val="-5"/>
                                  <w:sz w:val="24"/>
                                </w:rPr>
                                <w:t>184</w:t>
                              </w:r>
                            </w:p>
                          </w:txbxContent>
                        </wps:txbx>
                        <wps:bodyPr wrap="square" lIns="0" tIns="0" rIns="0" bIns="0" rtlCol="0">
                          <a:noAutofit/>
                        </wps:bodyPr>
                      </wps:wsp>
                      <wps:wsp>
                        <wps:cNvPr id="98" name="Textbox 98"/>
                        <wps:cNvSpPr txBox="1"/>
                        <wps:spPr>
                          <a:xfrm>
                            <a:off x="165163" y="1929447"/>
                            <a:ext cx="245745" cy="152400"/>
                          </a:xfrm>
                          <a:prstGeom prst="rect">
                            <a:avLst/>
                          </a:prstGeom>
                        </wps:spPr>
                        <wps:txbx>
                          <w:txbxContent>
                            <w:p w14:paraId="34363D78">
                              <w:pPr>
                                <w:spacing w:line="240" w:lineRule="exact"/>
                                <w:rPr>
                                  <w:rFonts w:ascii="Calibri"/>
                                  <w:sz w:val="24"/>
                                </w:rPr>
                              </w:pPr>
                              <w:r>
                                <w:rPr>
                                  <w:rFonts w:ascii="Calibri"/>
                                  <w:color w:val="585858"/>
                                  <w:spacing w:val="-5"/>
                                  <w:sz w:val="24"/>
                                </w:rPr>
                                <w:t>500</w:t>
                              </w:r>
                            </w:p>
                          </w:txbxContent>
                        </wps:txbx>
                        <wps:bodyPr wrap="square" lIns="0" tIns="0" rIns="0" bIns="0" rtlCol="0">
                          <a:noAutofit/>
                        </wps:bodyPr>
                      </wps:wsp>
                      <wps:wsp>
                        <wps:cNvPr id="99" name="Textbox 99"/>
                        <wps:cNvSpPr txBox="1"/>
                        <wps:spPr>
                          <a:xfrm>
                            <a:off x="1215580" y="1730438"/>
                            <a:ext cx="242570" cy="152400"/>
                          </a:xfrm>
                          <a:prstGeom prst="rect">
                            <a:avLst/>
                          </a:prstGeom>
                        </wps:spPr>
                        <wps:txbx>
                          <w:txbxContent>
                            <w:p w14:paraId="1354939B">
                              <w:pPr>
                                <w:spacing w:line="240" w:lineRule="exact"/>
                                <w:rPr>
                                  <w:rFonts w:ascii="Calibri"/>
                                  <w:sz w:val="24"/>
                                </w:rPr>
                              </w:pPr>
                              <w:r>
                                <w:rPr>
                                  <w:rFonts w:ascii="Calibri"/>
                                  <w:color w:val="404040"/>
                                  <w:spacing w:val="-5"/>
                                  <w:sz w:val="24"/>
                                </w:rPr>
                                <w:t>726</w:t>
                              </w:r>
                            </w:p>
                          </w:txbxContent>
                        </wps:txbx>
                        <wps:bodyPr wrap="square" lIns="0" tIns="0" rIns="0" bIns="0" rtlCol="0">
                          <a:noAutofit/>
                        </wps:bodyPr>
                      </wps:wsp>
                      <wps:wsp>
                        <wps:cNvPr id="100" name="Textbox 100"/>
                        <wps:cNvSpPr txBox="1"/>
                        <wps:spPr>
                          <a:xfrm>
                            <a:off x="87820" y="1470469"/>
                            <a:ext cx="321945" cy="152400"/>
                          </a:xfrm>
                          <a:prstGeom prst="rect">
                            <a:avLst/>
                          </a:prstGeom>
                        </wps:spPr>
                        <wps:txbx>
                          <w:txbxContent>
                            <w:p w14:paraId="18CFE3A0">
                              <w:pPr>
                                <w:spacing w:line="240" w:lineRule="exact"/>
                                <w:rPr>
                                  <w:rFonts w:ascii="Calibri"/>
                                  <w:sz w:val="24"/>
                                </w:rPr>
                              </w:pPr>
                              <w:r>
                                <w:rPr>
                                  <w:rFonts w:ascii="Calibri"/>
                                  <w:color w:val="585858"/>
                                  <w:spacing w:val="-4"/>
                                  <w:sz w:val="24"/>
                                </w:rPr>
                                <w:t>1000</w:t>
                              </w:r>
                            </w:p>
                          </w:txbxContent>
                        </wps:txbx>
                        <wps:bodyPr wrap="square" lIns="0" tIns="0" rIns="0" bIns="0" rtlCol="0">
                          <a:noAutofit/>
                        </wps:bodyPr>
                      </wps:wsp>
                      <wps:wsp>
                        <wps:cNvPr id="101" name="Textbox 101"/>
                        <wps:cNvSpPr txBox="1"/>
                        <wps:spPr>
                          <a:xfrm>
                            <a:off x="87820" y="1011364"/>
                            <a:ext cx="321945" cy="152400"/>
                          </a:xfrm>
                          <a:prstGeom prst="rect">
                            <a:avLst/>
                          </a:prstGeom>
                        </wps:spPr>
                        <wps:txbx>
                          <w:txbxContent>
                            <w:p w14:paraId="3ADB464B">
                              <w:pPr>
                                <w:spacing w:line="240" w:lineRule="exact"/>
                                <w:rPr>
                                  <w:rFonts w:ascii="Calibri"/>
                                  <w:sz w:val="24"/>
                                </w:rPr>
                              </w:pPr>
                              <w:r>
                                <w:rPr>
                                  <w:rFonts w:ascii="Calibri"/>
                                  <w:color w:val="585858"/>
                                  <w:spacing w:val="-4"/>
                                  <w:sz w:val="24"/>
                                </w:rPr>
                                <w:t>1500</w:t>
                              </w:r>
                            </w:p>
                          </w:txbxContent>
                        </wps:txbx>
                        <wps:bodyPr wrap="square" lIns="0" tIns="0" rIns="0" bIns="0" rtlCol="0">
                          <a:noAutofit/>
                        </wps:bodyPr>
                      </wps:wsp>
                      <wps:wsp>
                        <wps:cNvPr id="102" name="Textbox 102"/>
                        <wps:cNvSpPr txBox="1"/>
                        <wps:spPr>
                          <a:xfrm>
                            <a:off x="4629340" y="692848"/>
                            <a:ext cx="318770" cy="152400"/>
                          </a:xfrm>
                          <a:prstGeom prst="rect">
                            <a:avLst/>
                          </a:prstGeom>
                        </wps:spPr>
                        <wps:txbx>
                          <w:txbxContent>
                            <w:p w14:paraId="56498EBC">
                              <w:pPr>
                                <w:spacing w:line="240" w:lineRule="exact"/>
                                <w:rPr>
                                  <w:rFonts w:ascii="Calibri"/>
                                  <w:sz w:val="24"/>
                                </w:rPr>
                              </w:pPr>
                              <w:r>
                                <w:rPr>
                                  <w:rFonts w:ascii="Calibri"/>
                                  <w:color w:val="404040"/>
                                  <w:spacing w:val="-4"/>
                                  <w:sz w:val="24"/>
                                </w:rPr>
                                <w:t>1856</w:t>
                              </w:r>
                            </w:p>
                          </w:txbxContent>
                        </wps:txbx>
                        <wps:bodyPr wrap="square" lIns="0" tIns="0" rIns="0" bIns="0" rtlCol="0">
                          <a:noAutofit/>
                        </wps:bodyPr>
                      </wps:wsp>
                      <wps:wsp>
                        <wps:cNvPr id="103" name="Textbox 103"/>
                        <wps:cNvSpPr txBox="1"/>
                        <wps:spPr>
                          <a:xfrm>
                            <a:off x="3492055" y="701103"/>
                            <a:ext cx="317500" cy="152400"/>
                          </a:xfrm>
                          <a:prstGeom prst="rect">
                            <a:avLst/>
                          </a:prstGeom>
                        </wps:spPr>
                        <wps:txbx>
                          <w:txbxContent>
                            <w:p w14:paraId="131152BF">
                              <w:pPr>
                                <w:spacing w:line="240" w:lineRule="exact"/>
                                <w:rPr>
                                  <w:rFonts w:ascii="Calibri"/>
                                  <w:sz w:val="24"/>
                                </w:rPr>
                              </w:pPr>
                              <w:r>
                                <w:rPr>
                                  <w:rFonts w:ascii="Calibri"/>
                                  <w:color w:val="404040"/>
                                  <w:spacing w:val="-4"/>
                                  <w:sz w:val="24"/>
                                </w:rPr>
                                <w:t>1847</w:t>
                              </w:r>
                            </w:p>
                          </w:txbxContent>
                        </wps:txbx>
                        <wps:bodyPr wrap="square" lIns="0" tIns="0" rIns="0" bIns="0" rtlCol="0">
                          <a:noAutofit/>
                        </wps:bodyPr>
                      </wps:wsp>
                      <wps:wsp>
                        <wps:cNvPr id="104" name="Textbox 104"/>
                        <wps:cNvSpPr txBox="1"/>
                        <wps:spPr>
                          <a:xfrm>
                            <a:off x="1217739" y="640778"/>
                            <a:ext cx="317500" cy="152400"/>
                          </a:xfrm>
                          <a:prstGeom prst="rect">
                            <a:avLst/>
                          </a:prstGeom>
                        </wps:spPr>
                        <wps:txbx>
                          <w:txbxContent>
                            <w:p w14:paraId="0DCA8194">
                              <w:pPr>
                                <w:spacing w:line="240" w:lineRule="exact"/>
                                <w:rPr>
                                  <w:rFonts w:ascii="Calibri"/>
                                  <w:sz w:val="24"/>
                                </w:rPr>
                              </w:pPr>
                              <w:r>
                                <w:rPr>
                                  <w:rFonts w:ascii="Calibri"/>
                                  <w:color w:val="404040"/>
                                  <w:spacing w:val="-4"/>
                                  <w:sz w:val="24"/>
                                </w:rPr>
                                <w:t>1913</w:t>
                              </w:r>
                            </w:p>
                          </w:txbxContent>
                        </wps:txbx>
                        <wps:bodyPr wrap="square" lIns="0" tIns="0" rIns="0" bIns="0" rtlCol="0">
                          <a:noAutofit/>
                        </wps:bodyPr>
                      </wps:wsp>
                      <wps:wsp>
                        <wps:cNvPr id="105" name="Textbox 105"/>
                        <wps:cNvSpPr txBox="1"/>
                        <wps:spPr>
                          <a:xfrm>
                            <a:off x="2354897" y="483806"/>
                            <a:ext cx="317500" cy="152400"/>
                          </a:xfrm>
                          <a:prstGeom prst="rect">
                            <a:avLst/>
                          </a:prstGeom>
                        </wps:spPr>
                        <wps:txbx>
                          <w:txbxContent>
                            <w:p w14:paraId="38D15D48">
                              <w:pPr>
                                <w:spacing w:line="240" w:lineRule="exact"/>
                                <w:rPr>
                                  <w:rFonts w:ascii="Calibri"/>
                                  <w:sz w:val="24"/>
                                </w:rPr>
                              </w:pPr>
                              <w:r>
                                <w:rPr>
                                  <w:rFonts w:ascii="Calibri"/>
                                  <w:color w:val="404040"/>
                                  <w:spacing w:val="-4"/>
                                  <w:sz w:val="24"/>
                                </w:rPr>
                                <w:t>2084</w:t>
                              </w:r>
                            </w:p>
                          </w:txbxContent>
                        </wps:txbx>
                        <wps:bodyPr wrap="square" lIns="0" tIns="0" rIns="0" bIns="0" rtlCol="0">
                          <a:noAutofit/>
                        </wps:bodyPr>
                      </wps:wsp>
                      <wps:wsp>
                        <wps:cNvPr id="106" name="Textbox 106"/>
                        <wps:cNvSpPr txBox="1"/>
                        <wps:spPr>
                          <a:xfrm>
                            <a:off x="87820" y="552386"/>
                            <a:ext cx="321945" cy="152400"/>
                          </a:xfrm>
                          <a:prstGeom prst="rect">
                            <a:avLst/>
                          </a:prstGeom>
                        </wps:spPr>
                        <wps:txbx>
                          <w:txbxContent>
                            <w:p w14:paraId="057C4A85">
                              <w:pPr>
                                <w:spacing w:line="240" w:lineRule="exact"/>
                                <w:rPr>
                                  <w:rFonts w:ascii="Calibri"/>
                                  <w:sz w:val="24"/>
                                </w:rPr>
                              </w:pPr>
                              <w:r>
                                <w:rPr>
                                  <w:rFonts w:ascii="Calibri"/>
                                  <w:color w:val="585858"/>
                                  <w:spacing w:val="-4"/>
                                  <w:sz w:val="24"/>
                                </w:rPr>
                                <w:t>2000</w:t>
                              </w:r>
                            </w:p>
                          </w:txbxContent>
                        </wps:txbx>
                        <wps:bodyPr wrap="square" lIns="0" tIns="0" rIns="0" bIns="0" rtlCol="0">
                          <a:noAutofit/>
                        </wps:bodyPr>
                      </wps:wsp>
                      <wps:wsp>
                        <wps:cNvPr id="107" name="Textbox 107"/>
                        <wps:cNvSpPr txBox="1"/>
                        <wps:spPr>
                          <a:xfrm>
                            <a:off x="87820" y="93408"/>
                            <a:ext cx="321945" cy="152400"/>
                          </a:xfrm>
                          <a:prstGeom prst="rect">
                            <a:avLst/>
                          </a:prstGeom>
                        </wps:spPr>
                        <wps:txbx>
                          <w:txbxContent>
                            <w:p w14:paraId="15F88ADA">
                              <w:pPr>
                                <w:spacing w:line="240" w:lineRule="exact"/>
                                <w:rPr>
                                  <w:rFonts w:ascii="Calibri"/>
                                  <w:sz w:val="24"/>
                                </w:rPr>
                              </w:pPr>
                              <w:r>
                                <w:rPr>
                                  <w:rFonts w:ascii="Calibri"/>
                                  <w:color w:val="585858"/>
                                  <w:spacing w:val="-4"/>
                                  <w:sz w:val="24"/>
                                </w:rPr>
                                <w:t>2500</w:t>
                              </w:r>
                            </w:p>
                          </w:txbxContent>
                        </wps:txbx>
                        <wps:bodyPr wrap="square" lIns="0" tIns="0" rIns="0" bIns="0" rtlCol="0">
                          <a:noAutofit/>
                        </wps:bodyPr>
                      </wps:wsp>
                    </wpg:wgp>
                  </a:graphicData>
                </a:graphic>
              </wp:anchor>
            </w:drawing>
          </mc:Choice>
          <mc:Fallback>
            <w:pict>
              <v:group id="Group 56" o:spid="_x0000_s1026" o:spt="203" style="position:absolute;left:0pt;margin-left:113.35pt;margin-top:16.35pt;height:249pt;width:411.75pt;mso-position-horizontal-relative:page;mso-wrap-distance-bottom:0pt;mso-wrap-distance-top:0pt;z-index:-251639808;mso-width-relative:page;mso-height-relative:page;" coordsize="5229225,3162300" o:gfxdata="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">
                <o:lock v:ext="edit" aspectratio="f"/>
                <v:shape id="Graphic 57" o:spid="_x0000_s1026" o:spt="100" style="position:absolute;left:537527;top:161353;height:2294255;width:4547235;" filled="f" stroked="t" coordsize="4547235,2294255" o:gfxdata="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5AGqG/&#10;AAAA2wAAAA8AAAAAAAAAAQAgAAAAIgAAAGRycy9kb3ducmV2LnhtbFBLAQIUABQAAAAIAIdO4kAz&#10;LwWeOwAAADkAAAAQAAAAAAAAAAEAIAAAAA4BAABkcnMvc2hhcGV4bWwueG1sUEsFBgAAAAAGAAYA&#10;WwEAALgDAAAAAA==&#10;" path="m0,1835785l4547235,1835785em0,1375537l4547235,1375537em0,918337l4547235,918337em0,458089l4547235,458089em0,0l4547235,0em0,2294255l4547235,2294255e">
                  <v:fill on="f" focussize="0,0"/>
                  <v:stroke color="#D9D9D9" joinstyle="round"/>
                  <v:imagedata o:title=""/>
                  <o:lock v:ext="edit" aspectratio="f"/>
                  <v:textbox inset="0mm,0mm,0mm,0mm"/>
                </v:shape>
                <v:shape id="Graphic 58" o:spid="_x0000_s1026" o:spt="100" style="position:absolute;left:1105979;top:543115;height:217804;width:3410585;" filled="f" stroked="t" coordsize="3410585,217804" o:gfxdata="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NuQO8AAAA&#10;2wAAAA8AAAAAAAAAAQAgAAAAIgAAAGRycy9kb3ducmV2LnhtbFBLAQIUABQAAAAIAIdO4kAzLwWe&#10;OwAAADkAAAAQAAAAAAAAAAEAIAAAAAsBAABkcnMvc2hhcGV4bWwueG1sUEsFBgAAAAAGAAYAWwEA&#10;ALUDAAAAAA==&#10;" path="m0,155575l1136142,0,2273046,217424,3410330,210439e">
                  <v:fill on="f" focussize="0,0"/>
                  <v:stroke weight="2.25pt" color="#4F81BC" joinstyle="round"/>
                  <v:imagedata o:title=""/>
                  <o:lock v:ext="edit" aspectratio="f"/>
                  <v:textbox inset="0mm,0mm,0mm,0mm"/>
                </v:shape>
                <v:shape id="Image 59" o:spid="_x0000_s1026" o:spt="75" type="#_x0000_t75" style="position:absolute;left:1071562;top:666178;height:70104;width:70104;" filled="f" o:preferrelative="t" stroked="f" coordsize="21600,21600" o:gfxdata="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xyjuvQAA&#10;ANsAAAAPAAAAAAAAAAEAIAAAACIAAABkcnMvZG93bnJldi54bWxQSwECFAAUAAAACACHTuJAMy8F&#10;njsAAAA5AAAAEAAAAAAAAAABACAAAAAMAQAAZHJzL3NoYXBleG1sLnhtbFBLBQYAAAAABgAGAFsB&#10;AAC2AwAAAAA=&#10;">
                  <v:fill on="f" focussize="0,0"/>
                  <v:stroke on="f"/>
                  <v:imagedata r:id="rId20" o:title=""/>
                  <o:lock v:ext="edit" aspectratio="f"/>
                </v:shape>
                <v:shape id="Image 60" o:spid="_x0000_s1026" o:spt="75" type="#_x0000_t75" style="position:absolute;left:2208466;top:507682;height:70103;width:70104;" filled="f" o:preferrelative="t" stroked="f" coordsize="21600,21600" o:gfxdata="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aRS862AAAA2wAAAA8A&#10;AAAAAAAAAQAgAAAAIgAAAGRycy9kb3ducmV2LnhtbFBLAQIUABQAAAAIAIdO4kAzLwWeOwAAADkA&#10;AAAQAAAAAAAAAAEAIAAAAAUBAABkcnMvc2hhcGV4bWwueG1sUEsFBgAAAAAGAAYAWwEAAK8DAAAA&#10;AA==&#10;">
                  <v:fill on="f" focussize="0,0"/>
                  <v:stroke on="f"/>
                  <v:imagedata r:id="rId20" o:title=""/>
                  <o:lock v:ext="edit" aspectratio="f"/>
                </v:shape>
                <v:shape id="Image 61" o:spid="_x0000_s1026" o:spt="75" type="#_x0000_t75" style="position:absolute;left:3345370;top:727138;height:70104;width:70104;" filled="f" o:preferrelative="t" stroked="f" coordsize="21600,21600" o:gfxdata="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Jw0mvQAA&#10;ANsAAAAPAAAAAAAAAAEAIAAAACIAAABkcnMvZG93bnJldi54bWxQSwECFAAUAAAACACHTuJAMy8F&#10;njsAAAA5AAAAEAAAAAAAAAABACAAAAAMAQAAZHJzL3NoYXBleG1sLnhtbFBLBQYAAAAABgAGAFsB&#10;AAC2AwAAAAA=&#10;">
                  <v:fill on="f" focussize="0,0"/>
                  <v:stroke on="f"/>
                  <v:imagedata r:id="rId21" o:title=""/>
                  <o:lock v:ext="edit" aspectratio="f"/>
                </v:shape>
                <v:shape id="Image 62" o:spid="_x0000_s1026" o:spt="75" type="#_x0000_t75" style="position:absolute;left:4482274;top:717994;height:70103;width:70104;" filled="f" o:preferrelative="t" stroked="f" coordsize="21600,21600" o:gfxdata="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kPcCK8AAAA&#10;2wAAAA8AAAAAAAAAAQAgAAAAIgAAAGRycy9kb3ducmV2LnhtbFBLAQIUABQAAAAIAIdO4kAzLwWe&#10;OwAAADkAAAAQAAAAAAAAAAEAIAAAAAsBAABkcnMvc2hhcGV4bWwueG1sUEsFBgAAAAAGAAYAWwEA&#10;ALUDAAAAAA==&#10;">
                  <v:fill on="f" focussize="0,0"/>
                  <v:stroke on="f"/>
                  <v:imagedata r:id="rId20" o:title=""/>
                  <o:lock v:ext="edit" aspectratio="f"/>
                </v:shape>
                <v:shape id="Graphic 63" o:spid="_x0000_s1026" o:spt="100" style="position:absolute;left:1105979;top:1789366;height:203835;width:3410585;" filled="f" stroked="t" coordsize="3410585,203835" o:gfxdata="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605WvQAA&#10;ANsAAAAPAAAAAAAAAAEAIAAAACIAAABkcnMvZG93bnJldi54bWxQSwECFAAUAAAACACHTuJAMy8F&#10;njsAAAA5AAAAEAAAAAAAAAABACAAAAAMAQAAZHJzL3NoYXBleG1sLnhtbFBLBQYAAAAABgAGAFsB&#10;AAC2AwAAAAA=&#10;" path="m0,0l1136142,146811,2273046,152907,3410330,203707e">
                  <v:fill on="f" focussize="0,0"/>
                  <v:stroke weight="2.24992125984252pt" color="#C0504D" joinstyle="round"/>
                  <v:imagedata o:title=""/>
                  <o:lock v:ext="edit" aspectratio="f"/>
                  <v:textbox inset="0mm,0mm,0mm,0mm"/>
                </v:shape>
                <v:shape id="Image 64" o:spid="_x0000_s1026" o:spt="75" type="#_x0000_t75" style="position:absolute;left:1071562;top:1754314;height:70104;width:70104;" filled="f" o:preferrelative="t" stroked="f" coordsize="21600,21600" o:gfxdata="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l4NoL4A&#10;AADbAAAADwAAAAAAAAABACAAAAAiAAAAZHJzL2Rvd25yZXYueG1sUEsBAhQAFAAAAAgAh07iQDMv&#10;BZ47AAAAOQAAABAAAAAAAAAAAQAgAAAADQEAAGRycy9zaGFwZXhtbC54bWxQSwUGAAAAAAYABgBb&#10;AQAAtwMAAAAA&#10;">
                  <v:fill on="f" focussize="0,0"/>
                  <v:stroke on="f"/>
                  <v:imagedata r:id="rId22" o:title=""/>
                  <o:lock v:ext="edit" aspectratio="f"/>
                </v:shape>
                <v:shape id="Image 65" o:spid="_x0000_s1026" o:spt="75" type="#_x0000_t75" style="position:absolute;left:2208466;top:1900618;height:70104;width:70104;" filled="f" o:preferrelative="t" stroked="f" coordsize="21600,21600" o:gfxdata="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3yZgbsAAADb&#10;AAAADwAAAAAAAAABACAAAAAiAAAAZHJzL2Rvd25yZXYueG1sUEsBAhQAFAAAAAgAh07iQDMvBZ47&#10;AAAAOQAAABAAAAAAAAAAAQAgAAAACgEAAGRycy9zaGFwZXhtbC54bWxQSwUGAAAAAAYABgBbAQAA&#10;tAMAAAAA&#10;">
                  <v:fill on="f" focussize="0,0"/>
                  <v:stroke on="f"/>
                  <v:imagedata r:id="rId23" o:title=""/>
                  <o:lock v:ext="edit" aspectratio="f"/>
                </v:shape>
                <v:shape id="Image 66" o:spid="_x0000_s1026" o:spt="75" type="#_x0000_t75" style="position:absolute;left:3345370;top:1909762;height:70104;width:70104;" filled="f" o:preferrelative="t" stroked="f" coordsize="21600,21600" o:gfxdata="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Wwz0vQAA&#10;ANsAAAAPAAAAAAAAAAEAIAAAACIAAABkcnMvZG93bnJldi54bWxQSwECFAAUAAAACACHTuJAMy8F&#10;njsAAAA5AAAAEAAAAAAAAAABACAAAAAMAQAAZHJzL3NoYXBleG1sLnhtbFBLBQYAAAAABgAGAFsB&#10;AAC2AwAAAAA=&#10;">
                  <v:fill on="f" focussize="0,0"/>
                  <v:stroke on="f"/>
                  <v:imagedata r:id="rId24" o:title=""/>
                  <o:lock v:ext="edit" aspectratio="f"/>
                </v:shape>
                <v:shape id="Image 67" o:spid="_x0000_s1026" o:spt="75" type="#_x0000_t75" style="position:absolute;left:4482274;top:1958530;height:70104;width:70104;" filled="f" o:preferrelative="t" stroked="f" coordsize="21600,21600" o:gfxdata="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KibbsAAADb&#10;AAAADwAAAAAAAAABACAAAAAiAAAAZHJzL2Rvd25yZXYueG1sUEsBAhQAFAAAAAgAh07iQDMvBZ47&#10;AAAAOQAAABAAAAAAAAAAAQAgAAAACgEAAGRycy9zaGFwZXhtbC54bWxQSwUGAAAAAAYABgBbAQAA&#10;tAMAAAAA&#10;">
                  <v:fill on="f" focussize="0,0"/>
                  <v:stroke on="f"/>
                  <v:imagedata r:id="rId23" o:title=""/>
                  <o:lock v:ext="edit" aspectratio="f"/>
                </v:shape>
                <v:shape id="Graphic 68" o:spid="_x0000_s1026" o:spt="100" style="position:absolute;left:1105979;top:2155507;height:98425;width:3410585;" filled="f" stroked="t" coordsize="3410585,98425" o:gfxdata="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1P8CrtwAAANsAAAAP&#10;AAAAAAAAAAEAIAAAACIAAABkcnMvZG93bnJldi54bWxQSwECFAAUAAAACACHTuJAMy8FnjsAAAA5&#10;AAAAEAAAAAAAAAABACAAAAAGAQAAZHJzL3NoYXBleG1sLnhtbFBLBQYAAAAABgAGAFsBAACwAwAA&#10;AAA=&#10;" path="m0,45847l1136142,3175,2273046,0,3410330,98171e">
                  <v:fill on="f" focussize="0,0"/>
                  <v:stroke weight="2.25pt" color="#9BBA58" joinstyle="round"/>
                  <v:imagedata o:title=""/>
                  <o:lock v:ext="edit" aspectratio="f"/>
                  <v:textbox inset="0mm,0mm,0mm,0mm"/>
                </v:shape>
                <v:shape id="Image 69" o:spid="_x0000_s1026" o:spt="75" type="#_x0000_t75" style="position:absolute;left:1071562;top:2165794;height:70103;width:70104;" filled="f" o:preferrelative="t" stroked="f" coordsize="21600,21600" o:gfxdata="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9nNCvQAA&#10;ANsAAAAPAAAAAAAAAAEAIAAAACIAAABkcnMvZG93bnJldi54bWxQSwECFAAUAAAACACHTuJAMy8F&#10;njsAAAA5AAAAEAAAAAAAAAABACAAAAAMAQAAZHJzL3NoYXBleG1sLnhtbFBLBQYAAAAABgAGAFsB&#10;AAC2AwAAAAA=&#10;">
                  <v:fill on="f" focussize="0,0"/>
                  <v:stroke on="f"/>
                  <v:imagedata r:id="rId25" o:title=""/>
                  <o:lock v:ext="edit" aspectratio="f"/>
                </v:shape>
                <v:shape id="Image 70" o:spid="_x0000_s1026" o:spt="75" type="#_x0000_t75" style="position:absolute;left:2208466;top:2123122;height:70104;width:70104;" filled="f" o:preferrelative="t" stroked="f" coordsize="21600,21600" o:gfxdata="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RVMArsAAADb&#10;AAAADwAAAAAAAAABACAAAAAiAAAAZHJzL2Rvd25yZXYueG1sUEsBAhQAFAAAAAgAh07iQDMvBZ47&#10;AAAAOQAAABAAAAAAAAAAAQAgAAAACgEAAGRycy9zaGFwZXhtbC54bWxQSwUGAAAAAAYABgBbAQAA&#10;tAMAAAAA&#10;">
                  <v:fill on="f" focussize="0,0"/>
                  <v:stroke on="f"/>
                  <v:imagedata r:id="rId25" o:title=""/>
                  <o:lock v:ext="edit" aspectratio="f"/>
                </v:shape>
                <v:shape id="Image 71" o:spid="_x0000_s1026" o:spt="75" type="#_x0000_t75" style="position:absolute;left:3345370;top:2120074;height:70104;width:70104;" filled="f" o:preferrelative="t" stroked="f" coordsize="21600,21600" o:gfxdata="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bggO8AAAA&#10;2wAAAA8AAAAAAAAAAQAgAAAAIgAAAGRycy9kb3ducmV2LnhtbFBLAQIUABQAAAAIAIdO4kAzLwWe&#10;OwAAADkAAAAQAAAAAAAAAAEAIAAAAAsBAABkcnMvc2hhcGV4bWwueG1sUEsFBgAAAAAGAAYAWwEA&#10;ALUDAAAAAA==&#10;">
                  <v:fill on="f" focussize="0,0"/>
                  <v:stroke on="f"/>
                  <v:imagedata r:id="rId26" o:title=""/>
                  <o:lock v:ext="edit" aspectratio="f"/>
                </v:shape>
                <v:shape id="Image 72" o:spid="_x0000_s1026" o:spt="75" type="#_x0000_t75" style="position:absolute;left:4482274;top:2220658;height:70103;width:70104;" filled="f" o:preferrelative="t" stroked="f" coordsize="21600,21600" o:gfxdata="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ot37r4A&#10;AADbAAAADwAAAAAAAAABACAAAAAiAAAAZHJzL2Rvd25yZXYueG1sUEsBAhQAFAAAAAgAh07iQDMv&#10;BZ47AAAAOQAAABAAAAAAAAAAAQAgAAAADQEAAGRycy9zaGFwZXhtbC54bWxQSwUGAAAAAAYABgBb&#10;AQAAtwMAAAAA&#10;">
                  <v:fill on="f" focussize="0,0"/>
                  <v:stroke on="f"/>
                  <v:imagedata r:id="rId25" o:title=""/>
                  <o:lock v:ext="edit" aspectratio="f"/>
                </v:shape>
                <v:shape id="Graphic 73" o:spid="_x0000_s1026" o:spt="100" style="position:absolute;left:1105979;top:2286698;height:38735;width:3410585;" filled="f" stroked="t" coordsize="3410585,38735" o:gfxdata="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xqe3y/&#10;AAAA2wAAAA8AAAAAAAAAAQAgAAAAIgAAAGRycy9kb3ducmV2LnhtbFBLAQIUABQAAAAIAIdO4kAz&#10;LwWeOwAAADkAAAAQAAAAAAAAAAEAIAAAAA4BAABkcnMvc2hhcGV4bWwueG1sUEsFBgAAAAAGAAYA&#10;WwEAALgDAAAAAA==&#10;" path="m0,33527l1136142,0,2273046,24384,3410330,38608e">
                  <v:fill on="f" focussize="0,0"/>
                  <v:stroke weight="2.25pt" color="#8063A1" joinstyle="round"/>
                  <v:imagedata o:title=""/>
                  <o:lock v:ext="edit" aspectratio="f"/>
                  <v:textbox inset="0mm,0mm,0mm,0mm"/>
                </v:shape>
                <v:shape id="Image 74" o:spid="_x0000_s1026" o:spt="75" type="#_x0000_t75" style="position:absolute;left:1071562;top:2284666;height:70104;width:70104;" filled="f" o:preferrelative="t" stroked="f" coordsize="21600,21600" o:gfxdata="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JOXW8AAAA&#10;2wAAAA8AAAAAAAAAAQAgAAAAIgAAAGRycy9kb3ducmV2LnhtbFBLAQIUABQAAAAIAIdO4kAzLwWe&#10;OwAAADkAAAAQAAAAAAAAAAEAIAAAAAsBAABkcnMvc2hhcGV4bWwueG1sUEsFBgAAAAAGAAYAWwEA&#10;ALUDAAAAAA==&#10;">
                  <v:fill on="f" focussize="0,0"/>
                  <v:stroke on="f"/>
                  <v:imagedata r:id="rId27" o:title=""/>
                  <o:lock v:ext="edit" aspectratio="f"/>
                </v:shape>
                <v:shape id="Image 75" o:spid="_x0000_s1026" o:spt="75" type="#_x0000_t75" style="position:absolute;left:2208466;top:2254186;height:70104;width:70104;" filled="f" o:preferrelative="t" stroked="f" coordsize="21600,21600" o:gfxdata="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FnO68AAAA&#10;2wAAAA8AAAAAAAAAAQAgAAAAIgAAAGRycy9kb3ducmV2LnhtbFBLAQIUABQAAAAIAIdO4kAzLwWe&#10;OwAAADkAAAAQAAAAAAAAAAEAIAAAAAsBAABkcnMvc2hhcGV4bWwueG1sUEsFBgAAAAAGAAYAWwEA&#10;ALUDAAAAAA==&#10;">
                  <v:fill on="f" focussize="0,0"/>
                  <v:stroke on="f"/>
                  <v:imagedata r:id="rId27" o:title=""/>
                  <o:lock v:ext="edit" aspectratio="f"/>
                </v:shape>
                <v:shape id="Image 76" o:spid="_x0000_s1026" o:spt="75" type="#_x0000_t75" style="position:absolute;left:3345370;top:2275522;height:70104;width:70104;" filled="f" o:preferrelative="t" stroked="f" coordsize="21600,21600" o:gfxdata="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pyW5vQAA&#10;ANsAAAAPAAAAAAAAAAEAIAAAACIAAABkcnMvZG93bnJldi54bWxQSwECFAAUAAAACACHTuJAMy8F&#10;njsAAAA5AAAAEAAAAAAAAAABACAAAAAMAQAAZHJzL3NoYXBleG1sLnhtbFBLBQYAAAAABgAGAFsB&#10;AAC2AwAAAAA=&#10;">
                  <v:fill on="f" focussize="0,0"/>
                  <v:stroke on="f"/>
                  <v:imagedata r:id="rId28" o:title=""/>
                  <o:lock v:ext="edit" aspectratio="f"/>
                </v:shape>
                <v:shape id="Image 77" o:spid="_x0000_s1026" o:spt="75" type="#_x0000_t75" style="position:absolute;left:4482274;top:2290762;height:70104;width:70104;" filled="f" o:preferrelative="t" stroked="f" coordsize="21600,21600" o:gfxdata="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0okHbsAAADb&#10;AAAADwAAAAAAAAABACAAAAAiAAAAZHJzL2Rvd25yZXYueG1sUEsBAhQAFAAAAAgAh07iQDMvBZ47&#10;AAAAOQAAABAAAAAAAAAAAQAgAAAACgEAAGRycy9zaGFwZXhtbC54bWxQSwUGAAAAAAYABgBbAQAA&#10;tAMAAAAA&#10;">
                  <v:fill on="f" focussize="0,0"/>
                  <v:stroke on="f"/>
                  <v:imagedata r:id="rId29" o:title=""/>
                  <o:lock v:ext="edit" aspectratio="f"/>
                </v:shape>
                <v:shape id="Image 78" o:spid="_x0000_s1026" o:spt="75" type="#_x0000_t75" style="position:absolute;left:1356169;top:2914395;height:70484;width:243840;" filled="f" o:preferrelative="t" stroked="f" coordsize="21600,21600" o:gfxdata="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6MPim5AAAA2wAA&#10;AA8AAAAAAAAAAQAgAAAAIgAAAGRycy9kb3ducmV2LnhtbFBLAQIUABQAAAAIAIdO4kAzLwWeOwAA&#10;ADkAAAAQAAAAAAAAAAEAIAAAAAgBAABkcnMvc2hhcGV4bWwueG1sUEsFBgAAAAAGAAYAWwEAALID&#10;AAAAAA==&#10;">
                  <v:fill on="f" focussize="0,0"/>
                  <v:stroke on="f"/>
                  <v:imagedata r:id="rId30" o:title=""/>
                  <o:lock v:ext="edit" aspectratio="f"/>
                </v:shape>
                <v:shape id="Image 79" o:spid="_x0000_s1026" o:spt="75" type="#_x0000_t75" style="position:absolute;left:2035873;top:2914395;height:70484;width:243839;" filled="f" o:preferrelative="t" stroked="f" coordsize="21600,21600" o:gfxdata="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6TPzL4A&#10;AADbAAAADwAAAAAAAAABACAAAAAiAAAAZHJzL2Rvd25yZXYueG1sUEsBAhQAFAAAAAgAh07iQDMv&#10;BZ47AAAAOQAAABAAAAAAAAAAAQAgAAAADQEAAGRycy9zaGFwZXhtbC54bWxQSwUGAAAAAAYABgBb&#10;AQAAtwMAAAAA&#10;">
                  <v:fill on="f" focussize="0,0"/>
                  <v:stroke on="f"/>
                  <v:imagedata r:id="rId31" o:title=""/>
                  <o:lock v:ext="edit" aspectratio="f"/>
                </v:shape>
                <v:shape id="Image 80" o:spid="_x0000_s1026" o:spt="75" type="#_x0000_t75" style="position:absolute;left:2692590;top:2914395;height:70484;width:243839;" filled="f" o:preferrelative="t" stroked="f" coordsize="21600,21600" o:gfxdata="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a3OSugAAANsA&#10;AAAPAAAAAAAAAAEAIAAAACIAAABkcnMvZG93bnJldi54bWxQSwECFAAUAAAACACHTuJAMy8FnjsA&#10;AAA5AAAAEAAAAAAAAAABACAAAAAJAQAAZHJzL3NoYXBleG1sLnhtbFBLBQYAAAAABgAGAFsBAACz&#10;AwAAAAA=&#10;">
                  <v:fill on="f" focussize="0,0"/>
                  <v:stroke on="f"/>
                  <v:imagedata r:id="rId32" o:title=""/>
                  <o:lock v:ext="edit" aspectratio="f"/>
                </v:shape>
                <v:shape id="Image 81" o:spid="_x0000_s1026" o:spt="75" type="#_x0000_t75" style="position:absolute;left:3338131;top:2914395;height:70484;width:243839;" filled="f" o:preferrelative="t" stroked="f" coordsize="21600,21600" o:gfxdata="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u+D2/&#10;AAAA2wAAAA8AAAAAAAAAAQAgAAAAIgAAAGRycy9kb3ducmV2LnhtbFBLAQIUABQAAAAIAIdO4kAz&#10;LwWeOwAAADkAAAAQAAAAAAAAAAEAIAAAAA4BAABkcnMvc2hhcGV4bWwueG1sUEsFBgAAAAAGAAYA&#10;WwEAALgDAAAAAA==&#10;">
                  <v:fill on="f" focussize="0,0"/>
                  <v:stroke on="f"/>
                  <v:imagedata r:id="rId33" o:title=""/>
                  <o:lock v:ext="edit" aspectratio="f"/>
                </v:shape>
                <v:shape id="Graphic 82" o:spid="_x0000_s1026" o:spt="100" style="position:absolute;left:4762;top:4762;height:3152775;width:5219700;" filled="f" stroked="t" coordsize="5219700,3152775" o:gfxdata="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MuJ3vQAA&#10;ANsAAAAPAAAAAAAAAAEAIAAAACIAAABkcnMvZG93bnJldi54bWxQSwECFAAUAAAACACHTuJAMy8F&#10;njsAAAA5AAAAEAAAAAAAAAABACAAAAAMAQAAZHJzL3NoYXBleG1sLnhtbFBLBQYAAAAABgAGAFsB&#10;AAC2AwAAAAA=&#10;" path="m0,3152775l5219700,3152775,5219700,0,0,0,0,3152775xe">
                  <v:fill on="f" focussize="0,0"/>
                  <v:stroke color="#D9D9D9" joinstyle="round"/>
                  <v:imagedata o:title=""/>
                  <o:lock v:ext="edit" aspectratio="f"/>
                  <v:textbox inset="0mm,0mm,0mm,0mm"/>
                </v:shape>
                <v:shape id="Textbox 83" o:spid="_x0000_s1026" o:spt="202" type="#_x0000_t202" style="position:absolute;left:3609784;top:2884106;height:152400;width:288290;" filled="f" stroked="f" coordsize="21600,21600" o:gfxdata="UEsDBAoAAAAAAIdO4kAAAAAAAAAAAAAAAAAEAAAAZHJzL1BLAwQUAAAACACHTuJAEtL6SL0AAADb&#10;AAAADwAAAGRycy9kb3ducmV2LnhtbEWPT2sCMRTE7wW/Q3hCbzWxgu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0vpI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1D38440">
                        <w:pPr>
                          <w:spacing w:line="240" w:lineRule="exact"/>
                          <w:rPr>
                            <w:rFonts w:ascii="Calibri" w:hAnsi="Calibri"/>
                            <w:sz w:val="24"/>
                          </w:rPr>
                        </w:pPr>
                        <w:r>
                          <w:rPr>
                            <w:rFonts w:ascii="Calibri" w:hAnsi="Calibri"/>
                            <w:color w:val="585858"/>
                            <w:spacing w:val="-5"/>
                            <w:sz w:val="24"/>
                          </w:rPr>
                          <w:t>ДПК</w:t>
                        </w:r>
                      </w:p>
                    </w:txbxContent>
                  </v:textbox>
                </v:shape>
                <v:shape id="Textbox 84" o:spid="_x0000_s1026" o:spt="202" type="#_x0000_t202" style="position:absolute;left:2963862;top:2884106;height:152400;width:259715;" filled="f" stroked="f" coordsize="21600,21600" o:gfxdata="UEsDBAoAAAAAAIdO4kAAAAAAAAAAAAAAAAAEAAAAZHJzL1BLAwQUAAAACACHTuJAnTtiPL0AAADb&#10;AAAADwAAAGRycy9kb3ducmV2LnhtbEWPT2sCMRTE7wW/Q3hCbzWxiO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O2I8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9983FA1">
                        <w:pPr>
                          <w:spacing w:line="240" w:lineRule="exact"/>
                          <w:rPr>
                            <w:rFonts w:ascii="Calibri" w:hAnsi="Calibri"/>
                            <w:sz w:val="24"/>
                          </w:rPr>
                        </w:pPr>
                        <w:r>
                          <w:rPr>
                            <w:rFonts w:ascii="Calibri" w:hAnsi="Calibri"/>
                            <w:color w:val="585858"/>
                            <w:spacing w:val="-5"/>
                            <w:sz w:val="24"/>
                          </w:rPr>
                          <w:t>ТОХ</w:t>
                        </w:r>
                      </w:p>
                    </w:txbxContent>
                  </v:textbox>
                </v:shape>
                <v:shape id="Textbox 85" o:spid="_x0000_s1026" o:spt="202" type="#_x0000_t202" style="position:absolute;left:2307018;top:2884106;height:152400;width:271145;" filled="f" stroked="f" coordsize="21600,21600" o:gfxdata="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d8en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9457C7F">
                        <w:pPr>
                          <w:spacing w:line="240" w:lineRule="exact"/>
                          <w:rPr>
                            <w:rFonts w:ascii="Calibri" w:hAnsi="Calibri"/>
                            <w:sz w:val="24"/>
                          </w:rPr>
                        </w:pPr>
                        <w:r>
                          <w:rPr>
                            <w:rFonts w:ascii="Calibri" w:hAnsi="Calibri"/>
                            <w:color w:val="585858"/>
                            <w:spacing w:val="-5"/>
                            <w:sz w:val="24"/>
                          </w:rPr>
                          <w:t>БДС</w:t>
                        </w:r>
                      </w:p>
                    </w:txbxContent>
                  </v:textbox>
                </v:shape>
                <v:shape id="Textbox 86" o:spid="_x0000_s1026" o:spt="202" type="#_x0000_t202" style="position:absolute;left:1626679;top:2884106;height:152400;width:294005;" filled="f" stroked="f" coordsize="21600,21600" o:gfxdata="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VZ0L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B3E6ADD">
                        <w:pPr>
                          <w:spacing w:line="240" w:lineRule="exact"/>
                          <w:rPr>
                            <w:rFonts w:ascii="Calibri" w:hAnsi="Calibri"/>
                            <w:sz w:val="24"/>
                          </w:rPr>
                        </w:pPr>
                        <w:r>
                          <w:rPr>
                            <w:rFonts w:ascii="Calibri" w:hAnsi="Calibri"/>
                            <w:color w:val="585858"/>
                            <w:spacing w:val="-5"/>
                            <w:sz w:val="24"/>
                          </w:rPr>
                          <w:t>ГПЖ</w:t>
                        </w:r>
                      </w:p>
                    </w:txbxContent>
                  </v:textbox>
                </v:shape>
                <v:shape id="Textbox 87" o:spid="_x0000_s1026" o:spt="202" type="#_x0000_t202" style="position:absolute;left:4364164;top:2586672;height:152400;width:321945;" filled="f" stroked="f" coordsize="21600,21600" o:gfxdata="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en8S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72F04F7">
                        <w:pPr>
                          <w:spacing w:line="240" w:lineRule="exact"/>
                          <w:rPr>
                            <w:rFonts w:ascii="Calibri"/>
                            <w:sz w:val="24"/>
                          </w:rPr>
                        </w:pPr>
                        <w:r>
                          <w:rPr>
                            <w:rFonts w:ascii="Calibri"/>
                            <w:color w:val="585858"/>
                            <w:spacing w:val="-4"/>
                            <w:sz w:val="24"/>
                          </w:rPr>
                          <w:t>2025</w:t>
                        </w:r>
                      </w:p>
                    </w:txbxContent>
                  </v:textbox>
                </v:shape>
                <v:shape id="Textbox 88" o:spid="_x0000_s1026" o:spt="202" type="#_x0000_t202" style="position:absolute;left:3226879;top:2586672;height:152400;width:321945;" filled="f" stroked="f" coordsize="21600,21600" o:gfxdata="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x2aDm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0C309A15">
                        <w:pPr>
                          <w:spacing w:line="240" w:lineRule="exact"/>
                          <w:rPr>
                            <w:rFonts w:ascii="Calibri"/>
                            <w:sz w:val="24"/>
                          </w:rPr>
                        </w:pPr>
                        <w:r>
                          <w:rPr>
                            <w:rFonts w:ascii="Calibri"/>
                            <w:color w:val="585858"/>
                            <w:spacing w:val="-4"/>
                            <w:sz w:val="24"/>
                          </w:rPr>
                          <w:t>2024</w:t>
                        </w:r>
                      </w:p>
                    </w:txbxContent>
                  </v:textbox>
                </v:shape>
                <v:shape id="Textbox 89" o:spid="_x0000_s1026" o:spt="202" type="#_x0000_t202" style="position:absolute;left:2089721;top:2586672;height:152400;width:321945;" filled="f" stroked="f" coordsize="21600,21600" o:gfxdata="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Os2i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2540E75">
                        <w:pPr>
                          <w:spacing w:line="240" w:lineRule="exact"/>
                          <w:rPr>
                            <w:rFonts w:ascii="Calibri"/>
                            <w:sz w:val="24"/>
                          </w:rPr>
                        </w:pPr>
                        <w:r>
                          <w:rPr>
                            <w:rFonts w:ascii="Calibri"/>
                            <w:color w:val="585858"/>
                            <w:spacing w:val="-4"/>
                            <w:sz w:val="24"/>
                          </w:rPr>
                          <w:t>2023</w:t>
                        </w:r>
                      </w:p>
                    </w:txbxContent>
                  </v:textbox>
                </v:shape>
                <v:shape id="Textbox 90" o:spid="_x0000_s1026" o:spt="202" type="#_x0000_t202" style="position:absolute;left:952563;top:2586672;height:152400;width:321945;" filled="f" stroked="f" coordsize="21600,21600" o:gfxdata="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Z8u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6B8EBEF1">
                        <w:pPr>
                          <w:spacing w:line="240" w:lineRule="exact"/>
                          <w:rPr>
                            <w:rFonts w:ascii="Calibri"/>
                            <w:sz w:val="24"/>
                          </w:rPr>
                        </w:pPr>
                        <w:r>
                          <w:rPr>
                            <w:rFonts w:ascii="Calibri"/>
                            <w:color w:val="585858"/>
                            <w:spacing w:val="-4"/>
                            <w:sz w:val="24"/>
                          </w:rPr>
                          <w:t>2022</w:t>
                        </w:r>
                      </w:p>
                    </w:txbxContent>
                  </v:textbox>
                </v:shape>
                <v:shape id="Textbox 91" o:spid="_x0000_s1026" o:spt="202" type="#_x0000_t202" style="position:absolute;left:4627435;top:2266022;height:153035;width:241300;" filled="f" stroked="f" coordsize="21600,21600" o:gfxdata="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lVd5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A2A7D01">
                        <w:pPr>
                          <w:spacing w:line="240" w:lineRule="exact"/>
                          <w:rPr>
                            <w:rFonts w:ascii="Calibri"/>
                            <w:sz w:val="24"/>
                          </w:rPr>
                        </w:pPr>
                        <w:r>
                          <w:rPr>
                            <w:rFonts w:ascii="Calibri"/>
                            <w:color w:val="404040"/>
                            <w:spacing w:val="-5"/>
                            <w:sz w:val="24"/>
                          </w:rPr>
                          <w:t>142</w:t>
                        </w:r>
                      </w:p>
                    </w:txbxContent>
                  </v:textbox>
                </v:shape>
                <v:shape id="Textbox 92" o:spid="_x0000_s1026" o:spt="202" type="#_x0000_t202" style="position:absolute;left:319722;top:2387942;height:153035;width:90170;" filled="f" stroked="f" coordsize="21600,21600" o:gfxdata="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R8kO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BBA474F">
                        <w:pPr>
                          <w:spacing w:line="240" w:lineRule="exact"/>
                          <w:rPr>
                            <w:rFonts w:ascii="Calibri"/>
                            <w:sz w:val="24"/>
                          </w:rPr>
                        </w:pPr>
                        <w:r>
                          <w:rPr>
                            <w:rFonts w:ascii="Calibri"/>
                            <w:color w:val="585858"/>
                            <w:spacing w:val="-10"/>
                            <w:sz w:val="24"/>
                          </w:rPr>
                          <w:t>0</w:t>
                        </w:r>
                      </w:p>
                    </w:txbxContent>
                  </v:textbox>
                </v:shape>
                <v:shape id="Textbox 93" o:spid="_x0000_s1026" o:spt="202" type="#_x0000_t202" style="position:absolute;left:4627435;top:2194394;height:153035;width:241300;" filled="f" stroked="f" coordsize="21600,21600" o:gfxdata="UEsDBAoAAAAAAIdO4kAAAAAAAAAAAAAAAAAEAAAAZHJzL1BLAwQUAAAACACHTuJAlwtslb0AAADb&#10;AAAADwAAAGRycy9kb3ducmV2LnhtbEWPQWsCMRSE74L/ITyhN01sQ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C2yV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2F182C8">
                        <w:pPr>
                          <w:spacing w:line="240" w:lineRule="exact"/>
                          <w:rPr>
                            <w:rFonts w:ascii="Calibri"/>
                            <w:sz w:val="24"/>
                          </w:rPr>
                        </w:pPr>
                        <w:r>
                          <w:rPr>
                            <w:rFonts w:ascii="Calibri"/>
                            <w:color w:val="404040"/>
                            <w:spacing w:val="-5"/>
                            <w:sz w:val="24"/>
                          </w:rPr>
                          <w:t>220</w:t>
                        </w:r>
                      </w:p>
                    </w:txbxContent>
                  </v:textbox>
                </v:shape>
                <v:shape id="Textbox 94" o:spid="_x0000_s1026" o:spt="202" type="#_x0000_t202" style="position:absolute;left:1215580;top:2141664;height:271145;width:242570;" filled="f" stroked="f" coordsize="21600,21600" o:gfxdata="UEsDBAoAAAAAAIdO4kAAAAAAAAAAAAAAAAAEAAAAZHJzL1BLAwQUAAAACACHTuJAGOL04b0AAADb&#10;AAAADwAAAGRycy9kb3ducmV2LnhtbEWPQWsCMRSE74L/ITyhN00sRe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4vTh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9B09826">
                        <w:pPr>
                          <w:spacing w:line="191" w:lineRule="exact"/>
                          <w:rPr>
                            <w:rFonts w:ascii="Calibri"/>
                            <w:sz w:val="24"/>
                          </w:rPr>
                        </w:pPr>
                        <w:r>
                          <w:rPr>
                            <w:rFonts w:ascii="Calibri"/>
                            <w:color w:val="404040"/>
                            <w:spacing w:val="-5"/>
                            <w:sz w:val="24"/>
                          </w:rPr>
                          <w:t>278</w:t>
                        </w:r>
                      </w:p>
                      <w:p w14:paraId="06C9EDAF">
                        <w:pPr>
                          <w:spacing w:line="235" w:lineRule="exact"/>
                          <w:rPr>
                            <w:rFonts w:ascii="Calibri"/>
                            <w:sz w:val="24"/>
                          </w:rPr>
                        </w:pPr>
                        <w:r>
                          <w:rPr>
                            <w:rFonts w:ascii="Calibri"/>
                            <w:color w:val="404040"/>
                            <w:spacing w:val="-5"/>
                            <w:sz w:val="24"/>
                          </w:rPr>
                          <w:t>149</w:t>
                        </w:r>
                      </w:p>
                    </w:txbxContent>
                  </v:textbox>
                </v:shape>
                <v:shape id="Textbox 95" o:spid="_x0000_s1026" o:spt="202" type="#_x0000_t202" style="position:absolute;left:4627435;top:1934019;height:152400;width:241300;" filled="f" stroked="f" coordsize="21600,21600" o:gfxdata="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rlF6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79190715">
                        <w:pPr>
                          <w:spacing w:line="240" w:lineRule="exact"/>
                          <w:rPr>
                            <w:rFonts w:ascii="Calibri"/>
                            <w:sz w:val="24"/>
                          </w:rPr>
                        </w:pPr>
                        <w:r>
                          <w:rPr>
                            <w:rFonts w:ascii="Calibri"/>
                            <w:color w:val="404040"/>
                            <w:spacing w:val="-5"/>
                            <w:sz w:val="24"/>
                          </w:rPr>
                          <w:t>504</w:t>
                        </w:r>
                      </w:p>
                    </w:txbxContent>
                  </v:textbox>
                </v:shape>
                <v:shape id="Textbox 96" o:spid="_x0000_s1026" o:spt="202" type="#_x0000_t202" style="position:absolute;left:3490277;top:1883244;height:521334;width:241300;" filled="f" stroked="f" coordsize="21600,21600" o:gfxdata="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3zPDb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E5C617D">
                        <w:pPr>
                          <w:spacing w:line="245" w:lineRule="exact"/>
                          <w:rPr>
                            <w:rFonts w:ascii="Calibri"/>
                            <w:sz w:val="24"/>
                          </w:rPr>
                        </w:pPr>
                        <w:r>
                          <w:rPr>
                            <w:rFonts w:ascii="Calibri"/>
                            <w:color w:val="404040"/>
                            <w:spacing w:val="-5"/>
                            <w:sz w:val="24"/>
                          </w:rPr>
                          <w:t>559</w:t>
                        </w:r>
                      </w:p>
                      <w:p w14:paraId="5914BF24">
                        <w:pPr>
                          <w:spacing w:before="42" w:line="269" w:lineRule="exact"/>
                          <w:rPr>
                            <w:rFonts w:ascii="Calibri"/>
                            <w:sz w:val="24"/>
                          </w:rPr>
                        </w:pPr>
                        <w:r>
                          <w:rPr>
                            <w:rFonts w:ascii="Calibri"/>
                            <w:color w:val="404040"/>
                            <w:spacing w:val="-5"/>
                            <w:sz w:val="24"/>
                          </w:rPr>
                          <w:t>327</w:t>
                        </w:r>
                      </w:p>
                      <w:p w14:paraId="0BF5B3E7">
                        <w:pPr>
                          <w:spacing w:line="264" w:lineRule="exact"/>
                          <w:rPr>
                            <w:rFonts w:ascii="Calibri"/>
                            <w:sz w:val="24"/>
                          </w:rPr>
                        </w:pPr>
                        <w:r>
                          <w:rPr>
                            <w:rFonts w:ascii="Calibri"/>
                            <w:color w:val="404040"/>
                            <w:spacing w:val="-5"/>
                            <w:sz w:val="24"/>
                          </w:rPr>
                          <w:t>158</w:t>
                        </w:r>
                      </w:p>
                    </w:txbxContent>
                  </v:textbox>
                </v:shape>
                <v:shape id="Textbox 97" o:spid="_x0000_s1026" o:spt="202" type="#_x0000_t202" style="position:absolute;left:2353119;top:1875878;height:504825;width:241300;" filled="f" stroked="f" coordsize="21600,21600" o:gfxdata="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MGqW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9937325">
                        <w:pPr>
                          <w:spacing w:line="245" w:lineRule="exact"/>
                          <w:rPr>
                            <w:rFonts w:ascii="Calibri"/>
                            <w:sz w:val="24"/>
                          </w:rPr>
                        </w:pPr>
                        <w:r>
                          <w:rPr>
                            <w:rFonts w:ascii="Calibri"/>
                            <w:color w:val="404040"/>
                            <w:spacing w:val="-5"/>
                            <w:sz w:val="24"/>
                          </w:rPr>
                          <w:t>567</w:t>
                        </w:r>
                      </w:p>
                      <w:p w14:paraId="08B52DEF">
                        <w:pPr>
                          <w:spacing w:before="57" w:line="248" w:lineRule="exact"/>
                          <w:rPr>
                            <w:rFonts w:ascii="Calibri"/>
                            <w:sz w:val="24"/>
                          </w:rPr>
                        </w:pPr>
                        <w:r>
                          <w:rPr>
                            <w:rFonts w:ascii="Calibri"/>
                            <w:color w:val="404040"/>
                            <w:spacing w:val="-5"/>
                            <w:sz w:val="24"/>
                          </w:rPr>
                          <w:t>325</w:t>
                        </w:r>
                      </w:p>
                      <w:p w14:paraId="29AFD4FC">
                        <w:pPr>
                          <w:spacing w:line="244" w:lineRule="exact"/>
                          <w:rPr>
                            <w:rFonts w:ascii="Calibri"/>
                            <w:sz w:val="24"/>
                          </w:rPr>
                        </w:pPr>
                        <w:r>
                          <w:rPr>
                            <w:rFonts w:ascii="Calibri"/>
                            <w:color w:val="404040"/>
                            <w:spacing w:val="-5"/>
                            <w:sz w:val="24"/>
                          </w:rPr>
                          <w:t>184</w:t>
                        </w:r>
                      </w:p>
                    </w:txbxContent>
                  </v:textbox>
                </v:shape>
                <v:shape id="Textbox 98" o:spid="_x0000_s1026" o:spt="202" type="#_x0000_t202" style="position:absolute;left:165163;top:1929447;height:152400;width:245745;" filled="f" stroked="f" coordsize="21600,21600" o:gfxdata="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mv/uS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34363D78">
                        <w:pPr>
                          <w:spacing w:line="240" w:lineRule="exact"/>
                          <w:rPr>
                            <w:rFonts w:ascii="Calibri"/>
                            <w:sz w:val="24"/>
                          </w:rPr>
                        </w:pPr>
                        <w:r>
                          <w:rPr>
                            <w:rFonts w:ascii="Calibri"/>
                            <w:color w:val="585858"/>
                            <w:spacing w:val="-5"/>
                            <w:sz w:val="24"/>
                          </w:rPr>
                          <w:t>500</w:t>
                        </w:r>
                      </w:p>
                    </w:txbxContent>
                  </v:textbox>
                </v:shape>
                <v:shape id="Textbox 99" o:spid="_x0000_s1026" o:spt="202" type="#_x0000_t202" style="position:absolute;left:1215580;top:1730438;height:152400;width:242570;" filled="f" stroked="f" coordsize="21600,21600" o:gfxdata="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uNbf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354939B">
                        <w:pPr>
                          <w:spacing w:line="240" w:lineRule="exact"/>
                          <w:rPr>
                            <w:rFonts w:ascii="Calibri"/>
                            <w:sz w:val="24"/>
                          </w:rPr>
                        </w:pPr>
                        <w:r>
                          <w:rPr>
                            <w:rFonts w:ascii="Calibri"/>
                            <w:color w:val="404040"/>
                            <w:spacing w:val="-5"/>
                            <w:sz w:val="24"/>
                          </w:rPr>
                          <w:t>726</w:t>
                        </w:r>
                      </w:p>
                    </w:txbxContent>
                  </v:textbox>
                </v:shape>
                <v:shape id="Textbox 100" o:spid="_x0000_s1026" o:spt="202" type="#_x0000_t202" style="position:absolute;left:87820;top:1470469;height:152400;width:321945;" filled="f" stroked="f" coordsize="21600,21600" o:gfxdata="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4BWY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18CFE3A0">
                        <w:pPr>
                          <w:spacing w:line="240" w:lineRule="exact"/>
                          <w:rPr>
                            <w:rFonts w:ascii="Calibri"/>
                            <w:sz w:val="24"/>
                          </w:rPr>
                        </w:pPr>
                        <w:r>
                          <w:rPr>
                            <w:rFonts w:ascii="Calibri"/>
                            <w:color w:val="585858"/>
                            <w:spacing w:val="-4"/>
                            <w:sz w:val="24"/>
                          </w:rPr>
                          <w:t>1000</w:t>
                        </w:r>
                      </w:p>
                    </w:txbxContent>
                  </v:textbox>
                </v:shape>
                <v:shape id="Textbox 101" o:spid="_x0000_s1026" o:spt="202" type="#_x0000_t202" style="position:absolute;left:87820;top:1011364;height:152400;width:321945;" filled="f" stroked="f" coordsize="21600,21600" o:gfxdata="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M8/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ADB464B">
                        <w:pPr>
                          <w:spacing w:line="240" w:lineRule="exact"/>
                          <w:rPr>
                            <w:rFonts w:ascii="Calibri"/>
                            <w:sz w:val="24"/>
                          </w:rPr>
                        </w:pPr>
                        <w:r>
                          <w:rPr>
                            <w:rFonts w:ascii="Calibri"/>
                            <w:color w:val="585858"/>
                            <w:spacing w:val="-4"/>
                            <w:sz w:val="24"/>
                          </w:rPr>
                          <w:t>1500</w:t>
                        </w:r>
                      </w:p>
                    </w:txbxContent>
                  </v:textbox>
                </v:shape>
                <v:shape id="Textbox 102" o:spid="_x0000_s1026" o:spt="202" type="#_x0000_t202" style="position:absolute;left:4629340;top:692848;height:152400;width:318770;" filled="f" stroked="f" coordsize="21600,21600" o:gfxdata="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ebY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6498EBC">
                        <w:pPr>
                          <w:spacing w:line="240" w:lineRule="exact"/>
                          <w:rPr>
                            <w:rFonts w:ascii="Calibri"/>
                            <w:sz w:val="24"/>
                          </w:rPr>
                        </w:pPr>
                        <w:r>
                          <w:rPr>
                            <w:rFonts w:ascii="Calibri"/>
                            <w:color w:val="404040"/>
                            <w:spacing w:val="-4"/>
                            <w:sz w:val="24"/>
                          </w:rPr>
                          <w:t>1856</w:t>
                        </w:r>
                      </w:p>
                    </w:txbxContent>
                  </v:textbox>
                </v:shape>
                <v:shape id="Textbox 103" o:spid="_x0000_s1026" o:spt="202" type="#_x0000_t202" style="position:absolute;left:3492055;top:701103;height:152400;width:317500;" filled="f" stroked="f" coordsize="21600,21600" o:gfxdata="UEsDBAoAAAAAAIdO4kAAAAAAAAAAAAAAAAAEAAAAZHJzL1BLAwQUAAAACACHTuJAV1LIFbwAAADc&#10;AAAADwAAAGRycy9kb3ducmV2LnhtbEVPS2sCMRC+C/6HMAVvmlhB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Sy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31152BF">
                        <w:pPr>
                          <w:spacing w:line="240" w:lineRule="exact"/>
                          <w:rPr>
                            <w:rFonts w:ascii="Calibri"/>
                            <w:sz w:val="24"/>
                          </w:rPr>
                        </w:pPr>
                        <w:r>
                          <w:rPr>
                            <w:rFonts w:ascii="Calibri"/>
                            <w:color w:val="404040"/>
                            <w:spacing w:val="-4"/>
                            <w:sz w:val="24"/>
                          </w:rPr>
                          <w:t>1847</w:t>
                        </w:r>
                      </w:p>
                    </w:txbxContent>
                  </v:textbox>
                </v:shape>
                <v:shape id="Textbox 104" o:spid="_x0000_s1026" o:spt="202" type="#_x0000_t202" style="position:absolute;left:1217739;top:640778;height:152400;width:317500;" filled="f" stroked="f" coordsize="21600,21600" o:gfxdata="UEsDBAoAAAAAAIdO4kAAAAAAAAAAAAAAAAAEAAAAZHJzL1BLAwQUAAAACACHTuJA2LtQYbwAAADc&#10;AAAADwAAAGRycy9kb3ducmV2LnhtbEVPS2sCMRC+C/6HMAVvmlhE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7UGG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DCA8194">
                        <w:pPr>
                          <w:spacing w:line="240" w:lineRule="exact"/>
                          <w:rPr>
                            <w:rFonts w:ascii="Calibri"/>
                            <w:sz w:val="24"/>
                          </w:rPr>
                        </w:pPr>
                        <w:r>
                          <w:rPr>
                            <w:rFonts w:ascii="Calibri"/>
                            <w:color w:val="404040"/>
                            <w:spacing w:val="-4"/>
                            <w:sz w:val="24"/>
                          </w:rPr>
                          <w:t>1913</w:t>
                        </w:r>
                      </w:p>
                    </w:txbxContent>
                  </v:textbox>
                </v:shape>
                <v:shape id="Textbox 105" o:spid="_x0000_s1026" o:spt="202" type="#_x0000_t202" style="position:absolute;left:2354897;top:483806;height:152400;width:317500;" filled="f" stroked="f" coordsize="21600,21600" o:gfxdata="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f39fq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8D15D48">
                        <w:pPr>
                          <w:spacing w:line="240" w:lineRule="exact"/>
                          <w:rPr>
                            <w:rFonts w:ascii="Calibri"/>
                            <w:sz w:val="24"/>
                          </w:rPr>
                        </w:pPr>
                        <w:r>
                          <w:rPr>
                            <w:rFonts w:ascii="Calibri"/>
                            <w:color w:val="404040"/>
                            <w:spacing w:val="-4"/>
                            <w:sz w:val="24"/>
                          </w:rPr>
                          <w:t>2084</w:t>
                        </w:r>
                      </w:p>
                    </w:txbxContent>
                  </v:textbox>
                </v:shape>
                <v:shape id="Textbox 106" o:spid="_x0000_s1026" o:spt="202" type="#_x0000_t202" style="position:absolute;left:87820;top:552386;height:152400;width:321945;" filled="f" stroked="f" coordsize="21600,21600" o:gfxdata="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la4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057C4A85">
                        <w:pPr>
                          <w:spacing w:line="240" w:lineRule="exact"/>
                          <w:rPr>
                            <w:rFonts w:ascii="Calibri"/>
                            <w:sz w:val="24"/>
                          </w:rPr>
                        </w:pPr>
                        <w:r>
                          <w:rPr>
                            <w:rFonts w:ascii="Calibri"/>
                            <w:color w:val="585858"/>
                            <w:spacing w:val="-4"/>
                            <w:sz w:val="24"/>
                          </w:rPr>
                          <w:t>2000</w:t>
                        </w:r>
                      </w:p>
                    </w:txbxContent>
                  </v:textbox>
                </v:shape>
                <v:shape id="Textbox 107" o:spid="_x0000_s1026" o:spt="202" type="#_x0000_t202" style="position:absolute;left:87820;top:93408;height:152400;width:321945;" filled="f" stroked="f" coordsize="21600,21600" o:gfxdata="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ac4W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5F88ADA">
                        <w:pPr>
                          <w:spacing w:line="240" w:lineRule="exact"/>
                          <w:rPr>
                            <w:rFonts w:ascii="Calibri"/>
                            <w:sz w:val="24"/>
                          </w:rPr>
                        </w:pPr>
                        <w:r>
                          <w:rPr>
                            <w:rFonts w:ascii="Calibri"/>
                            <w:color w:val="585858"/>
                            <w:spacing w:val="-4"/>
                            <w:sz w:val="24"/>
                          </w:rPr>
                          <w:t>2500</w:t>
                        </w:r>
                      </w:p>
                    </w:txbxContent>
                  </v:textbox>
                </v:shape>
                <w10:wrap type="topAndBottom"/>
              </v:group>
            </w:pict>
          </mc:Fallback>
        </mc:AlternateContent>
      </w:r>
    </w:p>
    <w:p w14:paraId="7E1B0A4D">
      <w:pPr>
        <w:pStyle w:val="7"/>
        <w:spacing w:before="9"/>
        <w:ind w:left="0" w:firstLine="0"/>
        <w:jc w:val="left"/>
      </w:pPr>
    </w:p>
    <w:p w14:paraId="6E672F18">
      <w:pPr>
        <w:pStyle w:val="7"/>
        <w:ind w:left="0" w:firstLine="1192"/>
        <w:jc w:val="center"/>
      </w:pPr>
      <w:r>
        <w:t>Рисунок 9 - Динамика числа случаев опухолей периампулярной зоны по локализациям</w:t>
      </w:r>
      <w:r>
        <w:rPr>
          <w:spacing w:val="-3"/>
        </w:rPr>
        <w:t xml:space="preserve"> </w:t>
      </w:r>
      <w:r>
        <w:t>(ГПЖ, БДС,</w:t>
      </w:r>
      <w:r>
        <w:rPr>
          <w:spacing w:val="-3"/>
        </w:rPr>
        <w:t xml:space="preserve"> </w:t>
      </w:r>
      <w:r>
        <w:t>ТОХ,</w:t>
      </w:r>
      <w:r>
        <w:rPr>
          <w:spacing w:val="-3"/>
        </w:rPr>
        <w:t xml:space="preserve"> </w:t>
      </w:r>
      <w:r>
        <w:t>ДПК)</w:t>
      </w:r>
      <w:r>
        <w:rPr>
          <w:spacing w:val="-6"/>
        </w:rPr>
        <w:t xml:space="preserve"> </w:t>
      </w:r>
      <w:r>
        <w:t>в</w:t>
      </w:r>
      <w:r>
        <w:rPr>
          <w:spacing w:val="-3"/>
        </w:rPr>
        <w:t xml:space="preserve"> </w:t>
      </w:r>
      <w:r>
        <w:t>Республике</w:t>
      </w:r>
      <w:r>
        <w:rPr>
          <w:spacing w:val="-4"/>
        </w:rPr>
        <w:t xml:space="preserve"> </w:t>
      </w:r>
      <w:r>
        <w:t>Казахстан</w:t>
      </w:r>
      <w:r>
        <w:rPr>
          <w:spacing w:val="-5"/>
        </w:rPr>
        <w:t xml:space="preserve"> </w:t>
      </w:r>
      <w:r>
        <w:t>в</w:t>
      </w:r>
      <w:r>
        <w:rPr>
          <w:spacing w:val="-6"/>
        </w:rPr>
        <w:t xml:space="preserve"> </w:t>
      </w:r>
      <w:r>
        <w:t>2022–2025</w:t>
      </w:r>
      <w:r>
        <w:rPr>
          <w:spacing w:val="-5"/>
        </w:rPr>
        <w:t xml:space="preserve"> </w:t>
      </w:r>
      <w:r>
        <w:t>гг.</w:t>
      </w:r>
    </w:p>
    <w:p w14:paraId="0786A721">
      <w:pPr>
        <w:pStyle w:val="7"/>
        <w:ind w:left="0" w:firstLine="0"/>
        <w:jc w:val="left"/>
      </w:pPr>
    </w:p>
    <w:p w14:paraId="53C656C2">
      <w:pPr>
        <w:pStyle w:val="7"/>
        <w:ind w:left="0" w:right="3" w:firstLine="709"/>
      </w:pPr>
      <w:r>
        <w:t>В областях показатели значительно ниже, однако также демонстрируют стабильное присутствие всех локализаций опухолей периампулярной зоны. Ряд регионов, таких как Актюбинская, Карагандинская, Кызылординская и Мангистауская</w:t>
      </w:r>
      <w:r>
        <w:rPr>
          <w:spacing w:val="32"/>
        </w:rPr>
        <w:t xml:space="preserve"> </w:t>
      </w:r>
      <w:r>
        <w:t>области,</w:t>
      </w:r>
      <w:r>
        <w:rPr>
          <w:spacing w:val="33"/>
        </w:rPr>
        <w:t xml:space="preserve"> </w:t>
      </w:r>
      <w:r>
        <w:t>характеризуются</w:t>
      </w:r>
      <w:r>
        <w:rPr>
          <w:spacing w:val="32"/>
        </w:rPr>
        <w:t xml:space="preserve"> </w:t>
      </w:r>
      <w:r>
        <w:t>относительно</w:t>
      </w:r>
      <w:r>
        <w:rPr>
          <w:spacing w:val="30"/>
        </w:rPr>
        <w:t xml:space="preserve"> </w:t>
      </w:r>
      <w:r>
        <w:t>высокими</w:t>
      </w:r>
      <w:r>
        <w:rPr>
          <w:spacing w:val="30"/>
        </w:rPr>
        <w:t xml:space="preserve"> </w:t>
      </w:r>
      <w:r>
        <w:t>значениями</w:t>
      </w:r>
    </w:p>
    <w:p w14:paraId="7AFB2C09">
      <w:pPr>
        <w:pStyle w:val="7"/>
        <w:tabs>
          <w:tab w:val="left" w:pos="3969"/>
          <w:tab w:val="left" w:pos="4395"/>
        </w:tabs>
        <w:spacing w:before="67"/>
        <w:ind w:left="0" w:right="3" w:firstLine="0"/>
      </w:pPr>
      <w:r>
        <w:t>ГПЖ, что может быть обусловлено как эпидемиологическими особенностями, так и более организованной системой онкологической службы. В то же время в некоторых регионах (например, Улытауская, Жамбылская, Павлодарская области)</w:t>
      </w:r>
      <w:r>
        <w:rPr>
          <w:spacing w:val="-15"/>
        </w:rPr>
        <w:t xml:space="preserve"> </w:t>
      </w:r>
      <w:r>
        <w:t>наблюдается</w:t>
      </w:r>
      <w:r>
        <w:rPr>
          <w:spacing w:val="-12"/>
        </w:rPr>
        <w:t xml:space="preserve"> </w:t>
      </w:r>
      <w:r>
        <w:t>меньшая</w:t>
      </w:r>
      <w:r>
        <w:rPr>
          <w:spacing w:val="-12"/>
        </w:rPr>
        <w:t xml:space="preserve"> </w:t>
      </w:r>
      <w:r>
        <w:t>частота</w:t>
      </w:r>
      <w:r>
        <w:rPr>
          <w:spacing w:val="-12"/>
        </w:rPr>
        <w:t xml:space="preserve"> </w:t>
      </w:r>
      <w:r>
        <w:t>опухолей</w:t>
      </w:r>
      <w:r>
        <w:rPr>
          <w:spacing w:val="-13"/>
        </w:rPr>
        <w:t xml:space="preserve"> </w:t>
      </w:r>
      <w:r>
        <w:t>ТОХ</w:t>
      </w:r>
      <w:r>
        <w:rPr>
          <w:spacing w:val="-13"/>
        </w:rPr>
        <w:t xml:space="preserve"> </w:t>
      </w:r>
      <w:r>
        <w:t>и</w:t>
      </w:r>
      <w:r>
        <w:rPr>
          <w:spacing w:val="-13"/>
        </w:rPr>
        <w:t xml:space="preserve"> </w:t>
      </w:r>
      <w:r>
        <w:t>ДПК,</w:t>
      </w:r>
      <w:r>
        <w:rPr>
          <w:spacing w:val="-11"/>
        </w:rPr>
        <w:t xml:space="preserve"> </w:t>
      </w:r>
      <w:r>
        <w:t>что</w:t>
      </w:r>
      <w:r>
        <w:rPr>
          <w:spacing w:val="-13"/>
        </w:rPr>
        <w:t xml:space="preserve"> </w:t>
      </w:r>
      <w:r>
        <w:t>потенциально связано с ограниченными диагностическими ресурсами или недостаточной информированностью населения.</w:t>
      </w:r>
    </w:p>
    <w:p w14:paraId="10D55420">
      <w:pPr>
        <w:pStyle w:val="7"/>
        <w:spacing w:before="4"/>
        <w:ind w:left="0" w:right="3" w:firstLine="709"/>
      </w:pPr>
      <w:r>
        <w:t>Структура локализаций в таблице позволяет отметить, что опухоли БДС выявляются во всех регионах, однако их относительная доля существенно варьирует: от низких</w:t>
      </w:r>
      <w:r>
        <w:rPr>
          <w:spacing w:val="-1"/>
        </w:rPr>
        <w:t xml:space="preserve"> </w:t>
      </w:r>
      <w:r>
        <w:t>значений в Атырауской или Кызылординской областях</w:t>
      </w:r>
      <w:r>
        <w:rPr>
          <w:spacing w:val="-1"/>
        </w:rPr>
        <w:t xml:space="preserve"> </w:t>
      </w:r>
      <w:r>
        <w:t>до значительно более высоких показателей в Алматы, Астане и Шымкенте. Опухоли ТОХ демонстрируют меньшую распространенность по сравнению с ГПЖ и БДС, но также характеризуются стабильным ежегодным выявлением. Опухоли ДПК составляют наименьшую долю среди всех локализаций, что соответствует мировой эпидемиологической структуре периампулярных опухолей и отражено в низких значениях почти во всех регионах.</w:t>
      </w:r>
    </w:p>
    <w:p w14:paraId="63091708">
      <w:pPr>
        <w:pStyle w:val="7"/>
        <w:ind w:left="0" w:right="3" w:firstLine="709"/>
      </w:pPr>
      <w:r>
        <w:t xml:space="preserve">В целом анализ отражает как межрегиональные различия в структуре и частоте опухолей периампулярной зоны, так и выраженную централизацию диагностики этой патологии в крупных городах Казахстана. Эти данные имеют высокую практическую значимость для анализа онкологической заболеваемости, планирования хирургической помощи и оценки потребности в ресурсах для ранней диагностики и лечения опухолей соответствующих </w:t>
      </w:r>
      <w:r>
        <w:rPr>
          <w:spacing w:val="-2"/>
        </w:rPr>
        <w:t>локализаций.</w:t>
      </w:r>
    </w:p>
    <w:p w14:paraId="6EC56BB7">
      <w:pPr>
        <w:pStyle w:val="7"/>
        <w:spacing w:before="4"/>
        <w:ind w:left="0" w:right="3" w:firstLine="709"/>
        <w:jc w:val="left"/>
      </w:pPr>
    </w:p>
    <w:p w14:paraId="26C23535">
      <w:pPr>
        <w:pStyle w:val="3"/>
        <w:numPr>
          <w:ilvl w:val="2"/>
          <w:numId w:val="8"/>
        </w:numPr>
        <w:tabs>
          <w:tab w:val="left" w:pos="1828"/>
        </w:tabs>
        <w:ind w:left="0" w:right="3" w:firstLine="709"/>
        <w:rPr>
          <w:b w:val="0"/>
        </w:rPr>
      </w:pPr>
      <w:r>
        <w:rPr>
          <w:b w:val="0"/>
        </w:rPr>
        <w:t>Результаты изучения объёма выполнения ГПДР по регионам Республики Казахстан</w:t>
      </w:r>
    </w:p>
    <w:p w14:paraId="037FF11F">
      <w:pPr>
        <w:pStyle w:val="7"/>
        <w:ind w:left="0" w:right="3" w:firstLine="709"/>
        <w:rPr>
          <w:spacing w:val="-1"/>
        </w:rPr>
      </w:pPr>
      <w:r>
        <w:t>Впервые представлены данные о распределении ГПДР и послеоперационной летальности по регионам Республики Казахстан за 2022– 2025 годы, что позволяет объективно оценить динамику хирургической активности, качество специализированной помощи и особенности маршрутизации</w:t>
      </w:r>
      <w:r>
        <w:rPr>
          <w:spacing w:val="-1"/>
        </w:rPr>
        <w:t xml:space="preserve"> </w:t>
      </w:r>
      <w:r>
        <w:t>пациентов</w:t>
      </w:r>
      <w:r>
        <w:rPr>
          <w:spacing w:val="-6"/>
        </w:rPr>
        <w:t xml:space="preserve"> </w:t>
      </w:r>
      <w:r>
        <w:t>с</w:t>
      </w:r>
      <w:r>
        <w:rPr>
          <w:spacing w:val="-4"/>
        </w:rPr>
        <w:t xml:space="preserve"> </w:t>
      </w:r>
      <w:r>
        <w:t>опухолями</w:t>
      </w:r>
      <w:r>
        <w:rPr>
          <w:spacing w:val="-5"/>
        </w:rPr>
        <w:t xml:space="preserve"> </w:t>
      </w:r>
      <w:r>
        <w:t>периампулярной</w:t>
      </w:r>
      <w:r>
        <w:rPr>
          <w:spacing w:val="-5"/>
        </w:rPr>
        <w:t xml:space="preserve"> </w:t>
      </w:r>
      <w:r>
        <w:t>зоны.</w:t>
      </w:r>
      <w:r>
        <w:rPr>
          <w:spacing w:val="-2"/>
        </w:rPr>
        <w:t xml:space="preserve"> </w:t>
      </w:r>
      <w:r>
        <w:t>ГПДР</w:t>
      </w:r>
      <w:r>
        <w:rPr>
          <w:spacing w:val="-6"/>
        </w:rPr>
        <w:t xml:space="preserve"> </w:t>
      </w:r>
      <w:r>
        <w:t>относится к числу наиболее сложных и высокотехнологичных вмешательств в абдоминальной хирургии, выполнение которых требует значительного организационного и технического ресурса, высокой квалификации хирургов и наличия</w:t>
      </w:r>
      <w:r>
        <w:rPr>
          <w:spacing w:val="-2"/>
        </w:rPr>
        <w:t xml:space="preserve"> </w:t>
      </w:r>
      <w:r>
        <w:t>мультидисциплинарной</w:t>
      </w:r>
      <w:r>
        <w:rPr>
          <w:spacing w:val="-4"/>
        </w:rPr>
        <w:t xml:space="preserve"> </w:t>
      </w:r>
      <w:r>
        <w:t>команды.</w:t>
      </w:r>
      <w:r>
        <w:rPr>
          <w:spacing w:val="-1"/>
        </w:rPr>
        <w:t xml:space="preserve"> </w:t>
      </w:r>
    </w:p>
    <w:p w14:paraId="5E51F4F2">
      <w:pPr>
        <w:pStyle w:val="7"/>
        <w:ind w:left="0" w:right="3" w:firstLine="709"/>
      </w:pPr>
      <w:r>
        <w:t>В</w:t>
      </w:r>
      <w:r>
        <w:rPr>
          <w:spacing w:val="-7"/>
        </w:rPr>
        <w:t xml:space="preserve"> </w:t>
      </w:r>
      <w:r>
        <w:t>связи</w:t>
      </w:r>
      <w:r>
        <w:rPr>
          <w:spacing w:val="-3"/>
        </w:rPr>
        <w:t xml:space="preserve"> </w:t>
      </w:r>
      <w:r>
        <w:t>с этим</w:t>
      </w:r>
      <w:r>
        <w:rPr>
          <w:spacing w:val="-3"/>
        </w:rPr>
        <w:t xml:space="preserve"> </w:t>
      </w:r>
      <w:r>
        <w:t>анализ</w:t>
      </w:r>
      <w:r>
        <w:rPr>
          <w:spacing w:val="-3"/>
        </w:rPr>
        <w:t xml:space="preserve"> </w:t>
      </w:r>
      <w:r>
        <w:t>распределения операций по регионам позволяет объективно оценить доступность высокоспециализированной помощи, степень централизации хирургических вмешательств, а также выявить ключевые медицинские организации, где сосредоточен основной опыт в данной сфере.</w:t>
      </w:r>
    </w:p>
    <w:p w14:paraId="61E9CC86">
      <w:pPr>
        <w:pStyle w:val="7"/>
        <w:spacing w:before="318"/>
        <w:ind w:left="0" w:right="3" w:firstLine="0"/>
        <w:rPr>
          <w:lang w:val="kk-KZ"/>
        </w:rPr>
      </w:pPr>
    </w:p>
    <w:p w14:paraId="0D5596ED">
      <w:pPr>
        <w:pStyle w:val="7"/>
        <w:spacing w:before="318"/>
        <w:ind w:left="0" w:right="3" w:firstLine="0"/>
        <w:rPr>
          <w:lang w:val="kk-KZ"/>
        </w:rPr>
      </w:pPr>
    </w:p>
    <w:p w14:paraId="3700ABB8">
      <w:pPr>
        <w:pStyle w:val="7"/>
        <w:spacing w:before="318"/>
        <w:ind w:left="0" w:right="3" w:firstLine="0"/>
        <w:rPr>
          <w:lang w:val="kk-KZ"/>
        </w:rPr>
      </w:pPr>
    </w:p>
    <w:p w14:paraId="092EDB15">
      <w:pPr>
        <w:pStyle w:val="7"/>
        <w:spacing w:before="318"/>
        <w:ind w:left="0" w:right="3" w:firstLine="0"/>
      </w:pPr>
      <w:r>
        <w:t>Таблица 7 - Количество выполненных ГПДР по регионам Казахстана в 2022– 2025 гг., n (%)</w:t>
      </w:r>
    </w:p>
    <w:p w14:paraId="7D8CF973">
      <w:pPr>
        <w:pStyle w:val="7"/>
        <w:spacing w:before="6"/>
        <w:ind w:left="0" w:firstLine="0"/>
        <w:jc w:val="left"/>
        <w:rPr>
          <w:szCs w:val="44"/>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52"/>
        <w:gridCol w:w="1701"/>
        <w:gridCol w:w="1843"/>
        <w:gridCol w:w="1842"/>
        <w:gridCol w:w="1701"/>
      </w:tblGrid>
      <w:tr w14:paraId="1AF26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2552" w:type="dxa"/>
          </w:tcPr>
          <w:p w14:paraId="244AB0E8">
            <w:pPr>
              <w:pStyle w:val="11"/>
              <w:spacing w:before="21" w:line="240" w:lineRule="auto"/>
              <w:ind w:left="13" w:right="9"/>
              <w:rPr>
                <w:sz w:val="28"/>
              </w:rPr>
            </w:pPr>
            <w:r>
              <w:rPr>
                <w:spacing w:val="-2"/>
                <w:sz w:val="28"/>
              </w:rPr>
              <w:t>Регион</w:t>
            </w:r>
          </w:p>
        </w:tc>
        <w:tc>
          <w:tcPr>
            <w:tcW w:w="1701" w:type="dxa"/>
          </w:tcPr>
          <w:p w14:paraId="60717F22">
            <w:pPr>
              <w:pStyle w:val="11"/>
              <w:spacing w:before="21" w:line="240" w:lineRule="auto"/>
              <w:ind w:left="10" w:right="6"/>
              <w:rPr>
                <w:sz w:val="28"/>
              </w:rPr>
            </w:pPr>
            <w:r>
              <w:rPr>
                <w:spacing w:val="-4"/>
                <w:sz w:val="28"/>
              </w:rPr>
              <w:t>2022</w:t>
            </w:r>
          </w:p>
        </w:tc>
        <w:tc>
          <w:tcPr>
            <w:tcW w:w="1843" w:type="dxa"/>
          </w:tcPr>
          <w:p w14:paraId="7D2726CC">
            <w:pPr>
              <w:pStyle w:val="11"/>
              <w:spacing w:before="21" w:line="240" w:lineRule="auto"/>
              <w:ind w:left="75" w:right="72"/>
              <w:rPr>
                <w:sz w:val="28"/>
              </w:rPr>
            </w:pPr>
            <w:r>
              <w:rPr>
                <w:spacing w:val="-4"/>
                <w:sz w:val="28"/>
              </w:rPr>
              <w:t>2023</w:t>
            </w:r>
          </w:p>
        </w:tc>
        <w:tc>
          <w:tcPr>
            <w:tcW w:w="1842" w:type="dxa"/>
          </w:tcPr>
          <w:p w14:paraId="62084C14">
            <w:pPr>
              <w:pStyle w:val="11"/>
              <w:spacing w:before="21" w:line="240" w:lineRule="auto"/>
              <w:ind w:left="4" w:right="4"/>
              <w:rPr>
                <w:sz w:val="28"/>
              </w:rPr>
            </w:pPr>
            <w:r>
              <w:rPr>
                <w:spacing w:val="-4"/>
                <w:sz w:val="28"/>
              </w:rPr>
              <w:t>2024</w:t>
            </w:r>
          </w:p>
        </w:tc>
        <w:tc>
          <w:tcPr>
            <w:tcW w:w="1701" w:type="dxa"/>
          </w:tcPr>
          <w:p w14:paraId="735B91B9">
            <w:pPr>
              <w:pStyle w:val="11"/>
              <w:spacing w:before="21" w:line="240" w:lineRule="auto"/>
              <w:ind w:left="4" w:right="5"/>
              <w:rPr>
                <w:sz w:val="28"/>
              </w:rPr>
            </w:pPr>
            <w:r>
              <w:rPr>
                <w:spacing w:val="-4"/>
                <w:sz w:val="28"/>
              </w:rPr>
              <w:t>2025</w:t>
            </w:r>
          </w:p>
        </w:tc>
      </w:tr>
      <w:tr w14:paraId="6B782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2552" w:type="dxa"/>
          </w:tcPr>
          <w:p w14:paraId="614F704E">
            <w:pPr>
              <w:pStyle w:val="11"/>
              <w:spacing w:before="21" w:line="240" w:lineRule="auto"/>
              <w:ind w:left="13" w:right="11"/>
              <w:rPr>
                <w:sz w:val="28"/>
              </w:rPr>
            </w:pPr>
            <w:r>
              <w:rPr>
                <w:spacing w:val="-2"/>
                <w:sz w:val="28"/>
              </w:rPr>
              <w:t>Абайская</w:t>
            </w:r>
          </w:p>
        </w:tc>
        <w:tc>
          <w:tcPr>
            <w:tcW w:w="1701" w:type="dxa"/>
          </w:tcPr>
          <w:p w14:paraId="3F944A96">
            <w:pPr>
              <w:pStyle w:val="11"/>
              <w:spacing w:before="21" w:line="240" w:lineRule="auto"/>
              <w:ind w:left="10" w:right="1"/>
              <w:rPr>
                <w:sz w:val="28"/>
              </w:rPr>
            </w:pPr>
            <w:r>
              <w:rPr>
                <w:spacing w:val="-10"/>
                <w:sz w:val="28"/>
              </w:rPr>
              <w:t>–</w:t>
            </w:r>
          </w:p>
        </w:tc>
        <w:tc>
          <w:tcPr>
            <w:tcW w:w="1843" w:type="dxa"/>
          </w:tcPr>
          <w:p w14:paraId="36FE25B3">
            <w:pPr>
              <w:pStyle w:val="11"/>
              <w:spacing w:before="21" w:line="240" w:lineRule="auto"/>
              <w:ind w:left="75" w:right="75"/>
              <w:rPr>
                <w:sz w:val="28"/>
              </w:rPr>
            </w:pPr>
            <w:r>
              <w:rPr>
                <w:sz w:val="28"/>
              </w:rPr>
              <w:t>1</w:t>
            </w:r>
            <w:r>
              <w:rPr>
                <w:spacing w:val="-1"/>
                <w:sz w:val="28"/>
              </w:rPr>
              <w:t xml:space="preserve"> </w:t>
            </w:r>
            <w:r>
              <w:rPr>
                <w:spacing w:val="-2"/>
                <w:sz w:val="28"/>
              </w:rPr>
              <w:t>(0,6%)</w:t>
            </w:r>
          </w:p>
        </w:tc>
        <w:tc>
          <w:tcPr>
            <w:tcW w:w="1842" w:type="dxa"/>
          </w:tcPr>
          <w:p w14:paraId="4EF90943">
            <w:pPr>
              <w:pStyle w:val="11"/>
              <w:spacing w:before="21" w:line="240" w:lineRule="auto"/>
              <w:ind w:left="4" w:right="6"/>
              <w:rPr>
                <w:sz w:val="28"/>
              </w:rPr>
            </w:pPr>
            <w:r>
              <w:rPr>
                <w:sz w:val="28"/>
              </w:rPr>
              <w:t>2</w:t>
            </w:r>
            <w:r>
              <w:rPr>
                <w:spacing w:val="-1"/>
                <w:sz w:val="28"/>
              </w:rPr>
              <w:t xml:space="preserve"> </w:t>
            </w:r>
            <w:r>
              <w:rPr>
                <w:spacing w:val="-2"/>
                <w:sz w:val="28"/>
              </w:rPr>
              <w:t>(1,1%)</w:t>
            </w:r>
          </w:p>
        </w:tc>
        <w:tc>
          <w:tcPr>
            <w:tcW w:w="1701" w:type="dxa"/>
          </w:tcPr>
          <w:p w14:paraId="42E522E3">
            <w:pPr>
              <w:pStyle w:val="11"/>
              <w:spacing w:before="21" w:line="240" w:lineRule="auto"/>
              <w:ind w:left="5" w:right="1"/>
              <w:rPr>
                <w:sz w:val="28"/>
              </w:rPr>
            </w:pPr>
            <w:r>
              <w:rPr>
                <w:sz w:val="28"/>
              </w:rPr>
              <w:t>1</w:t>
            </w:r>
            <w:r>
              <w:rPr>
                <w:spacing w:val="-1"/>
                <w:sz w:val="28"/>
              </w:rPr>
              <w:t xml:space="preserve"> </w:t>
            </w:r>
            <w:r>
              <w:rPr>
                <w:spacing w:val="-2"/>
                <w:sz w:val="28"/>
              </w:rPr>
              <w:t>(0,7%)</w:t>
            </w:r>
          </w:p>
        </w:tc>
      </w:tr>
      <w:tr w14:paraId="6C3A2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552" w:type="dxa"/>
          </w:tcPr>
          <w:p w14:paraId="7B60192C">
            <w:pPr>
              <w:pStyle w:val="11"/>
              <w:spacing w:before="40" w:line="240" w:lineRule="auto"/>
              <w:ind w:left="13" w:right="6"/>
              <w:rPr>
                <w:sz w:val="28"/>
              </w:rPr>
            </w:pPr>
            <w:r>
              <w:rPr>
                <w:spacing w:val="-2"/>
                <w:sz w:val="28"/>
              </w:rPr>
              <w:t>Акмолинская</w:t>
            </w:r>
          </w:p>
        </w:tc>
        <w:tc>
          <w:tcPr>
            <w:tcW w:w="1701" w:type="dxa"/>
          </w:tcPr>
          <w:p w14:paraId="30B2A88B">
            <w:pPr>
              <w:pStyle w:val="11"/>
              <w:spacing w:before="40" w:line="240" w:lineRule="auto"/>
              <w:ind w:left="10"/>
              <w:rPr>
                <w:sz w:val="28"/>
              </w:rPr>
            </w:pPr>
            <w:r>
              <w:rPr>
                <w:sz w:val="28"/>
              </w:rPr>
              <w:t>1</w:t>
            </w:r>
            <w:r>
              <w:rPr>
                <w:spacing w:val="-1"/>
                <w:sz w:val="28"/>
              </w:rPr>
              <w:t xml:space="preserve"> </w:t>
            </w:r>
            <w:r>
              <w:rPr>
                <w:spacing w:val="-2"/>
                <w:sz w:val="28"/>
              </w:rPr>
              <w:t>(0,6%)</w:t>
            </w:r>
          </w:p>
        </w:tc>
        <w:tc>
          <w:tcPr>
            <w:tcW w:w="1843" w:type="dxa"/>
          </w:tcPr>
          <w:p w14:paraId="50F8A434">
            <w:pPr>
              <w:pStyle w:val="11"/>
              <w:spacing w:before="40" w:line="240" w:lineRule="auto"/>
              <w:ind w:left="75" w:right="75"/>
              <w:rPr>
                <w:sz w:val="28"/>
              </w:rPr>
            </w:pPr>
            <w:r>
              <w:rPr>
                <w:sz w:val="28"/>
              </w:rPr>
              <w:t>5</w:t>
            </w:r>
            <w:r>
              <w:rPr>
                <w:spacing w:val="-1"/>
                <w:sz w:val="28"/>
              </w:rPr>
              <w:t xml:space="preserve"> </w:t>
            </w:r>
            <w:r>
              <w:rPr>
                <w:spacing w:val="-2"/>
                <w:sz w:val="28"/>
              </w:rPr>
              <w:t>(3,1%)</w:t>
            </w:r>
          </w:p>
        </w:tc>
        <w:tc>
          <w:tcPr>
            <w:tcW w:w="1842" w:type="dxa"/>
          </w:tcPr>
          <w:p w14:paraId="6DC03235">
            <w:pPr>
              <w:pStyle w:val="11"/>
              <w:spacing w:before="40" w:line="240" w:lineRule="auto"/>
              <w:ind w:left="4" w:right="6"/>
              <w:rPr>
                <w:sz w:val="28"/>
              </w:rPr>
            </w:pPr>
            <w:r>
              <w:rPr>
                <w:sz w:val="28"/>
              </w:rPr>
              <w:t>5</w:t>
            </w:r>
            <w:r>
              <w:rPr>
                <w:spacing w:val="-1"/>
                <w:sz w:val="28"/>
              </w:rPr>
              <w:t xml:space="preserve"> </w:t>
            </w:r>
            <w:r>
              <w:rPr>
                <w:spacing w:val="-2"/>
                <w:sz w:val="28"/>
              </w:rPr>
              <w:t>(2,8%)</w:t>
            </w:r>
          </w:p>
        </w:tc>
        <w:tc>
          <w:tcPr>
            <w:tcW w:w="1701" w:type="dxa"/>
          </w:tcPr>
          <w:p w14:paraId="01531ADC">
            <w:pPr>
              <w:pStyle w:val="11"/>
              <w:spacing w:before="40" w:line="240" w:lineRule="auto"/>
              <w:ind w:left="5" w:right="1"/>
              <w:rPr>
                <w:sz w:val="28"/>
              </w:rPr>
            </w:pPr>
            <w:r>
              <w:rPr>
                <w:sz w:val="28"/>
              </w:rPr>
              <w:t>2</w:t>
            </w:r>
            <w:r>
              <w:rPr>
                <w:spacing w:val="-1"/>
                <w:sz w:val="28"/>
              </w:rPr>
              <w:t xml:space="preserve"> </w:t>
            </w:r>
            <w:r>
              <w:rPr>
                <w:spacing w:val="-2"/>
                <w:sz w:val="28"/>
              </w:rPr>
              <w:t>(1,5%)</w:t>
            </w:r>
          </w:p>
        </w:tc>
      </w:tr>
      <w:tr w14:paraId="32137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2552" w:type="dxa"/>
          </w:tcPr>
          <w:p w14:paraId="0E750D7D">
            <w:pPr>
              <w:pStyle w:val="11"/>
              <w:spacing w:before="21" w:line="240" w:lineRule="auto"/>
              <w:ind w:left="13" w:right="7"/>
              <w:rPr>
                <w:sz w:val="28"/>
              </w:rPr>
            </w:pPr>
            <w:r>
              <w:rPr>
                <w:spacing w:val="-2"/>
                <w:sz w:val="28"/>
              </w:rPr>
              <w:t>Актюбинская</w:t>
            </w:r>
          </w:p>
        </w:tc>
        <w:tc>
          <w:tcPr>
            <w:tcW w:w="1701" w:type="dxa"/>
          </w:tcPr>
          <w:p w14:paraId="3B9320B2">
            <w:pPr>
              <w:pStyle w:val="11"/>
              <w:spacing w:before="21" w:line="240" w:lineRule="auto"/>
              <w:ind w:left="10" w:right="1"/>
              <w:rPr>
                <w:sz w:val="28"/>
              </w:rPr>
            </w:pPr>
            <w:r>
              <w:rPr>
                <w:spacing w:val="-10"/>
                <w:sz w:val="28"/>
              </w:rPr>
              <w:t>–</w:t>
            </w:r>
          </w:p>
        </w:tc>
        <w:tc>
          <w:tcPr>
            <w:tcW w:w="1843" w:type="dxa"/>
          </w:tcPr>
          <w:p w14:paraId="165A0D8E">
            <w:pPr>
              <w:pStyle w:val="11"/>
              <w:spacing w:before="21" w:line="240" w:lineRule="auto"/>
              <w:ind w:left="75" w:right="75"/>
              <w:rPr>
                <w:sz w:val="28"/>
              </w:rPr>
            </w:pPr>
            <w:r>
              <w:rPr>
                <w:sz w:val="28"/>
              </w:rPr>
              <w:t>2</w:t>
            </w:r>
            <w:r>
              <w:rPr>
                <w:spacing w:val="-1"/>
                <w:sz w:val="28"/>
              </w:rPr>
              <w:t xml:space="preserve"> </w:t>
            </w:r>
            <w:r>
              <w:rPr>
                <w:spacing w:val="-2"/>
                <w:sz w:val="28"/>
              </w:rPr>
              <w:t>(1,2%)</w:t>
            </w:r>
          </w:p>
        </w:tc>
        <w:tc>
          <w:tcPr>
            <w:tcW w:w="1842" w:type="dxa"/>
          </w:tcPr>
          <w:p w14:paraId="17C6BF9A">
            <w:pPr>
              <w:pStyle w:val="11"/>
              <w:spacing w:before="21" w:line="240" w:lineRule="auto"/>
              <w:ind w:left="7" w:right="3"/>
              <w:rPr>
                <w:sz w:val="28"/>
              </w:rPr>
            </w:pPr>
            <w:r>
              <w:rPr>
                <w:spacing w:val="-10"/>
                <w:sz w:val="28"/>
              </w:rPr>
              <w:t>–</w:t>
            </w:r>
          </w:p>
        </w:tc>
        <w:tc>
          <w:tcPr>
            <w:tcW w:w="1701" w:type="dxa"/>
          </w:tcPr>
          <w:p w14:paraId="3EB14792">
            <w:pPr>
              <w:pStyle w:val="11"/>
              <w:spacing w:before="21" w:line="240" w:lineRule="auto"/>
              <w:ind w:left="5" w:right="1"/>
              <w:rPr>
                <w:sz w:val="28"/>
              </w:rPr>
            </w:pPr>
            <w:r>
              <w:rPr>
                <w:sz w:val="28"/>
              </w:rPr>
              <w:t xml:space="preserve">1 </w:t>
            </w:r>
            <w:r>
              <w:rPr>
                <w:spacing w:val="-2"/>
                <w:sz w:val="28"/>
              </w:rPr>
              <w:t>(0,7%)</w:t>
            </w:r>
          </w:p>
        </w:tc>
      </w:tr>
      <w:tr w14:paraId="3ED43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552" w:type="dxa"/>
          </w:tcPr>
          <w:p w14:paraId="2ED37F24">
            <w:pPr>
              <w:pStyle w:val="11"/>
              <w:spacing w:before="50" w:line="240" w:lineRule="auto"/>
              <w:ind w:left="13" w:right="6"/>
              <w:rPr>
                <w:sz w:val="28"/>
              </w:rPr>
            </w:pPr>
            <w:r>
              <w:rPr>
                <w:spacing w:val="-2"/>
                <w:sz w:val="28"/>
              </w:rPr>
              <w:t>Алматинская</w:t>
            </w:r>
          </w:p>
        </w:tc>
        <w:tc>
          <w:tcPr>
            <w:tcW w:w="1701" w:type="dxa"/>
          </w:tcPr>
          <w:p w14:paraId="02C14E97">
            <w:pPr>
              <w:pStyle w:val="11"/>
              <w:spacing w:before="50" w:line="240" w:lineRule="auto"/>
              <w:ind w:left="10"/>
              <w:rPr>
                <w:sz w:val="28"/>
              </w:rPr>
            </w:pPr>
            <w:r>
              <w:rPr>
                <w:sz w:val="28"/>
              </w:rPr>
              <w:t>1</w:t>
            </w:r>
            <w:r>
              <w:rPr>
                <w:spacing w:val="-1"/>
                <w:sz w:val="28"/>
              </w:rPr>
              <w:t xml:space="preserve"> </w:t>
            </w:r>
            <w:r>
              <w:rPr>
                <w:spacing w:val="-2"/>
                <w:sz w:val="28"/>
              </w:rPr>
              <w:t>(0,6%)</w:t>
            </w:r>
          </w:p>
        </w:tc>
        <w:tc>
          <w:tcPr>
            <w:tcW w:w="1843" w:type="dxa"/>
          </w:tcPr>
          <w:p w14:paraId="4CF0A769">
            <w:pPr>
              <w:pStyle w:val="11"/>
              <w:spacing w:before="50" w:line="240" w:lineRule="auto"/>
              <w:ind w:left="75" w:right="75"/>
              <w:rPr>
                <w:sz w:val="28"/>
              </w:rPr>
            </w:pPr>
            <w:r>
              <w:rPr>
                <w:sz w:val="28"/>
              </w:rPr>
              <w:t>2</w:t>
            </w:r>
            <w:r>
              <w:rPr>
                <w:spacing w:val="-1"/>
                <w:sz w:val="28"/>
              </w:rPr>
              <w:t xml:space="preserve"> </w:t>
            </w:r>
            <w:r>
              <w:rPr>
                <w:spacing w:val="-2"/>
                <w:sz w:val="28"/>
              </w:rPr>
              <w:t>(1,2%)</w:t>
            </w:r>
          </w:p>
        </w:tc>
        <w:tc>
          <w:tcPr>
            <w:tcW w:w="1842" w:type="dxa"/>
          </w:tcPr>
          <w:p w14:paraId="47533599">
            <w:pPr>
              <w:pStyle w:val="11"/>
              <w:spacing w:before="50" w:line="240" w:lineRule="auto"/>
              <w:ind w:left="4" w:right="6"/>
              <w:rPr>
                <w:sz w:val="28"/>
              </w:rPr>
            </w:pPr>
            <w:r>
              <w:rPr>
                <w:sz w:val="28"/>
              </w:rPr>
              <w:t>1</w:t>
            </w:r>
            <w:r>
              <w:rPr>
                <w:spacing w:val="-1"/>
                <w:sz w:val="28"/>
              </w:rPr>
              <w:t xml:space="preserve"> </w:t>
            </w:r>
            <w:r>
              <w:rPr>
                <w:spacing w:val="-2"/>
                <w:sz w:val="28"/>
              </w:rPr>
              <w:t>(0,5%)</w:t>
            </w:r>
          </w:p>
        </w:tc>
        <w:tc>
          <w:tcPr>
            <w:tcW w:w="1701" w:type="dxa"/>
          </w:tcPr>
          <w:p w14:paraId="5E3BFFE1">
            <w:pPr>
              <w:pStyle w:val="11"/>
              <w:spacing w:before="50" w:line="240" w:lineRule="auto"/>
              <w:ind w:left="5" w:right="1"/>
              <w:rPr>
                <w:sz w:val="28"/>
              </w:rPr>
            </w:pPr>
            <w:r>
              <w:rPr>
                <w:sz w:val="28"/>
              </w:rPr>
              <w:t>1</w:t>
            </w:r>
            <w:r>
              <w:rPr>
                <w:spacing w:val="-1"/>
                <w:sz w:val="28"/>
              </w:rPr>
              <w:t xml:space="preserve"> </w:t>
            </w:r>
            <w:r>
              <w:rPr>
                <w:spacing w:val="-2"/>
                <w:sz w:val="28"/>
              </w:rPr>
              <w:t>(0,7%)</w:t>
            </w:r>
          </w:p>
        </w:tc>
      </w:tr>
      <w:tr w14:paraId="3713D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2552" w:type="dxa"/>
          </w:tcPr>
          <w:p w14:paraId="6E67BE22">
            <w:pPr>
              <w:pStyle w:val="11"/>
              <w:spacing w:before="12" w:line="240" w:lineRule="auto"/>
              <w:ind w:left="13" w:right="11"/>
              <w:rPr>
                <w:sz w:val="28"/>
              </w:rPr>
            </w:pPr>
            <w:r>
              <w:rPr>
                <w:spacing w:val="-2"/>
                <w:sz w:val="28"/>
              </w:rPr>
              <w:t>Атырауская</w:t>
            </w:r>
          </w:p>
        </w:tc>
        <w:tc>
          <w:tcPr>
            <w:tcW w:w="1701" w:type="dxa"/>
          </w:tcPr>
          <w:p w14:paraId="1CF60E99">
            <w:pPr>
              <w:pStyle w:val="11"/>
              <w:spacing w:before="12" w:line="240" w:lineRule="auto"/>
              <w:ind w:left="10" w:right="1"/>
              <w:rPr>
                <w:sz w:val="28"/>
              </w:rPr>
            </w:pPr>
            <w:r>
              <w:rPr>
                <w:spacing w:val="-10"/>
                <w:sz w:val="28"/>
              </w:rPr>
              <w:t>–</w:t>
            </w:r>
          </w:p>
        </w:tc>
        <w:tc>
          <w:tcPr>
            <w:tcW w:w="1843" w:type="dxa"/>
          </w:tcPr>
          <w:p w14:paraId="269ABAF5">
            <w:pPr>
              <w:pStyle w:val="11"/>
              <w:spacing w:before="12" w:line="240" w:lineRule="auto"/>
              <w:ind w:left="75" w:right="67"/>
              <w:rPr>
                <w:sz w:val="28"/>
              </w:rPr>
            </w:pPr>
            <w:r>
              <w:rPr>
                <w:spacing w:val="-10"/>
                <w:sz w:val="28"/>
              </w:rPr>
              <w:t>–</w:t>
            </w:r>
          </w:p>
        </w:tc>
        <w:tc>
          <w:tcPr>
            <w:tcW w:w="1842" w:type="dxa"/>
          </w:tcPr>
          <w:p w14:paraId="19030566">
            <w:pPr>
              <w:pStyle w:val="11"/>
              <w:spacing w:before="12" w:line="240" w:lineRule="auto"/>
              <w:ind w:left="7" w:right="3"/>
              <w:rPr>
                <w:sz w:val="28"/>
              </w:rPr>
            </w:pPr>
            <w:r>
              <w:rPr>
                <w:spacing w:val="-10"/>
                <w:sz w:val="28"/>
              </w:rPr>
              <w:t>–</w:t>
            </w:r>
          </w:p>
        </w:tc>
        <w:tc>
          <w:tcPr>
            <w:tcW w:w="1701" w:type="dxa"/>
          </w:tcPr>
          <w:p w14:paraId="23F2DCF8">
            <w:pPr>
              <w:pStyle w:val="11"/>
              <w:spacing w:before="12" w:line="240" w:lineRule="auto"/>
              <w:ind w:left="4" w:right="1"/>
              <w:rPr>
                <w:sz w:val="28"/>
              </w:rPr>
            </w:pPr>
            <w:r>
              <w:rPr>
                <w:spacing w:val="-10"/>
                <w:sz w:val="28"/>
              </w:rPr>
              <w:t>–</w:t>
            </w:r>
          </w:p>
        </w:tc>
      </w:tr>
      <w:tr w14:paraId="6E349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552" w:type="dxa"/>
          </w:tcPr>
          <w:p w14:paraId="0E568A23">
            <w:pPr>
              <w:pStyle w:val="11"/>
              <w:spacing w:line="315" w:lineRule="exact"/>
              <w:ind w:left="13" w:right="7"/>
              <w:rPr>
                <w:sz w:val="28"/>
              </w:rPr>
            </w:pPr>
            <w:r>
              <w:rPr>
                <w:spacing w:val="-2"/>
                <w:sz w:val="28"/>
              </w:rPr>
              <w:t>Восточно-</w:t>
            </w:r>
          </w:p>
          <w:p w14:paraId="28FE0907">
            <w:pPr>
              <w:pStyle w:val="11"/>
              <w:ind w:left="13" w:right="8"/>
              <w:rPr>
                <w:sz w:val="28"/>
              </w:rPr>
            </w:pPr>
            <w:r>
              <w:rPr>
                <w:spacing w:val="-2"/>
                <w:sz w:val="28"/>
              </w:rPr>
              <w:t>Казахстанская</w:t>
            </w:r>
          </w:p>
        </w:tc>
        <w:tc>
          <w:tcPr>
            <w:tcW w:w="1701" w:type="dxa"/>
          </w:tcPr>
          <w:p w14:paraId="34AD20BE">
            <w:pPr>
              <w:pStyle w:val="11"/>
              <w:spacing w:before="156" w:line="240" w:lineRule="auto"/>
              <w:ind w:left="10"/>
              <w:rPr>
                <w:sz w:val="28"/>
              </w:rPr>
            </w:pPr>
            <w:r>
              <w:rPr>
                <w:sz w:val="28"/>
              </w:rPr>
              <w:t>5</w:t>
            </w:r>
            <w:r>
              <w:rPr>
                <w:spacing w:val="-1"/>
                <w:sz w:val="28"/>
              </w:rPr>
              <w:t xml:space="preserve"> </w:t>
            </w:r>
            <w:r>
              <w:rPr>
                <w:spacing w:val="-2"/>
                <w:sz w:val="28"/>
              </w:rPr>
              <w:t>(3,5%)</w:t>
            </w:r>
          </w:p>
        </w:tc>
        <w:tc>
          <w:tcPr>
            <w:tcW w:w="1843" w:type="dxa"/>
          </w:tcPr>
          <w:p w14:paraId="70CDF2A3">
            <w:pPr>
              <w:pStyle w:val="11"/>
              <w:spacing w:before="156" w:line="240" w:lineRule="auto"/>
              <w:ind w:left="75" w:right="75"/>
              <w:rPr>
                <w:sz w:val="28"/>
              </w:rPr>
            </w:pPr>
            <w:r>
              <w:rPr>
                <w:sz w:val="28"/>
              </w:rPr>
              <w:t>6</w:t>
            </w:r>
            <w:r>
              <w:rPr>
                <w:spacing w:val="-1"/>
                <w:sz w:val="28"/>
              </w:rPr>
              <w:t xml:space="preserve"> </w:t>
            </w:r>
            <w:r>
              <w:rPr>
                <w:spacing w:val="-2"/>
                <w:sz w:val="28"/>
              </w:rPr>
              <w:t>(3,8%)</w:t>
            </w:r>
          </w:p>
        </w:tc>
        <w:tc>
          <w:tcPr>
            <w:tcW w:w="1842" w:type="dxa"/>
          </w:tcPr>
          <w:p w14:paraId="27E23A59">
            <w:pPr>
              <w:pStyle w:val="11"/>
              <w:spacing w:before="156" w:line="240" w:lineRule="auto"/>
              <w:ind w:left="4" w:right="6"/>
              <w:rPr>
                <w:sz w:val="28"/>
              </w:rPr>
            </w:pPr>
            <w:r>
              <w:rPr>
                <w:sz w:val="28"/>
              </w:rPr>
              <w:t>4</w:t>
            </w:r>
            <w:r>
              <w:rPr>
                <w:spacing w:val="-1"/>
                <w:sz w:val="28"/>
              </w:rPr>
              <w:t xml:space="preserve"> </w:t>
            </w:r>
            <w:r>
              <w:rPr>
                <w:spacing w:val="-2"/>
                <w:sz w:val="28"/>
              </w:rPr>
              <w:t>(2,2%)</w:t>
            </w:r>
          </w:p>
        </w:tc>
        <w:tc>
          <w:tcPr>
            <w:tcW w:w="1701" w:type="dxa"/>
          </w:tcPr>
          <w:p w14:paraId="2CE527CC">
            <w:pPr>
              <w:pStyle w:val="11"/>
              <w:spacing w:before="156" w:line="240" w:lineRule="auto"/>
              <w:ind w:left="5" w:right="1"/>
              <w:rPr>
                <w:sz w:val="28"/>
              </w:rPr>
            </w:pPr>
            <w:r>
              <w:rPr>
                <w:sz w:val="28"/>
              </w:rPr>
              <w:t>3</w:t>
            </w:r>
            <w:r>
              <w:rPr>
                <w:spacing w:val="-1"/>
                <w:sz w:val="28"/>
              </w:rPr>
              <w:t xml:space="preserve"> </w:t>
            </w:r>
            <w:r>
              <w:rPr>
                <w:spacing w:val="-2"/>
                <w:sz w:val="28"/>
              </w:rPr>
              <w:t>(2,2%)</w:t>
            </w:r>
          </w:p>
        </w:tc>
      </w:tr>
      <w:tr w14:paraId="3E899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552" w:type="dxa"/>
          </w:tcPr>
          <w:p w14:paraId="71B263E8">
            <w:pPr>
              <w:pStyle w:val="11"/>
              <w:spacing w:before="40" w:line="240" w:lineRule="auto"/>
              <w:ind w:left="13" w:right="7"/>
              <w:rPr>
                <w:sz w:val="28"/>
              </w:rPr>
            </w:pPr>
            <w:r>
              <w:rPr>
                <w:spacing w:val="-2"/>
                <w:sz w:val="28"/>
              </w:rPr>
              <w:t>Жамбылская</w:t>
            </w:r>
          </w:p>
        </w:tc>
        <w:tc>
          <w:tcPr>
            <w:tcW w:w="1701" w:type="dxa"/>
          </w:tcPr>
          <w:p w14:paraId="63AF9F29">
            <w:pPr>
              <w:pStyle w:val="11"/>
              <w:spacing w:before="40" w:line="240" w:lineRule="auto"/>
              <w:ind w:left="10" w:right="1"/>
              <w:rPr>
                <w:sz w:val="28"/>
              </w:rPr>
            </w:pPr>
            <w:r>
              <w:rPr>
                <w:spacing w:val="-10"/>
                <w:sz w:val="28"/>
              </w:rPr>
              <w:t>–</w:t>
            </w:r>
          </w:p>
        </w:tc>
        <w:tc>
          <w:tcPr>
            <w:tcW w:w="1843" w:type="dxa"/>
          </w:tcPr>
          <w:p w14:paraId="6379C6AD">
            <w:pPr>
              <w:pStyle w:val="11"/>
              <w:spacing w:before="40" w:line="240" w:lineRule="auto"/>
              <w:ind w:left="75" w:right="67"/>
              <w:rPr>
                <w:sz w:val="28"/>
              </w:rPr>
            </w:pPr>
            <w:r>
              <w:rPr>
                <w:spacing w:val="-10"/>
                <w:sz w:val="28"/>
              </w:rPr>
              <w:t>–</w:t>
            </w:r>
          </w:p>
        </w:tc>
        <w:tc>
          <w:tcPr>
            <w:tcW w:w="1842" w:type="dxa"/>
          </w:tcPr>
          <w:p w14:paraId="51C7D26F">
            <w:pPr>
              <w:pStyle w:val="11"/>
              <w:spacing w:before="40" w:line="240" w:lineRule="auto"/>
              <w:ind w:left="7" w:right="3"/>
              <w:rPr>
                <w:sz w:val="28"/>
              </w:rPr>
            </w:pPr>
            <w:r>
              <w:rPr>
                <w:spacing w:val="-10"/>
                <w:sz w:val="28"/>
              </w:rPr>
              <w:t>–</w:t>
            </w:r>
          </w:p>
        </w:tc>
        <w:tc>
          <w:tcPr>
            <w:tcW w:w="1701" w:type="dxa"/>
          </w:tcPr>
          <w:p w14:paraId="79E0C244">
            <w:pPr>
              <w:pStyle w:val="11"/>
              <w:spacing w:before="40" w:line="240" w:lineRule="auto"/>
              <w:ind w:left="5" w:right="1"/>
              <w:rPr>
                <w:sz w:val="28"/>
              </w:rPr>
            </w:pPr>
            <w:r>
              <w:rPr>
                <w:sz w:val="28"/>
              </w:rPr>
              <w:t>1</w:t>
            </w:r>
            <w:r>
              <w:rPr>
                <w:spacing w:val="-1"/>
                <w:sz w:val="28"/>
              </w:rPr>
              <w:t xml:space="preserve"> </w:t>
            </w:r>
            <w:r>
              <w:rPr>
                <w:spacing w:val="-2"/>
                <w:sz w:val="28"/>
              </w:rPr>
              <w:t>(0,7%)</w:t>
            </w:r>
          </w:p>
        </w:tc>
      </w:tr>
      <w:tr w14:paraId="456B3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552" w:type="dxa"/>
          </w:tcPr>
          <w:p w14:paraId="3EA5A3B0">
            <w:pPr>
              <w:pStyle w:val="11"/>
              <w:spacing w:before="41" w:line="240" w:lineRule="auto"/>
              <w:ind w:left="13" w:right="7"/>
              <w:rPr>
                <w:sz w:val="28"/>
              </w:rPr>
            </w:pPr>
            <w:r>
              <w:rPr>
                <w:spacing w:val="-2"/>
                <w:sz w:val="28"/>
              </w:rPr>
              <w:t>Жетысуская</w:t>
            </w:r>
          </w:p>
        </w:tc>
        <w:tc>
          <w:tcPr>
            <w:tcW w:w="1701" w:type="dxa"/>
          </w:tcPr>
          <w:p w14:paraId="73855F9D">
            <w:pPr>
              <w:pStyle w:val="11"/>
              <w:spacing w:before="41" w:line="240" w:lineRule="auto"/>
              <w:ind w:left="10"/>
              <w:rPr>
                <w:sz w:val="28"/>
              </w:rPr>
            </w:pPr>
            <w:r>
              <w:rPr>
                <w:sz w:val="28"/>
              </w:rPr>
              <w:t>1</w:t>
            </w:r>
            <w:r>
              <w:rPr>
                <w:spacing w:val="-1"/>
                <w:sz w:val="28"/>
              </w:rPr>
              <w:t xml:space="preserve"> </w:t>
            </w:r>
            <w:r>
              <w:rPr>
                <w:spacing w:val="-2"/>
                <w:sz w:val="28"/>
              </w:rPr>
              <w:t>(0,6%)</w:t>
            </w:r>
          </w:p>
        </w:tc>
        <w:tc>
          <w:tcPr>
            <w:tcW w:w="1843" w:type="dxa"/>
          </w:tcPr>
          <w:p w14:paraId="5EB21194">
            <w:pPr>
              <w:pStyle w:val="11"/>
              <w:spacing w:before="41" w:line="240" w:lineRule="auto"/>
              <w:ind w:left="75" w:right="75"/>
              <w:rPr>
                <w:sz w:val="28"/>
              </w:rPr>
            </w:pPr>
            <w:r>
              <w:rPr>
                <w:sz w:val="28"/>
              </w:rPr>
              <w:t>2</w:t>
            </w:r>
            <w:r>
              <w:rPr>
                <w:spacing w:val="-1"/>
                <w:sz w:val="28"/>
              </w:rPr>
              <w:t xml:space="preserve"> </w:t>
            </w:r>
            <w:r>
              <w:rPr>
                <w:spacing w:val="-2"/>
                <w:sz w:val="28"/>
              </w:rPr>
              <w:t>(1,2%)</w:t>
            </w:r>
          </w:p>
        </w:tc>
        <w:tc>
          <w:tcPr>
            <w:tcW w:w="1842" w:type="dxa"/>
          </w:tcPr>
          <w:p w14:paraId="70594B3B">
            <w:pPr>
              <w:pStyle w:val="11"/>
              <w:spacing w:before="41" w:line="240" w:lineRule="auto"/>
              <w:ind w:left="4" w:right="6"/>
              <w:rPr>
                <w:sz w:val="28"/>
              </w:rPr>
            </w:pPr>
            <w:r>
              <w:rPr>
                <w:sz w:val="28"/>
              </w:rPr>
              <w:t>6</w:t>
            </w:r>
            <w:r>
              <w:rPr>
                <w:spacing w:val="-1"/>
                <w:sz w:val="28"/>
              </w:rPr>
              <w:t xml:space="preserve"> </w:t>
            </w:r>
            <w:r>
              <w:rPr>
                <w:spacing w:val="-2"/>
                <w:sz w:val="28"/>
              </w:rPr>
              <w:t>(3,4%)</w:t>
            </w:r>
          </w:p>
        </w:tc>
        <w:tc>
          <w:tcPr>
            <w:tcW w:w="1701" w:type="dxa"/>
          </w:tcPr>
          <w:p w14:paraId="2CA808ED">
            <w:pPr>
              <w:pStyle w:val="11"/>
              <w:spacing w:before="41" w:line="240" w:lineRule="auto"/>
              <w:ind w:left="5" w:right="1"/>
              <w:rPr>
                <w:sz w:val="28"/>
              </w:rPr>
            </w:pPr>
            <w:r>
              <w:rPr>
                <w:sz w:val="28"/>
              </w:rPr>
              <w:t>4</w:t>
            </w:r>
            <w:r>
              <w:rPr>
                <w:spacing w:val="-1"/>
                <w:sz w:val="28"/>
              </w:rPr>
              <w:t xml:space="preserve"> </w:t>
            </w:r>
            <w:r>
              <w:rPr>
                <w:spacing w:val="-2"/>
                <w:sz w:val="28"/>
              </w:rPr>
              <w:t>(3,0%)</w:t>
            </w:r>
          </w:p>
        </w:tc>
      </w:tr>
      <w:tr w14:paraId="081D4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552" w:type="dxa"/>
          </w:tcPr>
          <w:p w14:paraId="3CCBF7DD">
            <w:pPr>
              <w:pStyle w:val="11"/>
              <w:spacing w:line="315" w:lineRule="exact"/>
              <w:ind w:left="13" w:right="7"/>
              <w:rPr>
                <w:sz w:val="28"/>
              </w:rPr>
            </w:pPr>
            <w:r>
              <w:rPr>
                <w:spacing w:val="-2"/>
                <w:sz w:val="28"/>
              </w:rPr>
              <w:t>Западно-</w:t>
            </w:r>
          </w:p>
          <w:p w14:paraId="77F0AFAD">
            <w:pPr>
              <w:pStyle w:val="11"/>
              <w:spacing w:before="4"/>
              <w:ind w:left="13" w:right="8"/>
              <w:rPr>
                <w:sz w:val="28"/>
              </w:rPr>
            </w:pPr>
            <w:r>
              <w:rPr>
                <w:spacing w:val="-2"/>
                <w:sz w:val="28"/>
              </w:rPr>
              <w:t>Казахстанская</w:t>
            </w:r>
          </w:p>
        </w:tc>
        <w:tc>
          <w:tcPr>
            <w:tcW w:w="1701" w:type="dxa"/>
          </w:tcPr>
          <w:p w14:paraId="67906A3E">
            <w:pPr>
              <w:pStyle w:val="11"/>
              <w:spacing w:before="156" w:line="240" w:lineRule="auto"/>
              <w:ind w:left="10" w:right="1"/>
              <w:rPr>
                <w:sz w:val="28"/>
              </w:rPr>
            </w:pPr>
            <w:r>
              <w:rPr>
                <w:spacing w:val="-10"/>
                <w:sz w:val="28"/>
              </w:rPr>
              <w:t>–</w:t>
            </w:r>
          </w:p>
        </w:tc>
        <w:tc>
          <w:tcPr>
            <w:tcW w:w="1843" w:type="dxa"/>
          </w:tcPr>
          <w:p w14:paraId="2A48CA08">
            <w:pPr>
              <w:pStyle w:val="11"/>
              <w:spacing w:before="156" w:line="240" w:lineRule="auto"/>
              <w:ind w:left="75" w:right="75"/>
              <w:rPr>
                <w:sz w:val="28"/>
              </w:rPr>
            </w:pPr>
            <w:r>
              <w:rPr>
                <w:sz w:val="28"/>
              </w:rPr>
              <w:t>2</w:t>
            </w:r>
            <w:r>
              <w:rPr>
                <w:spacing w:val="-1"/>
                <w:sz w:val="28"/>
              </w:rPr>
              <w:t xml:space="preserve"> </w:t>
            </w:r>
            <w:r>
              <w:rPr>
                <w:spacing w:val="-2"/>
                <w:sz w:val="28"/>
              </w:rPr>
              <w:t>(1,6%)</w:t>
            </w:r>
          </w:p>
        </w:tc>
        <w:tc>
          <w:tcPr>
            <w:tcW w:w="1842" w:type="dxa"/>
          </w:tcPr>
          <w:p w14:paraId="457B51E6">
            <w:pPr>
              <w:pStyle w:val="11"/>
              <w:spacing w:before="156" w:line="240" w:lineRule="auto"/>
              <w:ind w:left="4" w:right="6"/>
              <w:rPr>
                <w:sz w:val="28"/>
              </w:rPr>
            </w:pPr>
            <w:r>
              <w:rPr>
                <w:sz w:val="28"/>
              </w:rPr>
              <w:t>5</w:t>
            </w:r>
            <w:r>
              <w:rPr>
                <w:spacing w:val="-1"/>
                <w:sz w:val="28"/>
              </w:rPr>
              <w:t xml:space="preserve"> </w:t>
            </w:r>
            <w:r>
              <w:rPr>
                <w:spacing w:val="-2"/>
                <w:sz w:val="28"/>
              </w:rPr>
              <w:t>(2,8%)</w:t>
            </w:r>
          </w:p>
        </w:tc>
        <w:tc>
          <w:tcPr>
            <w:tcW w:w="1701" w:type="dxa"/>
          </w:tcPr>
          <w:p w14:paraId="2701B8DA">
            <w:pPr>
              <w:pStyle w:val="11"/>
              <w:spacing w:before="156" w:line="240" w:lineRule="auto"/>
              <w:ind w:left="5" w:right="1"/>
              <w:rPr>
                <w:sz w:val="28"/>
              </w:rPr>
            </w:pPr>
            <w:r>
              <w:rPr>
                <w:sz w:val="28"/>
              </w:rPr>
              <w:t xml:space="preserve">2 </w:t>
            </w:r>
            <w:r>
              <w:rPr>
                <w:spacing w:val="-2"/>
                <w:sz w:val="28"/>
              </w:rPr>
              <w:t>(1,5%)</w:t>
            </w:r>
          </w:p>
        </w:tc>
      </w:tr>
      <w:tr w14:paraId="43CDF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2552" w:type="dxa"/>
          </w:tcPr>
          <w:p w14:paraId="65C3FF43">
            <w:pPr>
              <w:pStyle w:val="11"/>
              <w:spacing w:before="60" w:line="240" w:lineRule="auto"/>
              <w:ind w:left="13" w:right="8"/>
              <w:rPr>
                <w:sz w:val="28"/>
              </w:rPr>
            </w:pPr>
            <w:r>
              <w:rPr>
                <w:spacing w:val="-2"/>
                <w:sz w:val="28"/>
              </w:rPr>
              <w:t>Карагандинская</w:t>
            </w:r>
          </w:p>
        </w:tc>
        <w:tc>
          <w:tcPr>
            <w:tcW w:w="1701" w:type="dxa"/>
          </w:tcPr>
          <w:p w14:paraId="2B24AC92">
            <w:pPr>
              <w:pStyle w:val="11"/>
              <w:spacing w:before="60" w:line="240" w:lineRule="auto"/>
              <w:ind w:left="10"/>
              <w:rPr>
                <w:sz w:val="28"/>
              </w:rPr>
            </w:pPr>
            <w:r>
              <w:rPr>
                <w:sz w:val="28"/>
              </w:rPr>
              <w:t>9</w:t>
            </w:r>
            <w:r>
              <w:rPr>
                <w:spacing w:val="-1"/>
                <w:sz w:val="28"/>
              </w:rPr>
              <w:t xml:space="preserve"> </w:t>
            </w:r>
            <w:r>
              <w:rPr>
                <w:spacing w:val="-2"/>
                <w:sz w:val="28"/>
              </w:rPr>
              <w:t>(6,2%)</w:t>
            </w:r>
          </w:p>
        </w:tc>
        <w:tc>
          <w:tcPr>
            <w:tcW w:w="1843" w:type="dxa"/>
          </w:tcPr>
          <w:p w14:paraId="38FD20DA">
            <w:pPr>
              <w:pStyle w:val="11"/>
              <w:spacing w:before="60" w:line="240" w:lineRule="auto"/>
              <w:ind w:left="75" w:right="70"/>
              <w:rPr>
                <w:sz w:val="28"/>
              </w:rPr>
            </w:pPr>
            <w:r>
              <w:rPr>
                <w:sz w:val="28"/>
              </w:rPr>
              <w:t>11</w:t>
            </w:r>
            <w:r>
              <w:rPr>
                <w:spacing w:val="-2"/>
                <w:sz w:val="28"/>
              </w:rPr>
              <w:t xml:space="preserve"> (7,0%)</w:t>
            </w:r>
          </w:p>
        </w:tc>
        <w:tc>
          <w:tcPr>
            <w:tcW w:w="1842" w:type="dxa"/>
          </w:tcPr>
          <w:p w14:paraId="61E20D6E">
            <w:pPr>
              <w:pStyle w:val="11"/>
              <w:spacing w:before="60" w:line="240" w:lineRule="auto"/>
              <w:ind w:left="4" w:right="4"/>
              <w:rPr>
                <w:sz w:val="28"/>
              </w:rPr>
            </w:pPr>
            <w:r>
              <w:rPr>
                <w:sz w:val="28"/>
              </w:rPr>
              <w:t>13</w:t>
            </w:r>
            <w:r>
              <w:rPr>
                <w:spacing w:val="-2"/>
                <w:sz w:val="28"/>
              </w:rPr>
              <w:t xml:space="preserve"> (7,4%)</w:t>
            </w:r>
          </w:p>
        </w:tc>
        <w:tc>
          <w:tcPr>
            <w:tcW w:w="1701" w:type="dxa"/>
          </w:tcPr>
          <w:p w14:paraId="382A24AE">
            <w:pPr>
              <w:pStyle w:val="11"/>
              <w:spacing w:before="60" w:line="240" w:lineRule="auto"/>
              <w:ind w:left="4" w:right="1"/>
              <w:rPr>
                <w:sz w:val="28"/>
              </w:rPr>
            </w:pPr>
            <w:r>
              <w:rPr>
                <w:spacing w:val="-10"/>
                <w:sz w:val="28"/>
              </w:rPr>
              <w:t>–</w:t>
            </w:r>
          </w:p>
        </w:tc>
      </w:tr>
      <w:tr w14:paraId="495BA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2552" w:type="dxa"/>
          </w:tcPr>
          <w:p w14:paraId="500B4CE7">
            <w:pPr>
              <w:pStyle w:val="11"/>
              <w:spacing w:before="50" w:line="240" w:lineRule="auto"/>
              <w:ind w:left="13" w:right="7"/>
              <w:rPr>
                <w:sz w:val="28"/>
              </w:rPr>
            </w:pPr>
            <w:r>
              <w:rPr>
                <w:spacing w:val="-2"/>
                <w:sz w:val="28"/>
              </w:rPr>
              <w:t>Костанайская</w:t>
            </w:r>
          </w:p>
        </w:tc>
        <w:tc>
          <w:tcPr>
            <w:tcW w:w="1701" w:type="dxa"/>
          </w:tcPr>
          <w:p w14:paraId="5C9228CF">
            <w:pPr>
              <w:pStyle w:val="11"/>
              <w:spacing w:before="50" w:line="240" w:lineRule="auto"/>
              <w:ind w:left="10" w:right="1"/>
              <w:rPr>
                <w:sz w:val="28"/>
              </w:rPr>
            </w:pPr>
            <w:r>
              <w:rPr>
                <w:spacing w:val="-10"/>
                <w:sz w:val="28"/>
              </w:rPr>
              <w:t>–</w:t>
            </w:r>
          </w:p>
        </w:tc>
        <w:tc>
          <w:tcPr>
            <w:tcW w:w="1843" w:type="dxa"/>
          </w:tcPr>
          <w:p w14:paraId="6E3486CE">
            <w:pPr>
              <w:pStyle w:val="11"/>
              <w:spacing w:before="50" w:line="240" w:lineRule="auto"/>
              <w:ind w:left="75" w:right="67"/>
              <w:rPr>
                <w:sz w:val="28"/>
              </w:rPr>
            </w:pPr>
            <w:r>
              <w:rPr>
                <w:spacing w:val="-10"/>
                <w:sz w:val="28"/>
              </w:rPr>
              <w:t>–</w:t>
            </w:r>
          </w:p>
        </w:tc>
        <w:tc>
          <w:tcPr>
            <w:tcW w:w="1842" w:type="dxa"/>
          </w:tcPr>
          <w:p w14:paraId="70248578">
            <w:pPr>
              <w:pStyle w:val="11"/>
              <w:spacing w:before="50" w:line="240" w:lineRule="auto"/>
              <w:ind w:left="4" w:right="6"/>
              <w:rPr>
                <w:sz w:val="28"/>
              </w:rPr>
            </w:pPr>
            <w:r>
              <w:rPr>
                <w:sz w:val="28"/>
              </w:rPr>
              <w:t>1</w:t>
            </w:r>
            <w:r>
              <w:rPr>
                <w:spacing w:val="-1"/>
                <w:sz w:val="28"/>
              </w:rPr>
              <w:t xml:space="preserve"> </w:t>
            </w:r>
            <w:r>
              <w:rPr>
                <w:spacing w:val="-2"/>
                <w:sz w:val="28"/>
              </w:rPr>
              <w:t>(0,5%)</w:t>
            </w:r>
          </w:p>
        </w:tc>
        <w:tc>
          <w:tcPr>
            <w:tcW w:w="1701" w:type="dxa"/>
          </w:tcPr>
          <w:p w14:paraId="44213784">
            <w:pPr>
              <w:pStyle w:val="11"/>
              <w:spacing w:before="50" w:line="240" w:lineRule="auto"/>
              <w:ind w:left="4" w:right="1"/>
              <w:rPr>
                <w:sz w:val="28"/>
              </w:rPr>
            </w:pPr>
            <w:r>
              <w:rPr>
                <w:spacing w:val="-10"/>
                <w:sz w:val="28"/>
              </w:rPr>
              <w:t>–</w:t>
            </w:r>
          </w:p>
        </w:tc>
      </w:tr>
      <w:tr w14:paraId="7F1238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552" w:type="dxa"/>
          </w:tcPr>
          <w:p w14:paraId="5BC5DBF7">
            <w:pPr>
              <w:pStyle w:val="11"/>
              <w:spacing w:before="64" w:line="240" w:lineRule="auto"/>
              <w:ind w:left="13" w:right="7"/>
              <w:rPr>
                <w:sz w:val="28"/>
              </w:rPr>
            </w:pPr>
            <w:r>
              <w:rPr>
                <w:spacing w:val="-2"/>
                <w:sz w:val="28"/>
              </w:rPr>
              <w:t>Кызылординская</w:t>
            </w:r>
          </w:p>
        </w:tc>
        <w:tc>
          <w:tcPr>
            <w:tcW w:w="1701" w:type="dxa"/>
          </w:tcPr>
          <w:p w14:paraId="50948BE4">
            <w:pPr>
              <w:pStyle w:val="11"/>
              <w:spacing w:before="64" w:line="240" w:lineRule="auto"/>
              <w:ind w:left="10" w:right="1"/>
              <w:rPr>
                <w:sz w:val="28"/>
              </w:rPr>
            </w:pPr>
            <w:r>
              <w:rPr>
                <w:spacing w:val="-10"/>
                <w:sz w:val="28"/>
              </w:rPr>
              <w:t>–</w:t>
            </w:r>
          </w:p>
        </w:tc>
        <w:tc>
          <w:tcPr>
            <w:tcW w:w="1843" w:type="dxa"/>
          </w:tcPr>
          <w:p w14:paraId="6DC778A6">
            <w:pPr>
              <w:pStyle w:val="11"/>
              <w:spacing w:before="64" w:line="240" w:lineRule="auto"/>
              <w:ind w:left="75" w:right="75"/>
              <w:rPr>
                <w:sz w:val="28"/>
              </w:rPr>
            </w:pPr>
            <w:r>
              <w:rPr>
                <w:sz w:val="28"/>
              </w:rPr>
              <w:t>1</w:t>
            </w:r>
            <w:r>
              <w:rPr>
                <w:spacing w:val="-1"/>
                <w:sz w:val="28"/>
              </w:rPr>
              <w:t xml:space="preserve"> </w:t>
            </w:r>
            <w:r>
              <w:rPr>
                <w:spacing w:val="-2"/>
                <w:sz w:val="28"/>
              </w:rPr>
              <w:t>(0,6%)</w:t>
            </w:r>
          </w:p>
        </w:tc>
        <w:tc>
          <w:tcPr>
            <w:tcW w:w="1842" w:type="dxa"/>
          </w:tcPr>
          <w:p w14:paraId="186C7BCE">
            <w:pPr>
              <w:pStyle w:val="11"/>
              <w:spacing w:before="64" w:line="240" w:lineRule="auto"/>
              <w:ind w:left="4" w:right="6"/>
              <w:rPr>
                <w:sz w:val="28"/>
              </w:rPr>
            </w:pPr>
            <w:r>
              <w:rPr>
                <w:sz w:val="28"/>
              </w:rPr>
              <w:t>2</w:t>
            </w:r>
            <w:r>
              <w:rPr>
                <w:spacing w:val="-1"/>
                <w:sz w:val="28"/>
              </w:rPr>
              <w:t xml:space="preserve"> </w:t>
            </w:r>
            <w:r>
              <w:rPr>
                <w:spacing w:val="-2"/>
                <w:sz w:val="28"/>
              </w:rPr>
              <w:t>(1,1%)</w:t>
            </w:r>
          </w:p>
        </w:tc>
        <w:tc>
          <w:tcPr>
            <w:tcW w:w="1701" w:type="dxa"/>
          </w:tcPr>
          <w:p w14:paraId="14D65F49">
            <w:pPr>
              <w:pStyle w:val="11"/>
              <w:spacing w:before="64" w:line="240" w:lineRule="auto"/>
              <w:ind w:left="5" w:right="1"/>
              <w:rPr>
                <w:sz w:val="28"/>
              </w:rPr>
            </w:pPr>
            <w:r>
              <w:rPr>
                <w:sz w:val="28"/>
              </w:rPr>
              <w:t>2</w:t>
            </w:r>
            <w:r>
              <w:rPr>
                <w:spacing w:val="-1"/>
                <w:sz w:val="28"/>
              </w:rPr>
              <w:t xml:space="preserve"> </w:t>
            </w:r>
            <w:r>
              <w:rPr>
                <w:spacing w:val="-2"/>
                <w:sz w:val="28"/>
              </w:rPr>
              <w:t>(1,5%)</w:t>
            </w:r>
          </w:p>
        </w:tc>
      </w:tr>
      <w:tr w14:paraId="78169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2552" w:type="dxa"/>
          </w:tcPr>
          <w:p w14:paraId="78FB58F3">
            <w:pPr>
              <w:pStyle w:val="11"/>
              <w:spacing w:before="45" w:line="240" w:lineRule="auto"/>
              <w:ind w:left="13" w:right="3"/>
              <w:rPr>
                <w:sz w:val="28"/>
              </w:rPr>
            </w:pPr>
            <w:r>
              <w:rPr>
                <w:spacing w:val="-2"/>
                <w:sz w:val="28"/>
              </w:rPr>
              <w:t>Мангистауская</w:t>
            </w:r>
          </w:p>
        </w:tc>
        <w:tc>
          <w:tcPr>
            <w:tcW w:w="1701" w:type="dxa"/>
          </w:tcPr>
          <w:p w14:paraId="5D905358">
            <w:pPr>
              <w:pStyle w:val="11"/>
              <w:spacing w:before="45" w:line="240" w:lineRule="auto"/>
              <w:ind w:left="10"/>
              <w:rPr>
                <w:sz w:val="28"/>
              </w:rPr>
            </w:pPr>
            <w:r>
              <w:rPr>
                <w:sz w:val="28"/>
              </w:rPr>
              <w:t>3</w:t>
            </w:r>
            <w:r>
              <w:rPr>
                <w:spacing w:val="-1"/>
                <w:sz w:val="28"/>
              </w:rPr>
              <w:t xml:space="preserve"> </w:t>
            </w:r>
            <w:r>
              <w:rPr>
                <w:spacing w:val="-2"/>
                <w:sz w:val="28"/>
              </w:rPr>
              <w:t>(2,0%)</w:t>
            </w:r>
          </w:p>
        </w:tc>
        <w:tc>
          <w:tcPr>
            <w:tcW w:w="1843" w:type="dxa"/>
          </w:tcPr>
          <w:p w14:paraId="04DA348F">
            <w:pPr>
              <w:pStyle w:val="11"/>
              <w:spacing w:before="45" w:line="240" w:lineRule="auto"/>
              <w:ind w:left="75" w:right="67"/>
              <w:rPr>
                <w:sz w:val="28"/>
              </w:rPr>
            </w:pPr>
            <w:r>
              <w:rPr>
                <w:spacing w:val="-10"/>
                <w:sz w:val="28"/>
              </w:rPr>
              <w:t>–</w:t>
            </w:r>
          </w:p>
        </w:tc>
        <w:tc>
          <w:tcPr>
            <w:tcW w:w="1842" w:type="dxa"/>
          </w:tcPr>
          <w:p w14:paraId="421F0068">
            <w:pPr>
              <w:pStyle w:val="11"/>
              <w:spacing w:before="45" w:line="240" w:lineRule="auto"/>
              <w:ind w:left="7" w:right="3"/>
              <w:rPr>
                <w:sz w:val="28"/>
              </w:rPr>
            </w:pPr>
            <w:r>
              <w:rPr>
                <w:spacing w:val="-10"/>
                <w:sz w:val="28"/>
              </w:rPr>
              <w:t>–</w:t>
            </w:r>
          </w:p>
        </w:tc>
        <w:tc>
          <w:tcPr>
            <w:tcW w:w="1701" w:type="dxa"/>
          </w:tcPr>
          <w:p w14:paraId="3A5F60EF">
            <w:pPr>
              <w:pStyle w:val="11"/>
              <w:spacing w:before="45" w:line="240" w:lineRule="auto"/>
              <w:ind w:left="5" w:right="1"/>
              <w:rPr>
                <w:sz w:val="28"/>
              </w:rPr>
            </w:pPr>
            <w:r>
              <w:rPr>
                <w:sz w:val="28"/>
              </w:rPr>
              <w:t>2</w:t>
            </w:r>
            <w:r>
              <w:rPr>
                <w:spacing w:val="-1"/>
                <w:sz w:val="28"/>
              </w:rPr>
              <w:t xml:space="preserve"> </w:t>
            </w:r>
            <w:r>
              <w:rPr>
                <w:spacing w:val="-2"/>
                <w:sz w:val="28"/>
              </w:rPr>
              <w:t>(1,5%)</w:t>
            </w:r>
          </w:p>
        </w:tc>
      </w:tr>
      <w:tr w14:paraId="6C56D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552" w:type="dxa"/>
          </w:tcPr>
          <w:p w14:paraId="14E38126">
            <w:pPr>
              <w:pStyle w:val="11"/>
              <w:spacing w:before="40" w:line="240" w:lineRule="auto"/>
              <w:ind w:left="13" w:right="2"/>
              <w:rPr>
                <w:sz w:val="28"/>
              </w:rPr>
            </w:pPr>
            <w:r>
              <w:rPr>
                <w:spacing w:val="-2"/>
                <w:sz w:val="28"/>
              </w:rPr>
              <w:t>Павлодарская</w:t>
            </w:r>
          </w:p>
        </w:tc>
        <w:tc>
          <w:tcPr>
            <w:tcW w:w="1701" w:type="dxa"/>
          </w:tcPr>
          <w:p w14:paraId="76DE3A09">
            <w:pPr>
              <w:pStyle w:val="11"/>
              <w:spacing w:before="40" w:line="240" w:lineRule="auto"/>
              <w:ind w:left="10"/>
              <w:rPr>
                <w:sz w:val="28"/>
              </w:rPr>
            </w:pPr>
            <w:r>
              <w:rPr>
                <w:sz w:val="28"/>
              </w:rPr>
              <w:t>2</w:t>
            </w:r>
            <w:r>
              <w:rPr>
                <w:spacing w:val="-1"/>
                <w:sz w:val="28"/>
              </w:rPr>
              <w:t xml:space="preserve"> </w:t>
            </w:r>
            <w:r>
              <w:rPr>
                <w:spacing w:val="-2"/>
                <w:sz w:val="28"/>
              </w:rPr>
              <w:t>(1,3%)</w:t>
            </w:r>
          </w:p>
        </w:tc>
        <w:tc>
          <w:tcPr>
            <w:tcW w:w="1843" w:type="dxa"/>
          </w:tcPr>
          <w:p w14:paraId="4665640E">
            <w:pPr>
              <w:pStyle w:val="11"/>
              <w:spacing w:before="40" w:line="240" w:lineRule="auto"/>
              <w:ind w:left="75" w:right="75"/>
              <w:rPr>
                <w:sz w:val="28"/>
              </w:rPr>
            </w:pPr>
            <w:r>
              <w:rPr>
                <w:sz w:val="28"/>
              </w:rPr>
              <w:t>4</w:t>
            </w:r>
            <w:r>
              <w:rPr>
                <w:spacing w:val="-1"/>
                <w:sz w:val="28"/>
              </w:rPr>
              <w:t xml:space="preserve"> </w:t>
            </w:r>
            <w:r>
              <w:rPr>
                <w:spacing w:val="-2"/>
                <w:sz w:val="28"/>
              </w:rPr>
              <w:t>(2,5%)</w:t>
            </w:r>
          </w:p>
        </w:tc>
        <w:tc>
          <w:tcPr>
            <w:tcW w:w="1842" w:type="dxa"/>
          </w:tcPr>
          <w:p w14:paraId="3ABC3F6F">
            <w:pPr>
              <w:pStyle w:val="11"/>
              <w:spacing w:before="40" w:line="240" w:lineRule="auto"/>
              <w:ind w:left="4" w:right="6"/>
              <w:rPr>
                <w:sz w:val="28"/>
              </w:rPr>
            </w:pPr>
            <w:r>
              <w:rPr>
                <w:sz w:val="28"/>
              </w:rPr>
              <w:t>1</w:t>
            </w:r>
            <w:r>
              <w:rPr>
                <w:spacing w:val="-1"/>
                <w:sz w:val="28"/>
              </w:rPr>
              <w:t xml:space="preserve"> </w:t>
            </w:r>
            <w:r>
              <w:rPr>
                <w:spacing w:val="-2"/>
                <w:sz w:val="28"/>
              </w:rPr>
              <w:t>(0,5%)</w:t>
            </w:r>
          </w:p>
        </w:tc>
        <w:tc>
          <w:tcPr>
            <w:tcW w:w="1701" w:type="dxa"/>
          </w:tcPr>
          <w:p w14:paraId="62DA50B3">
            <w:pPr>
              <w:pStyle w:val="11"/>
              <w:spacing w:before="40" w:line="240" w:lineRule="auto"/>
              <w:ind w:left="5" w:right="1"/>
              <w:rPr>
                <w:sz w:val="28"/>
              </w:rPr>
            </w:pPr>
            <w:r>
              <w:rPr>
                <w:sz w:val="28"/>
              </w:rPr>
              <w:t>1</w:t>
            </w:r>
            <w:r>
              <w:rPr>
                <w:spacing w:val="-1"/>
                <w:sz w:val="28"/>
              </w:rPr>
              <w:t xml:space="preserve"> </w:t>
            </w:r>
            <w:r>
              <w:rPr>
                <w:spacing w:val="-2"/>
                <w:sz w:val="28"/>
              </w:rPr>
              <w:t>(0,7%)</w:t>
            </w:r>
          </w:p>
        </w:tc>
      </w:tr>
      <w:tr w14:paraId="273CE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552" w:type="dxa"/>
          </w:tcPr>
          <w:p w14:paraId="5ACB71F3">
            <w:pPr>
              <w:pStyle w:val="11"/>
              <w:spacing w:line="315" w:lineRule="exact"/>
              <w:ind w:left="13" w:right="7"/>
              <w:rPr>
                <w:sz w:val="28"/>
              </w:rPr>
            </w:pPr>
            <w:r>
              <w:rPr>
                <w:spacing w:val="-2"/>
                <w:sz w:val="28"/>
              </w:rPr>
              <w:t>Северо-</w:t>
            </w:r>
          </w:p>
          <w:p w14:paraId="49DF7049">
            <w:pPr>
              <w:pStyle w:val="11"/>
              <w:ind w:left="13" w:right="8"/>
              <w:rPr>
                <w:sz w:val="28"/>
              </w:rPr>
            </w:pPr>
            <w:r>
              <w:rPr>
                <w:spacing w:val="-2"/>
                <w:sz w:val="28"/>
              </w:rPr>
              <w:t>Казахстанская</w:t>
            </w:r>
          </w:p>
        </w:tc>
        <w:tc>
          <w:tcPr>
            <w:tcW w:w="1701" w:type="dxa"/>
          </w:tcPr>
          <w:p w14:paraId="1BE387C6">
            <w:pPr>
              <w:pStyle w:val="11"/>
              <w:spacing w:before="156" w:line="240" w:lineRule="auto"/>
              <w:ind w:left="10"/>
              <w:rPr>
                <w:sz w:val="28"/>
              </w:rPr>
            </w:pPr>
            <w:r>
              <w:rPr>
                <w:sz w:val="28"/>
              </w:rPr>
              <w:t>4</w:t>
            </w:r>
            <w:r>
              <w:rPr>
                <w:spacing w:val="-1"/>
                <w:sz w:val="28"/>
              </w:rPr>
              <w:t xml:space="preserve"> </w:t>
            </w:r>
            <w:r>
              <w:rPr>
                <w:spacing w:val="-2"/>
                <w:sz w:val="28"/>
              </w:rPr>
              <w:t>(2,7%)</w:t>
            </w:r>
          </w:p>
        </w:tc>
        <w:tc>
          <w:tcPr>
            <w:tcW w:w="1843" w:type="dxa"/>
          </w:tcPr>
          <w:p w14:paraId="02DC75F3">
            <w:pPr>
              <w:pStyle w:val="11"/>
              <w:spacing w:before="156" w:line="240" w:lineRule="auto"/>
              <w:ind w:left="75" w:right="75"/>
              <w:rPr>
                <w:sz w:val="28"/>
              </w:rPr>
            </w:pPr>
            <w:r>
              <w:rPr>
                <w:sz w:val="28"/>
              </w:rPr>
              <w:t>6</w:t>
            </w:r>
            <w:r>
              <w:rPr>
                <w:spacing w:val="-1"/>
                <w:sz w:val="28"/>
              </w:rPr>
              <w:t xml:space="preserve"> </w:t>
            </w:r>
            <w:r>
              <w:rPr>
                <w:spacing w:val="-2"/>
                <w:sz w:val="28"/>
              </w:rPr>
              <w:t>(3,8%)</w:t>
            </w:r>
          </w:p>
        </w:tc>
        <w:tc>
          <w:tcPr>
            <w:tcW w:w="1842" w:type="dxa"/>
          </w:tcPr>
          <w:p w14:paraId="5EA59589">
            <w:pPr>
              <w:pStyle w:val="11"/>
              <w:spacing w:before="156" w:line="240" w:lineRule="auto"/>
              <w:ind w:left="4" w:right="5"/>
              <w:rPr>
                <w:sz w:val="28"/>
              </w:rPr>
            </w:pPr>
            <w:r>
              <w:rPr>
                <w:sz w:val="28"/>
              </w:rPr>
              <w:t xml:space="preserve">5 </w:t>
            </w:r>
            <w:r>
              <w:rPr>
                <w:spacing w:val="-2"/>
                <w:sz w:val="28"/>
              </w:rPr>
              <w:t>(2,8%)</w:t>
            </w:r>
          </w:p>
        </w:tc>
        <w:tc>
          <w:tcPr>
            <w:tcW w:w="1701" w:type="dxa"/>
          </w:tcPr>
          <w:p w14:paraId="116693B3">
            <w:pPr>
              <w:pStyle w:val="11"/>
              <w:spacing w:before="156" w:line="240" w:lineRule="auto"/>
              <w:ind w:left="5" w:right="1"/>
              <w:rPr>
                <w:sz w:val="28"/>
              </w:rPr>
            </w:pPr>
            <w:r>
              <w:rPr>
                <w:sz w:val="28"/>
              </w:rPr>
              <w:t>3</w:t>
            </w:r>
            <w:r>
              <w:rPr>
                <w:spacing w:val="-1"/>
                <w:sz w:val="28"/>
              </w:rPr>
              <w:t xml:space="preserve"> </w:t>
            </w:r>
            <w:r>
              <w:rPr>
                <w:spacing w:val="-2"/>
                <w:sz w:val="28"/>
              </w:rPr>
              <w:t>(2,2%)</w:t>
            </w:r>
          </w:p>
        </w:tc>
      </w:tr>
      <w:tr w14:paraId="277F7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552" w:type="dxa"/>
          </w:tcPr>
          <w:p w14:paraId="664B0CB9">
            <w:pPr>
              <w:pStyle w:val="11"/>
              <w:spacing w:before="50" w:line="240" w:lineRule="auto"/>
              <w:ind w:left="13" w:right="12"/>
              <w:rPr>
                <w:sz w:val="28"/>
              </w:rPr>
            </w:pPr>
            <w:r>
              <w:rPr>
                <w:spacing w:val="-2"/>
                <w:sz w:val="28"/>
              </w:rPr>
              <w:t>Туркестанская</w:t>
            </w:r>
          </w:p>
        </w:tc>
        <w:tc>
          <w:tcPr>
            <w:tcW w:w="1701" w:type="dxa"/>
          </w:tcPr>
          <w:p w14:paraId="6834134F">
            <w:pPr>
              <w:pStyle w:val="11"/>
              <w:spacing w:before="50" w:line="240" w:lineRule="auto"/>
              <w:ind w:left="10"/>
              <w:rPr>
                <w:sz w:val="28"/>
              </w:rPr>
            </w:pPr>
            <w:r>
              <w:rPr>
                <w:sz w:val="28"/>
              </w:rPr>
              <w:t>1</w:t>
            </w:r>
            <w:r>
              <w:rPr>
                <w:spacing w:val="-1"/>
                <w:sz w:val="28"/>
              </w:rPr>
              <w:t xml:space="preserve"> </w:t>
            </w:r>
            <w:r>
              <w:rPr>
                <w:spacing w:val="-2"/>
                <w:sz w:val="28"/>
              </w:rPr>
              <w:t>(0,6%)</w:t>
            </w:r>
          </w:p>
        </w:tc>
        <w:tc>
          <w:tcPr>
            <w:tcW w:w="1843" w:type="dxa"/>
          </w:tcPr>
          <w:p w14:paraId="30D5B270">
            <w:pPr>
              <w:pStyle w:val="11"/>
              <w:spacing w:before="50" w:line="240" w:lineRule="auto"/>
              <w:ind w:left="75" w:right="75"/>
              <w:rPr>
                <w:sz w:val="28"/>
              </w:rPr>
            </w:pPr>
            <w:r>
              <w:rPr>
                <w:sz w:val="28"/>
              </w:rPr>
              <w:t>3</w:t>
            </w:r>
            <w:r>
              <w:rPr>
                <w:spacing w:val="-1"/>
                <w:sz w:val="28"/>
              </w:rPr>
              <w:t xml:space="preserve"> </w:t>
            </w:r>
            <w:r>
              <w:rPr>
                <w:spacing w:val="-2"/>
                <w:sz w:val="28"/>
              </w:rPr>
              <w:t>(1,9%)</w:t>
            </w:r>
          </w:p>
        </w:tc>
        <w:tc>
          <w:tcPr>
            <w:tcW w:w="1842" w:type="dxa"/>
          </w:tcPr>
          <w:p w14:paraId="112B4C61">
            <w:pPr>
              <w:pStyle w:val="11"/>
              <w:spacing w:before="50" w:line="240" w:lineRule="auto"/>
              <w:ind w:left="4" w:right="6"/>
              <w:rPr>
                <w:sz w:val="28"/>
              </w:rPr>
            </w:pPr>
            <w:r>
              <w:rPr>
                <w:sz w:val="28"/>
              </w:rPr>
              <w:t>3</w:t>
            </w:r>
            <w:r>
              <w:rPr>
                <w:spacing w:val="-1"/>
                <w:sz w:val="28"/>
              </w:rPr>
              <w:t xml:space="preserve"> </w:t>
            </w:r>
            <w:r>
              <w:rPr>
                <w:spacing w:val="-2"/>
                <w:sz w:val="28"/>
              </w:rPr>
              <w:t>(1,7%)</w:t>
            </w:r>
          </w:p>
        </w:tc>
        <w:tc>
          <w:tcPr>
            <w:tcW w:w="1701" w:type="dxa"/>
          </w:tcPr>
          <w:p w14:paraId="451DE8F9">
            <w:pPr>
              <w:pStyle w:val="11"/>
              <w:spacing w:before="50" w:line="240" w:lineRule="auto"/>
              <w:ind w:left="5" w:right="1"/>
              <w:rPr>
                <w:sz w:val="28"/>
              </w:rPr>
            </w:pPr>
            <w:r>
              <w:rPr>
                <w:sz w:val="28"/>
              </w:rPr>
              <w:t>1</w:t>
            </w:r>
            <w:r>
              <w:rPr>
                <w:spacing w:val="-1"/>
                <w:sz w:val="28"/>
              </w:rPr>
              <w:t xml:space="preserve"> </w:t>
            </w:r>
            <w:r>
              <w:rPr>
                <w:spacing w:val="-2"/>
                <w:sz w:val="28"/>
              </w:rPr>
              <w:t>(0,7%)</w:t>
            </w:r>
          </w:p>
        </w:tc>
      </w:tr>
      <w:tr w14:paraId="060D0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2552" w:type="dxa"/>
          </w:tcPr>
          <w:p w14:paraId="607B91D4">
            <w:pPr>
              <w:pStyle w:val="11"/>
              <w:spacing w:before="21" w:line="240" w:lineRule="auto"/>
              <w:ind w:left="13" w:right="6"/>
              <w:rPr>
                <w:sz w:val="28"/>
              </w:rPr>
            </w:pPr>
            <w:r>
              <w:rPr>
                <w:spacing w:val="-2"/>
                <w:sz w:val="28"/>
              </w:rPr>
              <w:t>Улытауская</w:t>
            </w:r>
          </w:p>
        </w:tc>
        <w:tc>
          <w:tcPr>
            <w:tcW w:w="1701" w:type="dxa"/>
          </w:tcPr>
          <w:p w14:paraId="7F966B2C">
            <w:pPr>
              <w:pStyle w:val="11"/>
              <w:spacing w:before="21" w:line="240" w:lineRule="auto"/>
              <w:ind w:left="10" w:right="1"/>
              <w:rPr>
                <w:sz w:val="28"/>
              </w:rPr>
            </w:pPr>
            <w:r>
              <w:rPr>
                <w:spacing w:val="-10"/>
                <w:sz w:val="28"/>
              </w:rPr>
              <w:t>–</w:t>
            </w:r>
          </w:p>
        </w:tc>
        <w:tc>
          <w:tcPr>
            <w:tcW w:w="1843" w:type="dxa"/>
          </w:tcPr>
          <w:p w14:paraId="489A6C2C">
            <w:pPr>
              <w:pStyle w:val="11"/>
              <w:spacing w:before="21" w:line="240" w:lineRule="auto"/>
              <w:ind w:left="75" w:right="67"/>
              <w:rPr>
                <w:sz w:val="28"/>
              </w:rPr>
            </w:pPr>
            <w:r>
              <w:rPr>
                <w:spacing w:val="-10"/>
                <w:sz w:val="28"/>
              </w:rPr>
              <w:t>–</w:t>
            </w:r>
          </w:p>
        </w:tc>
        <w:tc>
          <w:tcPr>
            <w:tcW w:w="1842" w:type="dxa"/>
          </w:tcPr>
          <w:p w14:paraId="6734B11E">
            <w:pPr>
              <w:pStyle w:val="11"/>
              <w:spacing w:before="21" w:line="240" w:lineRule="auto"/>
              <w:ind w:left="7" w:right="3"/>
              <w:rPr>
                <w:sz w:val="28"/>
              </w:rPr>
            </w:pPr>
            <w:r>
              <w:rPr>
                <w:spacing w:val="-10"/>
                <w:sz w:val="28"/>
              </w:rPr>
              <w:t>–</w:t>
            </w:r>
          </w:p>
        </w:tc>
        <w:tc>
          <w:tcPr>
            <w:tcW w:w="1701" w:type="dxa"/>
          </w:tcPr>
          <w:p w14:paraId="6B7BC3A2">
            <w:pPr>
              <w:pStyle w:val="11"/>
              <w:spacing w:before="21" w:line="240" w:lineRule="auto"/>
              <w:ind w:left="4" w:right="1"/>
              <w:rPr>
                <w:sz w:val="28"/>
              </w:rPr>
            </w:pPr>
            <w:r>
              <w:rPr>
                <w:spacing w:val="-10"/>
                <w:sz w:val="28"/>
              </w:rPr>
              <w:t>–</w:t>
            </w:r>
          </w:p>
        </w:tc>
      </w:tr>
      <w:tr w14:paraId="3C8EE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2552" w:type="dxa"/>
          </w:tcPr>
          <w:p w14:paraId="3C0841B8">
            <w:pPr>
              <w:pStyle w:val="11"/>
              <w:spacing w:before="64" w:line="240" w:lineRule="auto"/>
              <w:ind w:left="13" w:right="10"/>
              <w:rPr>
                <w:sz w:val="28"/>
              </w:rPr>
            </w:pPr>
            <w:r>
              <w:rPr>
                <w:sz w:val="28"/>
              </w:rPr>
              <w:t>г.</w:t>
            </w:r>
            <w:r>
              <w:rPr>
                <w:spacing w:val="2"/>
                <w:sz w:val="28"/>
              </w:rPr>
              <w:t xml:space="preserve"> </w:t>
            </w:r>
            <w:r>
              <w:rPr>
                <w:spacing w:val="-2"/>
                <w:sz w:val="28"/>
              </w:rPr>
              <w:t>Алматы</w:t>
            </w:r>
          </w:p>
        </w:tc>
        <w:tc>
          <w:tcPr>
            <w:tcW w:w="1701" w:type="dxa"/>
          </w:tcPr>
          <w:p w14:paraId="23CE0111">
            <w:pPr>
              <w:pStyle w:val="11"/>
              <w:spacing w:before="64" w:line="240" w:lineRule="auto"/>
              <w:ind w:left="10"/>
              <w:rPr>
                <w:sz w:val="28"/>
              </w:rPr>
            </w:pPr>
            <w:r>
              <w:rPr>
                <w:sz w:val="28"/>
              </w:rPr>
              <w:t>81</w:t>
            </w:r>
            <w:r>
              <w:rPr>
                <w:spacing w:val="-2"/>
                <w:sz w:val="28"/>
              </w:rPr>
              <w:t xml:space="preserve"> (55,8%)</w:t>
            </w:r>
          </w:p>
        </w:tc>
        <w:tc>
          <w:tcPr>
            <w:tcW w:w="1843" w:type="dxa"/>
          </w:tcPr>
          <w:p w14:paraId="310BBF1F">
            <w:pPr>
              <w:pStyle w:val="11"/>
              <w:spacing w:before="64" w:line="240" w:lineRule="auto"/>
              <w:ind w:left="75" w:right="75"/>
              <w:rPr>
                <w:sz w:val="28"/>
              </w:rPr>
            </w:pPr>
            <w:r>
              <w:rPr>
                <w:sz w:val="28"/>
              </w:rPr>
              <w:t>76</w:t>
            </w:r>
            <w:r>
              <w:rPr>
                <w:spacing w:val="-2"/>
                <w:sz w:val="28"/>
              </w:rPr>
              <w:t xml:space="preserve"> (48,4%)</w:t>
            </w:r>
          </w:p>
        </w:tc>
        <w:tc>
          <w:tcPr>
            <w:tcW w:w="1842" w:type="dxa"/>
          </w:tcPr>
          <w:p w14:paraId="2AAFC8DA">
            <w:pPr>
              <w:pStyle w:val="11"/>
              <w:spacing w:before="64" w:line="240" w:lineRule="auto"/>
              <w:ind w:left="4" w:right="7"/>
              <w:rPr>
                <w:sz w:val="28"/>
              </w:rPr>
            </w:pPr>
            <w:r>
              <w:rPr>
                <w:sz w:val="28"/>
              </w:rPr>
              <w:t>78</w:t>
            </w:r>
            <w:r>
              <w:rPr>
                <w:spacing w:val="-2"/>
                <w:sz w:val="28"/>
              </w:rPr>
              <w:t xml:space="preserve"> (44,5%)</w:t>
            </w:r>
          </w:p>
        </w:tc>
        <w:tc>
          <w:tcPr>
            <w:tcW w:w="1701" w:type="dxa"/>
          </w:tcPr>
          <w:p w14:paraId="34B91CB3">
            <w:pPr>
              <w:pStyle w:val="11"/>
              <w:spacing w:before="64" w:line="240" w:lineRule="auto"/>
              <w:ind w:left="5" w:right="1"/>
              <w:rPr>
                <w:sz w:val="28"/>
              </w:rPr>
            </w:pPr>
            <w:r>
              <w:rPr>
                <w:sz w:val="28"/>
              </w:rPr>
              <w:t>72</w:t>
            </w:r>
            <w:r>
              <w:rPr>
                <w:spacing w:val="-2"/>
                <w:sz w:val="28"/>
              </w:rPr>
              <w:t xml:space="preserve"> (54,1%)</w:t>
            </w:r>
          </w:p>
        </w:tc>
      </w:tr>
      <w:tr w14:paraId="5C2D6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2552" w:type="dxa"/>
          </w:tcPr>
          <w:p w14:paraId="503961C6">
            <w:pPr>
              <w:pStyle w:val="11"/>
              <w:spacing w:before="36" w:line="240" w:lineRule="auto"/>
              <w:ind w:left="13" w:right="11"/>
              <w:rPr>
                <w:sz w:val="28"/>
              </w:rPr>
            </w:pPr>
            <w:r>
              <w:rPr>
                <w:sz w:val="28"/>
              </w:rPr>
              <w:t>г.</w:t>
            </w:r>
            <w:r>
              <w:rPr>
                <w:spacing w:val="2"/>
                <w:sz w:val="28"/>
              </w:rPr>
              <w:t xml:space="preserve"> </w:t>
            </w:r>
            <w:r>
              <w:rPr>
                <w:spacing w:val="-2"/>
                <w:sz w:val="28"/>
              </w:rPr>
              <w:t>Астана</w:t>
            </w:r>
          </w:p>
        </w:tc>
        <w:tc>
          <w:tcPr>
            <w:tcW w:w="1701" w:type="dxa"/>
          </w:tcPr>
          <w:p w14:paraId="4468D893">
            <w:pPr>
              <w:pStyle w:val="11"/>
              <w:spacing w:before="36" w:line="240" w:lineRule="auto"/>
              <w:ind w:left="10"/>
              <w:rPr>
                <w:sz w:val="28"/>
              </w:rPr>
            </w:pPr>
            <w:r>
              <w:rPr>
                <w:sz w:val="28"/>
              </w:rPr>
              <w:t>36</w:t>
            </w:r>
            <w:r>
              <w:rPr>
                <w:spacing w:val="-2"/>
                <w:sz w:val="28"/>
              </w:rPr>
              <w:t xml:space="preserve"> (24,8%)</w:t>
            </w:r>
          </w:p>
        </w:tc>
        <w:tc>
          <w:tcPr>
            <w:tcW w:w="1843" w:type="dxa"/>
          </w:tcPr>
          <w:p w14:paraId="05494B9C">
            <w:pPr>
              <w:pStyle w:val="11"/>
              <w:spacing w:before="36" w:line="240" w:lineRule="auto"/>
              <w:ind w:left="75" w:right="75"/>
              <w:rPr>
                <w:sz w:val="28"/>
              </w:rPr>
            </w:pPr>
            <w:r>
              <w:rPr>
                <w:sz w:val="28"/>
              </w:rPr>
              <w:t>34</w:t>
            </w:r>
            <w:r>
              <w:rPr>
                <w:spacing w:val="-2"/>
                <w:sz w:val="28"/>
              </w:rPr>
              <w:t xml:space="preserve"> (21,6%)</w:t>
            </w:r>
          </w:p>
        </w:tc>
        <w:tc>
          <w:tcPr>
            <w:tcW w:w="1842" w:type="dxa"/>
          </w:tcPr>
          <w:p w14:paraId="67E648BB">
            <w:pPr>
              <w:pStyle w:val="11"/>
              <w:spacing w:before="36" w:line="240" w:lineRule="auto"/>
              <w:ind w:left="4" w:right="7"/>
              <w:rPr>
                <w:sz w:val="28"/>
              </w:rPr>
            </w:pPr>
            <w:r>
              <w:rPr>
                <w:sz w:val="28"/>
              </w:rPr>
              <w:t>46</w:t>
            </w:r>
            <w:r>
              <w:rPr>
                <w:spacing w:val="-2"/>
                <w:sz w:val="28"/>
              </w:rPr>
              <w:t xml:space="preserve"> (26,1%)</w:t>
            </w:r>
          </w:p>
        </w:tc>
        <w:tc>
          <w:tcPr>
            <w:tcW w:w="1701" w:type="dxa"/>
          </w:tcPr>
          <w:p w14:paraId="08811C75">
            <w:pPr>
              <w:pStyle w:val="11"/>
              <w:spacing w:before="36" w:line="240" w:lineRule="auto"/>
              <w:ind w:left="5" w:right="1"/>
              <w:rPr>
                <w:sz w:val="28"/>
              </w:rPr>
            </w:pPr>
            <w:r>
              <w:rPr>
                <w:sz w:val="28"/>
              </w:rPr>
              <w:t>35</w:t>
            </w:r>
            <w:r>
              <w:rPr>
                <w:spacing w:val="-2"/>
                <w:sz w:val="28"/>
              </w:rPr>
              <w:t xml:space="preserve"> (26,3%)</w:t>
            </w:r>
          </w:p>
        </w:tc>
      </w:tr>
      <w:tr w14:paraId="63D25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552" w:type="dxa"/>
          </w:tcPr>
          <w:p w14:paraId="5484FF28">
            <w:pPr>
              <w:pStyle w:val="11"/>
              <w:spacing w:before="36" w:line="240" w:lineRule="auto"/>
              <w:ind w:left="13" w:right="3"/>
              <w:rPr>
                <w:sz w:val="28"/>
              </w:rPr>
            </w:pPr>
            <w:r>
              <w:rPr>
                <w:sz w:val="28"/>
              </w:rPr>
              <w:t>г.</w:t>
            </w:r>
            <w:r>
              <w:rPr>
                <w:spacing w:val="2"/>
                <w:sz w:val="28"/>
              </w:rPr>
              <w:t xml:space="preserve"> </w:t>
            </w:r>
            <w:r>
              <w:rPr>
                <w:spacing w:val="-2"/>
                <w:sz w:val="28"/>
              </w:rPr>
              <w:t>Шымкент</w:t>
            </w:r>
          </w:p>
        </w:tc>
        <w:tc>
          <w:tcPr>
            <w:tcW w:w="1701" w:type="dxa"/>
          </w:tcPr>
          <w:p w14:paraId="0D3D8A6F">
            <w:pPr>
              <w:pStyle w:val="11"/>
              <w:spacing w:before="36" w:line="240" w:lineRule="auto"/>
              <w:ind w:left="10"/>
              <w:rPr>
                <w:sz w:val="28"/>
              </w:rPr>
            </w:pPr>
            <w:r>
              <w:rPr>
                <w:sz w:val="28"/>
              </w:rPr>
              <w:t>1</w:t>
            </w:r>
            <w:r>
              <w:rPr>
                <w:spacing w:val="-1"/>
                <w:sz w:val="28"/>
              </w:rPr>
              <w:t xml:space="preserve"> </w:t>
            </w:r>
            <w:r>
              <w:rPr>
                <w:spacing w:val="-2"/>
                <w:sz w:val="28"/>
              </w:rPr>
              <w:t>(0,6%)</w:t>
            </w:r>
          </w:p>
        </w:tc>
        <w:tc>
          <w:tcPr>
            <w:tcW w:w="1843" w:type="dxa"/>
          </w:tcPr>
          <w:p w14:paraId="0CF48331">
            <w:pPr>
              <w:pStyle w:val="11"/>
              <w:spacing w:before="36" w:line="240" w:lineRule="auto"/>
              <w:ind w:left="75" w:right="75"/>
              <w:rPr>
                <w:sz w:val="28"/>
              </w:rPr>
            </w:pPr>
            <w:r>
              <w:rPr>
                <w:sz w:val="28"/>
              </w:rPr>
              <w:t>2</w:t>
            </w:r>
            <w:r>
              <w:rPr>
                <w:spacing w:val="-1"/>
                <w:sz w:val="28"/>
              </w:rPr>
              <w:t xml:space="preserve"> </w:t>
            </w:r>
            <w:r>
              <w:rPr>
                <w:spacing w:val="-2"/>
                <w:sz w:val="28"/>
              </w:rPr>
              <w:t>(1,2%)</w:t>
            </w:r>
          </w:p>
        </w:tc>
        <w:tc>
          <w:tcPr>
            <w:tcW w:w="1842" w:type="dxa"/>
          </w:tcPr>
          <w:p w14:paraId="1B59B17D">
            <w:pPr>
              <w:pStyle w:val="11"/>
              <w:spacing w:before="36" w:line="240" w:lineRule="auto"/>
              <w:ind w:left="4" w:right="6"/>
              <w:rPr>
                <w:sz w:val="28"/>
              </w:rPr>
            </w:pPr>
            <w:r>
              <w:rPr>
                <w:sz w:val="28"/>
              </w:rPr>
              <w:t>3</w:t>
            </w:r>
            <w:r>
              <w:rPr>
                <w:spacing w:val="-1"/>
                <w:sz w:val="28"/>
              </w:rPr>
              <w:t xml:space="preserve"> </w:t>
            </w:r>
            <w:r>
              <w:rPr>
                <w:spacing w:val="-2"/>
                <w:sz w:val="28"/>
              </w:rPr>
              <w:t>(1,7%)</w:t>
            </w:r>
          </w:p>
        </w:tc>
        <w:tc>
          <w:tcPr>
            <w:tcW w:w="1701" w:type="dxa"/>
          </w:tcPr>
          <w:p w14:paraId="5AFAD536">
            <w:pPr>
              <w:pStyle w:val="11"/>
              <w:spacing w:before="36" w:line="240" w:lineRule="auto"/>
              <w:ind w:left="5" w:right="1"/>
              <w:rPr>
                <w:sz w:val="28"/>
              </w:rPr>
            </w:pPr>
            <w:r>
              <w:rPr>
                <w:sz w:val="28"/>
              </w:rPr>
              <w:t>2</w:t>
            </w:r>
            <w:r>
              <w:rPr>
                <w:spacing w:val="-1"/>
                <w:sz w:val="28"/>
              </w:rPr>
              <w:t xml:space="preserve"> </w:t>
            </w:r>
            <w:r>
              <w:rPr>
                <w:spacing w:val="-2"/>
                <w:sz w:val="28"/>
              </w:rPr>
              <w:t>(1,5%)</w:t>
            </w:r>
          </w:p>
        </w:tc>
      </w:tr>
      <w:tr w14:paraId="17AEF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552" w:type="dxa"/>
          </w:tcPr>
          <w:p w14:paraId="17BD7827">
            <w:pPr>
              <w:pStyle w:val="11"/>
              <w:spacing w:line="301" w:lineRule="exact"/>
              <w:ind w:left="13"/>
              <w:rPr>
                <w:sz w:val="28"/>
              </w:rPr>
            </w:pPr>
            <w:r>
              <w:rPr>
                <w:spacing w:val="-2"/>
                <w:sz w:val="28"/>
              </w:rPr>
              <w:t>ИТОГО</w:t>
            </w:r>
          </w:p>
        </w:tc>
        <w:tc>
          <w:tcPr>
            <w:tcW w:w="1701" w:type="dxa"/>
          </w:tcPr>
          <w:p w14:paraId="5AB72391">
            <w:pPr>
              <w:pStyle w:val="11"/>
              <w:spacing w:line="301" w:lineRule="exact"/>
              <w:ind w:left="10" w:right="1"/>
              <w:rPr>
                <w:sz w:val="28"/>
              </w:rPr>
            </w:pPr>
            <w:r>
              <w:rPr>
                <w:spacing w:val="-5"/>
                <w:sz w:val="28"/>
              </w:rPr>
              <w:t>145</w:t>
            </w:r>
          </w:p>
        </w:tc>
        <w:tc>
          <w:tcPr>
            <w:tcW w:w="1843" w:type="dxa"/>
          </w:tcPr>
          <w:p w14:paraId="3EDC62BE">
            <w:pPr>
              <w:pStyle w:val="11"/>
              <w:spacing w:line="301" w:lineRule="exact"/>
              <w:ind w:left="75" w:right="67"/>
              <w:rPr>
                <w:sz w:val="28"/>
              </w:rPr>
            </w:pPr>
            <w:r>
              <w:rPr>
                <w:spacing w:val="-5"/>
                <w:sz w:val="28"/>
              </w:rPr>
              <w:t>157</w:t>
            </w:r>
          </w:p>
        </w:tc>
        <w:tc>
          <w:tcPr>
            <w:tcW w:w="1842" w:type="dxa"/>
          </w:tcPr>
          <w:p w14:paraId="27C4F089">
            <w:pPr>
              <w:pStyle w:val="11"/>
              <w:spacing w:line="301" w:lineRule="exact"/>
              <w:ind w:left="7" w:right="3"/>
              <w:rPr>
                <w:sz w:val="28"/>
              </w:rPr>
            </w:pPr>
            <w:r>
              <w:rPr>
                <w:spacing w:val="-5"/>
                <w:sz w:val="28"/>
              </w:rPr>
              <w:t>175</w:t>
            </w:r>
          </w:p>
        </w:tc>
        <w:tc>
          <w:tcPr>
            <w:tcW w:w="1701" w:type="dxa"/>
          </w:tcPr>
          <w:p w14:paraId="494C859F">
            <w:pPr>
              <w:pStyle w:val="11"/>
              <w:spacing w:line="301" w:lineRule="exact"/>
              <w:ind w:left="4" w:right="1"/>
              <w:rPr>
                <w:sz w:val="28"/>
              </w:rPr>
            </w:pPr>
            <w:r>
              <w:rPr>
                <w:spacing w:val="-5"/>
                <w:sz w:val="28"/>
              </w:rPr>
              <w:t>133</w:t>
            </w:r>
          </w:p>
        </w:tc>
      </w:tr>
    </w:tbl>
    <w:p w14:paraId="2DD4DDDB">
      <w:pPr>
        <w:pStyle w:val="7"/>
        <w:spacing w:before="16"/>
        <w:ind w:left="0" w:firstLine="0"/>
        <w:jc w:val="left"/>
      </w:pPr>
    </w:p>
    <w:p w14:paraId="5A4FD334">
      <w:pPr>
        <w:pStyle w:val="7"/>
        <w:ind w:left="0" w:right="3" w:firstLine="709"/>
      </w:pPr>
      <w:r>
        <w:t>Данные, представленные в таблице 7, отражают динамику выполнения ГПДР и показатели послеоперационной летальности по регионам Республики Казахстан в период с 2022 по 2025 годы.</w:t>
      </w:r>
    </w:p>
    <w:p w14:paraId="43665805">
      <w:pPr>
        <w:pStyle w:val="7"/>
        <w:ind w:left="0" w:right="3" w:firstLine="709"/>
      </w:pPr>
      <w:r>
        <w:t xml:space="preserve">В целом за анализируемый период отмечено увеличение хирургической активности с 145 операций в 2022 году до 175 в 2024 году, с последующим умеренным снижением до 133 вмешательств в 2025 году. Наибольший объём операций на протяжении всего периода стабильно приходился на крупные медицинские центры города Алматы и Астана, а также в меньшей степени </w:t>
      </w:r>
      <w:r>
        <w:rPr>
          <w:spacing w:val="-2"/>
        </w:rPr>
        <w:t>Шымкент.</w:t>
      </w:r>
    </w:p>
    <w:p w14:paraId="13AFE7C5">
      <w:pPr>
        <w:pStyle w:val="7"/>
        <w:tabs>
          <w:tab w:val="left" w:pos="3173"/>
          <w:tab w:val="left" w:pos="4114"/>
          <w:tab w:val="left" w:pos="6408"/>
          <w:tab w:val="left" w:pos="8990"/>
        </w:tabs>
        <w:spacing w:before="2"/>
        <w:ind w:left="0" w:right="3" w:firstLine="0"/>
      </w:pPr>
      <w:r>
        <w:t>В городе Алматы ежегодно выполнялось от 72 до 81 ГПДР, что соответствовало 44,5–55,8% от общего числа операций по стране. В Астане данный</w:t>
      </w:r>
      <w:r>
        <w:rPr>
          <w:spacing w:val="-9"/>
        </w:rPr>
        <w:t xml:space="preserve"> </w:t>
      </w:r>
      <w:r>
        <w:t>показатель</w:t>
      </w:r>
      <w:r>
        <w:rPr>
          <w:spacing w:val="-10"/>
        </w:rPr>
        <w:t xml:space="preserve"> </w:t>
      </w:r>
      <w:r>
        <w:t>составлял</w:t>
      </w:r>
      <w:r>
        <w:rPr>
          <w:spacing w:val="-8"/>
        </w:rPr>
        <w:t xml:space="preserve"> </w:t>
      </w:r>
      <w:r>
        <w:t>от</w:t>
      </w:r>
      <w:r>
        <w:rPr>
          <w:spacing w:val="-10"/>
        </w:rPr>
        <w:t xml:space="preserve"> </w:t>
      </w:r>
      <w:r>
        <w:t>34</w:t>
      </w:r>
      <w:r>
        <w:rPr>
          <w:spacing w:val="-8"/>
        </w:rPr>
        <w:t xml:space="preserve"> </w:t>
      </w:r>
      <w:r>
        <w:t>до</w:t>
      </w:r>
      <w:r>
        <w:rPr>
          <w:spacing w:val="-8"/>
        </w:rPr>
        <w:t xml:space="preserve"> </w:t>
      </w:r>
      <w:r>
        <w:t>46</w:t>
      </w:r>
      <w:r>
        <w:rPr>
          <w:spacing w:val="-13"/>
        </w:rPr>
        <w:t xml:space="preserve"> </w:t>
      </w:r>
      <w:r>
        <w:t>вмешательств</w:t>
      </w:r>
      <w:r>
        <w:rPr>
          <w:spacing w:val="-10"/>
        </w:rPr>
        <w:t xml:space="preserve"> </w:t>
      </w:r>
      <w:r>
        <w:t>(21,6–26,3%),</w:t>
      </w:r>
      <w:r>
        <w:rPr>
          <w:spacing w:val="-6"/>
        </w:rPr>
        <w:t xml:space="preserve"> </w:t>
      </w:r>
      <w:r>
        <w:t>тогда</w:t>
      </w:r>
      <w:r>
        <w:rPr>
          <w:spacing w:val="-8"/>
        </w:rPr>
        <w:t xml:space="preserve"> </w:t>
      </w:r>
      <w:r>
        <w:t>как</w:t>
      </w:r>
      <w:r>
        <w:rPr>
          <w:spacing w:val="-9"/>
        </w:rPr>
        <w:t xml:space="preserve"> </w:t>
      </w:r>
      <w:r>
        <w:t xml:space="preserve">в Шымкенте выполнялось от 1 до 3 операций в год (порядка 1–2%). Таким образом, более 70% всех ГПДР выполнялось в трёх крупнейших городах, что </w:t>
      </w:r>
      <w:r>
        <w:rPr>
          <w:spacing w:val="-2"/>
        </w:rPr>
        <w:t>свидетельствует</w:t>
      </w:r>
      <w:r>
        <w:rPr>
          <w:lang w:val="kk-KZ"/>
        </w:rPr>
        <w:t xml:space="preserve"> </w:t>
      </w:r>
      <w:r>
        <w:rPr>
          <w:spacing w:val="-10"/>
        </w:rPr>
        <w:t>о</w:t>
      </w:r>
      <w:r>
        <w:rPr>
          <w:lang w:val="kk-KZ"/>
        </w:rPr>
        <w:t xml:space="preserve"> </w:t>
      </w:r>
      <w:r>
        <w:rPr>
          <w:spacing w:val="-2"/>
        </w:rPr>
        <w:t>выраженной</w:t>
      </w:r>
      <w:r>
        <w:rPr>
          <w:lang w:val="kk-KZ"/>
        </w:rPr>
        <w:t xml:space="preserve"> </w:t>
      </w:r>
      <w:r>
        <w:rPr>
          <w:spacing w:val="-2"/>
        </w:rPr>
        <w:t>централизации</w:t>
      </w:r>
      <w:r>
        <w:t xml:space="preserve"> </w:t>
      </w:r>
      <w:r>
        <w:rPr>
          <w:spacing w:val="-2"/>
        </w:rPr>
        <w:t>оказания</w:t>
      </w:r>
      <w:r>
        <w:rPr>
          <w:spacing w:val="-2"/>
          <w:lang w:val="kk-KZ"/>
        </w:rPr>
        <w:t xml:space="preserve"> </w:t>
      </w:r>
      <w:r>
        <w:rPr>
          <w:spacing w:val="-2"/>
        </w:rPr>
        <w:t>высокоспециализированной</w:t>
      </w:r>
      <w:r>
        <w:rPr>
          <w:spacing w:val="16"/>
        </w:rPr>
        <w:t xml:space="preserve"> </w:t>
      </w:r>
      <w:r>
        <w:rPr>
          <w:spacing w:val="-2"/>
        </w:rPr>
        <w:t>хирургической</w:t>
      </w:r>
      <w:r>
        <w:rPr>
          <w:spacing w:val="17"/>
        </w:rPr>
        <w:t xml:space="preserve"> </w:t>
      </w:r>
      <w:r>
        <w:rPr>
          <w:spacing w:val="-2"/>
        </w:rPr>
        <w:t>помощи.</w:t>
      </w:r>
    </w:p>
    <w:p w14:paraId="5E5B2F81">
      <w:pPr>
        <w:pStyle w:val="7"/>
        <w:ind w:left="0" w:right="3" w:firstLine="709"/>
      </w:pPr>
      <w:r>
        <w:t>Минимальная хирургическая активность наблюдалась в регионах с ограниченными возможностями высокотехнологичной хирургии — Костанайской, Жамбылской, Улытауской и Атырауской областях, где вмешательства носили единичный характер либо отсутствовали в отдельные годы</w:t>
      </w:r>
      <w:r>
        <w:rPr>
          <w:spacing w:val="-2"/>
        </w:rPr>
        <w:t xml:space="preserve"> </w:t>
      </w:r>
      <w:r>
        <w:t>наблюдения. В</w:t>
      </w:r>
      <w:r>
        <w:rPr>
          <w:spacing w:val="-5"/>
        </w:rPr>
        <w:t xml:space="preserve"> </w:t>
      </w:r>
      <w:r>
        <w:t>Восточно-Казахстанской, Карагандинской, Акмолинской и Северо-Казахстанской областях ГПДР выполнялись регулярно, однако в существенно меньших объёмах — от 4 до 13 операций в год.</w:t>
      </w:r>
    </w:p>
    <w:p w14:paraId="6B3A57E1">
      <w:pPr>
        <w:pStyle w:val="7"/>
        <w:spacing w:before="3"/>
        <w:ind w:left="0" w:right="3" w:firstLine="709"/>
      </w:pPr>
      <w:r>
        <w:t xml:space="preserve">Показатели послеоперационной летальности варьировали от 3,0% в 2025 году до 9,5% в 2023 году, что отражает влияние различий в контингенте пациентов, уровне централизации хирургической помощи и применяемых хирургических технологиях. Наименьшая летальность была зафиксирована в 2025 году — 4 летальных исхода при 133 выполненных операциях (3,0%), что совпало с периодом внедрения модифицированной техники ПЕА и усовершенствованных подходов к профилактике послеоперационных </w:t>
      </w:r>
      <w:r>
        <w:rPr>
          <w:spacing w:val="-2"/>
        </w:rPr>
        <w:t>осложнений.</w:t>
      </w:r>
    </w:p>
    <w:p w14:paraId="384A41C8">
      <w:pPr>
        <w:pStyle w:val="7"/>
        <w:spacing w:before="2"/>
        <w:ind w:left="0" w:firstLine="0"/>
        <w:jc w:val="left"/>
      </w:pPr>
    </w:p>
    <w:p w14:paraId="13CA76FE">
      <w:pPr>
        <w:pStyle w:val="7"/>
        <w:spacing w:before="1"/>
        <w:ind w:left="0" w:right="3" w:firstLine="0"/>
      </w:pPr>
      <w:r>
        <w:t>Таблица 8 - Послеоперационная летальность после ГПДР в Казахстане в 2022– 2025 гг., n (%)</w:t>
      </w:r>
    </w:p>
    <w:p w14:paraId="59439FE0">
      <w:pPr>
        <w:pStyle w:val="7"/>
        <w:spacing w:before="2"/>
        <w:ind w:left="0" w:firstLine="0"/>
        <w:jc w:val="left"/>
        <w:rPr>
          <w:sz w:val="17"/>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11"/>
        <w:gridCol w:w="1418"/>
        <w:gridCol w:w="1417"/>
        <w:gridCol w:w="1418"/>
        <w:gridCol w:w="1275"/>
      </w:tblGrid>
      <w:tr w14:paraId="5A931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4111" w:type="dxa"/>
          </w:tcPr>
          <w:p w14:paraId="125937A8">
            <w:pPr>
              <w:pStyle w:val="11"/>
              <w:spacing w:line="315" w:lineRule="exact"/>
              <w:ind w:left="105"/>
              <w:jc w:val="left"/>
              <w:rPr>
                <w:sz w:val="28"/>
              </w:rPr>
            </w:pPr>
            <w:r>
              <w:rPr>
                <w:spacing w:val="-2"/>
                <w:sz w:val="28"/>
              </w:rPr>
              <w:t>Показатель</w:t>
            </w:r>
          </w:p>
        </w:tc>
        <w:tc>
          <w:tcPr>
            <w:tcW w:w="1418" w:type="dxa"/>
          </w:tcPr>
          <w:p w14:paraId="03B8F55C">
            <w:pPr>
              <w:pStyle w:val="11"/>
              <w:spacing w:line="242" w:lineRule="auto"/>
              <w:ind w:left="340" w:right="326" w:firstLine="33"/>
              <w:jc w:val="left"/>
              <w:rPr>
                <w:sz w:val="28"/>
              </w:rPr>
            </w:pPr>
            <w:r>
              <w:rPr>
                <w:spacing w:val="-4"/>
                <w:sz w:val="28"/>
              </w:rPr>
              <w:t xml:space="preserve">2022 </w:t>
            </w:r>
            <w:r>
              <w:rPr>
                <w:sz w:val="28"/>
              </w:rPr>
              <w:t>n</w:t>
            </w:r>
            <w:r>
              <w:rPr>
                <w:spacing w:val="-5"/>
                <w:sz w:val="28"/>
              </w:rPr>
              <w:t xml:space="preserve"> (%)</w:t>
            </w:r>
          </w:p>
        </w:tc>
        <w:tc>
          <w:tcPr>
            <w:tcW w:w="1417" w:type="dxa"/>
          </w:tcPr>
          <w:p w14:paraId="69A98F47">
            <w:pPr>
              <w:pStyle w:val="11"/>
              <w:spacing w:line="242" w:lineRule="auto"/>
              <w:ind w:left="369" w:right="364" w:firstLine="33"/>
              <w:jc w:val="left"/>
              <w:rPr>
                <w:sz w:val="28"/>
              </w:rPr>
            </w:pPr>
            <w:r>
              <w:rPr>
                <w:spacing w:val="-4"/>
                <w:sz w:val="28"/>
              </w:rPr>
              <w:t xml:space="preserve">2023 </w:t>
            </w:r>
            <w:r>
              <w:rPr>
                <w:sz w:val="28"/>
              </w:rPr>
              <w:t>n</w:t>
            </w:r>
            <w:r>
              <w:rPr>
                <w:spacing w:val="-5"/>
                <w:sz w:val="28"/>
              </w:rPr>
              <w:t xml:space="preserve"> (%)</w:t>
            </w:r>
          </w:p>
        </w:tc>
        <w:tc>
          <w:tcPr>
            <w:tcW w:w="1418" w:type="dxa"/>
          </w:tcPr>
          <w:p w14:paraId="28EA943A">
            <w:pPr>
              <w:pStyle w:val="11"/>
              <w:spacing w:line="242" w:lineRule="auto"/>
              <w:ind w:left="369" w:right="369" w:firstLine="38"/>
              <w:jc w:val="left"/>
              <w:rPr>
                <w:sz w:val="28"/>
              </w:rPr>
            </w:pPr>
            <w:r>
              <w:rPr>
                <w:spacing w:val="-4"/>
                <w:sz w:val="28"/>
              </w:rPr>
              <w:t xml:space="preserve">2024 </w:t>
            </w:r>
            <w:r>
              <w:rPr>
                <w:sz w:val="28"/>
              </w:rPr>
              <w:t>n</w:t>
            </w:r>
            <w:r>
              <w:rPr>
                <w:spacing w:val="-5"/>
                <w:sz w:val="28"/>
              </w:rPr>
              <w:t xml:space="preserve"> (%)</w:t>
            </w:r>
          </w:p>
        </w:tc>
        <w:tc>
          <w:tcPr>
            <w:tcW w:w="1275" w:type="dxa"/>
          </w:tcPr>
          <w:p w14:paraId="4A452B18">
            <w:pPr>
              <w:pStyle w:val="11"/>
              <w:spacing w:line="242" w:lineRule="auto"/>
              <w:ind w:left="307" w:right="292" w:firstLine="33"/>
              <w:jc w:val="left"/>
              <w:rPr>
                <w:sz w:val="28"/>
              </w:rPr>
            </w:pPr>
            <w:r>
              <w:rPr>
                <w:spacing w:val="-4"/>
                <w:sz w:val="28"/>
              </w:rPr>
              <w:t xml:space="preserve">2025 </w:t>
            </w:r>
            <w:r>
              <w:rPr>
                <w:sz w:val="28"/>
              </w:rPr>
              <w:t>n</w:t>
            </w:r>
            <w:r>
              <w:rPr>
                <w:spacing w:val="-5"/>
                <w:sz w:val="28"/>
              </w:rPr>
              <w:t xml:space="preserve"> (%)</w:t>
            </w:r>
          </w:p>
        </w:tc>
      </w:tr>
      <w:tr w14:paraId="7334A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6" w:hRule="atLeast"/>
        </w:trPr>
        <w:tc>
          <w:tcPr>
            <w:tcW w:w="4111" w:type="dxa"/>
          </w:tcPr>
          <w:p w14:paraId="56DECF14">
            <w:pPr>
              <w:pStyle w:val="11"/>
              <w:spacing w:line="242" w:lineRule="auto"/>
              <w:ind w:left="105"/>
              <w:jc w:val="left"/>
              <w:rPr>
                <w:sz w:val="28"/>
              </w:rPr>
            </w:pPr>
            <w:r>
              <w:rPr>
                <w:sz w:val="28"/>
              </w:rPr>
              <w:t>Летальность</w:t>
            </w:r>
            <w:r>
              <w:rPr>
                <w:spacing w:val="-18"/>
                <w:sz w:val="28"/>
              </w:rPr>
              <w:t xml:space="preserve"> </w:t>
            </w:r>
            <w:r>
              <w:rPr>
                <w:sz w:val="28"/>
              </w:rPr>
              <w:t>в</w:t>
            </w:r>
            <w:r>
              <w:rPr>
                <w:spacing w:val="-17"/>
                <w:sz w:val="28"/>
              </w:rPr>
              <w:t xml:space="preserve"> </w:t>
            </w:r>
            <w:r>
              <w:rPr>
                <w:sz w:val="28"/>
              </w:rPr>
              <w:t>высокообъёмных центрах ≥ 20 операции в год (Алматы + Астана)</w:t>
            </w:r>
          </w:p>
        </w:tc>
        <w:tc>
          <w:tcPr>
            <w:tcW w:w="1418" w:type="dxa"/>
          </w:tcPr>
          <w:p w14:paraId="3CBB0D3B">
            <w:pPr>
              <w:pStyle w:val="11"/>
              <w:spacing w:line="315" w:lineRule="exact"/>
              <w:ind w:left="163"/>
              <w:jc w:val="left"/>
              <w:rPr>
                <w:sz w:val="28"/>
              </w:rPr>
            </w:pPr>
            <w:r>
              <w:rPr>
                <w:sz w:val="28"/>
              </w:rPr>
              <w:t>6</w:t>
            </w:r>
            <w:r>
              <w:rPr>
                <w:spacing w:val="-1"/>
                <w:sz w:val="28"/>
              </w:rPr>
              <w:t xml:space="preserve"> </w:t>
            </w:r>
            <w:r>
              <w:rPr>
                <w:spacing w:val="-2"/>
                <w:sz w:val="28"/>
              </w:rPr>
              <w:t>(4,1%)</w:t>
            </w:r>
          </w:p>
        </w:tc>
        <w:tc>
          <w:tcPr>
            <w:tcW w:w="1417" w:type="dxa"/>
          </w:tcPr>
          <w:p w14:paraId="6EF7578A">
            <w:pPr>
              <w:pStyle w:val="11"/>
              <w:spacing w:line="315" w:lineRule="exact"/>
              <w:ind w:left="33" w:right="34"/>
              <w:rPr>
                <w:sz w:val="28"/>
              </w:rPr>
            </w:pPr>
            <w:r>
              <w:rPr>
                <w:sz w:val="28"/>
              </w:rPr>
              <w:t>8</w:t>
            </w:r>
            <w:r>
              <w:rPr>
                <w:spacing w:val="-1"/>
                <w:sz w:val="28"/>
              </w:rPr>
              <w:t xml:space="preserve"> </w:t>
            </w:r>
            <w:r>
              <w:rPr>
                <w:spacing w:val="-2"/>
                <w:sz w:val="28"/>
              </w:rPr>
              <w:t>(5,1%)</w:t>
            </w:r>
          </w:p>
        </w:tc>
        <w:tc>
          <w:tcPr>
            <w:tcW w:w="1418" w:type="dxa"/>
          </w:tcPr>
          <w:p w14:paraId="21E6316F">
            <w:pPr>
              <w:pStyle w:val="11"/>
              <w:spacing w:line="315" w:lineRule="exact"/>
              <w:ind w:left="41" w:right="39"/>
              <w:rPr>
                <w:sz w:val="28"/>
              </w:rPr>
            </w:pPr>
            <w:r>
              <w:rPr>
                <w:sz w:val="28"/>
              </w:rPr>
              <w:t>6</w:t>
            </w:r>
            <w:r>
              <w:rPr>
                <w:spacing w:val="-1"/>
                <w:sz w:val="28"/>
              </w:rPr>
              <w:t xml:space="preserve"> </w:t>
            </w:r>
            <w:r>
              <w:rPr>
                <w:spacing w:val="-2"/>
                <w:sz w:val="28"/>
              </w:rPr>
              <w:t>(3,4%)</w:t>
            </w:r>
          </w:p>
        </w:tc>
        <w:tc>
          <w:tcPr>
            <w:tcW w:w="1275" w:type="dxa"/>
          </w:tcPr>
          <w:p w14:paraId="1703432C">
            <w:pPr>
              <w:pStyle w:val="11"/>
              <w:spacing w:line="315" w:lineRule="exact"/>
              <w:ind w:left="35" w:right="29"/>
              <w:rPr>
                <w:sz w:val="28"/>
              </w:rPr>
            </w:pPr>
            <w:r>
              <w:rPr>
                <w:sz w:val="28"/>
              </w:rPr>
              <w:t>3</w:t>
            </w:r>
            <w:r>
              <w:rPr>
                <w:spacing w:val="-1"/>
                <w:sz w:val="28"/>
              </w:rPr>
              <w:t xml:space="preserve"> </w:t>
            </w:r>
            <w:r>
              <w:rPr>
                <w:spacing w:val="-2"/>
                <w:sz w:val="28"/>
              </w:rPr>
              <w:t>(2,2%)</w:t>
            </w:r>
          </w:p>
        </w:tc>
      </w:tr>
      <w:tr w14:paraId="2183F1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4111" w:type="dxa"/>
          </w:tcPr>
          <w:p w14:paraId="46C1E999">
            <w:pPr>
              <w:pStyle w:val="11"/>
              <w:spacing w:line="240" w:lineRule="auto"/>
              <w:ind w:left="105"/>
              <w:jc w:val="left"/>
              <w:rPr>
                <w:sz w:val="28"/>
              </w:rPr>
            </w:pPr>
            <w:r>
              <w:rPr>
                <w:sz w:val="28"/>
              </w:rPr>
              <w:t>Летальность</w:t>
            </w:r>
            <w:r>
              <w:rPr>
                <w:spacing w:val="-18"/>
                <w:sz w:val="28"/>
              </w:rPr>
              <w:t xml:space="preserve"> </w:t>
            </w:r>
            <w:r>
              <w:rPr>
                <w:sz w:val="28"/>
              </w:rPr>
              <w:t>в</w:t>
            </w:r>
            <w:r>
              <w:rPr>
                <w:spacing w:val="-17"/>
                <w:sz w:val="28"/>
              </w:rPr>
              <w:t xml:space="preserve"> </w:t>
            </w:r>
            <w:r>
              <w:rPr>
                <w:sz w:val="28"/>
              </w:rPr>
              <w:t>низкообъёмных регионах &lt;20 операций в год</w:t>
            </w:r>
          </w:p>
        </w:tc>
        <w:tc>
          <w:tcPr>
            <w:tcW w:w="1418" w:type="dxa"/>
          </w:tcPr>
          <w:p w14:paraId="182B6947">
            <w:pPr>
              <w:pStyle w:val="11"/>
              <w:spacing w:line="315" w:lineRule="exact"/>
              <w:ind w:left="163"/>
              <w:jc w:val="left"/>
              <w:rPr>
                <w:sz w:val="28"/>
              </w:rPr>
            </w:pPr>
            <w:r>
              <w:rPr>
                <w:sz w:val="28"/>
              </w:rPr>
              <w:t>3</w:t>
            </w:r>
            <w:r>
              <w:rPr>
                <w:spacing w:val="-1"/>
                <w:sz w:val="28"/>
              </w:rPr>
              <w:t xml:space="preserve"> </w:t>
            </w:r>
            <w:r>
              <w:rPr>
                <w:spacing w:val="-2"/>
                <w:sz w:val="28"/>
              </w:rPr>
              <w:t>(2,1%)</w:t>
            </w:r>
          </w:p>
        </w:tc>
        <w:tc>
          <w:tcPr>
            <w:tcW w:w="1417" w:type="dxa"/>
          </w:tcPr>
          <w:p w14:paraId="54728256">
            <w:pPr>
              <w:pStyle w:val="11"/>
              <w:spacing w:line="315" w:lineRule="exact"/>
              <w:ind w:left="33" w:right="34"/>
              <w:rPr>
                <w:sz w:val="28"/>
              </w:rPr>
            </w:pPr>
            <w:r>
              <w:rPr>
                <w:sz w:val="28"/>
              </w:rPr>
              <w:t>7</w:t>
            </w:r>
            <w:r>
              <w:rPr>
                <w:spacing w:val="-1"/>
                <w:sz w:val="28"/>
              </w:rPr>
              <w:t xml:space="preserve"> </w:t>
            </w:r>
            <w:r>
              <w:rPr>
                <w:spacing w:val="-2"/>
                <w:sz w:val="28"/>
              </w:rPr>
              <w:t>(4,4%)</w:t>
            </w:r>
          </w:p>
        </w:tc>
        <w:tc>
          <w:tcPr>
            <w:tcW w:w="1418" w:type="dxa"/>
          </w:tcPr>
          <w:p w14:paraId="47FF0A43">
            <w:pPr>
              <w:pStyle w:val="11"/>
              <w:spacing w:line="315" w:lineRule="exact"/>
              <w:ind w:left="39" w:right="39"/>
              <w:rPr>
                <w:sz w:val="28"/>
              </w:rPr>
            </w:pPr>
            <w:r>
              <w:rPr>
                <w:sz w:val="28"/>
              </w:rPr>
              <w:t>10</w:t>
            </w:r>
            <w:r>
              <w:rPr>
                <w:spacing w:val="-2"/>
                <w:sz w:val="28"/>
              </w:rPr>
              <w:t xml:space="preserve"> (5,7%)</w:t>
            </w:r>
          </w:p>
        </w:tc>
        <w:tc>
          <w:tcPr>
            <w:tcW w:w="1275" w:type="dxa"/>
          </w:tcPr>
          <w:p w14:paraId="1E399132">
            <w:pPr>
              <w:pStyle w:val="11"/>
              <w:spacing w:line="315" w:lineRule="exact"/>
              <w:ind w:left="35" w:right="29"/>
              <w:rPr>
                <w:sz w:val="28"/>
              </w:rPr>
            </w:pPr>
            <w:r>
              <w:rPr>
                <w:sz w:val="28"/>
              </w:rPr>
              <w:t>1</w:t>
            </w:r>
            <w:r>
              <w:rPr>
                <w:spacing w:val="-1"/>
                <w:sz w:val="28"/>
              </w:rPr>
              <w:t xml:space="preserve"> </w:t>
            </w:r>
            <w:r>
              <w:rPr>
                <w:spacing w:val="-2"/>
                <w:sz w:val="28"/>
              </w:rPr>
              <w:t>(0,8%)</w:t>
            </w:r>
          </w:p>
        </w:tc>
      </w:tr>
      <w:tr w14:paraId="278325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4111" w:type="dxa"/>
          </w:tcPr>
          <w:p w14:paraId="5DCFAAEB">
            <w:pPr>
              <w:pStyle w:val="11"/>
              <w:spacing w:line="320" w:lineRule="exact"/>
              <w:ind w:left="105"/>
              <w:jc w:val="left"/>
              <w:rPr>
                <w:sz w:val="28"/>
              </w:rPr>
            </w:pPr>
            <w:r>
              <w:rPr>
                <w:sz w:val="28"/>
              </w:rPr>
              <w:t>Общая</w:t>
            </w:r>
            <w:r>
              <w:rPr>
                <w:spacing w:val="-5"/>
                <w:sz w:val="28"/>
              </w:rPr>
              <w:t xml:space="preserve"> </w:t>
            </w:r>
            <w:r>
              <w:rPr>
                <w:sz w:val="28"/>
              </w:rPr>
              <w:t>летальность</w:t>
            </w:r>
            <w:r>
              <w:rPr>
                <w:spacing w:val="-7"/>
                <w:sz w:val="28"/>
              </w:rPr>
              <w:t xml:space="preserve"> </w:t>
            </w:r>
            <w:r>
              <w:rPr>
                <w:sz w:val="28"/>
              </w:rPr>
              <w:t>по</w:t>
            </w:r>
            <w:r>
              <w:rPr>
                <w:spacing w:val="-6"/>
                <w:sz w:val="28"/>
              </w:rPr>
              <w:t xml:space="preserve"> </w:t>
            </w:r>
            <w:r>
              <w:rPr>
                <w:sz w:val="28"/>
              </w:rPr>
              <w:t>РК, n</w:t>
            </w:r>
            <w:r>
              <w:rPr>
                <w:spacing w:val="-9"/>
                <w:sz w:val="28"/>
              </w:rPr>
              <w:t xml:space="preserve"> </w:t>
            </w:r>
            <w:r>
              <w:rPr>
                <w:spacing w:val="-5"/>
                <w:sz w:val="28"/>
              </w:rPr>
              <w:t>(%)</w:t>
            </w:r>
          </w:p>
        </w:tc>
        <w:tc>
          <w:tcPr>
            <w:tcW w:w="1418" w:type="dxa"/>
          </w:tcPr>
          <w:p w14:paraId="02DCD84F">
            <w:pPr>
              <w:pStyle w:val="11"/>
              <w:spacing w:line="320" w:lineRule="exact"/>
              <w:ind w:left="110"/>
              <w:jc w:val="left"/>
              <w:rPr>
                <w:sz w:val="28"/>
              </w:rPr>
            </w:pPr>
            <w:r>
              <w:rPr>
                <w:sz w:val="28"/>
              </w:rPr>
              <w:t>9</w:t>
            </w:r>
            <w:r>
              <w:rPr>
                <w:spacing w:val="-1"/>
                <w:sz w:val="28"/>
              </w:rPr>
              <w:t xml:space="preserve"> </w:t>
            </w:r>
            <w:r>
              <w:rPr>
                <w:spacing w:val="-2"/>
                <w:sz w:val="28"/>
              </w:rPr>
              <w:t>(6,2%)</w:t>
            </w:r>
          </w:p>
        </w:tc>
        <w:tc>
          <w:tcPr>
            <w:tcW w:w="1417" w:type="dxa"/>
          </w:tcPr>
          <w:p w14:paraId="6D63077E">
            <w:pPr>
              <w:pStyle w:val="11"/>
              <w:spacing w:line="320" w:lineRule="exact"/>
              <w:ind w:right="34"/>
              <w:rPr>
                <w:sz w:val="28"/>
              </w:rPr>
            </w:pPr>
            <w:r>
              <w:rPr>
                <w:sz w:val="28"/>
              </w:rPr>
              <w:t>15</w:t>
            </w:r>
            <w:r>
              <w:rPr>
                <w:spacing w:val="-2"/>
                <w:sz w:val="28"/>
              </w:rPr>
              <w:t xml:space="preserve"> (9,5%)</w:t>
            </w:r>
          </w:p>
        </w:tc>
        <w:tc>
          <w:tcPr>
            <w:tcW w:w="1418" w:type="dxa"/>
          </w:tcPr>
          <w:p w14:paraId="0B2360D8">
            <w:pPr>
              <w:pStyle w:val="11"/>
              <w:spacing w:line="320" w:lineRule="exact"/>
              <w:ind w:left="2" w:right="41"/>
              <w:rPr>
                <w:sz w:val="28"/>
              </w:rPr>
            </w:pPr>
            <w:r>
              <w:rPr>
                <w:sz w:val="28"/>
              </w:rPr>
              <w:t>16</w:t>
            </w:r>
            <w:r>
              <w:rPr>
                <w:spacing w:val="-2"/>
                <w:sz w:val="28"/>
              </w:rPr>
              <w:t xml:space="preserve"> (9,1%)</w:t>
            </w:r>
          </w:p>
        </w:tc>
        <w:tc>
          <w:tcPr>
            <w:tcW w:w="1275" w:type="dxa"/>
          </w:tcPr>
          <w:p w14:paraId="6746F072">
            <w:pPr>
              <w:pStyle w:val="11"/>
              <w:spacing w:line="320" w:lineRule="exact"/>
              <w:ind w:left="6" w:right="35"/>
              <w:rPr>
                <w:sz w:val="28"/>
              </w:rPr>
            </w:pPr>
            <w:r>
              <w:rPr>
                <w:sz w:val="28"/>
              </w:rPr>
              <w:t>4</w:t>
            </w:r>
            <w:r>
              <w:rPr>
                <w:spacing w:val="-1"/>
                <w:sz w:val="28"/>
              </w:rPr>
              <w:t xml:space="preserve"> </w:t>
            </w:r>
            <w:r>
              <w:rPr>
                <w:spacing w:val="-2"/>
                <w:sz w:val="28"/>
              </w:rPr>
              <w:t>(3,0%)</w:t>
            </w:r>
          </w:p>
        </w:tc>
      </w:tr>
    </w:tbl>
    <w:p w14:paraId="6D35E811">
      <w:pPr>
        <w:pStyle w:val="7"/>
        <w:spacing w:before="105"/>
        <w:ind w:left="0" w:firstLine="0"/>
        <w:jc w:val="left"/>
      </w:pPr>
    </w:p>
    <w:p w14:paraId="4814C145">
      <w:pPr>
        <w:pStyle w:val="7"/>
        <w:ind w:left="0" w:right="3" w:firstLine="709"/>
      </w:pPr>
      <w:r>
        <w:t>Следует подчеркнуть, что более высокое абсолютное число летальных исходов, зарегистрированное в городе Алматы, обусловлено прежде всего статусом данного города как крупнейшего высокообъёмного хирургического центра Республики Казахстан, в котором выполняется наибольшее количество ГПДР. В период 2022–2025 гг. в Алматы было выполнено 307 операций, что составляло</w:t>
      </w:r>
      <w:r>
        <w:rPr>
          <w:spacing w:val="6"/>
        </w:rPr>
        <w:t xml:space="preserve"> </w:t>
      </w:r>
      <w:r>
        <w:t>55,8%</w:t>
      </w:r>
      <w:r>
        <w:rPr>
          <w:spacing w:val="5"/>
        </w:rPr>
        <w:t xml:space="preserve"> </w:t>
      </w:r>
      <w:r>
        <w:t>в</w:t>
      </w:r>
      <w:r>
        <w:rPr>
          <w:spacing w:val="5"/>
        </w:rPr>
        <w:t xml:space="preserve"> </w:t>
      </w:r>
      <w:r>
        <w:t>2022</w:t>
      </w:r>
      <w:r>
        <w:rPr>
          <w:spacing w:val="6"/>
        </w:rPr>
        <w:t xml:space="preserve"> </w:t>
      </w:r>
      <w:r>
        <w:t>г.,</w:t>
      </w:r>
      <w:r>
        <w:rPr>
          <w:spacing w:val="9"/>
        </w:rPr>
        <w:t xml:space="preserve"> </w:t>
      </w:r>
      <w:r>
        <w:t>48,4%</w:t>
      </w:r>
      <w:r>
        <w:rPr>
          <w:spacing w:val="4"/>
        </w:rPr>
        <w:t xml:space="preserve"> </w:t>
      </w:r>
      <w:r>
        <w:t>в</w:t>
      </w:r>
      <w:r>
        <w:rPr>
          <w:spacing w:val="5"/>
        </w:rPr>
        <w:t xml:space="preserve"> </w:t>
      </w:r>
      <w:r>
        <w:t>2023</w:t>
      </w:r>
      <w:r>
        <w:rPr>
          <w:spacing w:val="7"/>
        </w:rPr>
        <w:t xml:space="preserve"> </w:t>
      </w:r>
      <w:r>
        <w:t>г.,</w:t>
      </w:r>
      <w:r>
        <w:rPr>
          <w:spacing w:val="3"/>
        </w:rPr>
        <w:t xml:space="preserve"> </w:t>
      </w:r>
      <w:r>
        <w:t>44,5%</w:t>
      </w:r>
      <w:r>
        <w:rPr>
          <w:spacing w:val="13"/>
        </w:rPr>
        <w:t xml:space="preserve"> </w:t>
      </w:r>
      <w:r>
        <w:t>-</w:t>
      </w:r>
      <w:r>
        <w:rPr>
          <w:spacing w:val="5"/>
        </w:rPr>
        <w:t xml:space="preserve"> </w:t>
      </w:r>
      <w:r>
        <w:t>2024</w:t>
      </w:r>
      <w:r>
        <w:rPr>
          <w:spacing w:val="7"/>
        </w:rPr>
        <w:t xml:space="preserve"> </w:t>
      </w:r>
      <w:r>
        <w:t>г.,</w:t>
      </w:r>
      <w:r>
        <w:rPr>
          <w:spacing w:val="8"/>
        </w:rPr>
        <w:t xml:space="preserve"> </w:t>
      </w:r>
      <w:r>
        <w:t>54,1%</w:t>
      </w:r>
      <w:r>
        <w:rPr>
          <w:spacing w:val="8"/>
        </w:rPr>
        <w:t xml:space="preserve"> </w:t>
      </w:r>
      <w:r>
        <w:t>—</w:t>
      </w:r>
      <w:r>
        <w:rPr>
          <w:spacing w:val="2"/>
        </w:rPr>
        <w:t xml:space="preserve"> </w:t>
      </w:r>
      <w:r>
        <w:t>2025</w:t>
      </w:r>
      <w:r>
        <w:rPr>
          <w:spacing w:val="6"/>
        </w:rPr>
        <w:t xml:space="preserve"> </w:t>
      </w:r>
      <w:r>
        <w:t>г.</w:t>
      </w:r>
      <w:r>
        <w:rPr>
          <w:spacing w:val="4"/>
        </w:rPr>
        <w:t xml:space="preserve"> </w:t>
      </w:r>
      <w:r>
        <w:rPr>
          <w:spacing w:val="-5"/>
        </w:rPr>
        <w:t>от</w:t>
      </w:r>
    </w:p>
    <w:p w14:paraId="5F475FE3">
      <w:pPr>
        <w:pStyle w:val="7"/>
        <w:ind w:left="0" w:right="3" w:firstLine="709"/>
      </w:pPr>
      <w:r>
        <w:t>общего</w:t>
      </w:r>
      <w:r>
        <w:rPr>
          <w:spacing w:val="-4"/>
        </w:rPr>
        <w:t xml:space="preserve"> </w:t>
      </w:r>
      <w:r>
        <w:t>числа</w:t>
      </w:r>
      <w:r>
        <w:rPr>
          <w:spacing w:val="-3"/>
        </w:rPr>
        <w:t xml:space="preserve"> </w:t>
      </w:r>
      <w:r>
        <w:t>вмешательств</w:t>
      </w:r>
      <w:r>
        <w:rPr>
          <w:spacing w:val="-4"/>
        </w:rPr>
        <w:t xml:space="preserve"> </w:t>
      </w:r>
      <w:r>
        <w:t>по</w:t>
      </w:r>
      <w:r>
        <w:rPr>
          <w:spacing w:val="-4"/>
        </w:rPr>
        <w:t xml:space="preserve"> </w:t>
      </w:r>
      <w:r>
        <w:t>стране.</w:t>
      </w:r>
      <w:r>
        <w:rPr>
          <w:spacing w:val="-1"/>
        </w:rPr>
        <w:t xml:space="preserve"> </w:t>
      </w:r>
      <w:r>
        <w:t>При</w:t>
      </w:r>
      <w:r>
        <w:rPr>
          <w:spacing w:val="-4"/>
        </w:rPr>
        <w:t xml:space="preserve"> </w:t>
      </w:r>
      <w:r>
        <w:t>этом</w:t>
      </w:r>
      <w:r>
        <w:rPr>
          <w:spacing w:val="-2"/>
        </w:rPr>
        <w:t xml:space="preserve"> </w:t>
      </w:r>
      <w:r>
        <w:t>суммарно</w:t>
      </w:r>
      <w:r>
        <w:rPr>
          <w:spacing w:val="-4"/>
        </w:rPr>
        <w:t xml:space="preserve"> </w:t>
      </w:r>
      <w:r>
        <w:t>зарегистрировано</w:t>
      </w:r>
      <w:r>
        <w:rPr>
          <w:spacing w:val="-4"/>
        </w:rPr>
        <w:t xml:space="preserve"> </w:t>
      </w:r>
      <w:r>
        <w:t>15 летальных исходов, что соответствовало годовому уровню послеоперационной летальности</w:t>
      </w:r>
      <w:r>
        <w:rPr>
          <w:spacing w:val="-5"/>
        </w:rPr>
        <w:t xml:space="preserve"> </w:t>
      </w:r>
      <w:r>
        <w:t>в</w:t>
      </w:r>
      <w:r>
        <w:rPr>
          <w:spacing w:val="-6"/>
        </w:rPr>
        <w:t xml:space="preserve"> </w:t>
      </w:r>
      <w:r>
        <w:t>пределах</w:t>
      </w:r>
      <w:r>
        <w:rPr>
          <w:spacing w:val="-8"/>
        </w:rPr>
        <w:t xml:space="preserve"> </w:t>
      </w:r>
      <w:r>
        <w:t>2,7–3,8%</w:t>
      </w:r>
      <w:r>
        <w:rPr>
          <w:spacing w:val="-6"/>
        </w:rPr>
        <w:t xml:space="preserve"> </w:t>
      </w:r>
      <w:r>
        <w:t>и</w:t>
      </w:r>
      <w:r>
        <w:rPr>
          <w:spacing w:val="-5"/>
        </w:rPr>
        <w:t xml:space="preserve"> </w:t>
      </w:r>
      <w:r>
        <w:t>в</w:t>
      </w:r>
      <w:r>
        <w:rPr>
          <w:spacing w:val="-6"/>
        </w:rPr>
        <w:t xml:space="preserve"> </w:t>
      </w:r>
      <w:r>
        <w:t>среднем</w:t>
      </w:r>
      <w:r>
        <w:rPr>
          <w:spacing w:val="-3"/>
        </w:rPr>
        <w:t xml:space="preserve"> </w:t>
      </w:r>
      <w:r>
        <w:t>около</w:t>
      </w:r>
      <w:r>
        <w:rPr>
          <w:spacing w:val="-4"/>
        </w:rPr>
        <w:t xml:space="preserve"> </w:t>
      </w:r>
      <w:r>
        <w:t>2,9%</w:t>
      </w:r>
      <w:r>
        <w:rPr>
          <w:spacing w:val="-6"/>
        </w:rPr>
        <w:t xml:space="preserve"> </w:t>
      </w:r>
      <w:r>
        <w:t>от</w:t>
      </w:r>
      <w:r>
        <w:rPr>
          <w:spacing w:val="-10"/>
        </w:rPr>
        <w:t xml:space="preserve"> </w:t>
      </w:r>
      <w:r>
        <w:t>числа</w:t>
      </w:r>
      <w:r>
        <w:rPr>
          <w:spacing w:val="-4"/>
        </w:rPr>
        <w:t xml:space="preserve"> </w:t>
      </w:r>
      <w:r>
        <w:t xml:space="preserve">выполненных </w:t>
      </w:r>
      <w:r>
        <w:rPr>
          <w:spacing w:val="-2"/>
        </w:rPr>
        <w:t>операций.</w:t>
      </w:r>
    </w:p>
    <w:p w14:paraId="50366FEA">
      <w:pPr>
        <w:pStyle w:val="7"/>
        <w:ind w:left="0" w:right="3" w:firstLine="709"/>
      </w:pPr>
      <w:r>
        <w:t>Таким образом, большее абсолютное количество летальных исходов в городе Алматы отражает преимущественно высокий объём хирургической активности</w:t>
      </w:r>
      <w:r>
        <w:rPr>
          <w:spacing w:val="-18"/>
        </w:rPr>
        <w:t xml:space="preserve"> </w:t>
      </w:r>
      <w:r>
        <w:t>и</w:t>
      </w:r>
      <w:r>
        <w:rPr>
          <w:spacing w:val="-17"/>
        </w:rPr>
        <w:t xml:space="preserve"> </w:t>
      </w:r>
      <w:r>
        <w:t>концентрацию</w:t>
      </w:r>
      <w:r>
        <w:rPr>
          <w:spacing w:val="-18"/>
        </w:rPr>
        <w:t xml:space="preserve"> </w:t>
      </w:r>
      <w:r>
        <w:t>пациентов</w:t>
      </w:r>
      <w:r>
        <w:rPr>
          <w:spacing w:val="-17"/>
        </w:rPr>
        <w:t xml:space="preserve"> </w:t>
      </w:r>
      <w:r>
        <w:t>с</w:t>
      </w:r>
      <w:r>
        <w:rPr>
          <w:spacing w:val="-18"/>
        </w:rPr>
        <w:t xml:space="preserve"> </w:t>
      </w:r>
      <w:r>
        <w:t>более</w:t>
      </w:r>
      <w:r>
        <w:rPr>
          <w:spacing w:val="-17"/>
        </w:rPr>
        <w:t xml:space="preserve"> </w:t>
      </w:r>
      <w:r>
        <w:t>тяжёлым</w:t>
      </w:r>
      <w:r>
        <w:rPr>
          <w:spacing w:val="-18"/>
        </w:rPr>
        <w:t xml:space="preserve"> </w:t>
      </w:r>
      <w:r>
        <w:t>клиническим</w:t>
      </w:r>
      <w:r>
        <w:rPr>
          <w:spacing w:val="-17"/>
        </w:rPr>
        <w:t xml:space="preserve"> </w:t>
      </w:r>
      <w:r>
        <w:t>профилем, а не ухудшение качества или эффективности хирургического лечения.</w:t>
      </w:r>
    </w:p>
    <w:p w14:paraId="537045CA">
      <w:pPr>
        <w:pStyle w:val="7"/>
        <w:spacing w:before="67"/>
        <w:ind w:left="0" w:right="3" w:firstLine="709"/>
      </w:pPr>
      <w:r>
        <w:t>В</w:t>
      </w:r>
      <w:r>
        <w:rPr>
          <w:spacing w:val="-18"/>
        </w:rPr>
        <w:t xml:space="preserve"> </w:t>
      </w:r>
      <w:r>
        <w:t>городе</w:t>
      </w:r>
      <w:r>
        <w:rPr>
          <w:spacing w:val="-15"/>
        </w:rPr>
        <w:t xml:space="preserve"> </w:t>
      </w:r>
      <w:r>
        <w:t>Астане</w:t>
      </w:r>
      <w:r>
        <w:rPr>
          <w:spacing w:val="-17"/>
        </w:rPr>
        <w:t xml:space="preserve"> </w:t>
      </w:r>
      <w:r>
        <w:t>за</w:t>
      </w:r>
      <w:r>
        <w:rPr>
          <w:spacing w:val="-16"/>
        </w:rPr>
        <w:t xml:space="preserve"> </w:t>
      </w:r>
      <w:r>
        <w:t>аналогичный</w:t>
      </w:r>
      <w:r>
        <w:rPr>
          <w:spacing w:val="-14"/>
        </w:rPr>
        <w:t xml:space="preserve"> </w:t>
      </w:r>
      <w:r>
        <w:t>период</w:t>
      </w:r>
      <w:r>
        <w:rPr>
          <w:spacing w:val="-12"/>
        </w:rPr>
        <w:t xml:space="preserve"> </w:t>
      </w:r>
      <w:r>
        <w:t>выполнена</w:t>
      </w:r>
      <w:r>
        <w:rPr>
          <w:spacing w:val="-17"/>
        </w:rPr>
        <w:t xml:space="preserve"> </w:t>
      </w:r>
      <w:r>
        <w:t>151</w:t>
      </w:r>
      <w:r>
        <w:rPr>
          <w:spacing w:val="-18"/>
        </w:rPr>
        <w:t xml:space="preserve"> </w:t>
      </w:r>
      <w:r>
        <w:t>операция</w:t>
      </w:r>
      <w:r>
        <w:rPr>
          <w:spacing w:val="-17"/>
        </w:rPr>
        <w:t xml:space="preserve"> </w:t>
      </w:r>
      <w:r>
        <w:t>ГПДР,</w:t>
      </w:r>
      <w:r>
        <w:rPr>
          <w:spacing w:val="-16"/>
        </w:rPr>
        <w:t xml:space="preserve"> </w:t>
      </w:r>
      <w:r>
        <w:t>что соответствовало 24,8% в 2022 г., 21,6% в 2023 г., 26,1% в 2024 г. и 26,3% - 2025 г. от общего объёма по стране. За указанный период зарегистрировано 8 летальных исходов, при этом показатели послеоперационной летальности колебались в диапазоне 0,7–1,7% по годам, составляя в среднем около 1,3%. Меньшее абсолютное число летальных исходов в Астане обусловлено более низким</w:t>
      </w:r>
      <w:r>
        <w:rPr>
          <w:spacing w:val="-4"/>
        </w:rPr>
        <w:t xml:space="preserve"> </w:t>
      </w:r>
      <w:r>
        <w:t>объёмом</w:t>
      </w:r>
      <w:r>
        <w:rPr>
          <w:spacing w:val="-4"/>
        </w:rPr>
        <w:t xml:space="preserve"> </w:t>
      </w:r>
      <w:r>
        <w:t>выполняемых</w:t>
      </w:r>
      <w:r>
        <w:rPr>
          <w:spacing w:val="-10"/>
        </w:rPr>
        <w:t xml:space="preserve"> </w:t>
      </w:r>
      <w:r>
        <w:t>вмешательств</w:t>
      </w:r>
      <w:r>
        <w:rPr>
          <w:spacing w:val="-7"/>
        </w:rPr>
        <w:t xml:space="preserve"> </w:t>
      </w:r>
      <w:r>
        <w:t>по</w:t>
      </w:r>
      <w:r>
        <w:rPr>
          <w:spacing w:val="-6"/>
        </w:rPr>
        <w:t xml:space="preserve"> </w:t>
      </w:r>
      <w:r>
        <w:t>сравнению</w:t>
      </w:r>
      <w:r>
        <w:rPr>
          <w:spacing w:val="-8"/>
        </w:rPr>
        <w:t xml:space="preserve"> </w:t>
      </w:r>
      <w:r>
        <w:t>с</w:t>
      </w:r>
      <w:r>
        <w:rPr>
          <w:spacing w:val="-5"/>
        </w:rPr>
        <w:t xml:space="preserve"> </w:t>
      </w:r>
      <w:r>
        <w:t>Алматы,</w:t>
      </w:r>
      <w:r>
        <w:rPr>
          <w:spacing w:val="-3"/>
        </w:rPr>
        <w:t xml:space="preserve"> </w:t>
      </w:r>
      <w:r>
        <w:t>тогда</w:t>
      </w:r>
      <w:r>
        <w:rPr>
          <w:spacing w:val="-5"/>
        </w:rPr>
        <w:t xml:space="preserve"> </w:t>
      </w:r>
      <w:r>
        <w:t>как относительные показатели летальности находятся в сопоставимом диапазоне и характеризуются большей статистической устойчивостью.</w:t>
      </w:r>
    </w:p>
    <w:p w14:paraId="153231CC">
      <w:pPr>
        <w:pStyle w:val="7"/>
        <w:spacing w:before="3"/>
        <w:ind w:left="0" w:right="3" w:firstLine="709"/>
      </w:pPr>
      <w:r>
        <w:t>В регионах с низким хирургическим объёмом (менее 20 операций в год) суммарно зарегистрирован 21 летальный исход при существенно меньшем количестве выполненных вмешательств. Годовые показатели послеоперационной</w:t>
      </w:r>
      <w:r>
        <w:rPr>
          <w:spacing w:val="-13"/>
        </w:rPr>
        <w:t xml:space="preserve"> </w:t>
      </w:r>
      <w:r>
        <w:t>летальности</w:t>
      </w:r>
      <w:r>
        <w:rPr>
          <w:spacing w:val="-13"/>
        </w:rPr>
        <w:t xml:space="preserve"> </w:t>
      </w:r>
      <w:r>
        <w:t>в</w:t>
      </w:r>
      <w:r>
        <w:rPr>
          <w:spacing w:val="-15"/>
        </w:rPr>
        <w:t xml:space="preserve"> </w:t>
      </w:r>
      <w:r>
        <w:t>данных</w:t>
      </w:r>
      <w:r>
        <w:rPr>
          <w:spacing w:val="-18"/>
        </w:rPr>
        <w:t xml:space="preserve"> </w:t>
      </w:r>
      <w:r>
        <w:t>регионах</w:t>
      </w:r>
      <w:r>
        <w:rPr>
          <w:spacing w:val="-17"/>
        </w:rPr>
        <w:t xml:space="preserve"> </w:t>
      </w:r>
      <w:r>
        <w:t>варьировали</w:t>
      </w:r>
      <w:r>
        <w:rPr>
          <w:spacing w:val="-13"/>
        </w:rPr>
        <w:t xml:space="preserve"> </w:t>
      </w:r>
      <w:r>
        <w:t>в</w:t>
      </w:r>
      <w:r>
        <w:rPr>
          <w:spacing w:val="-15"/>
        </w:rPr>
        <w:t xml:space="preserve"> </w:t>
      </w:r>
      <w:r>
        <w:t>пределах</w:t>
      </w:r>
      <w:r>
        <w:rPr>
          <w:spacing w:val="-18"/>
        </w:rPr>
        <w:t xml:space="preserve"> </w:t>
      </w:r>
      <w:r>
        <w:t>2,1– 5,7%. Следует отметить, что такие колебания в условиях малой выборки носят преимущественно описательный характер и требуют осторожной интерпретации, поскольку единичные неблагоприятные исходы оказывают значительное влияние на относительные показатели.</w:t>
      </w:r>
    </w:p>
    <w:p w14:paraId="41AD29AA">
      <w:pPr>
        <w:pStyle w:val="7"/>
        <w:spacing w:before="2"/>
        <w:ind w:left="0" w:right="3" w:firstLine="709"/>
      </w:pPr>
      <w:r>
        <w:t>Напротив, в высокообъёмных центрах (Алматы и Астана) уровни послеоперационной летальности отличаются большей стабильностью и репрезентативностью,</w:t>
      </w:r>
      <w:r>
        <w:rPr>
          <w:spacing w:val="-6"/>
        </w:rPr>
        <w:t xml:space="preserve"> </w:t>
      </w:r>
      <w:r>
        <w:t>что</w:t>
      </w:r>
      <w:r>
        <w:rPr>
          <w:spacing w:val="-8"/>
        </w:rPr>
        <w:t xml:space="preserve"> </w:t>
      </w:r>
      <w:r>
        <w:t>подтверждает</w:t>
      </w:r>
      <w:r>
        <w:rPr>
          <w:spacing w:val="-6"/>
        </w:rPr>
        <w:t xml:space="preserve"> </w:t>
      </w:r>
      <w:r>
        <w:t>зависимость</w:t>
      </w:r>
      <w:r>
        <w:rPr>
          <w:spacing w:val="-6"/>
        </w:rPr>
        <w:t xml:space="preserve"> </w:t>
      </w:r>
      <w:r>
        <w:t>хирургических</w:t>
      </w:r>
      <w:r>
        <w:rPr>
          <w:spacing w:val="-12"/>
        </w:rPr>
        <w:t xml:space="preserve"> </w:t>
      </w:r>
      <w:r>
        <w:t>исходов от объёма выполняемых вмешательств и подчёркивает значимость централизации оказания специализированной высокотехнологичной хирургической помощи.</w:t>
      </w:r>
    </w:p>
    <w:p w14:paraId="2B242E55">
      <w:pPr>
        <w:pStyle w:val="7"/>
        <w:ind w:left="0" w:right="3" w:firstLine="709"/>
      </w:pPr>
      <w:r>
        <w:t>По региональному распределению наибольшее количество летальных исходов отмечено в г. Алматы (4–6 случаев ежегодно, до 3,8% от числа оперированных) и г. Астане (1–3 случая ежегодно, до 1,7%), что связано с концентрацией наиболее сложных клинических случаев в этих центрах. В областных учреждениях летальность в большинстве случаев не превышала 1– 2%, а в ряде регионов (Жамбылская, Костанайская, Улытауская, Атырауская области) летальных исходов не зарегистрировано.</w:t>
      </w:r>
    </w:p>
    <w:p w14:paraId="261248F9">
      <w:pPr>
        <w:pStyle w:val="7"/>
        <w:spacing w:before="1"/>
        <w:ind w:left="0" w:right="3" w:firstLine="709"/>
      </w:pPr>
      <w:r>
        <w:t>Таким</w:t>
      </w:r>
      <w:r>
        <w:rPr>
          <w:spacing w:val="-6"/>
        </w:rPr>
        <w:t xml:space="preserve"> </w:t>
      </w:r>
      <w:r>
        <w:t>образом,</w:t>
      </w:r>
      <w:r>
        <w:rPr>
          <w:spacing w:val="-4"/>
        </w:rPr>
        <w:t xml:space="preserve"> </w:t>
      </w:r>
      <w:r>
        <w:t>анализ</w:t>
      </w:r>
      <w:r>
        <w:rPr>
          <w:spacing w:val="-10"/>
        </w:rPr>
        <w:t xml:space="preserve"> </w:t>
      </w:r>
      <w:r>
        <w:t>представленных</w:t>
      </w:r>
      <w:r>
        <w:rPr>
          <w:spacing w:val="-10"/>
        </w:rPr>
        <w:t xml:space="preserve"> </w:t>
      </w:r>
      <w:r>
        <w:t>данных</w:t>
      </w:r>
      <w:r>
        <w:rPr>
          <w:spacing w:val="-11"/>
        </w:rPr>
        <w:t xml:space="preserve"> </w:t>
      </w:r>
      <w:r>
        <w:t>демонстрирует</w:t>
      </w:r>
      <w:r>
        <w:rPr>
          <w:spacing w:val="-7"/>
        </w:rPr>
        <w:t xml:space="preserve"> </w:t>
      </w:r>
      <w:r>
        <w:t>отчётливую тенденцию к централизации ГПДР в крупных городах страны, постепенному росту числа операций и одновременному снижению летальности к 2025 году. Эти результаты отражают повышение эффективности и безопасности хирургического лечения опухолей периампулярной зоны за счёт концентрации пациентов</w:t>
      </w:r>
      <w:r>
        <w:rPr>
          <w:spacing w:val="-14"/>
        </w:rPr>
        <w:t xml:space="preserve"> </w:t>
      </w:r>
      <w:r>
        <w:t>в</w:t>
      </w:r>
      <w:r>
        <w:rPr>
          <w:spacing w:val="-14"/>
        </w:rPr>
        <w:t xml:space="preserve"> </w:t>
      </w:r>
      <w:r>
        <w:t>специализированных</w:t>
      </w:r>
      <w:r>
        <w:rPr>
          <w:spacing w:val="-17"/>
        </w:rPr>
        <w:t xml:space="preserve"> </w:t>
      </w:r>
      <w:r>
        <w:t>центрах</w:t>
      </w:r>
      <w:r>
        <w:rPr>
          <w:spacing w:val="-17"/>
        </w:rPr>
        <w:t xml:space="preserve"> </w:t>
      </w:r>
      <w:r>
        <w:t>и</w:t>
      </w:r>
      <w:r>
        <w:rPr>
          <w:spacing w:val="-12"/>
        </w:rPr>
        <w:t xml:space="preserve"> </w:t>
      </w:r>
      <w:r>
        <w:t>внедрения</w:t>
      </w:r>
      <w:r>
        <w:rPr>
          <w:spacing w:val="-11"/>
        </w:rPr>
        <w:t xml:space="preserve"> </w:t>
      </w:r>
      <w:r>
        <w:t>современных</w:t>
      </w:r>
      <w:r>
        <w:rPr>
          <w:spacing w:val="-17"/>
        </w:rPr>
        <w:t xml:space="preserve"> </w:t>
      </w:r>
      <w:r>
        <w:t>технологий профилактики послеоперационных осложнений.</w:t>
      </w:r>
    </w:p>
    <w:p w14:paraId="268646FC">
      <w:pPr>
        <w:pStyle w:val="7"/>
        <w:sectPr>
          <w:footerReference r:id="rId8" w:type="default"/>
          <w:pgSz w:w="11910" w:h="16840"/>
          <w:pgMar w:top="1134" w:right="567" w:bottom="1134" w:left="1701" w:header="0" w:footer="936" w:gutter="0"/>
          <w:cols w:space="720" w:num="1"/>
        </w:sectPr>
      </w:pPr>
    </w:p>
    <w:p w14:paraId="085DF2D0">
      <w:pPr>
        <w:pStyle w:val="7"/>
        <w:ind w:left="985" w:firstLine="0"/>
        <w:jc w:val="left"/>
        <w:rPr>
          <w:sz w:val="20"/>
        </w:rPr>
      </w:pPr>
      <w:r>
        <w:rPr>
          <w:sz w:val="20"/>
          <w:lang w:eastAsia="ru-RU"/>
        </w:rPr>
        <mc:AlternateContent>
          <mc:Choice Requires="wpg">
            <w:drawing>
              <wp:inline distT="0" distB="0" distL="0" distR="0">
                <wp:extent cx="5419725" cy="3000375"/>
                <wp:effectExtent l="0" t="0" r="0" b="0"/>
                <wp:docPr id="108" name="Group 108"/>
                <wp:cNvGraphicFramePr/>
                <a:graphic xmlns:a="http://schemas.openxmlformats.org/drawingml/2006/main">
                  <a:graphicData uri="http://schemas.microsoft.com/office/word/2010/wordprocessingGroup">
                    <wpg:wgp>
                      <wpg:cNvGrpSpPr/>
                      <wpg:grpSpPr>
                        <a:xfrm>
                          <a:off x="0" y="0"/>
                          <a:ext cx="5419725" cy="3000375"/>
                          <a:chOff x="0" y="0"/>
                          <a:chExt cx="5419725" cy="3000375"/>
                        </a:xfrm>
                      </wpg:grpSpPr>
                      <wps:wsp>
                        <wps:cNvPr id="109" name="Graphic 109"/>
                        <wps:cNvSpPr/>
                        <wps:spPr>
                          <a:xfrm>
                            <a:off x="522541" y="176720"/>
                            <a:ext cx="4752975" cy="2039620"/>
                          </a:xfrm>
                          <a:custGeom>
                            <a:avLst/>
                            <a:gdLst/>
                            <a:ahLst/>
                            <a:cxnLst/>
                            <a:rect l="l" t="t" r="r" b="b"/>
                            <a:pathLst>
                              <a:path w="4752975" h="2039620">
                                <a:moveTo>
                                  <a:pt x="0" y="1528063"/>
                                </a:moveTo>
                                <a:lnTo>
                                  <a:pt x="4752721" y="1528063"/>
                                </a:lnTo>
                              </a:path>
                              <a:path w="4752975" h="2039620">
                                <a:moveTo>
                                  <a:pt x="0" y="1019047"/>
                                </a:moveTo>
                                <a:lnTo>
                                  <a:pt x="4752721" y="1019047"/>
                                </a:lnTo>
                              </a:path>
                              <a:path w="4752975" h="2039620">
                                <a:moveTo>
                                  <a:pt x="0" y="510031"/>
                                </a:moveTo>
                                <a:lnTo>
                                  <a:pt x="4752721" y="510031"/>
                                </a:lnTo>
                              </a:path>
                              <a:path w="4752975" h="2039620">
                                <a:moveTo>
                                  <a:pt x="0" y="0"/>
                                </a:moveTo>
                                <a:lnTo>
                                  <a:pt x="4752721" y="0"/>
                                </a:lnTo>
                              </a:path>
                              <a:path w="4752975" h="2039620">
                                <a:moveTo>
                                  <a:pt x="0" y="2039111"/>
                                </a:moveTo>
                                <a:lnTo>
                                  <a:pt x="4752721" y="2039111"/>
                                </a:lnTo>
                              </a:path>
                            </a:pathLst>
                          </a:custGeom>
                          <a:ln w="9525">
                            <a:solidFill>
                              <a:srgbClr val="D9D9D9"/>
                            </a:solidFill>
                            <a:prstDash val="solid"/>
                          </a:ln>
                        </wps:spPr>
                        <wps:bodyPr wrap="square" lIns="0" tIns="0" rIns="0" bIns="0" rtlCol="0">
                          <a:noAutofit/>
                        </wps:bodyPr>
                      </wps:wsp>
                      <wps:wsp>
                        <wps:cNvPr id="110" name="Graphic 110"/>
                        <wps:cNvSpPr/>
                        <wps:spPr>
                          <a:xfrm>
                            <a:off x="1116647" y="431609"/>
                            <a:ext cx="3564890" cy="428625"/>
                          </a:xfrm>
                          <a:custGeom>
                            <a:avLst/>
                            <a:gdLst/>
                            <a:ahLst/>
                            <a:cxnLst/>
                            <a:rect l="l" t="t" r="r" b="b"/>
                            <a:pathLst>
                              <a:path w="3564890" h="428625">
                                <a:moveTo>
                                  <a:pt x="0" y="306958"/>
                                </a:moveTo>
                                <a:lnTo>
                                  <a:pt x="1187831" y="185039"/>
                                </a:lnTo>
                                <a:lnTo>
                                  <a:pt x="2376551" y="0"/>
                                </a:lnTo>
                                <a:lnTo>
                                  <a:pt x="3564509" y="428244"/>
                                </a:lnTo>
                              </a:path>
                            </a:pathLst>
                          </a:custGeom>
                          <a:ln w="28575">
                            <a:solidFill>
                              <a:srgbClr val="4F81BC"/>
                            </a:solidFill>
                            <a:prstDash val="solid"/>
                          </a:ln>
                        </wps:spPr>
                        <wps:bodyPr wrap="square" lIns="0" tIns="0" rIns="0" bIns="0" rtlCol="0">
                          <a:noAutofit/>
                        </wps:bodyPr>
                      </wps:wsp>
                      <pic:pic xmlns:pic="http://schemas.openxmlformats.org/drawingml/2006/picture">
                        <pic:nvPicPr>
                          <pic:cNvPr id="111" name="Image 111"/>
                          <pic:cNvPicPr/>
                        </pic:nvPicPr>
                        <pic:blipFill>
                          <a:blip r:embed="rId34" cstate="print"/>
                          <a:stretch>
                            <a:fillRect/>
                          </a:stretch>
                        </pic:blipFill>
                        <pic:spPr>
                          <a:xfrm>
                            <a:off x="1080706" y="702754"/>
                            <a:ext cx="70104" cy="70103"/>
                          </a:xfrm>
                          <a:prstGeom prst="rect">
                            <a:avLst/>
                          </a:prstGeom>
                        </pic:spPr>
                      </pic:pic>
                      <pic:pic xmlns:pic="http://schemas.openxmlformats.org/drawingml/2006/picture">
                        <pic:nvPicPr>
                          <pic:cNvPr id="112" name="Image 112"/>
                          <pic:cNvPicPr/>
                        </pic:nvPicPr>
                        <pic:blipFill>
                          <a:blip r:embed="rId35" cstate="print"/>
                          <a:stretch>
                            <a:fillRect/>
                          </a:stretch>
                        </pic:blipFill>
                        <pic:spPr>
                          <a:xfrm>
                            <a:off x="2269426" y="580834"/>
                            <a:ext cx="70104" cy="70103"/>
                          </a:xfrm>
                          <a:prstGeom prst="rect">
                            <a:avLst/>
                          </a:prstGeom>
                        </pic:spPr>
                      </pic:pic>
                      <pic:pic xmlns:pic="http://schemas.openxmlformats.org/drawingml/2006/picture">
                        <pic:nvPicPr>
                          <pic:cNvPr id="113" name="Image 113"/>
                          <pic:cNvPicPr/>
                        </pic:nvPicPr>
                        <pic:blipFill>
                          <a:blip r:embed="rId34" cstate="print"/>
                          <a:stretch>
                            <a:fillRect/>
                          </a:stretch>
                        </pic:blipFill>
                        <pic:spPr>
                          <a:xfrm>
                            <a:off x="3455098" y="397954"/>
                            <a:ext cx="70104" cy="70103"/>
                          </a:xfrm>
                          <a:prstGeom prst="rect">
                            <a:avLst/>
                          </a:prstGeom>
                        </pic:spPr>
                      </pic:pic>
                      <pic:pic xmlns:pic="http://schemas.openxmlformats.org/drawingml/2006/picture">
                        <pic:nvPicPr>
                          <pic:cNvPr id="114" name="Image 114"/>
                          <pic:cNvPicPr/>
                        </pic:nvPicPr>
                        <pic:blipFill>
                          <a:blip r:embed="rId35" cstate="print"/>
                          <a:stretch>
                            <a:fillRect/>
                          </a:stretch>
                        </pic:blipFill>
                        <pic:spPr>
                          <a:xfrm>
                            <a:off x="4643818" y="824674"/>
                            <a:ext cx="70103" cy="70103"/>
                          </a:xfrm>
                          <a:prstGeom prst="rect">
                            <a:avLst/>
                          </a:prstGeom>
                        </pic:spPr>
                      </pic:pic>
                      <wps:wsp>
                        <wps:cNvPr id="115" name="Graphic 115"/>
                        <wps:cNvSpPr/>
                        <wps:spPr>
                          <a:xfrm>
                            <a:off x="1116647" y="2052764"/>
                            <a:ext cx="3564890" cy="122555"/>
                          </a:xfrm>
                          <a:custGeom>
                            <a:avLst/>
                            <a:gdLst/>
                            <a:ahLst/>
                            <a:cxnLst/>
                            <a:rect l="l" t="t" r="r" b="b"/>
                            <a:pathLst>
                              <a:path w="3564890" h="122555">
                                <a:moveTo>
                                  <a:pt x="0" y="72644"/>
                                </a:moveTo>
                                <a:lnTo>
                                  <a:pt x="1187831" y="11684"/>
                                </a:lnTo>
                                <a:lnTo>
                                  <a:pt x="2376551" y="0"/>
                                </a:lnTo>
                                <a:lnTo>
                                  <a:pt x="3564509" y="122300"/>
                                </a:lnTo>
                              </a:path>
                            </a:pathLst>
                          </a:custGeom>
                          <a:ln w="28575">
                            <a:solidFill>
                              <a:srgbClr val="C0504D"/>
                            </a:solidFill>
                            <a:prstDash val="solid"/>
                          </a:ln>
                        </wps:spPr>
                        <wps:bodyPr wrap="square" lIns="0" tIns="0" rIns="0" bIns="0" rtlCol="0">
                          <a:noAutofit/>
                        </wps:bodyPr>
                      </wps:wsp>
                      <pic:pic xmlns:pic="http://schemas.openxmlformats.org/drawingml/2006/picture">
                        <pic:nvPicPr>
                          <pic:cNvPr id="116" name="Image 116"/>
                          <pic:cNvPicPr/>
                        </pic:nvPicPr>
                        <pic:blipFill>
                          <a:blip r:embed="rId36" cstate="print"/>
                          <a:stretch>
                            <a:fillRect/>
                          </a:stretch>
                        </pic:blipFill>
                        <pic:spPr>
                          <a:xfrm>
                            <a:off x="1080706" y="2089594"/>
                            <a:ext cx="70104" cy="70104"/>
                          </a:xfrm>
                          <a:prstGeom prst="rect">
                            <a:avLst/>
                          </a:prstGeom>
                        </pic:spPr>
                      </pic:pic>
                      <pic:pic xmlns:pic="http://schemas.openxmlformats.org/drawingml/2006/picture">
                        <pic:nvPicPr>
                          <pic:cNvPr id="117" name="Image 117"/>
                          <pic:cNvPicPr/>
                        </pic:nvPicPr>
                        <pic:blipFill>
                          <a:blip r:embed="rId36" cstate="print"/>
                          <a:stretch>
                            <a:fillRect/>
                          </a:stretch>
                        </pic:blipFill>
                        <pic:spPr>
                          <a:xfrm>
                            <a:off x="2269426" y="2028634"/>
                            <a:ext cx="70104" cy="70103"/>
                          </a:xfrm>
                          <a:prstGeom prst="rect">
                            <a:avLst/>
                          </a:prstGeom>
                        </pic:spPr>
                      </pic:pic>
                      <pic:pic xmlns:pic="http://schemas.openxmlformats.org/drawingml/2006/picture">
                        <pic:nvPicPr>
                          <pic:cNvPr id="118" name="Image 118"/>
                          <pic:cNvPicPr/>
                        </pic:nvPicPr>
                        <pic:blipFill>
                          <a:blip r:embed="rId36" cstate="print"/>
                          <a:stretch>
                            <a:fillRect/>
                          </a:stretch>
                        </pic:blipFill>
                        <pic:spPr>
                          <a:xfrm>
                            <a:off x="3455098" y="2019490"/>
                            <a:ext cx="70104" cy="70104"/>
                          </a:xfrm>
                          <a:prstGeom prst="rect">
                            <a:avLst/>
                          </a:prstGeom>
                        </pic:spPr>
                      </pic:pic>
                      <pic:pic xmlns:pic="http://schemas.openxmlformats.org/drawingml/2006/picture">
                        <pic:nvPicPr>
                          <pic:cNvPr id="119" name="Image 119"/>
                          <pic:cNvPicPr/>
                        </pic:nvPicPr>
                        <pic:blipFill>
                          <a:blip r:embed="rId37" cstate="print"/>
                          <a:stretch>
                            <a:fillRect/>
                          </a:stretch>
                        </pic:blipFill>
                        <pic:spPr>
                          <a:xfrm>
                            <a:off x="4643818" y="2141410"/>
                            <a:ext cx="70103" cy="70103"/>
                          </a:xfrm>
                          <a:prstGeom prst="rect">
                            <a:avLst/>
                          </a:prstGeom>
                        </pic:spPr>
                      </pic:pic>
                      <pic:pic xmlns:pic="http://schemas.openxmlformats.org/drawingml/2006/picture">
                        <pic:nvPicPr>
                          <pic:cNvPr id="120" name="Image 120"/>
                          <pic:cNvPicPr/>
                        </pic:nvPicPr>
                        <pic:blipFill>
                          <a:blip r:embed="rId38" cstate="print"/>
                          <a:stretch>
                            <a:fillRect/>
                          </a:stretch>
                        </pic:blipFill>
                        <pic:spPr>
                          <a:xfrm>
                            <a:off x="1691703" y="2737866"/>
                            <a:ext cx="243840" cy="70484"/>
                          </a:xfrm>
                          <a:prstGeom prst="rect">
                            <a:avLst/>
                          </a:prstGeom>
                        </pic:spPr>
                      </pic:pic>
                      <pic:pic xmlns:pic="http://schemas.openxmlformats.org/drawingml/2006/picture">
                        <pic:nvPicPr>
                          <pic:cNvPr id="121" name="Image 121"/>
                          <pic:cNvPicPr/>
                        </pic:nvPicPr>
                        <pic:blipFill>
                          <a:blip r:embed="rId39" cstate="print"/>
                          <a:stretch>
                            <a:fillRect/>
                          </a:stretch>
                        </pic:blipFill>
                        <pic:spPr>
                          <a:xfrm>
                            <a:off x="2522029" y="2737866"/>
                            <a:ext cx="243839" cy="70484"/>
                          </a:xfrm>
                          <a:prstGeom prst="rect">
                            <a:avLst/>
                          </a:prstGeom>
                        </pic:spPr>
                      </pic:pic>
                      <wps:wsp>
                        <wps:cNvPr id="122" name="Graphic 122"/>
                        <wps:cNvSpPr/>
                        <wps:spPr>
                          <a:xfrm>
                            <a:off x="4762" y="4762"/>
                            <a:ext cx="5410200" cy="2990850"/>
                          </a:xfrm>
                          <a:custGeom>
                            <a:avLst/>
                            <a:gdLst/>
                            <a:ahLst/>
                            <a:cxnLst/>
                            <a:rect l="l" t="t" r="r" b="b"/>
                            <a:pathLst>
                              <a:path w="5410200" h="2990850">
                                <a:moveTo>
                                  <a:pt x="0" y="2990850"/>
                                </a:moveTo>
                                <a:lnTo>
                                  <a:pt x="5410200" y="2990850"/>
                                </a:lnTo>
                                <a:lnTo>
                                  <a:pt x="5410200" y="0"/>
                                </a:lnTo>
                                <a:lnTo>
                                  <a:pt x="0" y="0"/>
                                </a:lnTo>
                                <a:lnTo>
                                  <a:pt x="0" y="2990850"/>
                                </a:lnTo>
                                <a:close/>
                              </a:path>
                            </a:pathLst>
                          </a:custGeom>
                          <a:ln w="9525">
                            <a:solidFill>
                              <a:srgbClr val="D9D9D9"/>
                            </a:solidFill>
                            <a:prstDash val="solid"/>
                          </a:ln>
                        </wps:spPr>
                        <wps:bodyPr wrap="square" lIns="0" tIns="0" rIns="0" bIns="0" rtlCol="0">
                          <a:noAutofit/>
                        </wps:bodyPr>
                      </wps:wsp>
                      <wps:wsp>
                        <wps:cNvPr id="123" name="Textbox 123"/>
                        <wps:cNvSpPr txBox="1"/>
                        <wps:spPr>
                          <a:xfrm>
                            <a:off x="268160" y="2136101"/>
                            <a:ext cx="102870" cy="177165"/>
                          </a:xfrm>
                          <a:prstGeom prst="rect">
                            <a:avLst/>
                          </a:prstGeom>
                        </wps:spPr>
                        <wps:txbx>
                          <w:txbxContent>
                            <w:p w14:paraId="6AD59591">
                              <w:pPr>
                                <w:spacing w:line="279" w:lineRule="exact"/>
                                <w:rPr>
                                  <w:rFonts w:ascii="Calibri"/>
                                  <w:sz w:val="28"/>
                                </w:rPr>
                              </w:pPr>
                              <w:r>
                                <w:rPr>
                                  <w:rFonts w:ascii="Calibri"/>
                                  <w:color w:val="585858"/>
                                  <w:spacing w:val="-10"/>
                                  <w:sz w:val="28"/>
                                </w:rPr>
                                <w:t>0</w:t>
                              </w:r>
                            </w:p>
                          </w:txbxContent>
                        </wps:txbx>
                        <wps:bodyPr wrap="square" lIns="0" tIns="0" rIns="0" bIns="0" rtlCol="0">
                          <a:noAutofit/>
                        </wps:bodyPr>
                      </wps:wsp>
                      <wps:wsp>
                        <wps:cNvPr id="124" name="Textbox 124"/>
                        <wps:cNvSpPr txBox="1"/>
                        <wps:spPr>
                          <a:xfrm>
                            <a:off x="2793047" y="2694749"/>
                            <a:ext cx="948690" cy="177165"/>
                          </a:xfrm>
                          <a:prstGeom prst="rect">
                            <a:avLst/>
                          </a:prstGeom>
                        </wps:spPr>
                        <wps:txbx>
                          <w:txbxContent>
                            <w:p w14:paraId="593522D4">
                              <w:pPr>
                                <w:spacing w:line="278" w:lineRule="exact"/>
                                <w:rPr>
                                  <w:rFonts w:ascii="Calibri" w:hAnsi="Calibri"/>
                                  <w:sz w:val="28"/>
                                </w:rPr>
                              </w:pPr>
                              <w:r>
                                <w:rPr>
                                  <w:rFonts w:ascii="Calibri" w:hAnsi="Calibri"/>
                                  <w:color w:val="585858"/>
                                  <w:spacing w:val="-2"/>
                                  <w:sz w:val="28"/>
                                </w:rPr>
                                <w:t>Летальность</w:t>
                              </w:r>
                            </w:p>
                          </w:txbxContent>
                        </wps:txbx>
                        <wps:bodyPr wrap="square" lIns="0" tIns="0" rIns="0" bIns="0" rtlCol="0">
                          <a:noAutofit/>
                        </wps:bodyPr>
                      </wps:wsp>
                      <wps:wsp>
                        <wps:cNvPr id="125" name="Textbox 125"/>
                        <wps:cNvSpPr txBox="1"/>
                        <wps:spPr>
                          <a:xfrm>
                            <a:off x="1962467" y="2694749"/>
                            <a:ext cx="403225" cy="177165"/>
                          </a:xfrm>
                          <a:prstGeom prst="rect">
                            <a:avLst/>
                          </a:prstGeom>
                        </wps:spPr>
                        <wps:txbx>
                          <w:txbxContent>
                            <w:p w14:paraId="410CA8AA">
                              <w:pPr>
                                <w:spacing w:line="278" w:lineRule="exact"/>
                                <w:rPr>
                                  <w:rFonts w:ascii="Calibri" w:hAnsi="Calibri"/>
                                  <w:sz w:val="28"/>
                                </w:rPr>
                              </w:pPr>
                              <w:r>
                                <w:rPr>
                                  <w:rFonts w:ascii="Calibri" w:hAnsi="Calibri"/>
                                  <w:color w:val="585858"/>
                                  <w:spacing w:val="-4"/>
                                  <w:sz w:val="28"/>
                                </w:rPr>
                                <w:t>ГПДР</w:t>
                              </w:r>
                            </w:p>
                          </w:txbxContent>
                        </wps:txbx>
                        <wps:bodyPr wrap="square" lIns="0" tIns="0" rIns="0" bIns="0" rtlCol="0">
                          <a:noAutofit/>
                        </wps:bodyPr>
                      </wps:wsp>
                      <wps:wsp>
                        <wps:cNvPr id="126" name="Textbox 126"/>
                        <wps:cNvSpPr txBox="1"/>
                        <wps:spPr>
                          <a:xfrm>
                            <a:off x="4503356" y="2105596"/>
                            <a:ext cx="389890" cy="439420"/>
                          </a:xfrm>
                          <a:prstGeom prst="rect">
                            <a:avLst/>
                          </a:prstGeom>
                        </wps:spPr>
                        <wps:txbx>
                          <w:txbxContent>
                            <w:p w14:paraId="6B45AF28">
                              <w:pPr>
                                <w:spacing w:line="284" w:lineRule="exact"/>
                                <w:ind w:right="18"/>
                                <w:jc w:val="right"/>
                                <w:rPr>
                                  <w:rFonts w:ascii="Calibri"/>
                                  <w:sz w:val="28"/>
                                </w:rPr>
                              </w:pPr>
                              <w:r>
                                <w:rPr>
                                  <w:rFonts w:ascii="Calibri"/>
                                  <w:color w:val="404040"/>
                                  <w:spacing w:val="-10"/>
                                  <w:sz w:val="28"/>
                                </w:rPr>
                                <w:t>4</w:t>
                              </w:r>
                            </w:p>
                            <w:p w14:paraId="6B5D87C4">
                              <w:pPr>
                                <w:spacing w:before="71" w:line="336" w:lineRule="exact"/>
                                <w:ind w:right="44"/>
                                <w:jc w:val="right"/>
                                <w:rPr>
                                  <w:rFonts w:ascii="Calibri"/>
                                  <w:sz w:val="28"/>
                                </w:rPr>
                              </w:pPr>
                              <w:r>
                                <w:rPr>
                                  <w:rFonts w:ascii="Calibri"/>
                                  <w:color w:val="585858"/>
                                  <w:spacing w:val="-4"/>
                                  <w:sz w:val="28"/>
                                </w:rPr>
                                <w:t>2025</w:t>
                              </w:r>
                            </w:p>
                          </w:txbxContent>
                        </wps:txbx>
                        <wps:bodyPr wrap="square" lIns="0" tIns="0" rIns="0" bIns="0" rtlCol="0">
                          <a:noAutofit/>
                        </wps:bodyPr>
                      </wps:wsp>
                      <wps:wsp>
                        <wps:cNvPr id="127" name="Textbox 127"/>
                        <wps:cNvSpPr txBox="1"/>
                        <wps:spPr>
                          <a:xfrm>
                            <a:off x="3314636" y="2367724"/>
                            <a:ext cx="373380" cy="177165"/>
                          </a:xfrm>
                          <a:prstGeom prst="rect">
                            <a:avLst/>
                          </a:prstGeom>
                        </wps:spPr>
                        <wps:txbx>
                          <w:txbxContent>
                            <w:p w14:paraId="539881D7">
                              <w:pPr>
                                <w:spacing w:line="278" w:lineRule="exact"/>
                                <w:rPr>
                                  <w:rFonts w:ascii="Calibri"/>
                                  <w:sz w:val="28"/>
                                </w:rPr>
                              </w:pPr>
                              <w:r>
                                <w:rPr>
                                  <w:rFonts w:ascii="Calibri"/>
                                  <w:color w:val="585858"/>
                                  <w:spacing w:val="-4"/>
                                  <w:sz w:val="28"/>
                                </w:rPr>
                                <w:t>2024</w:t>
                              </w:r>
                            </w:p>
                          </w:txbxContent>
                        </wps:txbx>
                        <wps:bodyPr wrap="square" lIns="0" tIns="0" rIns="0" bIns="0" rtlCol="0">
                          <a:noAutofit/>
                        </wps:bodyPr>
                      </wps:wsp>
                      <wps:wsp>
                        <wps:cNvPr id="128" name="Textbox 128"/>
                        <wps:cNvSpPr txBox="1"/>
                        <wps:spPr>
                          <a:xfrm>
                            <a:off x="2125916" y="2367724"/>
                            <a:ext cx="374650" cy="177165"/>
                          </a:xfrm>
                          <a:prstGeom prst="rect">
                            <a:avLst/>
                          </a:prstGeom>
                        </wps:spPr>
                        <wps:txbx>
                          <w:txbxContent>
                            <w:p w14:paraId="262CF346">
                              <w:pPr>
                                <w:spacing w:line="278" w:lineRule="exact"/>
                                <w:rPr>
                                  <w:rFonts w:ascii="Calibri"/>
                                  <w:sz w:val="28"/>
                                </w:rPr>
                              </w:pPr>
                              <w:r>
                                <w:rPr>
                                  <w:rFonts w:ascii="Calibri"/>
                                  <w:color w:val="585858"/>
                                  <w:spacing w:val="-4"/>
                                  <w:sz w:val="28"/>
                                </w:rPr>
                                <w:t>2023</w:t>
                              </w:r>
                            </w:p>
                          </w:txbxContent>
                        </wps:txbx>
                        <wps:bodyPr wrap="square" lIns="0" tIns="0" rIns="0" bIns="0" rtlCol="0">
                          <a:noAutofit/>
                        </wps:bodyPr>
                      </wps:wsp>
                      <wps:wsp>
                        <wps:cNvPr id="129" name="Textbox 129"/>
                        <wps:cNvSpPr txBox="1"/>
                        <wps:spPr>
                          <a:xfrm>
                            <a:off x="3604704" y="1983041"/>
                            <a:ext cx="189865" cy="177165"/>
                          </a:xfrm>
                          <a:prstGeom prst="rect">
                            <a:avLst/>
                          </a:prstGeom>
                        </wps:spPr>
                        <wps:txbx>
                          <w:txbxContent>
                            <w:p w14:paraId="5DFCDC72">
                              <w:pPr>
                                <w:spacing w:line="278" w:lineRule="exact"/>
                                <w:rPr>
                                  <w:rFonts w:ascii="Calibri"/>
                                  <w:sz w:val="28"/>
                                </w:rPr>
                              </w:pPr>
                              <w:r>
                                <w:rPr>
                                  <w:rFonts w:ascii="Calibri"/>
                                  <w:color w:val="404040"/>
                                  <w:spacing w:val="-5"/>
                                  <w:sz w:val="28"/>
                                </w:rPr>
                                <w:t>16</w:t>
                              </w:r>
                            </w:p>
                          </w:txbxContent>
                        </wps:txbx>
                        <wps:bodyPr wrap="square" lIns="0" tIns="0" rIns="0" bIns="0" rtlCol="0">
                          <a:noAutofit/>
                        </wps:bodyPr>
                      </wps:wsp>
                      <wps:wsp>
                        <wps:cNvPr id="130" name="Textbox 130"/>
                        <wps:cNvSpPr txBox="1"/>
                        <wps:spPr>
                          <a:xfrm>
                            <a:off x="2415984" y="1993455"/>
                            <a:ext cx="189865" cy="177165"/>
                          </a:xfrm>
                          <a:prstGeom prst="rect">
                            <a:avLst/>
                          </a:prstGeom>
                        </wps:spPr>
                        <wps:txbx>
                          <w:txbxContent>
                            <w:p w14:paraId="068D0575">
                              <w:pPr>
                                <w:spacing w:line="278" w:lineRule="exact"/>
                                <w:rPr>
                                  <w:rFonts w:ascii="Calibri"/>
                                  <w:sz w:val="28"/>
                                </w:rPr>
                              </w:pPr>
                              <w:r>
                                <w:rPr>
                                  <w:rFonts w:ascii="Calibri"/>
                                  <w:color w:val="404040"/>
                                  <w:spacing w:val="-5"/>
                                  <w:sz w:val="28"/>
                                </w:rPr>
                                <w:t>15</w:t>
                              </w:r>
                            </w:p>
                          </w:txbxContent>
                        </wps:txbx>
                        <wps:bodyPr wrap="square" lIns="0" tIns="0" rIns="0" bIns="0" rtlCol="0">
                          <a:noAutofit/>
                        </wps:bodyPr>
                      </wps:wsp>
                      <wps:wsp>
                        <wps:cNvPr id="131" name="Textbox 131"/>
                        <wps:cNvSpPr txBox="1"/>
                        <wps:spPr>
                          <a:xfrm>
                            <a:off x="937450" y="2054669"/>
                            <a:ext cx="389890" cy="490220"/>
                          </a:xfrm>
                          <a:prstGeom prst="rect">
                            <a:avLst/>
                          </a:prstGeom>
                        </wps:spPr>
                        <wps:txbx>
                          <w:txbxContent>
                            <w:p w14:paraId="707072CC">
                              <w:pPr>
                                <w:spacing w:line="284" w:lineRule="exact"/>
                                <w:ind w:right="18"/>
                                <w:jc w:val="right"/>
                                <w:rPr>
                                  <w:rFonts w:ascii="Calibri"/>
                                  <w:sz w:val="28"/>
                                </w:rPr>
                              </w:pPr>
                              <w:r>
                                <w:rPr>
                                  <w:rFonts w:ascii="Calibri"/>
                                  <w:color w:val="404040"/>
                                  <w:spacing w:val="-10"/>
                                  <w:sz w:val="28"/>
                                </w:rPr>
                                <w:t>9</w:t>
                              </w:r>
                            </w:p>
                            <w:p w14:paraId="24F0FC9D">
                              <w:pPr>
                                <w:spacing w:before="151" w:line="336" w:lineRule="exact"/>
                                <w:ind w:right="44"/>
                                <w:jc w:val="right"/>
                                <w:rPr>
                                  <w:rFonts w:ascii="Calibri"/>
                                  <w:sz w:val="28"/>
                                </w:rPr>
                              </w:pPr>
                              <w:r>
                                <w:rPr>
                                  <w:rFonts w:ascii="Calibri"/>
                                  <w:color w:val="585858"/>
                                  <w:spacing w:val="-4"/>
                                  <w:sz w:val="28"/>
                                </w:rPr>
                                <w:t>2022</w:t>
                              </w:r>
                            </w:p>
                          </w:txbxContent>
                        </wps:txbx>
                        <wps:bodyPr wrap="square" lIns="0" tIns="0" rIns="0" bIns="0" rtlCol="0">
                          <a:noAutofit/>
                        </wps:bodyPr>
                      </wps:wsp>
                      <wps:wsp>
                        <wps:cNvPr id="132" name="Textbox 132"/>
                        <wps:cNvSpPr txBox="1"/>
                        <wps:spPr>
                          <a:xfrm>
                            <a:off x="87947" y="96964"/>
                            <a:ext cx="281940" cy="177165"/>
                          </a:xfrm>
                          <a:prstGeom prst="rect">
                            <a:avLst/>
                          </a:prstGeom>
                        </wps:spPr>
                        <wps:txbx>
                          <w:txbxContent>
                            <w:p w14:paraId="4A1E3F1F">
                              <w:pPr>
                                <w:spacing w:line="278" w:lineRule="exact"/>
                                <w:rPr>
                                  <w:rFonts w:ascii="Calibri"/>
                                  <w:sz w:val="28"/>
                                </w:rPr>
                              </w:pPr>
                              <w:r>
                                <w:rPr>
                                  <w:rFonts w:ascii="Calibri"/>
                                  <w:color w:val="585858"/>
                                  <w:spacing w:val="-5"/>
                                  <w:sz w:val="28"/>
                                </w:rPr>
                                <w:t>200</w:t>
                              </w:r>
                            </w:p>
                          </w:txbxContent>
                        </wps:txbx>
                        <wps:bodyPr wrap="square" lIns="0" tIns="0" rIns="0" bIns="0" rtlCol="0">
                          <a:noAutofit/>
                        </wps:bodyPr>
                      </wps:wsp>
                      <wps:wsp>
                        <wps:cNvPr id="133" name="Textbox 133"/>
                        <wps:cNvSpPr txBox="1"/>
                        <wps:spPr>
                          <a:xfrm>
                            <a:off x="178244" y="1626196"/>
                            <a:ext cx="195580" cy="177165"/>
                          </a:xfrm>
                          <a:prstGeom prst="rect">
                            <a:avLst/>
                          </a:prstGeom>
                        </wps:spPr>
                        <wps:txbx>
                          <w:txbxContent>
                            <w:p w14:paraId="0E6629B1">
                              <w:pPr>
                                <w:spacing w:line="279" w:lineRule="exact"/>
                                <w:rPr>
                                  <w:rFonts w:ascii="Calibri"/>
                                  <w:sz w:val="28"/>
                                </w:rPr>
                              </w:pPr>
                              <w:r>
                                <w:rPr>
                                  <w:rFonts w:ascii="Calibri"/>
                                  <w:color w:val="585858"/>
                                  <w:spacing w:val="-5"/>
                                  <w:sz w:val="28"/>
                                </w:rPr>
                                <w:t>50</w:t>
                              </w:r>
                            </w:p>
                          </w:txbxContent>
                        </wps:txbx>
                        <wps:bodyPr wrap="square" lIns="0" tIns="0" rIns="0" bIns="0" rtlCol="0">
                          <a:noAutofit/>
                        </wps:bodyPr>
                      </wps:wsp>
                      <wps:wsp>
                        <wps:cNvPr id="134" name="Textbox 134"/>
                        <wps:cNvSpPr txBox="1"/>
                        <wps:spPr>
                          <a:xfrm>
                            <a:off x="87947" y="1116291"/>
                            <a:ext cx="282575" cy="177165"/>
                          </a:xfrm>
                          <a:prstGeom prst="rect">
                            <a:avLst/>
                          </a:prstGeom>
                        </wps:spPr>
                        <wps:txbx>
                          <w:txbxContent>
                            <w:p w14:paraId="1EA5EF96">
                              <w:pPr>
                                <w:spacing w:line="279" w:lineRule="exact"/>
                                <w:rPr>
                                  <w:rFonts w:ascii="Calibri"/>
                                  <w:sz w:val="28"/>
                                </w:rPr>
                              </w:pPr>
                              <w:r>
                                <w:rPr>
                                  <w:rFonts w:ascii="Calibri"/>
                                  <w:color w:val="585858"/>
                                  <w:spacing w:val="-5"/>
                                  <w:sz w:val="28"/>
                                </w:rPr>
                                <w:t>100</w:t>
                              </w:r>
                            </w:p>
                          </w:txbxContent>
                        </wps:txbx>
                        <wps:bodyPr wrap="square" lIns="0" tIns="0" rIns="0" bIns="0" rtlCol="0">
                          <a:noAutofit/>
                        </wps:bodyPr>
                      </wps:wsp>
                      <wps:wsp>
                        <wps:cNvPr id="135" name="Textbox 135"/>
                        <wps:cNvSpPr txBox="1"/>
                        <wps:spPr>
                          <a:xfrm>
                            <a:off x="4792535" y="790130"/>
                            <a:ext cx="278130" cy="177165"/>
                          </a:xfrm>
                          <a:prstGeom prst="rect">
                            <a:avLst/>
                          </a:prstGeom>
                        </wps:spPr>
                        <wps:txbx>
                          <w:txbxContent>
                            <w:p w14:paraId="12D0453E">
                              <w:pPr>
                                <w:spacing w:line="278" w:lineRule="exact"/>
                                <w:rPr>
                                  <w:rFonts w:ascii="Calibri"/>
                                  <w:sz w:val="28"/>
                                </w:rPr>
                              </w:pPr>
                              <w:r>
                                <w:rPr>
                                  <w:rFonts w:ascii="Calibri"/>
                                  <w:color w:val="404040"/>
                                  <w:spacing w:val="-5"/>
                                  <w:sz w:val="28"/>
                                </w:rPr>
                                <w:t>133</w:t>
                              </w:r>
                            </w:p>
                          </w:txbxContent>
                        </wps:txbx>
                        <wps:bodyPr wrap="square" lIns="0" tIns="0" rIns="0" bIns="0" rtlCol="0">
                          <a:noAutofit/>
                        </wps:bodyPr>
                      </wps:wsp>
                      <wps:wsp>
                        <wps:cNvPr id="136" name="Textbox 136"/>
                        <wps:cNvSpPr txBox="1"/>
                        <wps:spPr>
                          <a:xfrm>
                            <a:off x="2415476" y="545274"/>
                            <a:ext cx="278130" cy="177165"/>
                          </a:xfrm>
                          <a:prstGeom prst="rect">
                            <a:avLst/>
                          </a:prstGeom>
                        </wps:spPr>
                        <wps:txbx>
                          <w:txbxContent>
                            <w:p w14:paraId="37F35328">
                              <w:pPr>
                                <w:spacing w:line="278" w:lineRule="exact"/>
                                <w:rPr>
                                  <w:rFonts w:ascii="Calibri"/>
                                  <w:sz w:val="28"/>
                                </w:rPr>
                              </w:pPr>
                              <w:r>
                                <w:rPr>
                                  <w:rFonts w:ascii="Calibri"/>
                                  <w:color w:val="404040"/>
                                  <w:spacing w:val="-5"/>
                                  <w:sz w:val="28"/>
                                </w:rPr>
                                <w:t>157</w:t>
                              </w:r>
                            </w:p>
                          </w:txbxContent>
                        </wps:txbx>
                        <wps:bodyPr wrap="square" lIns="0" tIns="0" rIns="0" bIns="0" rtlCol="0">
                          <a:noAutofit/>
                        </wps:bodyPr>
                      </wps:wsp>
                      <wps:wsp>
                        <wps:cNvPr id="137" name="Textbox 137"/>
                        <wps:cNvSpPr txBox="1"/>
                        <wps:spPr>
                          <a:xfrm>
                            <a:off x="1226756" y="667575"/>
                            <a:ext cx="278130" cy="177165"/>
                          </a:xfrm>
                          <a:prstGeom prst="rect">
                            <a:avLst/>
                          </a:prstGeom>
                        </wps:spPr>
                        <wps:txbx>
                          <w:txbxContent>
                            <w:p w14:paraId="3C736FE4">
                              <w:pPr>
                                <w:spacing w:line="278" w:lineRule="exact"/>
                                <w:rPr>
                                  <w:rFonts w:ascii="Calibri"/>
                                  <w:sz w:val="28"/>
                                </w:rPr>
                              </w:pPr>
                              <w:r>
                                <w:rPr>
                                  <w:rFonts w:ascii="Calibri"/>
                                  <w:color w:val="404040"/>
                                  <w:spacing w:val="-5"/>
                                  <w:sz w:val="28"/>
                                </w:rPr>
                                <w:t>145</w:t>
                              </w:r>
                            </w:p>
                          </w:txbxContent>
                        </wps:txbx>
                        <wps:bodyPr wrap="square" lIns="0" tIns="0" rIns="0" bIns="0" rtlCol="0">
                          <a:noAutofit/>
                        </wps:bodyPr>
                      </wps:wsp>
                      <wps:wsp>
                        <wps:cNvPr id="138" name="Textbox 138"/>
                        <wps:cNvSpPr txBox="1"/>
                        <wps:spPr>
                          <a:xfrm>
                            <a:off x="87947" y="606869"/>
                            <a:ext cx="281940" cy="177165"/>
                          </a:xfrm>
                          <a:prstGeom prst="rect">
                            <a:avLst/>
                          </a:prstGeom>
                        </wps:spPr>
                        <wps:txbx>
                          <w:txbxContent>
                            <w:p w14:paraId="75E9927B">
                              <w:pPr>
                                <w:spacing w:line="278" w:lineRule="exact"/>
                                <w:rPr>
                                  <w:rFonts w:ascii="Calibri"/>
                                  <w:sz w:val="28"/>
                                </w:rPr>
                              </w:pPr>
                              <w:r>
                                <w:rPr>
                                  <w:rFonts w:ascii="Calibri"/>
                                  <w:color w:val="585858"/>
                                  <w:spacing w:val="-5"/>
                                  <w:sz w:val="28"/>
                                </w:rPr>
                                <w:t>150</w:t>
                              </w:r>
                            </w:p>
                          </w:txbxContent>
                        </wps:txbx>
                        <wps:bodyPr wrap="square" lIns="0" tIns="0" rIns="0" bIns="0" rtlCol="0">
                          <a:noAutofit/>
                        </wps:bodyPr>
                      </wps:wsp>
                      <wps:wsp>
                        <wps:cNvPr id="139" name="Textbox 139"/>
                        <wps:cNvSpPr txBox="1"/>
                        <wps:spPr>
                          <a:xfrm>
                            <a:off x="3603815" y="361505"/>
                            <a:ext cx="279400" cy="177165"/>
                          </a:xfrm>
                          <a:prstGeom prst="rect">
                            <a:avLst/>
                          </a:prstGeom>
                        </wps:spPr>
                        <wps:txbx>
                          <w:txbxContent>
                            <w:p w14:paraId="1177C119">
                              <w:pPr>
                                <w:spacing w:line="278" w:lineRule="exact"/>
                                <w:rPr>
                                  <w:rFonts w:ascii="Calibri"/>
                                  <w:sz w:val="28"/>
                                </w:rPr>
                              </w:pPr>
                              <w:r>
                                <w:rPr>
                                  <w:rFonts w:ascii="Calibri"/>
                                  <w:color w:val="404040"/>
                                  <w:spacing w:val="-5"/>
                                  <w:sz w:val="28"/>
                                </w:rPr>
                                <w:t>175</w:t>
                              </w:r>
                            </w:p>
                          </w:txbxContent>
                        </wps:txbx>
                        <wps:bodyPr wrap="square" lIns="0" tIns="0" rIns="0" bIns="0" rtlCol="0">
                          <a:noAutofit/>
                        </wps:bodyPr>
                      </wps:wsp>
                    </wpg:wgp>
                  </a:graphicData>
                </a:graphic>
              </wp:inline>
            </w:drawing>
          </mc:Choice>
          <mc:Fallback>
            <w:pict>
              <v:group id="Group 108" o:spid="_x0000_s1026" o:spt="203" style="height:236.25pt;width:426.75pt;" coordsize="5419725,3000375" o:gfxdata="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">
                <o:lock v:ext="edit" aspectratio="f"/>
                <v:shape id="Graphic 109" o:spid="_x0000_s1026" o:spt="100" style="position:absolute;left:522541;top:176720;height:2039620;width:4752975;" filled="f" stroked="t" coordsize="4752975,2039620" o:gfxdata="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JjgkugAAANwA&#10;AAAPAAAAAAAAAAEAIAAAACIAAABkcnMvZG93bnJldi54bWxQSwECFAAUAAAACACHTuJAMy8FnjsA&#10;AAA5AAAAEAAAAAAAAAABACAAAAAJAQAAZHJzL3NoYXBleG1sLnhtbFBLBQYAAAAABgAGAFsBAACz&#10;AwAAAAA=&#10;" path="m0,1528063l4752721,1528063em0,1019047l4752721,1019047em0,510031l4752721,510031em0,0l4752721,0em0,2039111l4752721,2039111e">
                  <v:fill on="f" focussize="0,0"/>
                  <v:stroke color="#D9D9D9" joinstyle="round"/>
                  <v:imagedata o:title=""/>
                  <o:lock v:ext="edit" aspectratio="f"/>
                  <v:textbox inset="0mm,0mm,0mm,0mm"/>
                </v:shape>
                <v:shape id="Graphic 110" o:spid="_x0000_s1026" o:spt="100" style="position:absolute;left:1116647;top:431609;height:428625;width:3564890;" filled="f" stroked="t" coordsize="3564890,428625" o:gfxdata="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LgAh74A&#10;AADcAAAADwAAAAAAAAABACAAAAAiAAAAZHJzL2Rvd25yZXYueG1sUEsBAhQAFAAAAAgAh07iQDMv&#10;BZ47AAAAOQAAABAAAAAAAAAAAQAgAAAADQEAAGRycy9zaGFwZXhtbC54bWxQSwUGAAAAAAYABgBb&#10;AQAAtwMAAAAA&#10;" path="m0,306958l1187831,185039,2376551,0,3564509,428244e">
                  <v:fill on="f" focussize="0,0"/>
                  <v:stroke weight="2.25pt" color="#4F81BC" joinstyle="round"/>
                  <v:imagedata o:title=""/>
                  <o:lock v:ext="edit" aspectratio="f"/>
                  <v:textbox inset="0mm,0mm,0mm,0mm"/>
                </v:shape>
                <v:shape id="Image 111" o:spid="_x0000_s1026" o:spt="75" type="#_x0000_t75" style="position:absolute;left:1080706;top:702754;height:70103;width:70104;" filled="f" o:preferrelative="t" stroked="f" coordsize="21600,21600" o:gfxdata="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o2AL4A&#10;AADcAAAADwAAAAAAAAABACAAAAAiAAAAZHJzL2Rvd25yZXYueG1sUEsBAhQAFAAAAAgAh07iQDMv&#10;BZ47AAAAOQAAABAAAAAAAAAAAQAgAAAADQEAAGRycy9zaGFwZXhtbC54bWxQSwUGAAAAAAYABgBb&#10;AQAAtwMAAAAA&#10;">
                  <v:fill on="f" focussize="0,0"/>
                  <v:stroke on="f"/>
                  <v:imagedata r:id="rId34" o:title=""/>
                  <o:lock v:ext="edit" aspectratio="f"/>
                </v:shape>
                <v:shape id="Image 112" o:spid="_x0000_s1026" o:spt="75" type="#_x0000_t75" style="position:absolute;left:2269426;top:580834;height:70103;width:70104;" filled="f" o:preferrelative="t" stroked="f" coordsize="21600,21600" o:gfxdata="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6atK7sAAADc&#10;AAAADwAAAAAAAAABACAAAAAiAAAAZHJzL2Rvd25yZXYueG1sUEsBAhQAFAAAAAgAh07iQDMvBZ47&#10;AAAAOQAAABAAAAAAAAAAAQAgAAAACgEAAGRycy9zaGFwZXhtbC54bWxQSwUGAAAAAAYABgBbAQAA&#10;tAMAAAAA&#10;">
                  <v:fill on="f" focussize="0,0"/>
                  <v:stroke on="f"/>
                  <v:imagedata r:id="rId35" o:title=""/>
                  <o:lock v:ext="edit" aspectratio="f"/>
                </v:shape>
                <v:shape id="Image 113" o:spid="_x0000_s1026" o:spt="75" type="#_x0000_t75" style="position:absolute;left:3455098;top:397954;height:70103;width:70104;" filled="f" o:preferrelative="t" stroked="f" coordsize="21600,21600" o:gfxdata="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dA3s&#10;wAAAANwAAAAPAAAAAAAAAAEAIAAAACIAAABkcnMvZG93bnJldi54bWxQSwECFAAUAAAACACHTuJA&#10;My8FnjsAAAA5AAAAEAAAAAAAAAABACAAAAAPAQAAZHJzL3NoYXBleG1sLnhtbFBLBQYAAAAABgAG&#10;AFsBAAC5AwAAAAA=&#10;">
                  <v:fill on="f" focussize="0,0"/>
                  <v:stroke on="f"/>
                  <v:imagedata r:id="rId34" o:title=""/>
                  <o:lock v:ext="edit" aspectratio="f"/>
                </v:shape>
                <v:shape id="Image 114" o:spid="_x0000_s1026" o:spt="75" type="#_x0000_t75" style="position:absolute;left:4643818;top:824674;height:70103;width:70103;" filled="f" o:preferrelative="t" stroked="f" coordsize="21600,21600" o:gfxdata="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rA5DEugAAANwA&#10;AAAPAAAAAAAAAAEAIAAAACIAAABkcnMvZG93bnJldi54bWxQSwECFAAUAAAACACHTuJAMy8FnjsA&#10;AAA5AAAAEAAAAAAAAAABACAAAAAJAQAAZHJzL3NoYXBleG1sLnhtbFBLBQYAAAAABgAGAFsBAACz&#10;AwAAAAA=&#10;">
                  <v:fill on="f" focussize="0,0"/>
                  <v:stroke on="f"/>
                  <v:imagedata r:id="rId35" o:title=""/>
                  <o:lock v:ext="edit" aspectratio="f"/>
                </v:shape>
                <v:shape id="Graphic 115" o:spid="_x0000_s1026" o:spt="100" style="position:absolute;left:1116647;top:2052764;height:122555;width:3564890;" filled="f" stroked="t" coordsize="3564890,122555" o:gfxdata="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D5XAa8AAAA&#10;3AAAAA8AAAAAAAAAAQAgAAAAIgAAAGRycy9kb3ducmV2LnhtbFBLAQIUABQAAAAIAIdO4kAzLwWe&#10;OwAAADkAAAAQAAAAAAAAAAEAIAAAAAsBAABkcnMvc2hhcGV4bWwueG1sUEsFBgAAAAAGAAYAWwEA&#10;ALUDAAAAAA==&#10;" path="m0,72644l1187831,11684,2376551,0,3564509,122300e">
                  <v:fill on="f" focussize="0,0"/>
                  <v:stroke weight="2.25pt" color="#C0504D" joinstyle="round"/>
                  <v:imagedata o:title=""/>
                  <o:lock v:ext="edit" aspectratio="f"/>
                  <v:textbox inset="0mm,0mm,0mm,0mm"/>
                </v:shape>
                <v:shape id="Image 116" o:spid="_x0000_s1026" o:spt="75" type="#_x0000_t75" style="position:absolute;left:1080706;top:2089594;height:70104;width:70104;" filled="f" o:preferrelative="t" stroked="f" coordsize="21600,21600" o:gfxdata="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bM5g7sAAADc&#10;AAAADwAAAAAAAAABACAAAAAiAAAAZHJzL2Rvd25yZXYueG1sUEsBAhQAFAAAAAgAh07iQDMvBZ47&#10;AAAAOQAAABAAAAAAAAAAAQAgAAAACgEAAGRycy9zaGFwZXhtbC54bWxQSwUGAAAAAAYABgBbAQAA&#10;tAMAAAAA&#10;">
                  <v:fill on="f" focussize="0,0"/>
                  <v:stroke on="f"/>
                  <v:imagedata r:id="rId36" o:title=""/>
                  <o:lock v:ext="edit" aspectratio="f"/>
                </v:shape>
                <v:shape id="Image 117" o:spid="_x0000_s1026" o:spt="75" type="#_x0000_t75" style="position:absolute;left:2269426;top:2028634;height:70103;width:70104;" filled="f" o:preferrelative="t" stroked="f" coordsize="21600,21600" o:gfxdata="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b/nBi8AAAA&#10;3AAAAA8AAAAAAAAAAQAgAAAAIgAAAGRycy9kb3ducmV2LnhtbFBLAQIUABQAAAAIAIdO4kAzLwWe&#10;OwAAADkAAAAQAAAAAAAAAAEAIAAAAAsBAABkcnMvc2hhcGV4bWwueG1sUEsFBgAAAAAGAAYAWwEA&#10;ALUDAAAAAA==&#10;">
                  <v:fill on="f" focussize="0,0"/>
                  <v:stroke on="f"/>
                  <v:imagedata r:id="rId36" o:title=""/>
                  <o:lock v:ext="edit" aspectratio="f"/>
                </v:shape>
                <v:shape id="Image 118" o:spid="_x0000_s1026" o:spt="75" type="#_x0000_t75" style="position:absolute;left:3455098;top:2019490;height:70104;width:70104;" filled="f" o:preferrelative="t" stroked="f" coordsize="21600,21600" o:gfxdata="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dgCGq/&#10;AAAA3AAAAA8AAAAAAAAAAQAgAAAAIgAAAGRycy9kb3ducmV2LnhtbFBLAQIUABQAAAAIAIdO4kAz&#10;LwWeOwAAADkAAAAQAAAAAAAAAAEAIAAAAA4BAABkcnMvc2hhcGV4bWwueG1sUEsFBgAAAAAGAAYA&#10;WwEAALgDAAAAAA==&#10;">
                  <v:fill on="f" focussize="0,0"/>
                  <v:stroke on="f"/>
                  <v:imagedata r:id="rId36" o:title=""/>
                  <o:lock v:ext="edit" aspectratio="f"/>
                </v:shape>
                <v:shape id="Image 119" o:spid="_x0000_s1026" o:spt="75" type="#_x0000_t75" style="position:absolute;left:4643818;top:2141410;height:70103;width:70103;" filled="f" o:preferrelative="t" stroked="f" coordsize="21600,21600" o:gfxdata="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gqq574A&#10;AADcAAAADwAAAAAAAAABACAAAAAiAAAAZHJzL2Rvd25yZXYueG1sUEsBAhQAFAAAAAgAh07iQDMv&#10;BZ47AAAAOQAAABAAAAAAAAAAAQAgAAAADQEAAGRycy9zaGFwZXhtbC54bWxQSwUGAAAAAAYABgBb&#10;AQAAtwMAAAAA&#10;">
                  <v:fill on="f" focussize="0,0"/>
                  <v:stroke on="f"/>
                  <v:imagedata r:id="rId37" o:title=""/>
                  <o:lock v:ext="edit" aspectratio="f"/>
                </v:shape>
                <v:shape id="Image 120" o:spid="_x0000_s1026" o:spt="75" type="#_x0000_t75" style="position:absolute;left:1691703;top:2737866;height:70484;width:243840;" filled="f" o:preferrelative="t" stroked="f" coordsize="21600,21600" o:gfxdata="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UouL4A&#10;AADcAAAADwAAAAAAAAABACAAAAAiAAAAZHJzL2Rvd25yZXYueG1sUEsBAhQAFAAAAAgAh07iQDMv&#10;BZ47AAAAOQAAABAAAAAAAAAAAQAgAAAADQEAAGRycy9zaGFwZXhtbC54bWxQSwUGAAAAAAYABgBb&#10;AQAAtwMAAAAA&#10;">
                  <v:fill on="f" focussize="0,0"/>
                  <v:stroke on="f"/>
                  <v:imagedata r:id="rId38" o:title=""/>
                  <o:lock v:ext="edit" aspectratio="f"/>
                </v:shape>
                <v:shape id="Image 121" o:spid="_x0000_s1026" o:spt="75" type="#_x0000_t75" style="position:absolute;left:2522029;top:2737866;height:70484;width:243839;" filled="f" o:preferrelative="t" stroked="f" coordsize="21600,21600" o:gfxdata="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S14i8AAAA&#10;3AAAAA8AAAAAAAAAAQAgAAAAIgAAAGRycy9kb3ducmV2LnhtbFBLAQIUABQAAAAIAIdO4kAzLwWe&#10;OwAAADkAAAAQAAAAAAAAAAEAIAAAAAsBAABkcnMvc2hhcGV4bWwueG1sUEsFBgAAAAAGAAYAWwEA&#10;ALUDAAAAAA==&#10;">
                  <v:fill on="f" focussize="0,0"/>
                  <v:stroke on="f"/>
                  <v:imagedata r:id="rId39" o:title=""/>
                  <o:lock v:ext="edit" aspectratio="f"/>
                </v:shape>
                <v:shape id="Graphic 122" o:spid="_x0000_s1026" o:spt="100" style="position:absolute;left:4762;top:4762;height:2990850;width:5410200;" filled="f" stroked="t" coordsize="5410200,2990850" o:gfxdata="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g+1rugAAANwA&#10;AAAPAAAAAAAAAAEAIAAAACIAAABkcnMvZG93bnJldi54bWxQSwECFAAUAAAACACHTuJAMy8FnjsA&#10;AAA5AAAAEAAAAAAAAAABACAAAAAJAQAAZHJzL3NoYXBleG1sLnhtbFBLBQYAAAAABgAGAFsBAACz&#10;AwAAAAA=&#10;" path="m0,2990850l5410200,2990850,5410200,0,0,0,0,2990850xe">
                  <v:fill on="f" focussize="0,0"/>
                  <v:stroke color="#D9D9D9" joinstyle="round"/>
                  <v:imagedata o:title=""/>
                  <o:lock v:ext="edit" aspectratio="f"/>
                  <v:textbox inset="0mm,0mm,0mm,0mm"/>
                </v:shape>
                <v:shape id="Textbox 123" o:spid="_x0000_s1026" o:spt="202" type="#_x0000_t202" style="position:absolute;left:268160;top:2136101;height:177165;width:102870;" filled="f" stroked="f" coordsize="21600,21600" o:gfxdata="UEsDBAoAAAAAAIdO4kAAAAAAAAAAAAAAAAAEAAAAZHJzL1BLAwQUAAAACACHTuJAHOeUdb0AAADc&#10;AAAADwAAAGRycy9kb3ducmV2LnhtbEVPS2sCMRC+F/ofwhR6q4kW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55R1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AD59591">
                        <w:pPr>
                          <w:spacing w:line="279" w:lineRule="exact"/>
                          <w:rPr>
                            <w:rFonts w:ascii="Calibri"/>
                            <w:sz w:val="28"/>
                          </w:rPr>
                        </w:pPr>
                        <w:r>
                          <w:rPr>
                            <w:rFonts w:ascii="Calibri"/>
                            <w:color w:val="585858"/>
                            <w:spacing w:val="-10"/>
                            <w:sz w:val="28"/>
                          </w:rPr>
                          <w:t>0</w:t>
                        </w:r>
                      </w:p>
                    </w:txbxContent>
                  </v:textbox>
                </v:shape>
                <v:shape id="Textbox 124" o:spid="_x0000_s1026" o:spt="202" type="#_x0000_t202" style="position:absolute;left:2793047;top:2694749;height:177165;width:948690;" filled="f" stroked="f" coordsize="21600,21600" o:gfxdata="UEsDBAoAAAAAAIdO4kAAAAAAAAAAAAAAAAAEAAAAZHJzL1BLAwQUAAAACACHTuJAkw4MAb0AAADc&#10;AAAADwAAAGRycy9kb3ducmV2LnhtbEVPS2sCMRC+F/ofwhR6q4lSpK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DgwB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93522D4">
                        <w:pPr>
                          <w:spacing w:line="278" w:lineRule="exact"/>
                          <w:rPr>
                            <w:rFonts w:ascii="Calibri" w:hAnsi="Calibri"/>
                            <w:sz w:val="28"/>
                          </w:rPr>
                        </w:pPr>
                        <w:r>
                          <w:rPr>
                            <w:rFonts w:ascii="Calibri" w:hAnsi="Calibri"/>
                            <w:color w:val="585858"/>
                            <w:spacing w:val="-2"/>
                            <w:sz w:val="28"/>
                          </w:rPr>
                          <w:t>Летальность</w:t>
                        </w:r>
                      </w:p>
                    </w:txbxContent>
                  </v:textbox>
                </v:shape>
                <v:shape id="Textbox 125" o:spid="_x0000_s1026" o:spt="202" type="#_x0000_t202" style="position:absolute;left:1962467;top:2694749;height:177165;width:403225;" filled="f" stroked="f" coordsize="21600,21600" o:gfxdata="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Qqma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10CA8AA">
                        <w:pPr>
                          <w:spacing w:line="278" w:lineRule="exact"/>
                          <w:rPr>
                            <w:rFonts w:ascii="Calibri" w:hAnsi="Calibri"/>
                            <w:sz w:val="28"/>
                          </w:rPr>
                        </w:pPr>
                        <w:r>
                          <w:rPr>
                            <w:rFonts w:ascii="Calibri" w:hAnsi="Calibri"/>
                            <w:color w:val="585858"/>
                            <w:spacing w:val="-4"/>
                            <w:sz w:val="28"/>
                          </w:rPr>
                          <w:t>ГПДР</w:t>
                        </w:r>
                      </w:p>
                    </w:txbxContent>
                  </v:textbox>
                </v:shape>
                <v:shape id="Textbox 126" o:spid="_x0000_s1026" o:spt="202" type="#_x0000_t202" style="position:absolute;left:4503356;top:2105596;height:439420;width:389890;" filled="f" stroked="f" coordsize="21600,21600" o:gfxdata="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yQN+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B45AF28">
                        <w:pPr>
                          <w:spacing w:line="284" w:lineRule="exact"/>
                          <w:ind w:right="18"/>
                          <w:jc w:val="right"/>
                          <w:rPr>
                            <w:rFonts w:ascii="Calibri"/>
                            <w:sz w:val="28"/>
                          </w:rPr>
                        </w:pPr>
                        <w:r>
                          <w:rPr>
                            <w:rFonts w:ascii="Calibri"/>
                            <w:color w:val="404040"/>
                            <w:spacing w:val="-10"/>
                            <w:sz w:val="28"/>
                          </w:rPr>
                          <w:t>4</w:t>
                        </w:r>
                      </w:p>
                      <w:p w14:paraId="6B5D87C4">
                        <w:pPr>
                          <w:spacing w:before="71" w:line="336" w:lineRule="exact"/>
                          <w:ind w:right="44"/>
                          <w:jc w:val="right"/>
                          <w:rPr>
                            <w:rFonts w:ascii="Calibri"/>
                            <w:sz w:val="28"/>
                          </w:rPr>
                        </w:pPr>
                        <w:r>
                          <w:rPr>
                            <w:rFonts w:ascii="Calibri"/>
                            <w:color w:val="585858"/>
                            <w:spacing w:val="-4"/>
                            <w:sz w:val="28"/>
                          </w:rPr>
                          <w:t>2025</w:t>
                        </w:r>
                      </w:p>
                    </w:txbxContent>
                  </v:textbox>
                </v:shape>
                <v:shape id="Textbox 127" o:spid="_x0000_s1026" o:spt="202" type="#_x0000_t202" style="position:absolute;left:3314636;top:2367724;height:177165;width:373380;" filled="f" stroked="f" coordsize="21600,21600" o:gfxdata="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Pckn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39881D7">
                        <w:pPr>
                          <w:spacing w:line="278" w:lineRule="exact"/>
                          <w:rPr>
                            <w:rFonts w:ascii="Calibri"/>
                            <w:sz w:val="28"/>
                          </w:rPr>
                        </w:pPr>
                        <w:r>
                          <w:rPr>
                            <w:rFonts w:ascii="Calibri"/>
                            <w:color w:val="585858"/>
                            <w:spacing w:val="-4"/>
                            <w:sz w:val="28"/>
                          </w:rPr>
                          <w:t>2024</w:t>
                        </w:r>
                      </w:p>
                    </w:txbxContent>
                  </v:textbox>
                </v:shape>
                <v:shape id="Textbox 128" o:spid="_x0000_s1026" o:spt="202" type="#_x0000_t202" style="position:absolute;left:2125916;top:2367724;height:177165;width:374650;" filled="f" stroked="f" coordsize="21600,21600" o:gfxdata="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JDBg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262CF346">
                        <w:pPr>
                          <w:spacing w:line="278" w:lineRule="exact"/>
                          <w:rPr>
                            <w:rFonts w:ascii="Calibri"/>
                            <w:sz w:val="28"/>
                          </w:rPr>
                        </w:pPr>
                        <w:r>
                          <w:rPr>
                            <w:rFonts w:ascii="Calibri"/>
                            <w:color w:val="585858"/>
                            <w:spacing w:val="-4"/>
                            <w:sz w:val="28"/>
                          </w:rPr>
                          <w:t>2023</w:t>
                        </w:r>
                      </w:p>
                    </w:txbxContent>
                  </v:textbox>
                </v:shape>
                <v:shape id="Textbox 129" o:spid="_x0000_s1026" o:spt="202" type="#_x0000_t202" style="position:absolute;left:3604704;top:1983041;height:177165;width:189865;" filled="f" stroked="f" coordsize="21600,21600" o:gfxdata="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jn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5DFCDC72">
                        <w:pPr>
                          <w:spacing w:line="278" w:lineRule="exact"/>
                          <w:rPr>
                            <w:rFonts w:ascii="Calibri"/>
                            <w:sz w:val="28"/>
                          </w:rPr>
                        </w:pPr>
                        <w:r>
                          <w:rPr>
                            <w:rFonts w:ascii="Calibri"/>
                            <w:color w:val="404040"/>
                            <w:spacing w:val="-5"/>
                            <w:sz w:val="28"/>
                          </w:rPr>
                          <w:t>16</w:t>
                        </w:r>
                      </w:p>
                    </w:txbxContent>
                  </v:textbox>
                </v:shape>
                <v:shape id="Textbox 130" o:spid="_x0000_s1026" o:spt="202" type="#_x0000_t202" style="position:absolute;left:2415984;top:1993455;height:177165;width:189865;" filled="f" stroked="f" coordsize="21600,21600" o:gfxdata="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nsnN+/&#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068D0575">
                        <w:pPr>
                          <w:spacing w:line="278" w:lineRule="exact"/>
                          <w:rPr>
                            <w:rFonts w:ascii="Calibri"/>
                            <w:sz w:val="28"/>
                          </w:rPr>
                        </w:pPr>
                        <w:r>
                          <w:rPr>
                            <w:rFonts w:ascii="Calibri"/>
                            <w:color w:val="404040"/>
                            <w:spacing w:val="-5"/>
                            <w:sz w:val="28"/>
                          </w:rPr>
                          <w:t>15</w:t>
                        </w:r>
                      </w:p>
                    </w:txbxContent>
                  </v:textbox>
                </v:shape>
                <v:shape id="Textbox 131" o:spid="_x0000_s1026" o:spt="202" type="#_x0000_t202" style="position:absolute;left:937450;top:2054669;height:490220;width:389890;" filled="f" stroked="f" coordsize="21600,21600" o:gfxdata="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gOUS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07072CC">
                        <w:pPr>
                          <w:spacing w:line="284" w:lineRule="exact"/>
                          <w:ind w:right="18"/>
                          <w:jc w:val="right"/>
                          <w:rPr>
                            <w:rFonts w:ascii="Calibri"/>
                            <w:sz w:val="28"/>
                          </w:rPr>
                        </w:pPr>
                        <w:r>
                          <w:rPr>
                            <w:rFonts w:ascii="Calibri"/>
                            <w:color w:val="404040"/>
                            <w:spacing w:val="-10"/>
                            <w:sz w:val="28"/>
                          </w:rPr>
                          <w:t>9</w:t>
                        </w:r>
                      </w:p>
                      <w:p w14:paraId="24F0FC9D">
                        <w:pPr>
                          <w:spacing w:before="151" w:line="336" w:lineRule="exact"/>
                          <w:ind w:right="44"/>
                          <w:jc w:val="right"/>
                          <w:rPr>
                            <w:rFonts w:ascii="Calibri"/>
                            <w:sz w:val="28"/>
                          </w:rPr>
                        </w:pPr>
                        <w:r>
                          <w:rPr>
                            <w:rFonts w:ascii="Calibri"/>
                            <w:color w:val="585858"/>
                            <w:spacing w:val="-4"/>
                            <w:sz w:val="28"/>
                          </w:rPr>
                          <w:t>2022</w:t>
                        </w:r>
                      </w:p>
                    </w:txbxContent>
                  </v:textbox>
                </v:shape>
                <v:shape id="Textbox 132" o:spid="_x0000_s1026" o:spt="202" type="#_x0000_t202" style="position:absolute;left:87947;top:96964;height:177165;width:281940;" filled="f" stroked="f" coordsize="21600,21600" o:gfxdata="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cqcz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A1E3F1F">
                        <w:pPr>
                          <w:spacing w:line="278" w:lineRule="exact"/>
                          <w:rPr>
                            <w:rFonts w:ascii="Calibri"/>
                            <w:sz w:val="28"/>
                          </w:rPr>
                        </w:pPr>
                        <w:r>
                          <w:rPr>
                            <w:rFonts w:ascii="Calibri"/>
                            <w:color w:val="585858"/>
                            <w:spacing w:val="-5"/>
                            <w:sz w:val="28"/>
                          </w:rPr>
                          <w:t>200</w:t>
                        </w:r>
                      </w:p>
                    </w:txbxContent>
                  </v:textbox>
                </v:shape>
                <v:shape id="Textbox 133" o:spid="_x0000_s1026" o:spt="202" type="#_x0000_t202" style="position:absolute;left:178244;top:1626196;height:177165;width:195580;" filled="f" stroked="f" coordsize="21600,21600" o:gfxdata="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PgKo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E6629B1">
                        <w:pPr>
                          <w:spacing w:line="279" w:lineRule="exact"/>
                          <w:rPr>
                            <w:rFonts w:ascii="Calibri"/>
                            <w:sz w:val="28"/>
                          </w:rPr>
                        </w:pPr>
                        <w:r>
                          <w:rPr>
                            <w:rFonts w:ascii="Calibri"/>
                            <w:color w:val="585858"/>
                            <w:spacing w:val="-5"/>
                            <w:sz w:val="28"/>
                          </w:rPr>
                          <w:t>50</w:t>
                        </w:r>
                      </w:p>
                    </w:txbxContent>
                  </v:textbox>
                </v:shape>
                <v:shape id="Textbox 134" o:spid="_x0000_s1026" o:spt="202" type="#_x0000_t202" style="position:absolute;left:87947;top:1116291;height:177165;width:282575;" filled="f" stroked="f" coordsize="21600,21600" o:gfxdata="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15rc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EA5EF96">
                        <w:pPr>
                          <w:spacing w:line="279" w:lineRule="exact"/>
                          <w:rPr>
                            <w:rFonts w:ascii="Calibri"/>
                            <w:sz w:val="28"/>
                          </w:rPr>
                        </w:pPr>
                        <w:r>
                          <w:rPr>
                            <w:rFonts w:ascii="Calibri"/>
                            <w:color w:val="585858"/>
                            <w:spacing w:val="-5"/>
                            <w:sz w:val="28"/>
                          </w:rPr>
                          <w:t>100</w:t>
                        </w:r>
                      </w:p>
                    </w:txbxContent>
                  </v:textbox>
                </v:shape>
                <v:shape id="Textbox 135" o:spid="_x0000_s1026" o:spt="202" type="#_x0000_t202" style="position:absolute;left:4792535;top:790130;height:177165;width:278130;" filled="f" stroked="f" coordsize="21600,21600" o:gfxdata="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mz9HvQAA&#10;ANw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12D0453E">
                        <w:pPr>
                          <w:spacing w:line="278" w:lineRule="exact"/>
                          <w:rPr>
                            <w:rFonts w:ascii="Calibri"/>
                            <w:sz w:val="28"/>
                          </w:rPr>
                        </w:pPr>
                        <w:r>
                          <w:rPr>
                            <w:rFonts w:ascii="Calibri"/>
                            <w:color w:val="404040"/>
                            <w:spacing w:val="-5"/>
                            <w:sz w:val="28"/>
                          </w:rPr>
                          <w:t>133</w:t>
                        </w:r>
                      </w:p>
                    </w:txbxContent>
                  </v:textbox>
                </v:shape>
                <v:shape id="Textbox 136" o:spid="_x0000_s1026" o:spt="202" type="#_x0000_t202" style="position:absolute;left:2415476;top:545274;height:177165;width:278130;" filled="f" stroked="f" coordsize="21600,21600" o:gfxdata="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JoTC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7F35328">
                        <w:pPr>
                          <w:spacing w:line="278" w:lineRule="exact"/>
                          <w:rPr>
                            <w:rFonts w:ascii="Calibri"/>
                            <w:sz w:val="28"/>
                          </w:rPr>
                        </w:pPr>
                        <w:r>
                          <w:rPr>
                            <w:rFonts w:ascii="Calibri"/>
                            <w:color w:val="404040"/>
                            <w:spacing w:val="-5"/>
                            <w:sz w:val="28"/>
                          </w:rPr>
                          <w:t>157</w:t>
                        </w:r>
                      </w:p>
                    </w:txbxContent>
                  </v:textbox>
                </v:shape>
                <v:shape id="Textbox 137" o:spid="_x0000_s1026" o:spt="202" type="#_x0000_t202" style="position:absolute;left:1226756;top:667575;height:177165;width:278130;" filled="f" stroked="f" coordsize="21600,21600" o:gfxdata="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FBKu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C736FE4">
                        <w:pPr>
                          <w:spacing w:line="278" w:lineRule="exact"/>
                          <w:rPr>
                            <w:rFonts w:ascii="Calibri"/>
                            <w:sz w:val="28"/>
                          </w:rPr>
                        </w:pPr>
                        <w:r>
                          <w:rPr>
                            <w:rFonts w:ascii="Calibri"/>
                            <w:color w:val="404040"/>
                            <w:spacing w:val="-5"/>
                            <w:sz w:val="28"/>
                          </w:rPr>
                          <w:t>145</w:t>
                        </w:r>
                      </w:p>
                    </w:txbxContent>
                  </v:textbox>
                </v:shape>
                <v:shape id="Textbox 138" o:spid="_x0000_s1026" o:spt="202" type="#_x0000_t202" style="position:absolute;left:87947;top:606869;height:177165;width:281940;" filled="f" stroked="f" coordsize="21600,21600" o:gfxdata="UEsDBAoAAAAAAIdO4kAAAAAAAAAAAAAAAAAEAAAAZHJzL1BLAwQUAAAACACHTuJAl5qQ2b8AAADc&#10;AAAADwAAAGRycy9kb3ducmV2LnhtbEWPQUvDQBCF74L/YZmCN7tbh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eakNm/&#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75E9927B">
                        <w:pPr>
                          <w:spacing w:line="278" w:lineRule="exact"/>
                          <w:rPr>
                            <w:rFonts w:ascii="Calibri"/>
                            <w:sz w:val="28"/>
                          </w:rPr>
                        </w:pPr>
                        <w:r>
                          <w:rPr>
                            <w:rFonts w:ascii="Calibri"/>
                            <w:color w:val="585858"/>
                            <w:spacing w:val="-5"/>
                            <w:sz w:val="28"/>
                          </w:rPr>
                          <w:t>150</w:t>
                        </w:r>
                      </w:p>
                    </w:txbxContent>
                  </v:textbox>
                </v:shape>
                <v:shape id="Textbox 139" o:spid="_x0000_s1026" o:spt="202" type="#_x0000_t202" style="position:absolute;left:3603815;top:361505;height:177165;width:279400;" filled="f" stroked="f" coordsize="21600,21600" o:gfxdata="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WNU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1177C119">
                        <w:pPr>
                          <w:spacing w:line="278" w:lineRule="exact"/>
                          <w:rPr>
                            <w:rFonts w:ascii="Calibri"/>
                            <w:sz w:val="28"/>
                          </w:rPr>
                        </w:pPr>
                        <w:r>
                          <w:rPr>
                            <w:rFonts w:ascii="Calibri"/>
                            <w:color w:val="404040"/>
                            <w:spacing w:val="-5"/>
                            <w:sz w:val="28"/>
                          </w:rPr>
                          <w:t>175</w:t>
                        </w:r>
                      </w:p>
                    </w:txbxContent>
                  </v:textbox>
                </v:shape>
                <w10:wrap type="none"/>
                <w10:anchorlock/>
              </v:group>
            </w:pict>
          </mc:Fallback>
        </mc:AlternateContent>
      </w:r>
    </w:p>
    <w:p w14:paraId="1738D10F">
      <w:pPr>
        <w:pStyle w:val="7"/>
        <w:spacing w:before="284"/>
        <w:ind w:left="426" w:firstLine="427"/>
        <w:jc w:val="center"/>
      </w:pPr>
      <w:r>
        <w:t>Рисунок 10 - Динамика количества выполненных ГПДР и случаев послеоперационной</w:t>
      </w:r>
      <w:r>
        <w:rPr>
          <w:spacing w:val="-5"/>
        </w:rPr>
        <w:t xml:space="preserve"> </w:t>
      </w:r>
      <w:r>
        <w:t>летальности</w:t>
      </w:r>
      <w:r>
        <w:rPr>
          <w:spacing w:val="-5"/>
        </w:rPr>
        <w:t xml:space="preserve"> </w:t>
      </w:r>
      <w:r>
        <w:t>в</w:t>
      </w:r>
      <w:r>
        <w:rPr>
          <w:spacing w:val="-6"/>
        </w:rPr>
        <w:t xml:space="preserve"> </w:t>
      </w:r>
      <w:r>
        <w:t>Республике</w:t>
      </w:r>
      <w:r>
        <w:rPr>
          <w:spacing w:val="-4"/>
        </w:rPr>
        <w:t xml:space="preserve"> </w:t>
      </w:r>
      <w:r>
        <w:t>Казахстан</w:t>
      </w:r>
      <w:r>
        <w:rPr>
          <w:spacing w:val="-5"/>
        </w:rPr>
        <w:t xml:space="preserve"> </w:t>
      </w:r>
      <w:r>
        <w:t>в</w:t>
      </w:r>
      <w:r>
        <w:rPr>
          <w:spacing w:val="-6"/>
        </w:rPr>
        <w:t xml:space="preserve"> </w:t>
      </w:r>
      <w:r>
        <w:t>2022–2025</w:t>
      </w:r>
      <w:r>
        <w:rPr>
          <w:spacing w:val="-5"/>
        </w:rPr>
        <w:t xml:space="preserve"> </w:t>
      </w:r>
      <w:r>
        <w:t>гг.</w:t>
      </w:r>
    </w:p>
    <w:p w14:paraId="79B8E877">
      <w:pPr>
        <w:pStyle w:val="7"/>
        <w:spacing w:before="321"/>
        <w:ind w:left="0" w:right="3" w:firstLine="709"/>
      </w:pPr>
      <w:r>
        <w:t>Показатели летальности находятся в пределах 4–16 случаев в год, что соответствует</w:t>
      </w:r>
      <w:r>
        <w:rPr>
          <w:spacing w:val="-4"/>
        </w:rPr>
        <w:t xml:space="preserve"> </w:t>
      </w:r>
      <w:r>
        <w:t>допустимым</w:t>
      </w:r>
      <w:r>
        <w:rPr>
          <w:spacing w:val="-2"/>
        </w:rPr>
        <w:t xml:space="preserve"> </w:t>
      </w:r>
      <w:r>
        <w:t>значениям</w:t>
      </w:r>
      <w:r>
        <w:rPr>
          <w:spacing w:val="-2"/>
        </w:rPr>
        <w:t xml:space="preserve"> </w:t>
      </w:r>
      <w:r>
        <w:t>для</w:t>
      </w:r>
      <w:r>
        <w:rPr>
          <w:spacing w:val="-1"/>
        </w:rPr>
        <w:t xml:space="preserve"> </w:t>
      </w:r>
      <w:r>
        <w:t>высокоспециализированных</w:t>
      </w:r>
      <w:r>
        <w:rPr>
          <w:spacing w:val="-7"/>
        </w:rPr>
        <w:t xml:space="preserve"> </w:t>
      </w:r>
      <w:r>
        <w:t>центров. Наибольшее количество ГПДР ежегодно выполняется в г. Алматы (72–81 операций),</w:t>
      </w:r>
      <w:r>
        <w:rPr>
          <w:spacing w:val="-7"/>
        </w:rPr>
        <w:t xml:space="preserve"> </w:t>
      </w:r>
      <w:r>
        <w:t>г.</w:t>
      </w:r>
      <w:r>
        <w:rPr>
          <w:spacing w:val="-7"/>
        </w:rPr>
        <w:t xml:space="preserve"> </w:t>
      </w:r>
      <w:r>
        <w:t>Астане</w:t>
      </w:r>
      <w:r>
        <w:rPr>
          <w:spacing w:val="-9"/>
        </w:rPr>
        <w:t xml:space="preserve"> </w:t>
      </w:r>
      <w:r>
        <w:t>(34–46</w:t>
      </w:r>
      <w:r>
        <w:rPr>
          <w:spacing w:val="-9"/>
        </w:rPr>
        <w:t xml:space="preserve"> </w:t>
      </w:r>
      <w:r>
        <w:t>операций),</w:t>
      </w:r>
      <w:r>
        <w:rPr>
          <w:spacing w:val="-7"/>
        </w:rPr>
        <w:t xml:space="preserve"> </w:t>
      </w:r>
      <w:r>
        <w:t>а</w:t>
      </w:r>
      <w:r>
        <w:rPr>
          <w:spacing w:val="-13"/>
        </w:rPr>
        <w:t xml:space="preserve"> </w:t>
      </w:r>
      <w:r>
        <w:t>также</w:t>
      </w:r>
      <w:r>
        <w:rPr>
          <w:spacing w:val="-9"/>
        </w:rPr>
        <w:t xml:space="preserve"> </w:t>
      </w:r>
      <w:r>
        <w:t>частично</w:t>
      </w:r>
      <w:r>
        <w:rPr>
          <w:spacing w:val="-9"/>
        </w:rPr>
        <w:t xml:space="preserve"> </w:t>
      </w:r>
      <w:r>
        <w:t>в</w:t>
      </w:r>
      <w:r>
        <w:rPr>
          <w:spacing w:val="-11"/>
        </w:rPr>
        <w:t xml:space="preserve"> </w:t>
      </w:r>
      <w:r>
        <w:t>отдельных</w:t>
      </w:r>
      <w:r>
        <w:rPr>
          <w:spacing w:val="-14"/>
        </w:rPr>
        <w:t xml:space="preserve"> </w:t>
      </w:r>
      <w:r>
        <w:t>областных центрах, таких как Восточно-Казахстанская, Карагандинская и Жетысуская области. В ряде регионов Атырауская, Костанайская, Улытауская области вмешательство практически не выполняется, что объясняется отсутствием специализированных хирургических служб соответствующего уровня.</w:t>
      </w:r>
    </w:p>
    <w:p w14:paraId="45BB0A07">
      <w:pPr>
        <w:pStyle w:val="7"/>
        <w:spacing w:before="2"/>
        <w:ind w:left="0" w:right="3" w:firstLine="709"/>
        <w:jc w:val="left"/>
      </w:pPr>
    </w:p>
    <w:p w14:paraId="337C7E7E">
      <w:pPr>
        <w:pStyle w:val="7"/>
        <w:ind w:left="0" w:firstLine="0"/>
        <w:jc w:val="left"/>
      </w:pPr>
      <w:r>
        <w:t>Таблица</w:t>
      </w:r>
      <w:r>
        <w:rPr>
          <w:spacing w:val="-18"/>
        </w:rPr>
        <w:t xml:space="preserve"> </w:t>
      </w:r>
      <w:r>
        <w:t>9</w:t>
      </w:r>
      <w:r>
        <w:rPr>
          <w:spacing w:val="-17"/>
        </w:rPr>
        <w:t xml:space="preserve"> </w:t>
      </w:r>
      <w:r>
        <w:t>-</w:t>
      </w:r>
      <w:r>
        <w:rPr>
          <w:spacing w:val="-18"/>
        </w:rPr>
        <w:t xml:space="preserve"> </w:t>
      </w:r>
      <w:r>
        <w:t>Динамика</w:t>
      </w:r>
      <w:r>
        <w:rPr>
          <w:spacing w:val="-17"/>
        </w:rPr>
        <w:t xml:space="preserve"> </w:t>
      </w:r>
      <w:r>
        <w:t>количества</w:t>
      </w:r>
      <w:r>
        <w:rPr>
          <w:spacing w:val="-18"/>
        </w:rPr>
        <w:t xml:space="preserve"> </w:t>
      </w:r>
      <w:r>
        <w:t>ГПДР</w:t>
      </w:r>
      <w:r>
        <w:rPr>
          <w:spacing w:val="-16"/>
        </w:rPr>
        <w:t xml:space="preserve"> </w:t>
      </w:r>
      <w:r>
        <w:t>и</w:t>
      </w:r>
      <w:r>
        <w:rPr>
          <w:spacing w:val="-18"/>
        </w:rPr>
        <w:t xml:space="preserve"> </w:t>
      </w:r>
      <w:r>
        <w:t>показателей</w:t>
      </w:r>
      <w:r>
        <w:rPr>
          <w:spacing w:val="-13"/>
        </w:rPr>
        <w:t xml:space="preserve"> </w:t>
      </w:r>
      <w:r>
        <w:t>летальности</w:t>
      </w:r>
      <w:r>
        <w:rPr>
          <w:spacing w:val="-14"/>
        </w:rPr>
        <w:t xml:space="preserve"> </w:t>
      </w:r>
      <w:r>
        <w:t>в</w:t>
      </w:r>
      <w:r>
        <w:rPr>
          <w:spacing w:val="-16"/>
        </w:rPr>
        <w:t xml:space="preserve"> </w:t>
      </w:r>
      <w:r>
        <w:t>Республике Казахстан за 2022–2025 гг.</w:t>
      </w:r>
    </w:p>
    <w:p w14:paraId="4A0D7A58">
      <w:pPr>
        <w:pStyle w:val="7"/>
        <w:spacing w:before="99"/>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1843"/>
        <w:gridCol w:w="1701"/>
        <w:gridCol w:w="1701"/>
        <w:gridCol w:w="1418"/>
        <w:gridCol w:w="1842"/>
      </w:tblGrid>
      <w:tr w14:paraId="0F1EE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134" w:type="dxa"/>
          </w:tcPr>
          <w:p w14:paraId="021B6241">
            <w:pPr>
              <w:pStyle w:val="11"/>
              <w:spacing w:line="315" w:lineRule="exact"/>
              <w:ind w:left="317"/>
              <w:jc w:val="left"/>
              <w:rPr>
                <w:sz w:val="28"/>
              </w:rPr>
            </w:pPr>
            <w:r>
              <w:rPr>
                <w:spacing w:val="-5"/>
                <w:sz w:val="28"/>
              </w:rPr>
              <w:t>Год</w:t>
            </w:r>
          </w:p>
        </w:tc>
        <w:tc>
          <w:tcPr>
            <w:tcW w:w="1843" w:type="dxa"/>
          </w:tcPr>
          <w:p w14:paraId="6F951ABF">
            <w:pPr>
              <w:pStyle w:val="11"/>
              <w:spacing w:line="240" w:lineRule="auto"/>
              <w:ind w:left="306" w:right="149" w:hanging="144"/>
              <w:jc w:val="left"/>
              <w:rPr>
                <w:sz w:val="28"/>
              </w:rPr>
            </w:pPr>
            <w:r>
              <w:rPr>
                <w:spacing w:val="-2"/>
                <w:sz w:val="28"/>
              </w:rPr>
              <w:t xml:space="preserve">Количество </w:t>
            </w:r>
            <w:r>
              <w:rPr>
                <w:sz w:val="28"/>
              </w:rPr>
              <w:t>ГПДР (n)</w:t>
            </w:r>
          </w:p>
        </w:tc>
        <w:tc>
          <w:tcPr>
            <w:tcW w:w="1701" w:type="dxa"/>
          </w:tcPr>
          <w:p w14:paraId="18FFBEC0">
            <w:pPr>
              <w:pStyle w:val="11"/>
              <w:spacing w:line="240" w:lineRule="auto"/>
              <w:ind w:left="762" w:hanging="581"/>
              <w:jc w:val="left"/>
              <w:rPr>
                <w:spacing w:val="-2"/>
                <w:sz w:val="28"/>
              </w:rPr>
            </w:pPr>
            <w:r>
              <w:rPr>
                <w:spacing w:val="-2"/>
                <w:sz w:val="28"/>
              </w:rPr>
              <w:t xml:space="preserve">Летальность </w:t>
            </w:r>
          </w:p>
          <w:p w14:paraId="46300800">
            <w:pPr>
              <w:pStyle w:val="11"/>
              <w:spacing w:line="240" w:lineRule="auto"/>
              <w:ind w:left="762" w:hanging="581"/>
              <w:jc w:val="left"/>
              <w:rPr>
                <w:sz w:val="28"/>
              </w:rPr>
            </w:pPr>
            <w:r>
              <w:rPr>
                <w:spacing w:val="-4"/>
                <w:sz w:val="28"/>
              </w:rPr>
              <w:t>(n)</w:t>
            </w:r>
          </w:p>
        </w:tc>
        <w:tc>
          <w:tcPr>
            <w:tcW w:w="1701" w:type="dxa"/>
          </w:tcPr>
          <w:p w14:paraId="1C8E49CE">
            <w:pPr>
              <w:pStyle w:val="11"/>
              <w:spacing w:line="240" w:lineRule="auto"/>
              <w:ind w:left="709" w:hanging="534"/>
              <w:jc w:val="left"/>
              <w:rPr>
                <w:spacing w:val="-2"/>
                <w:sz w:val="28"/>
              </w:rPr>
            </w:pPr>
            <w:r>
              <w:rPr>
                <w:spacing w:val="-2"/>
                <w:sz w:val="28"/>
              </w:rPr>
              <w:t xml:space="preserve">Летальность </w:t>
            </w:r>
          </w:p>
          <w:p w14:paraId="3BAFC716">
            <w:pPr>
              <w:pStyle w:val="11"/>
              <w:spacing w:line="240" w:lineRule="auto"/>
              <w:ind w:left="709" w:hanging="534"/>
              <w:jc w:val="left"/>
              <w:rPr>
                <w:sz w:val="28"/>
              </w:rPr>
            </w:pPr>
            <w:r>
              <w:rPr>
                <w:spacing w:val="-4"/>
                <w:sz w:val="28"/>
              </w:rPr>
              <w:t>(%)</w:t>
            </w:r>
          </w:p>
        </w:tc>
        <w:tc>
          <w:tcPr>
            <w:tcW w:w="1418" w:type="dxa"/>
          </w:tcPr>
          <w:p w14:paraId="61755DB9">
            <w:pPr>
              <w:pStyle w:val="11"/>
              <w:spacing w:line="240" w:lineRule="auto"/>
              <w:ind w:left="294" w:right="132" w:hanging="149"/>
              <w:jc w:val="left"/>
              <w:rPr>
                <w:sz w:val="28"/>
              </w:rPr>
            </w:pPr>
            <w:r>
              <w:rPr>
                <w:spacing w:val="-2"/>
                <w:sz w:val="28"/>
              </w:rPr>
              <w:t xml:space="preserve">Прирост </w:t>
            </w:r>
            <w:r>
              <w:rPr>
                <w:spacing w:val="-4"/>
                <w:sz w:val="28"/>
              </w:rPr>
              <w:t>ГПДР</w:t>
            </w:r>
          </w:p>
        </w:tc>
        <w:tc>
          <w:tcPr>
            <w:tcW w:w="1842" w:type="dxa"/>
          </w:tcPr>
          <w:p w14:paraId="6E996E07">
            <w:pPr>
              <w:pStyle w:val="11"/>
              <w:spacing w:line="240" w:lineRule="auto"/>
              <w:ind w:left="183" w:right="179" w:firstLine="76"/>
              <w:jc w:val="left"/>
              <w:rPr>
                <w:sz w:val="28"/>
              </w:rPr>
            </w:pPr>
            <w:r>
              <w:rPr>
                <w:spacing w:val="-2"/>
                <w:sz w:val="28"/>
              </w:rPr>
              <w:t>Изменение летальности</w:t>
            </w:r>
          </w:p>
        </w:tc>
      </w:tr>
      <w:tr w14:paraId="2394B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1134" w:type="dxa"/>
          </w:tcPr>
          <w:p w14:paraId="3029F435">
            <w:pPr>
              <w:pStyle w:val="11"/>
              <w:spacing w:line="301" w:lineRule="exact"/>
              <w:ind w:left="110"/>
              <w:jc w:val="left"/>
              <w:rPr>
                <w:sz w:val="28"/>
              </w:rPr>
            </w:pPr>
            <w:r>
              <w:rPr>
                <w:spacing w:val="-4"/>
                <w:sz w:val="28"/>
              </w:rPr>
              <w:t>2022</w:t>
            </w:r>
          </w:p>
        </w:tc>
        <w:tc>
          <w:tcPr>
            <w:tcW w:w="1843" w:type="dxa"/>
          </w:tcPr>
          <w:p w14:paraId="548A583D">
            <w:pPr>
              <w:pStyle w:val="11"/>
              <w:spacing w:line="301" w:lineRule="exact"/>
              <w:ind w:left="109"/>
              <w:rPr>
                <w:sz w:val="28"/>
              </w:rPr>
            </w:pPr>
            <w:r>
              <w:rPr>
                <w:spacing w:val="-5"/>
                <w:sz w:val="28"/>
              </w:rPr>
              <w:t>145</w:t>
            </w:r>
          </w:p>
        </w:tc>
        <w:tc>
          <w:tcPr>
            <w:tcW w:w="1701" w:type="dxa"/>
          </w:tcPr>
          <w:p w14:paraId="5A6804D5">
            <w:pPr>
              <w:pStyle w:val="11"/>
              <w:spacing w:line="301" w:lineRule="exact"/>
              <w:ind w:left="109"/>
              <w:rPr>
                <w:sz w:val="28"/>
              </w:rPr>
            </w:pPr>
            <w:r>
              <w:rPr>
                <w:spacing w:val="-5"/>
                <w:sz w:val="28"/>
              </w:rPr>
              <w:t>9,0</w:t>
            </w:r>
          </w:p>
        </w:tc>
        <w:tc>
          <w:tcPr>
            <w:tcW w:w="1701" w:type="dxa"/>
          </w:tcPr>
          <w:p w14:paraId="638E5610">
            <w:pPr>
              <w:pStyle w:val="11"/>
              <w:spacing w:line="301" w:lineRule="exact"/>
              <w:ind w:left="103"/>
              <w:rPr>
                <w:sz w:val="28"/>
              </w:rPr>
            </w:pPr>
            <w:r>
              <w:rPr>
                <w:spacing w:val="-5"/>
                <w:sz w:val="28"/>
              </w:rPr>
              <w:t>6,2</w:t>
            </w:r>
          </w:p>
        </w:tc>
        <w:tc>
          <w:tcPr>
            <w:tcW w:w="1418" w:type="dxa"/>
          </w:tcPr>
          <w:p w14:paraId="66889939">
            <w:pPr>
              <w:pStyle w:val="11"/>
              <w:spacing w:line="301" w:lineRule="exact"/>
              <w:ind w:left="102"/>
              <w:rPr>
                <w:sz w:val="28"/>
              </w:rPr>
            </w:pPr>
            <w:r>
              <w:rPr>
                <w:spacing w:val="-5"/>
                <w:sz w:val="28"/>
              </w:rPr>
              <w:t>nan</w:t>
            </w:r>
          </w:p>
        </w:tc>
        <w:tc>
          <w:tcPr>
            <w:tcW w:w="1842" w:type="dxa"/>
          </w:tcPr>
          <w:p w14:paraId="216B11C0">
            <w:pPr>
              <w:pStyle w:val="11"/>
              <w:spacing w:line="301" w:lineRule="exact"/>
              <w:ind w:left="106"/>
              <w:rPr>
                <w:sz w:val="28"/>
              </w:rPr>
            </w:pPr>
            <w:r>
              <w:rPr>
                <w:spacing w:val="-5"/>
                <w:sz w:val="28"/>
              </w:rPr>
              <w:t>nan</w:t>
            </w:r>
          </w:p>
        </w:tc>
      </w:tr>
      <w:tr w14:paraId="2E5A6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134" w:type="dxa"/>
          </w:tcPr>
          <w:p w14:paraId="1B5A727C">
            <w:pPr>
              <w:pStyle w:val="11"/>
              <w:spacing w:line="311" w:lineRule="exact"/>
              <w:ind w:left="110"/>
              <w:jc w:val="left"/>
              <w:rPr>
                <w:sz w:val="28"/>
              </w:rPr>
            </w:pPr>
            <w:r>
              <w:rPr>
                <w:spacing w:val="-4"/>
                <w:sz w:val="28"/>
              </w:rPr>
              <w:t>2023</w:t>
            </w:r>
          </w:p>
        </w:tc>
        <w:tc>
          <w:tcPr>
            <w:tcW w:w="1843" w:type="dxa"/>
          </w:tcPr>
          <w:p w14:paraId="77E6ACD3">
            <w:pPr>
              <w:pStyle w:val="11"/>
              <w:spacing w:line="311" w:lineRule="exact"/>
              <w:ind w:left="109"/>
              <w:rPr>
                <w:sz w:val="28"/>
              </w:rPr>
            </w:pPr>
            <w:r>
              <w:rPr>
                <w:spacing w:val="-5"/>
                <w:sz w:val="28"/>
              </w:rPr>
              <w:t>157</w:t>
            </w:r>
          </w:p>
        </w:tc>
        <w:tc>
          <w:tcPr>
            <w:tcW w:w="1701" w:type="dxa"/>
          </w:tcPr>
          <w:p w14:paraId="67811A2E">
            <w:pPr>
              <w:pStyle w:val="11"/>
              <w:spacing w:line="311" w:lineRule="exact"/>
              <w:ind w:left="109"/>
              <w:rPr>
                <w:sz w:val="28"/>
              </w:rPr>
            </w:pPr>
            <w:r>
              <w:rPr>
                <w:spacing w:val="-4"/>
                <w:sz w:val="28"/>
              </w:rPr>
              <w:t>15,0</w:t>
            </w:r>
          </w:p>
        </w:tc>
        <w:tc>
          <w:tcPr>
            <w:tcW w:w="1701" w:type="dxa"/>
          </w:tcPr>
          <w:p w14:paraId="5ED6368B">
            <w:pPr>
              <w:pStyle w:val="11"/>
              <w:spacing w:line="311" w:lineRule="exact"/>
              <w:ind w:left="103"/>
              <w:rPr>
                <w:sz w:val="28"/>
              </w:rPr>
            </w:pPr>
            <w:r>
              <w:rPr>
                <w:spacing w:val="-5"/>
                <w:sz w:val="28"/>
              </w:rPr>
              <w:t>9,5</w:t>
            </w:r>
          </w:p>
        </w:tc>
        <w:tc>
          <w:tcPr>
            <w:tcW w:w="1418" w:type="dxa"/>
          </w:tcPr>
          <w:p w14:paraId="5AF7588C">
            <w:pPr>
              <w:pStyle w:val="11"/>
              <w:spacing w:line="311" w:lineRule="exact"/>
              <w:ind w:left="102"/>
              <w:rPr>
                <w:sz w:val="28"/>
              </w:rPr>
            </w:pPr>
            <w:r>
              <w:rPr>
                <w:spacing w:val="-4"/>
                <w:sz w:val="28"/>
              </w:rPr>
              <w:t>8,28</w:t>
            </w:r>
          </w:p>
        </w:tc>
        <w:tc>
          <w:tcPr>
            <w:tcW w:w="1842" w:type="dxa"/>
          </w:tcPr>
          <w:p w14:paraId="5E0CDBD5">
            <w:pPr>
              <w:pStyle w:val="11"/>
              <w:spacing w:line="311" w:lineRule="exact"/>
              <w:ind w:left="106"/>
              <w:rPr>
                <w:sz w:val="28"/>
              </w:rPr>
            </w:pPr>
            <w:r>
              <w:rPr>
                <w:spacing w:val="-5"/>
                <w:sz w:val="28"/>
              </w:rPr>
              <w:t>3,3</w:t>
            </w:r>
          </w:p>
        </w:tc>
      </w:tr>
      <w:tr w14:paraId="74C8F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134" w:type="dxa"/>
          </w:tcPr>
          <w:p w14:paraId="5D1DFA54">
            <w:pPr>
              <w:pStyle w:val="11"/>
              <w:spacing w:line="301" w:lineRule="exact"/>
              <w:ind w:left="110"/>
              <w:jc w:val="left"/>
              <w:rPr>
                <w:sz w:val="28"/>
              </w:rPr>
            </w:pPr>
            <w:r>
              <w:rPr>
                <w:spacing w:val="-4"/>
                <w:sz w:val="28"/>
              </w:rPr>
              <w:t>2024</w:t>
            </w:r>
          </w:p>
        </w:tc>
        <w:tc>
          <w:tcPr>
            <w:tcW w:w="1843" w:type="dxa"/>
          </w:tcPr>
          <w:p w14:paraId="62195C0E">
            <w:pPr>
              <w:pStyle w:val="11"/>
              <w:spacing w:line="301" w:lineRule="exact"/>
              <w:ind w:left="109"/>
              <w:rPr>
                <w:sz w:val="28"/>
              </w:rPr>
            </w:pPr>
            <w:r>
              <w:rPr>
                <w:spacing w:val="-5"/>
                <w:sz w:val="28"/>
              </w:rPr>
              <w:t>175</w:t>
            </w:r>
          </w:p>
        </w:tc>
        <w:tc>
          <w:tcPr>
            <w:tcW w:w="1701" w:type="dxa"/>
          </w:tcPr>
          <w:p w14:paraId="01ED6260">
            <w:pPr>
              <w:pStyle w:val="11"/>
              <w:spacing w:line="301" w:lineRule="exact"/>
              <w:ind w:left="109"/>
              <w:rPr>
                <w:sz w:val="28"/>
              </w:rPr>
            </w:pPr>
            <w:r>
              <w:rPr>
                <w:spacing w:val="-4"/>
                <w:sz w:val="28"/>
              </w:rPr>
              <w:t>16,0</w:t>
            </w:r>
          </w:p>
        </w:tc>
        <w:tc>
          <w:tcPr>
            <w:tcW w:w="1701" w:type="dxa"/>
          </w:tcPr>
          <w:p w14:paraId="0AE3B5D3">
            <w:pPr>
              <w:pStyle w:val="11"/>
              <w:spacing w:line="301" w:lineRule="exact"/>
              <w:ind w:left="103"/>
              <w:rPr>
                <w:sz w:val="28"/>
              </w:rPr>
            </w:pPr>
            <w:r>
              <w:rPr>
                <w:spacing w:val="-5"/>
                <w:sz w:val="28"/>
              </w:rPr>
              <w:t>9,1</w:t>
            </w:r>
          </w:p>
        </w:tc>
        <w:tc>
          <w:tcPr>
            <w:tcW w:w="1418" w:type="dxa"/>
          </w:tcPr>
          <w:p w14:paraId="5CC314ED">
            <w:pPr>
              <w:pStyle w:val="11"/>
              <w:spacing w:line="301" w:lineRule="exact"/>
              <w:ind w:left="102"/>
              <w:rPr>
                <w:sz w:val="28"/>
              </w:rPr>
            </w:pPr>
            <w:r>
              <w:rPr>
                <w:spacing w:val="-2"/>
                <w:sz w:val="28"/>
              </w:rPr>
              <w:t>11,46</w:t>
            </w:r>
          </w:p>
        </w:tc>
        <w:tc>
          <w:tcPr>
            <w:tcW w:w="1842" w:type="dxa"/>
          </w:tcPr>
          <w:p w14:paraId="4306BE8D">
            <w:pPr>
              <w:pStyle w:val="11"/>
              <w:spacing w:line="301" w:lineRule="exact"/>
              <w:ind w:left="106"/>
              <w:rPr>
                <w:sz w:val="28"/>
              </w:rPr>
            </w:pPr>
            <w:r>
              <w:rPr>
                <w:spacing w:val="-4"/>
                <w:sz w:val="28"/>
              </w:rPr>
              <w:t>-</w:t>
            </w:r>
            <w:r>
              <w:rPr>
                <w:spacing w:val="-5"/>
                <w:sz w:val="28"/>
              </w:rPr>
              <w:t>0,4</w:t>
            </w:r>
          </w:p>
        </w:tc>
      </w:tr>
      <w:tr w14:paraId="24BB2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134" w:type="dxa"/>
          </w:tcPr>
          <w:p w14:paraId="5CF0035B">
            <w:pPr>
              <w:pStyle w:val="11"/>
              <w:spacing w:line="311" w:lineRule="exact"/>
              <w:ind w:left="110"/>
              <w:jc w:val="left"/>
              <w:rPr>
                <w:sz w:val="28"/>
              </w:rPr>
            </w:pPr>
            <w:r>
              <w:rPr>
                <w:spacing w:val="-4"/>
                <w:sz w:val="28"/>
              </w:rPr>
              <w:t>2025</w:t>
            </w:r>
          </w:p>
        </w:tc>
        <w:tc>
          <w:tcPr>
            <w:tcW w:w="1843" w:type="dxa"/>
          </w:tcPr>
          <w:p w14:paraId="7EBDA115">
            <w:pPr>
              <w:pStyle w:val="11"/>
              <w:spacing w:line="311" w:lineRule="exact"/>
              <w:ind w:left="109"/>
              <w:rPr>
                <w:sz w:val="28"/>
              </w:rPr>
            </w:pPr>
            <w:r>
              <w:rPr>
                <w:spacing w:val="-5"/>
                <w:sz w:val="28"/>
              </w:rPr>
              <w:t>133</w:t>
            </w:r>
          </w:p>
        </w:tc>
        <w:tc>
          <w:tcPr>
            <w:tcW w:w="1701" w:type="dxa"/>
          </w:tcPr>
          <w:p w14:paraId="4BD99977">
            <w:pPr>
              <w:pStyle w:val="11"/>
              <w:spacing w:line="311" w:lineRule="exact"/>
              <w:ind w:left="109"/>
              <w:rPr>
                <w:sz w:val="28"/>
              </w:rPr>
            </w:pPr>
            <w:r>
              <w:rPr>
                <w:spacing w:val="-5"/>
                <w:sz w:val="28"/>
              </w:rPr>
              <w:t>4,0</w:t>
            </w:r>
          </w:p>
        </w:tc>
        <w:tc>
          <w:tcPr>
            <w:tcW w:w="1701" w:type="dxa"/>
          </w:tcPr>
          <w:p w14:paraId="75E1475D">
            <w:pPr>
              <w:pStyle w:val="11"/>
              <w:spacing w:line="311" w:lineRule="exact"/>
              <w:ind w:left="103"/>
              <w:rPr>
                <w:sz w:val="28"/>
              </w:rPr>
            </w:pPr>
            <w:r>
              <w:rPr>
                <w:spacing w:val="-5"/>
                <w:sz w:val="28"/>
              </w:rPr>
              <w:t>3,0</w:t>
            </w:r>
          </w:p>
        </w:tc>
        <w:tc>
          <w:tcPr>
            <w:tcW w:w="1418" w:type="dxa"/>
          </w:tcPr>
          <w:p w14:paraId="5E7BB285">
            <w:pPr>
              <w:pStyle w:val="11"/>
              <w:spacing w:line="311" w:lineRule="exact"/>
              <w:ind w:left="102"/>
              <w:rPr>
                <w:sz w:val="28"/>
              </w:rPr>
            </w:pPr>
            <w:r>
              <w:rPr>
                <w:spacing w:val="-4"/>
                <w:sz w:val="28"/>
              </w:rPr>
              <w:t>-24.0</w:t>
            </w:r>
          </w:p>
        </w:tc>
        <w:tc>
          <w:tcPr>
            <w:tcW w:w="1842" w:type="dxa"/>
          </w:tcPr>
          <w:p w14:paraId="4A7C7C58">
            <w:pPr>
              <w:pStyle w:val="11"/>
              <w:spacing w:line="311" w:lineRule="exact"/>
              <w:ind w:left="106"/>
              <w:rPr>
                <w:sz w:val="28"/>
              </w:rPr>
            </w:pPr>
            <w:r>
              <w:rPr>
                <w:spacing w:val="-4"/>
                <w:sz w:val="28"/>
              </w:rPr>
              <w:t>-</w:t>
            </w:r>
            <w:r>
              <w:rPr>
                <w:spacing w:val="-5"/>
                <w:sz w:val="28"/>
              </w:rPr>
              <w:t>6,1</w:t>
            </w:r>
          </w:p>
        </w:tc>
      </w:tr>
    </w:tbl>
    <w:p w14:paraId="3B11F769">
      <w:pPr>
        <w:pStyle w:val="7"/>
        <w:spacing w:before="316"/>
        <w:ind w:left="0" w:right="3" w:firstLine="709"/>
      </w:pPr>
      <w:r>
        <w:t>Для статистического анализа использованы данные по количеству ГПДР и уровню летальности в РК за период 2022–2025 гг.</w:t>
      </w:r>
    </w:p>
    <w:p w14:paraId="3B4D51F5">
      <w:pPr>
        <w:pStyle w:val="7"/>
        <w:ind w:left="0" w:right="3" w:firstLine="709"/>
      </w:pPr>
      <w:r>
        <w:t>Статистическая</w:t>
      </w:r>
      <w:r>
        <w:rPr>
          <w:spacing w:val="-17"/>
        </w:rPr>
        <w:t xml:space="preserve"> </w:t>
      </w:r>
      <w:r>
        <w:t>обработка</w:t>
      </w:r>
      <w:r>
        <w:rPr>
          <w:spacing w:val="-17"/>
        </w:rPr>
        <w:t xml:space="preserve"> </w:t>
      </w:r>
      <w:r>
        <w:t>проводилась</w:t>
      </w:r>
      <w:r>
        <w:rPr>
          <w:spacing w:val="-16"/>
        </w:rPr>
        <w:t xml:space="preserve"> </w:t>
      </w:r>
      <w:r>
        <w:t>методом</w:t>
      </w:r>
      <w:r>
        <w:rPr>
          <w:spacing w:val="-17"/>
        </w:rPr>
        <w:t xml:space="preserve"> </w:t>
      </w:r>
      <w:r>
        <w:t>описательной</w:t>
      </w:r>
      <w:r>
        <w:rPr>
          <w:spacing w:val="-18"/>
        </w:rPr>
        <w:t xml:space="preserve"> </w:t>
      </w:r>
      <w:r>
        <w:t>статистики</w:t>
      </w:r>
      <w:r>
        <w:rPr>
          <w:spacing w:val="-17"/>
        </w:rPr>
        <w:t xml:space="preserve"> </w:t>
      </w:r>
      <w:r>
        <w:t>с расчётом относительных величин (в процентах) и динамических показателей. Для оценки тенденций применён анализ относительных приростов и различий между годами наблюдения.</w:t>
      </w:r>
    </w:p>
    <w:p w14:paraId="204E038A">
      <w:pPr>
        <w:pStyle w:val="7"/>
        <w:tabs>
          <w:tab w:val="left" w:pos="4253"/>
        </w:tabs>
        <w:spacing w:before="67"/>
        <w:ind w:left="0" w:right="3" w:firstLine="709"/>
      </w:pPr>
      <w:r>
        <w:t>В ходе анализа выявлено, что общее количество выполненных операций ГПДР увеличивалось до 2024 года, после чего в 2025 году наблюдалось снижение на 24% по сравнению с предыдущим годом.</w:t>
      </w:r>
    </w:p>
    <w:p w14:paraId="6BEA8F4F">
      <w:pPr>
        <w:pStyle w:val="7"/>
        <w:spacing w:line="242" w:lineRule="auto"/>
        <w:ind w:left="0" w:right="3" w:firstLine="709"/>
      </w:pPr>
      <w:r>
        <w:t>В</w:t>
      </w:r>
      <w:r>
        <w:rPr>
          <w:spacing w:val="-13"/>
        </w:rPr>
        <w:t xml:space="preserve"> </w:t>
      </w:r>
      <w:r>
        <w:t>целом</w:t>
      </w:r>
      <w:r>
        <w:rPr>
          <w:spacing w:val="-8"/>
        </w:rPr>
        <w:t xml:space="preserve"> </w:t>
      </w:r>
      <w:r>
        <w:t>за</w:t>
      </w:r>
      <w:r>
        <w:rPr>
          <w:spacing w:val="-8"/>
        </w:rPr>
        <w:t xml:space="preserve"> </w:t>
      </w:r>
      <w:r>
        <w:t>период</w:t>
      </w:r>
      <w:r>
        <w:rPr>
          <w:spacing w:val="-7"/>
        </w:rPr>
        <w:t xml:space="preserve"> </w:t>
      </w:r>
      <w:r>
        <w:t>2022–2025</w:t>
      </w:r>
      <w:r>
        <w:rPr>
          <w:spacing w:val="-9"/>
        </w:rPr>
        <w:t xml:space="preserve"> </w:t>
      </w:r>
      <w:r>
        <w:t>гг.</w:t>
      </w:r>
      <w:r>
        <w:rPr>
          <w:spacing w:val="-12"/>
        </w:rPr>
        <w:t xml:space="preserve"> </w:t>
      </w:r>
      <w:r>
        <w:t>количество</w:t>
      </w:r>
      <w:r>
        <w:rPr>
          <w:spacing w:val="-9"/>
        </w:rPr>
        <w:t xml:space="preserve"> </w:t>
      </w:r>
      <w:r>
        <w:t>операций</w:t>
      </w:r>
      <w:r>
        <w:rPr>
          <w:spacing w:val="-10"/>
        </w:rPr>
        <w:t xml:space="preserve"> </w:t>
      </w:r>
      <w:r>
        <w:t>сократилось</w:t>
      </w:r>
      <w:r>
        <w:rPr>
          <w:spacing w:val="-12"/>
        </w:rPr>
        <w:t xml:space="preserve"> </w:t>
      </w:r>
      <w:r>
        <w:t>на</w:t>
      </w:r>
      <w:r>
        <w:rPr>
          <w:spacing w:val="-9"/>
        </w:rPr>
        <w:t xml:space="preserve"> </w:t>
      </w:r>
      <w:r>
        <w:t>8,3%, что может отражать как колебания потока пациентов, так и влияние организационных факторов.</w:t>
      </w:r>
    </w:p>
    <w:p w14:paraId="2088C329">
      <w:pPr>
        <w:pStyle w:val="7"/>
        <w:ind w:left="0" w:right="3" w:firstLine="709"/>
      </w:pPr>
      <w:r>
        <w:t>Показатель летальности за тот же период снизился с 6,2% до 3,0%, что соответствует уменьшению на 3,2 п.п. (или на 51,6%).</w:t>
      </w:r>
    </w:p>
    <w:p w14:paraId="39B3C04E">
      <w:pPr>
        <w:pStyle w:val="7"/>
        <w:ind w:left="0" w:right="3" w:firstLine="709"/>
      </w:pPr>
      <w:r>
        <w:t>Таким</w:t>
      </w:r>
      <w:r>
        <w:rPr>
          <w:spacing w:val="-7"/>
        </w:rPr>
        <w:t xml:space="preserve"> </w:t>
      </w:r>
      <w:r>
        <w:t>образом,</w:t>
      </w:r>
      <w:r>
        <w:rPr>
          <w:spacing w:val="-5"/>
        </w:rPr>
        <w:t xml:space="preserve"> </w:t>
      </w:r>
      <w:r>
        <w:t>отмечается</w:t>
      </w:r>
      <w:r>
        <w:rPr>
          <w:spacing w:val="-2"/>
        </w:rPr>
        <w:t xml:space="preserve"> </w:t>
      </w:r>
      <w:r>
        <w:t>устойчивая</w:t>
      </w:r>
      <w:r>
        <w:rPr>
          <w:spacing w:val="-6"/>
        </w:rPr>
        <w:t xml:space="preserve"> </w:t>
      </w:r>
      <w:r>
        <w:t>тенденция</w:t>
      </w:r>
      <w:r>
        <w:rPr>
          <w:spacing w:val="-7"/>
        </w:rPr>
        <w:t xml:space="preserve"> </w:t>
      </w:r>
      <w:r>
        <w:t>к</w:t>
      </w:r>
      <w:r>
        <w:rPr>
          <w:spacing w:val="-7"/>
        </w:rPr>
        <w:t xml:space="preserve"> </w:t>
      </w:r>
      <w:r>
        <w:t>снижению</w:t>
      </w:r>
      <w:r>
        <w:rPr>
          <w:spacing w:val="-8"/>
        </w:rPr>
        <w:t xml:space="preserve"> </w:t>
      </w:r>
      <w:r>
        <w:t>летальности при ГПДР при относительно стабильных объёмах хирургической активности.</w:t>
      </w:r>
    </w:p>
    <w:p w14:paraId="3FE543F5">
      <w:pPr>
        <w:pStyle w:val="7"/>
        <w:ind w:left="0" w:right="3" w:firstLine="709"/>
      </w:pPr>
      <w:r>
        <w:t>Концентрация подавляющего объёма ГПДР в городах Алматы и Астане обусловлена объективными медицинскими и организационными факторами. В этих мегаполисах расположены ведущие хирургические и онкологические центры республиканского уровня, обладающие необходимой инфраструктурой для выполнения сложных панкреатодуоденальных вмешательств. Большинство ГПДР в республике Казахстан выполняется в ННЦХ, поскольку именно здесь расположен единственный республиканский специализированный центр гепатопанкреатобилиарной</w:t>
      </w:r>
      <w:r>
        <w:rPr>
          <w:spacing w:val="-18"/>
        </w:rPr>
        <w:t xml:space="preserve"> </w:t>
      </w:r>
      <w:r>
        <w:t>хирургии.</w:t>
      </w:r>
      <w:r>
        <w:rPr>
          <w:spacing w:val="-14"/>
        </w:rPr>
        <w:t xml:space="preserve"> </w:t>
      </w:r>
      <w:r>
        <w:t>Благодаря</w:t>
      </w:r>
      <w:r>
        <w:rPr>
          <w:spacing w:val="-15"/>
        </w:rPr>
        <w:t xml:space="preserve"> </w:t>
      </w:r>
      <w:r>
        <w:t>этому</w:t>
      </w:r>
      <w:r>
        <w:rPr>
          <w:spacing w:val="-18"/>
        </w:rPr>
        <w:t xml:space="preserve"> </w:t>
      </w:r>
      <w:r>
        <w:t>большая</w:t>
      </w:r>
      <w:r>
        <w:rPr>
          <w:spacing w:val="-15"/>
        </w:rPr>
        <w:t xml:space="preserve"> </w:t>
      </w:r>
      <w:r>
        <w:t>часть</w:t>
      </w:r>
      <w:r>
        <w:rPr>
          <w:spacing w:val="-18"/>
        </w:rPr>
        <w:t xml:space="preserve"> </w:t>
      </w:r>
      <w:r>
        <w:t>пациентов с опухолями периампулярной зоны маршрутизируется именно в данный центр, что</w:t>
      </w:r>
      <w:r>
        <w:rPr>
          <w:spacing w:val="-13"/>
        </w:rPr>
        <w:t xml:space="preserve"> </w:t>
      </w:r>
      <w:r>
        <w:t>объясняет</w:t>
      </w:r>
      <w:r>
        <w:rPr>
          <w:spacing w:val="-15"/>
        </w:rPr>
        <w:t xml:space="preserve"> </w:t>
      </w:r>
      <w:r>
        <w:t>высокую</w:t>
      </w:r>
      <w:r>
        <w:rPr>
          <w:spacing w:val="-15"/>
        </w:rPr>
        <w:t xml:space="preserve"> </w:t>
      </w:r>
      <w:r>
        <w:t>концентрацию</w:t>
      </w:r>
      <w:r>
        <w:rPr>
          <w:spacing w:val="-15"/>
        </w:rPr>
        <w:t xml:space="preserve"> </w:t>
      </w:r>
      <w:r>
        <w:t>ГПДР</w:t>
      </w:r>
      <w:r>
        <w:rPr>
          <w:spacing w:val="-14"/>
        </w:rPr>
        <w:t xml:space="preserve"> </w:t>
      </w:r>
      <w:r>
        <w:t>и</w:t>
      </w:r>
      <w:r>
        <w:rPr>
          <w:spacing w:val="-13"/>
        </w:rPr>
        <w:t xml:space="preserve"> </w:t>
      </w:r>
      <w:r>
        <w:t>подтверждает</w:t>
      </w:r>
      <w:r>
        <w:rPr>
          <w:spacing w:val="-15"/>
        </w:rPr>
        <w:t xml:space="preserve"> </w:t>
      </w:r>
      <w:r>
        <w:t>его</w:t>
      </w:r>
      <w:r>
        <w:rPr>
          <w:spacing w:val="-13"/>
        </w:rPr>
        <w:t xml:space="preserve"> </w:t>
      </w:r>
      <w:r>
        <w:t>ключевую</w:t>
      </w:r>
      <w:r>
        <w:rPr>
          <w:spacing w:val="-15"/>
        </w:rPr>
        <w:t xml:space="preserve"> </w:t>
      </w:r>
      <w:r>
        <w:t>роль в</w:t>
      </w:r>
      <w:r>
        <w:rPr>
          <w:spacing w:val="-6"/>
        </w:rPr>
        <w:t xml:space="preserve"> </w:t>
      </w:r>
      <w:r>
        <w:t>системе</w:t>
      </w:r>
      <w:r>
        <w:rPr>
          <w:spacing w:val="-4"/>
        </w:rPr>
        <w:t xml:space="preserve"> </w:t>
      </w:r>
      <w:r>
        <w:t>оказания</w:t>
      </w:r>
      <w:r>
        <w:rPr>
          <w:spacing w:val="-4"/>
        </w:rPr>
        <w:t xml:space="preserve"> </w:t>
      </w:r>
      <w:r>
        <w:t>высокотехнологичной</w:t>
      </w:r>
      <w:r>
        <w:rPr>
          <w:spacing w:val="-5"/>
        </w:rPr>
        <w:t xml:space="preserve"> </w:t>
      </w:r>
      <w:r>
        <w:t>хирургической</w:t>
      </w:r>
      <w:r>
        <w:rPr>
          <w:spacing w:val="-5"/>
        </w:rPr>
        <w:t xml:space="preserve"> </w:t>
      </w:r>
      <w:r>
        <w:t>помощи</w:t>
      </w:r>
      <w:r>
        <w:rPr>
          <w:spacing w:val="-5"/>
        </w:rPr>
        <w:t xml:space="preserve"> </w:t>
      </w:r>
      <w:r>
        <w:t>в</w:t>
      </w:r>
      <w:r>
        <w:rPr>
          <w:spacing w:val="-6"/>
        </w:rPr>
        <w:t xml:space="preserve"> </w:t>
      </w:r>
      <w:r>
        <w:t>стране</w:t>
      </w:r>
      <w:r>
        <w:rPr>
          <w:spacing w:val="-4"/>
        </w:rPr>
        <w:t xml:space="preserve"> </w:t>
      </w:r>
      <w:r>
        <w:t>и</w:t>
      </w:r>
      <w:r>
        <w:rPr>
          <w:spacing w:val="-5"/>
        </w:rPr>
        <w:t xml:space="preserve"> </w:t>
      </w:r>
      <w:r>
        <w:t>в</w:t>
      </w:r>
      <w:r>
        <w:rPr>
          <w:spacing w:val="-6"/>
        </w:rPr>
        <w:t xml:space="preserve"> </w:t>
      </w:r>
      <w:r>
        <w:t xml:space="preserve">г. </w:t>
      </w:r>
      <w:r>
        <w:rPr>
          <w:spacing w:val="-2"/>
        </w:rPr>
        <w:t>Алматы.</w:t>
      </w:r>
    </w:p>
    <w:p w14:paraId="596CDCC1">
      <w:pPr>
        <w:pStyle w:val="7"/>
        <w:ind w:left="0" w:right="3" w:firstLine="709"/>
      </w:pPr>
      <w:r>
        <w:t>Кроме того, действующие клинические протоколы и маршрутизация онкологических пациентов в Казахстане предполагают направление больных с опухолями</w:t>
      </w:r>
      <w:r>
        <w:rPr>
          <w:spacing w:val="-15"/>
        </w:rPr>
        <w:t xml:space="preserve"> </w:t>
      </w:r>
      <w:r>
        <w:t>периампулярной</w:t>
      </w:r>
      <w:r>
        <w:rPr>
          <w:spacing w:val="-15"/>
        </w:rPr>
        <w:t xml:space="preserve"> </w:t>
      </w:r>
      <w:r>
        <w:t>зоны</w:t>
      </w:r>
      <w:r>
        <w:rPr>
          <w:spacing w:val="-15"/>
        </w:rPr>
        <w:t xml:space="preserve"> </w:t>
      </w:r>
      <w:r>
        <w:t>преимущественно</w:t>
      </w:r>
      <w:r>
        <w:rPr>
          <w:spacing w:val="-15"/>
        </w:rPr>
        <w:t xml:space="preserve"> </w:t>
      </w:r>
      <w:r>
        <w:t>в</w:t>
      </w:r>
      <w:r>
        <w:rPr>
          <w:spacing w:val="-17"/>
        </w:rPr>
        <w:t xml:space="preserve"> </w:t>
      </w:r>
      <w:r>
        <w:t>крупные</w:t>
      </w:r>
      <w:r>
        <w:rPr>
          <w:spacing w:val="-14"/>
        </w:rPr>
        <w:t xml:space="preserve"> </w:t>
      </w:r>
      <w:r>
        <w:t>республиканские центры, где имеются условия для выполнения высокотехнологичной хирургии. В совокупности эти факторы объясняют, почему именно в города Алматы и Астана являются основными центрами выполнения ГПДР, а представленная таблица наглядно демонстрирует выраженную концентрацию хирургической активности</w:t>
      </w:r>
      <w:r>
        <w:rPr>
          <w:spacing w:val="-14"/>
        </w:rPr>
        <w:t xml:space="preserve"> </w:t>
      </w:r>
      <w:r>
        <w:t>в</w:t>
      </w:r>
      <w:r>
        <w:rPr>
          <w:spacing w:val="-15"/>
        </w:rPr>
        <w:t xml:space="preserve"> </w:t>
      </w:r>
      <w:r>
        <w:t>этих</w:t>
      </w:r>
      <w:r>
        <w:rPr>
          <w:spacing w:val="-18"/>
        </w:rPr>
        <w:t xml:space="preserve"> </w:t>
      </w:r>
      <w:r>
        <w:t>регионах</w:t>
      </w:r>
      <w:r>
        <w:rPr>
          <w:spacing w:val="-17"/>
        </w:rPr>
        <w:t xml:space="preserve"> </w:t>
      </w:r>
      <w:r>
        <w:t>и</w:t>
      </w:r>
      <w:r>
        <w:rPr>
          <w:spacing w:val="-13"/>
        </w:rPr>
        <w:t xml:space="preserve"> </w:t>
      </w:r>
      <w:r>
        <w:t>ограниченные</w:t>
      </w:r>
      <w:r>
        <w:rPr>
          <w:spacing w:val="-13"/>
        </w:rPr>
        <w:t xml:space="preserve"> </w:t>
      </w:r>
      <w:r>
        <w:t>возможности</w:t>
      </w:r>
      <w:r>
        <w:rPr>
          <w:spacing w:val="-13"/>
        </w:rPr>
        <w:t xml:space="preserve"> </w:t>
      </w:r>
      <w:r>
        <w:t>большинства</w:t>
      </w:r>
      <w:r>
        <w:rPr>
          <w:spacing w:val="-13"/>
        </w:rPr>
        <w:t xml:space="preserve"> </w:t>
      </w:r>
      <w:r>
        <w:t>областей в обеспечении данного вида специализированной помощи.</w:t>
      </w:r>
    </w:p>
    <w:p w14:paraId="405DAE48">
      <w:pPr>
        <w:pStyle w:val="7"/>
        <w:spacing w:before="1"/>
        <w:ind w:left="0" w:right="3" w:firstLine="709"/>
        <w:jc w:val="left"/>
      </w:pPr>
    </w:p>
    <w:p w14:paraId="64F3D5A6">
      <w:pPr>
        <w:pStyle w:val="3"/>
        <w:numPr>
          <w:ilvl w:val="2"/>
          <w:numId w:val="8"/>
        </w:numPr>
        <w:tabs>
          <w:tab w:val="left" w:pos="1626"/>
        </w:tabs>
        <w:ind w:left="0" w:right="3" w:firstLine="709"/>
        <w:rPr>
          <w:b w:val="0"/>
        </w:rPr>
      </w:pPr>
      <w:r>
        <w:rPr>
          <w:b w:val="0"/>
        </w:rPr>
        <w:t>Общая</w:t>
      </w:r>
      <w:r>
        <w:rPr>
          <w:b w:val="0"/>
          <w:spacing w:val="-8"/>
        </w:rPr>
        <w:t xml:space="preserve"> </w:t>
      </w:r>
      <w:r>
        <w:rPr>
          <w:b w:val="0"/>
        </w:rPr>
        <w:t>клинико-интраоперационная</w:t>
      </w:r>
      <w:r>
        <w:rPr>
          <w:b w:val="0"/>
          <w:spacing w:val="-4"/>
        </w:rPr>
        <w:t xml:space="preserve"> </w:t>
      </w:r>
      <w:r>
        <w:rPr>
          <w:b w:val="0"/>
        </w:rPr>
        <w:t>характеристика</w:t>
      </w:r>
      <w:r>
        <w:rPr>
          <w:b w:val="0"/>
          <w:spacing w:val="-7"/>
        </w:rPr>
        <w:t xml:space="preserve"> </w:t>
      </w:r>
      <w:r>
        <w:rPr>
          <w:b w:val="0"/>
        </w:rPr>
        <w:t>пациентов</w:t>
      </w:r>
      <w:r>
        <w:rPr>
          <w:b w:val="0"/>
          <w:spacing w:val="-8"/>
        </w:rPr>
        <w:t xml:space="preserve"> </w:t>
      </w:r>
      <w:r>
        <w:rPr>
          <w:b w:val="0"/>
        </w:rPr>
        <w:t>с разделением по национальным центрам гг. Алматы и Астана</w:t>
      </w:r>
    </w:p>
    <w:p w14:paraId="795824CE">
      <w:pPr>
        <w:pStyle w:val="7"/>
        <w:ind w:left="0" w:right="3" w:firstLine="709"/>
      </w:pPr>
      <w:r>
        <w:t>В двух национальных центрах были проанализированы клинико- интраоперационные характеристики пациентов, перенёсших ГПДР. В Национальном Научном Онкологическим Центре (ННОЦ) г. Астаны в исследование включены 68 пациентов, в ННЦХ имени А.Н. Сызганова — 97 пациентов</w:t>
      </w:r>
      <w:r>
        <w:rPr>
          <w:spacing w:val="-18"/>
        </w:rPr>
        <w:t xml:space="preserve"> </w:t>
      </w:r>
      <w:r>
        <w:t>за</w:t>
      </w:r>
      <w:r>
        <w:rPr>
          <w:spacing w:val="-17"/>
        </w:rPr>
        <w:t xml:space="preserve"> </w:t>
      </w:r>
      <w:r>
        <w:t>период</w:t>
      </w:r>
      <w:r>
        <w:rPr>
          <w:spacing w:val="-18"/>
        </w:rPr>
        <w:t xml:space="preserve"> </w:t>
      </w:r>
      <w:r>
        <w:t>2023–2024</w:t>
      </w:r>
      <w:r>
        <w:rPr>
          <w:spacing w:val="-17"/>
        </w:rPr>
        <w:t xml:space="preserve"> </w:t>
      </w:r>
      <w:r>
        <w:t>гг.</w:t>
      </w:r>
      <w:r>
        <w:rPr>
          <w:spacing w:val="-18"/>
        </w:rPr>
        <w:t xml:space="preserve"> </w:t>
      </w:r>
      <w:r>
        <w:t>Медианный</w:t>
      </w:r>
      <w:r>
        <w:rPr>
          <w:spacing w:val="-17"/>
        </w:rPr>
        <w:t xml:space="preserve"> </w:t>
      </w:r>
      <w:r>
        <w:t>возраст</w:t>
      </w:r>
      <w:r>
        <w:rPr>
          <w:spacing w:val="-18"/>
        </w:rPr>
        <w:t xml:space="preserve"> </w:t>
      </w:r>
      <w:r>
        <w:t>больных</w:t>
      </w:r>
      <w:r>
        <w:rPr>
          <w:spacing w:val="-17"/>
        </w:rPr>
        <w:t xml:space="preserve"> </w:t>
      </w:r>
      <w:r>
        <w:t>составил</w:t>
      </w:r>
      <w:r>
        <w:rPr>
          <w:spacing w:val="-17"/>
        </w:rPr>
        <w:t xml:space="preserve"> </w:t>
      </w:r>
      <w:r>
        <w:t>62</w:t>
      </w:r>
      <w:r>
        <w:rPr>
          <w:spacing w:val="-18"/>
        </w:rPr>
        <w:t xml:space="preserve"> </w:t>
      </w:r>
      <w:r>
        <w:t>(53– 67) года в ННОЦ и 63 (56–67) года в ННЦХ, статистически значимых различий по возрасту между группами не выявлено (p=0,478). Распределение по полу также было сопоставимым: доля женщин составила 53,0% в ННОЦ и 56,7% в ННЦХ (p=0,907). Частота мягкой ПЖ не различалась между центрами (51,4% и 43,3% соответственно; p=0,420), как и доля пациентов с диаметром ПП ≤5 мм (72,0%</w:t>
      </w:r>
      <w:r>
        <w:rPr>
          <w:spacing w:val="76"/>
        </w:rPr>
        <w:t xml:space="preserve"> </w:t>
      </w:r>
      <w:r>
        <w:t>в</w:t>
      </w:r>
      <w:r>
        <w:rPr>
          <w:spacing w:val="46"/>
          <w:w w:val="150"/>
        </w:rPr>
        <w:t xml:space="preserve"> </w:t>
      </w:r>
      <w:r>
        <w:t>ННОЦ</w:t>
      </w:r>
      <w:r>
        <w:rPr>
          <w:spacing w:val="73"/>
        </w:rPr>
        <w:t xml:space="preserve"> </w:t>
      </w:r>
      <w:r>
        <w:t>и</w:t>
      </w:r>
      <w:r>
        <w:rPr>
          <w:spacing w:val="78"/>
        </w:rPr>
        <w:t xml:space="preserve"> </w:t>
      </w:r>
      <w:r>
        <w:t>74,2%</w:t>
      </w:r>
      <w:r>
        <w:rPr>
          <w:spacing w:val="76"/>
        </w:rPr>
        <w:t xml:space="preserve"> </w:t>
      </w:r>
      <w:r>
        <w:t>в</w:t>
      </w:r>
      <w:r>
        <w:rPr>
          <w:spacing w:val="46"/>
          <w:w w:val="150"/>
        </w:rPr>
        <w:t xml:space="preserve"> </w:t>
      </w:r>
      <w:r>
        <w:t>ННЦХ;</w:t>
      </w:r>
      <w:r>
        <w:rPr>
          <w:spacing w:val="77"/>
        </w:rPr>
        <w:t xml:space="preserve"> </w:t>
      </w:r>
      <w:r>
        <w:t>p=0,835).</w:t>
      </w:r>
      <w:r>
        <w:rPr>
          <w:spacing w:val="79"/>
        </w:rPr>
        <w:t xml:space="preserve"> </w:t>
      </w:r>
      <w:r>
        <w:t>В</w:t>
      </w:r>
      <w:r>
        <w:rPr>
          <w:spacing w:val="75"/>
        </w:rPr>
        <w:t xml:space="preserve"> </w:t>
      </w:r>
      <w:r>
        <w:t>то</w:t>
      </w:r>
      <w:r>
        <w:rPr>
          <w:spacing w:val="77"/>
        </w:rPr>
        <w:t xml:space="preserve"> </w:t>
      </w:r>
      <w:r>
        <w:t>же</w:t>
      </w:r>
      <w:r>
        <w:rPr>
          <w:spacing w:val="79"/>
        </w:rPr>
        <w:t xml:space="preserve"> </w:t>
      </w:r>
      <w:r>
        <w:t>время</w:t>
      </w:r>
      <w:r>
        <w:rPr>
          <w:spacing w:val="78"/>
        </w:rPr>
        <w:t xml:space="preserve"> </w:t>
      </w:r>
      <w:r>
        <w:rPr>
          <w:spacing w:val="-2"/>
        </w:rPr>
        <w:t>длительность</w:t>
      </w:r>
    </w:p>
    <w:p w14:paraId="4588FB6E">
      <w:pPr>
        <w:pStyle w:val="7"/>
        <w:spacing w:before="67"/>
        <w:ind w:left="0" w:right="3" w:firstLine="709"/>
      </w:pPr>
      <w:r>
        <w:t>оперативного вмешательства была статистически значимо меньше в ННОЦ по сравнению с ННЦХ (302 [244–356] мин против 380 [330–480] мин; p&lt;0,001). Медианный объём интраоперационной кровопотери статистически значимо не различался между центрами (p = 0,283). Анализ локализации опухолевого процесса показал преобладание опухолей ГПЖ в обеих</w:t>
      </w:r>
      <w:r>
        <w:rPr>
          <w:spacing w:val="-1"/>
        </w:rPr>
        <w:t xml:space="preserve"> </w:t>
      </w:r>
      <w:r>
        <w:t>группах</w:t>
      </w:r>
      <w:r>
        <w:rPr>
          <w:spacing w:val="-1"/>
        </w:rPr>
        <w:t xml:space="preserve"> </w:t>
      </w:r>
      <w:r>
        <w:t>(44,1% и 54,6% соответственно),</w:t>
      </w:r>
      <w:r>
        <w:rPr>
          <w:spacing w:val="-18"/>
        </w:rPr>
        <w:t xml:space="preserve"> </w:t>
      </w:r>
      <w:r>
        <w:t>при</w:t>
      </w:r>
      <w:r>
        <w:rPr>
          <w:spacing w:val="-17"/>
        </w:rPr>
        <w:t xml:space="preserve"> </w:t>
      </w:r>
      <w:r>
        <w:t>отсутствии</w:t>
      </w:r>
      <w:r>
        <w:rPr>
          <w:spacing w:val="-18"/>
        </w:rPr>
        <w:t xml:space="preserve"> </w:t>
      </w:r>
      <w:r>
        <w:t>достоверных</w:t>
      </w:r>
      <w:r>
        <w:rPr>
          <w:spacing w:val="-17"/>
        </w:rPr>
        <w:t xml:space="preserve"> </w:t>
      </w:r>
      <w:r>
        <w:t>различий</w:t>
      </w:r>
      <w:r>
        <w:rPr>
          <w:spacing w:val="-18"/>
        </w:rPr>
        <w:t xml:space="preserve"> </w:t>
      </w:r>
      <w:r>
        <w:t>в</w:t>
      </w:r>
      <w:r>
        <w:rPr>
          <w:spacing w:val="-17"/>
        </w:rPr>
        <w:t xml:space="preserve"> </w:t>
      </w:r>
      <w:r>
        <w:t>структуре</w:t>
      </w:r>
      <w:r>
        <w:rPr>
          <w:spacing w:val="-18"/>
        </w:rPr>
        <w:t xml:space="preserve"> </w:t>
      </w:r>
      <w:r>
        <w:t>локализаций между центрами (p=0,124). В целом группы пациентов были сопоставимы по основным клинико-анатомическим характеристикам, за исключением продолжительности операции.</w:t>
      </w:r>
    </w:p>
    <w:p w14:paraId="332289E5">
      <w:pPr>
        <w:pStyle w:val="7"/>
        <w:spacing w:before="2"/>
        <w:ind w:left="0" w:right="3" w:firstLine="709"/>
        <w:jc w:val="left"/>
      </w:pPr>
    </w:p>
    <w:p w14:paraId="4F10F55A">
      <w:pPr>
        <w:pStyle w:val="7"/>
        <w:spacing w:before="1"/>
        <w:ind w:left="0" w:right="3" w:firstLine="0"/>
      </w:pPr>
      <w:r>
        <w:t>Таблица 10 - Общая характеристика пациентов, перенёсших ГПДР, в двух национальных центрах за 2023-2024 гг.</w:t>
      </w:r>
    </w:p>
    <w:p w14:paraId="58A14B65">
      <w:pPr>
        <w:pStyle w:val="7"/>
        <w:spacing w:before="97"/>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40"/>
        <w:gridCol w:w="1983"/>
        <w:gridCol w:w="2128"/>
        <w:gridCol w:w="988"/>
      </w:tblGrid>
      <w:tr w14:paraId="1EC435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4540" w:type="dxa"/>
          </w:tcPr>
          <w:p w14:paraId="3ED64964">
            <w:pPr>
              <w:pStyle w:val="11"/>
              <w:spacing w:line="315" w:lineRule="exact"/>
              <w:rPr>
                <w:sz w:val="24"/>
                <w:szCs w:val="24"/>
              </w:rPr>
            </w:pPr>
            <w:r>
              <w:rPr>
                <w:spacing w:val="-2"/>
                <w:sz w:val="24"/>
                <w:szCs w:val="24"/>
              </w:rPr>
              <w:t>Показатель</w:t>
            </w:r>
          </w:p>
        </w:tc>
        <w:tc>
          <w:tcPr>
            <w:tcW w:w="1983" w:type="dxa"/>
          </w:tcPr>
          <w:p w14:paraId="3DCA6A27">
            <w:pPr>
              <w:pStyle w:val="11"/>
              <w:spacing w:line="315" w:lineRule="exact"/>
              <w:ind w:left="589"/>
              <w:jc w:val="left"/>
              <w:rPr>
                <w:sz w:val="24"/>
                <w:szCs w:val="24"/>
              </w:rPr>
            </w:pPr>
            <w:r>
              <w:rPr>
                <w:spacing w:val="-4"/>
                <w:sz w:val="24"/>
                <w:szCs w:val="24"/>
              </w:rPr>
              <w:t>ННОЦ</w:t>
            </w:r>
          </w:p>
          <w:p w14:paraId="1957386E">
            <w:pPr>
              <w:pStyle w:val="11"/>
              <w:spacing w:line="322" w:lineRule="exact"/>
              <w:ind w:left="704" w:right="468" w:hanging="231"/>
              <w:jc w:val="left"/>
              <w:rPr>
                <w:sz w:val="24"/>
                <w:szCs w:val="24"/>
              </w:rPr>
            </w:pPr>
            <w:r>
              <w:rPr>
                <w:spacing w:val="-2"/>
                <w:sz w:val="24"/>
                <w:szCs w:val="24"/>
              </w:rPr>
              <w:t xml:space="preserve">(Астана) </w:t>
            </w:r>
            <w:r>
              <w:rPr>
                <w:spacing w:val="-4"/>
                <w:sz w:val="24"/>
                <w:szCs w:val="24"/>
              </w:rPr>
              <w:t>n=68</w:t>
            </w:r>
          </w:p>
        </w:tc>
        <w:tc>
          <w:tcPr>
            <w:tcW w:w="2128" w:type="dxa"/>
          </w:tcPr>
          <w:p w14:paraId="421C9AC5">
            <w:pPr>
              <w:pStyle w:val="11"/>
              <w:spacing w:line="315" w:lineRule="exact"/>
              <w:ind w:left="9" w:right="10"/>
              <w:rPr>
                <w:sz w:val="24"/>
                <w:szCs w:val="24"/>
              </w:rPr>
            </w:pPr>
            <w:r>
              <w:rPr>
                <w:sz w:val="24"/>
                <w:szCs w:val="24"/>
              </w:rPr>
              <w:t>ННЦХ</w:t>
            </w:r>
            <w:r>
              <w:rPr>
                <w:spacing w:val="-13"/>
                <w:sz w:val="24"/>
                <w:szCs w:val="24"/>
              </w:rPr>
              <w:t xml:space="preserve"> </w:t>
            </w:r>
            <w:r>
              <w:rPr>
                <w:spacing w:val="-2"/>
                <w:sz w:val="24"/>
                <w:szCs w:val="24"/>
              </w:rPr>
              <w:t>имени</w:t>
            </w:r>
          </w:p>
          <w:p w14:paraId="5E6A43FE">
            <w:pPr>
              <w:pStyle w:val="11"/>
              <w:spacing w:line="322" w:lineRule="exact"/>
              <w:ind w:left="9" w:right="8"/>
              <w:rPr>
                <w:sz w:val="24"/>
                <w:szCs w:val="24"/>
              </w:rPr>
            </w:pPr>
            <w:r>
              <w:rPr>
                <w:sz w:val="24"/>
                <w:szCs w:val="24"/>
              </w:rPr>
              <w:t>А.Н.</w:t>
            </w:r>
            <w:r>
              <w:rPr>
                <w:spacing w:val="-18"/>
                <w:sz w:val="24"/>
                <w:szCs w:val="24"/>
              </w:rPr>
              <w:t xml:space="preserve"> </w:t>
            </w:r>
            <w:r>
              <w:rPr>
                <w:sz w:val="24"/>
                <w:szCs w:val="24"/>
              </w:rPr>
              <w:t xml:space="preserve">Сызганова </w:t>
            </w:r>
            <w:r>
              <w:rPr>
                <w:spacing w:val="-4"/>
                <w:sz w:val="24"/>
                <w:szCs w:val="24"/>
              </w:rPr>
              <w:t>n=97</w:t>
            </w:r>
          </w:p>
        </w:tc>
        <w:tc>
          <w:tcPr>
            <w:tcW w:w="988" w:type="dxa"/>
          </w:tcPr>
          <w:p w14:paraId="2DBF4B9B">
            <w:pPr>
              <w:pStyle w:val="11"/>
              <w:spacing w:line="315" w:lineRule="exact"/>
              <w:ind w:left="6" w:right="2"/>
              <w:rPr>
                <w:sz w:val="24"/>
                <w:szCs w:val="24"/>
              </w:rPr>
            </w:pPr>
            <w:r>
              <w:rPr>
                <w:spacing w:val="-2"/>
                <w:sz w:val="24"/>
                <w:szCs w:val="24"/>
              </w:rPr>
              <w:t>P-value</w:t>
            </w:r>
          </w:p>
        </w:tc>
      </w:tr>
      <w:tr w14:paraId="47D4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4540" w:type="dxa"/>
          </w:tcPr>
          <w:p w14:paraId="6835FE56">
            <w:pPr>
              <w:pStyle w:val="11"/>
              <w:spacing w:line="315" w:lineRule="exact"/>
              <w:ind w:left="110"/>
              <w:jc w:val="left"/>
              <w:rPr>
                <w:sz w:val="24"/>
                <w:szCs w:val="24"/>
              </w:rPr>
            </w:pPr>
            <w:r>
              <w:rPr>
                <w:sz w:val="24"/>
                <w:szCs w:val="24"/>
              </w:rPr>
              <w:t>Возраст,</w:t>
            </w:r>
            <w:r>
              <w:rPr>
                <w:spacing w:val="-2"/>
                <w:sz w:val="24"/>
                <w:szCs w:val="24"/>
              </w:rPr>
              <w:t xml:space="preserve"> </w:t>
            </w:r>
            <w:r>
              <w:rPr>
                <w:sz w:val="24"/>
                <w:szCs w:val="24"/>
              </w:rPr>
              <w:t>n</w:t>
            </w:r>
            <w:r>
              <w:rPr>
                <w:spacing w:val="-8"/>
                <w:sz w:val="24"/>
                <w:szCs w:val="24"/>
              </w:rPr>
              <w:t xml:space="preserve"> </w:t>
            </w:r>
            <w:r>
              <w:rPr>
                <w:spacing w:val="-5"/>
                <w:sz w:val="24"/>
                <w:szCs w:val="24"/>
              </w:rPr>
              <w:t>(%)</w:t>
            </w:r>
          </w:p>
        </w:tc>
        <w:tc>
          <w:tcPr>
            <w:tcW w:w="1983" w:type="dxa"/>
          </w:tcPr>
          <w:p w14:paraId="7A6B058D">
            <w:pPr>
              <w:pStyle w:val="11"/>
              <w:spacing w:line="315" w:lineRule="exact"/>
              <w:ind w:left="4" w:right="4"/>
              <w:rPr>
                <w:sz w:val="24"/>
                <w:szCs w:val="24"/>
              </w:rPr>
            </w:pPr>
            <w:r>
              <w:rPr>
                <w:sz w:val="24"/>
                <w:szCs w:val="24"/>
              </w:rPr>
              <w:t>62</w:t>
            </w:r>
            <w:r>
              <w:rPr>
                <w:spacing w:val="-11"/>
                <w:sz w:val="24"/>
                <w:szCs w:val="24"/>
              </w:rPr>
              <w:t xml:space="preserve"> </w:t>
            </w:r>
            <w:r>
              <w:rPr>
                <w:sz w:val="24"/>
                <w:szCs w:val="24"/>
              </w:rPr>
              <w:t>(53-</w:t>
            </w:r>
            <w:r>
              <w:rPr>
                <w:spacing w:val="-5"/>
                <w:sz w:val="24"/>
                <w:szCs w:val="24"/>
              </w:rPr>
              <w:t>67)</w:t>
            </w:r>
          </w:p>
        </w:tc>
        <w:tc>
          <w:tcPr>
            <w:tcW w:w="2128" w:type="dxa"/>
          </w:tcPr>
          <w:p w14:paraId="76C0EA08">
            <w:pPr>
              <w:pStyle w:val="11"/>
              <w:spacing w:line="315" w:lineRule="exact"/>
              <w:ind w:left="10" w:right="1"/>
              <w:rPr>
                <w:sz w:val="24"/>
                <w:szCs w:val="24"/>
              </w:rPr>
            </w:pPr>
            <w:r>
              <w:rPr>
                <w:sz w:val="24"/>
                <w:szCs w:val="24"/>
              </w:rPr>
              <w:t>63</w:t>
            </w:r>
            <w:r>
              <w:rPr>
                <w:spacing w:val="-11"/>
                <w:sz w:val="24"/>
                <w:szCs w:val="24"/>
              </w:rPr>
              <w:t xml:space="preserve"> </w:t>
            </w:r>
            <w:r>
              <w:rPr>
                <w:sz w:val="24"/>
                <w:szCs w:val="24"/>
              </w:rPr>
              <w:t>(56-</w:t>
            </w:r>
            <w:r>
              <w:rPr>
                <w:spacing w:val="-5"/>
                <w:sz w:val="24"/>
                <w:szCs w:val="24"/>
              </w:rPr>
              <w:t>67)</w:t>
            </w:r>
          </w:p>
        </w:tc>
        <w:tc>
          <w:tcPr>
            <w:tcW w:w="988" w:type="dxa"/>
          </w:tcPr>
          <w:p w14:paraId="61DF1FD4">
            <w:pPr>
              <w:pStyle w:val="11"/>
              <w:spacing w:line="315" w:lineRule="exact"/>
              <w:ind w:left="6" w:right="1"/>
              <w:rPr>
                <w:sz w:val="24"/>
                <w:szCs w:val="24"/>
              </w:rPr>
            </w:pPr>
            <w:r>
              <w:rPr>
                <w:spacing w:val="-4"/>
                <w:sz w:val="24"/>
                <w:szCs w:val="24"/>
              </w:rPr>
              <w:t>0,478</w:t>
            </w:r>
          </w:p>
        </w:tc>
      </w:tr>
      <w:tr w14:paraId="295DF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4540" w:type="dxa"/>
          </w:tcPr>
          <w:p w14:paraId="4E1452C8">
            <w:pPr>
              <w:pStyle w:val="11"/>
              <w:spacing w:line="319" w:lineRule="exact"/>
              <w:ind w:right="1372"/>
              <w:jc w:val="right"/>
              <w:rPr>
                <w:sz w:val="24"/>
                <w:szCs w:val="24"/>
              </w:rPr>
            </w:pPr>
            <w:r>
              <w:rPr>
                <w:sz w:val="24"/>
                <w:szCs w:val="24"/>
              </w:rPr>
              <w:t>Пол,</w:t>
            </w:r>
            <w:r>
              <w:rPr>
                <w:spacing w:val="3"/>
                <w:sz w:val="24"/>
                <w:szCs w:val="24"/>
              </w:rPr>
              <w:t xml:space="preserve"> </w:t>
            </w:r>
            <w:r>
              <w:rPr>
                <w:sz w:val="24"/>
                <w:szCs w:val="24"/>
              </w:rPr>
              <w:t>n</w:t>
            </w:r>
            <w:r>
              <w:rPr>
                <w:spacing w:val="-7"/>
                <w:sz w:val="24"/>
                <w:szCs w:val="24"/>
              </w:rPr>
              <w:t xml:space="preserve"> </w:t>
            </w:r>
            <w:r>
              <w:rPr>
                <w:sz w:val="24"/>
                <w:szCs w:val="24"/>
              </w:rPr>
              <w:t>(%):</w:t>
            </w:r>
            <w:r>
              <w:rPr>
                <w:spacing w:val="-8"/>
                <w:sz w:val="24"/>
                <w:szCs w:val="24"/>
              </w:rPr>
              <w:t xml:space="preserve"> </w:t>
            </w:r>
            <w:r>
              <w:rPr>
                <w:spacing w:val="-2"/>
                <w:sz w:val="24"/>
                <w:szCs w:val="24"/>
              </w:rPr>
              <w:t>Женщины</w:t>
            </w:r>
          </w:p>
          <w:p w14:paraId="7CB89573">
            <w:pPr>
              <w:pStyle w:val="11"/>
              <w:spacing w:line="240" w:lineRule="auto"/>
              <w:ind w:right="1386"/>
              <w:jc w:val="right"/>
              <w:rPr>
                <w:sz w:val="24"/>
                <w:szCs w:val="24"/>
              </w:rPr>
            </w:pPr>
            <w:r>
              <w:rPr>
                <w:spacing w:val="-2"/>
                <w:sz w:val="24"/>
                <w:szCs w:val="24"/>
              </w:rPr>
              <w:t>Мужчины</w:t>
            </w:r>
          </w:p>
        </w:tc>
        <w:tc>
          <w:tcPr>
            <w:tcW w:w="1983" w:type="dxa"/>
          </w:tcPr>
          <w:p w14:paraId="504A51F7">
            <w:pPr>
              <w:pStyle w:val="11"/>
              <w:spacing w:line="319" w:lineRule="exact"/>
              <w:ind w:left="359"/>
              <w:jc w:val="left"/>
              <w:rPr>
                <w:sz w:val="24"/>
                <w:szCs w:val="24"/>
              </w:rPr>
            </w:pPr>
            <w:r>
              <w:rPr>
                <w:sz w:val="24"/>
                <w:szCs w:val="24"/>
              </w:rPr>
              <w:t>36</w:t>
            </w:r>
            <w:r>
              <w:rPr>
                <w:spacing w:val="-2"/>
                <w:sz w:val="24"/>
                <w:szCs w:val="24"/>
              </w:rPr>
              <w:t xml:space="preserve"> (53,0%)</w:t>
            </w:r>
          </w:p>
          <w:p w14:paraId="4E374DDE">
            <w:pPr>
              <w:pStyle w:val="11"/>
              <w:spacing w:line="240" w:lineRule="auto"/>
              <w:ind w:left="359"/>
              <w:jc w:val="left"/>
              <w:rPr>
                <w:sz w:val="24"/>
                <w:szCs w:val="24"/>
              </w:rPr>
            </w:pPr>
            <w:r>
              <w:rPr>
                <w:sz w:val="24"/>
                <w:szCs w:val="24"/>
              </w:rPr>
              <w:t>32</w:t>
            </w:r>
            <w:r>
              <w:rPr>
                <w:spacing w:val="-1"/>
                <w:sz w:val="24"/>
                <w:szCs w:val="24"/>
              </w:rPr>
              <w:t xml:space="preserve"> </w:t>
            </w:r>
            <w:r>
              <w:rPr>
                <w:spacing w:val="-2"/>
                <w:sz w:val="24"/>
                <w:szCs w:val="24"/>
              </w:rPr>
              <w:t>(47,0%)</w:t>
            </w:r>
          </w:p>
        </w:tc>
        <w:tc>
          <w:tcPr>
            <w:tcW w:w="2128" w:type="dxa"/>
          </w:tcPr>
          <w:p w14:paraId="3AB30F05">
            <w:pPr>
              <w:pStyle w:val="11"/>
              <w:spacing w:line="319" w:lineRule="exact"/>
              <w:ind w:left="436"/>
              <w:jc w:val="left"/>
              <w:rPr>
                <w:sz w:val="24"/>
                <w:szCs w:val="24"/>
              </w:rPr>
            </w:pPr>
            <w:r>
              <w:rPr>
                <w:sz w:val="24"/>
                <w:szCs w:val="24"/>
              </w:rPr>
              <w:t>55</w:t>
            </w:r>
            <w:r>
              <w:rPr>
                <w:spacing w:val="-2"/>
                <w:sz w:val="24"/>
                <w:szCs w:val="24"/>
              </w:rPr>
              <w:t xml:space="preserve"> (56,7%)</w:t>
            </w:r>
          </w:p>
          <w:p w14:paraId="025416B3">
            <w:pPr>
              <w:pStyle w:val="11"/>
              <w:spacing w:line="240" w:lineRule="auto"/>
              <w:ind w:left="436"/>
              <w:jc w:val="left"/>
              <w:rPr>
                <w:sz w:val="24"/>
                <w:szCs w:val="24"/>
              </w:rPr>
            </w:pPr>
            <w:r>
              <w:rPr>
                <w:sz w:val="24"/>
                <w:szCs w:val="24"/>
              </w:rPr>
              <w:t>42</w:t>
            </w:r>
            <w:r>
              <w:rPr>
                <w:spacing w:val="-2"/>
                <w:sz w:val="24"/>
                <w:szCs w:val="24"/>
              </w:rPr>
              <w:t xml:space="preserve"> (43,3%)</w:t>
            </w:r>
          </w:p>
        </w:tc>
        <w:tc>
          <w:tcPr>
            <w:tcW w:w="988" w:type="dxa"/>
          </w:tcPr>
          <w:p w14:paraId="6EF7895F">
            <w:pPr>
              <w:pStyle w:val="11"/>
              <w:spacing w:line="320" w:lineRule="exact"/>
              <w:ind w:left="6" w:right="1"/>
              <w:rPr>
                <w:sz w:val="24"/>
                <w:szCs w:val="24"/>
              </w:rPr>
            </w:pPr>
            <w:r>
              <w:rPr>
                <w:spacing w:val="-4"/>
                <w:sz w:val="24"/>
                <w:szCs w:val="24"/>
              </w:rPr>
              <w:t>0,907</w:t>
            </w:r>
          </w:p>
        </w:tc>
      </w:tr>
      <w:tr w14:paraId="73D6B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4540" w:type="dxa"/>
          </w:tcPr>
          <w:p w14:paraId="141ECD0F">
            <w:pPr>
              <w:pStyle w:val="11"/>
              <w:spacing w:line="315" w:lineRule="exact"/>
              <w:ind w:left="110"/>
              <w:jc w:val="left"/>
              <w:rPr>
                <w:sz w:val="24"/>
                <w:szCs w:val="24"/>
              </w:rPr>
            </w:pPr>
            <w:r>
              <w:rPr>
                <w:sz w:val="24"/>
                <w:szCs w:val="24"/>
              </w:rPr>
              <w:t>Мягкая</w:t>
            </w:r>
            <w:r>
              <w:rPr>
                <w:spacing w:val="-5"/>
                <w:sz w:val="24"/>
                <w:szCs w:val="24"/>
              </w:rPr>
              <w:t xml:space="preserve"> </w:t>
            </w:r>
            <w:r>
              <w:rPr>
                <w:sz w:val="24"/>
                <w:szCs w:val="24"/>
              </w:rPr>
              <w:t>консистенция</w:t>
            </w:r>
            <w:r>
              <w:rPr>
                <w:spacing w:val="-6"/>
                <w:sz w:val="24"/>
                <w:szCs w:val="24"/>
              </w:rPr>
              <w:t xml:space="preserve"> </w:t>
            </w:r>
            <w:r>
              <w:rPr>
                <w:sz w:val="24"/>
                <w:szCs w:val="24"/>
              </w:rPr>
              <w:t>ПЖ,</w:t>
            </w:r>
            <w:r>
              <w:rPr>
                <w:spacing w:val="-4"/>
                <w:sz w:val="24"/>
                <w:szCs w:val="24"/>
              </w:rPr>
              <w:t xml:space="preserve"> </w:t>
            </w:r>
            <w:r>
              <w:rPr>
                <w:sz w:val="24"/>
                <w:szCs w:val="24"/>
              </w:rPr>
              <w:t>n</w:t>
            </w:r>
            <w:r>
              <w:rPr>
                <w:spacing w:val="-10"/>
                <w:sz w:val="24"/>
                <w:szCs w:val="24"/>
              </w:rPr>
              <w:t xml:space="preserve"> </w:t>
            </w:r>
            <w:r>
              <w:rPr>
                <w:spacing w:val="-5"/>
                <w:sz w:val="24"/>
                <w:szCs w:val="24"/>
              </w:rPr>
              <w:t>(%)</w:t>
            </w:r>
          </w:p>
        </w:tc>
        <w:tc>
          <w:tcPr>
            <w:tcW w:w="1983" w:type="dxa"/>
          </w:tcPr>
          <w:p w14:paraId="7CAD6F98">
            <w:pPr>
              <w:pStyle w:val="11"/>
              <w:spacing w:line="315" w:lineRule="exact"/>
              <w:ind w:left="4" w:right="4"/>
              <w:rPr>
                <w:sz w:val="24"/>
                <w:szCs w:val="24"/>
              </w:rPr>
            </w:pPr>
            <w:r>
              <w:rPr>
                <w:sz w:val="24"/>
                <w:szCs w:val="24"/>
              </w:rPr>
              <w:t>35</w:t>
            </w:r>
            <w:r>
              <w:rPr>
                <w:spacing w:val="-2"/>
                <w:sz w:val="24"/>
                <w:szCs w:val="24"/>
              </w:rPr>
              <w:t xml:space="preserve"> (51,4%)</w:t>
            </w:r>
          </w:p>
        </w:tc>
        <w:tc>
          <w:tcPr>
            <w:tcW w:w="2128" w:type="dxa"/>
          </w:tcPr>
          <w:p w14:paraId="249F0E6F">
            <w:pPr>
              <w:pStyle w:val="11"/>
              <w:spacing w:line="315" w:lineRule="exact"/>
              <w:ind w:left="10" w:right="1"/>
              <w:rPr>
                <w:sz w:val="24"/>
                <w:szCs w:val="24"/>
              </w:rPr>
            </w:pPr>
            <w:r>
              <w:rPr>
                <w:sz w:val="24"/>
                <w:szCs w:val="24"/>
              </w:rPr>
              <w:t>42</w:t>
            </w:r>
            <w:r>
              <w:rPr>
                <w:spacing w:val="-2"/>
                <w:sz w:val="24"/>
                <w:szCs w:val="24"/>
              </w:rPr>
              <w:t xml:space="preserve"> (43,3%)</w:t>
            </w:r>
          </w:p>
        </w:tc>
        <w:tc>
          <w:tcPr>
            <w:tcW w:w="988" w:type="dxa"/>
          </w:tcPr>
          <w:p w14:paraId="04F987AD">
            <w:pPr>
              <w:pStyle w:val="11"/>
              <w:spacing w:line="315" w:lineRule="exact"/>
              <w:ind w:left="6" w:right="1"/>
              <w:rPr>
                <w:sz w:val="24"/>
                <w:szCs w:val="24"/>
              </w:rPr>
            </w:pPr>
            <w:r>
              <w:rPr>
                <w:spacing w:val="-4"/>
                <w:sz w:val="24"/>
                <w:szCs w:val="24"/>
              </w:rPr>
              <w:t>0,420</w:t>
            </w:r>
          </w:p>
        </w:tc>
      </w:tr>
      <w:tr w14:paraId="0AB9A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4540" w:type="dxa"/>
          </w:tcPr>
          <w:p w14:paraId="0F856929">
            <w:pPr>
              <w:pStyle w:val="11"/>
              <w:spacing w:line="315" w:lineRule="exact"/>
              <w:ind w:left="110"/>
              <w:jc w:val="left"/>
              <w:rPr>
                <w:sz w:val="24"/>
                <w:szCs w:val="24"/>
              </w:rPr>
            </w:pPr>
            <w:r>
              <w:rPr>
                <w:sz w:val="24"/>
                <w:szCs w:val="24"/>
              </w:rPr>
              <w:t>Диаметр</w:t>
            </w:r>
            <w:r>
              <w:rPr>
                <w:spacing w:val="-3"/>
                <w:sz w:val="24"/>
                <w:szCs w:val="24"/>
              </w:rPr>
              <w:t xml:space="preserve"> </w:t>
            </w:r>
            <w:r>
              <w:rPr>
                <w:sz w:val="24"/>
                <w:szCs w:val="24"/>
              </w:rPr>
              <w:t>ПП</w:t>
            </w:r>
            <w:r>
              <w:rPr>
                <w:spacing w:val="-4"/>
                <w:sz w:val="24"/>
                <w:szCs w:val="24"/>
              </w:rPr>
              <w:t xml:space="preserve"> </w:t>
            </w:r>
            <w:r>
              <w:rPr>
                <w:sz w:val="24"/>
                <w:szCs w:val="24"/>
              </w:rPr>
              <w:t>≤</w:t>
            </w:r>
            <w:r>
              <w:rPr>
                <w:spacing w:val="-1"/>
                <w:sz w:val="24"/>
                <w:szCs w:val="24"/>
              </w:rPr>
              <w:t xml:space="preserve"> </w:t>
            </w:r>
            <w:r>
              <w:rPr>
                <w:sz w:val="24"/>
                <w:szCs w:val="24"/>
              </w:rPr>
              <w:t>5</w:t>
            </w:r>
            <w:r>
              <w:rPr>
                <w:spacing w:val="-3"/>
                <w:sz w:val="24"/>
                <w:szCs w:val="24"/>
              </w:rPr>
              <w:t xml:space="preserve"> </w:t>
            </w:r>
            <w:r>
              <w:rPr>
                <w:sz w:val="24"/>
                <w:szCs w:val="24"/>
              </w:rPr>
              <w:t>мм, n</w:t>
            </w:r>
            <w:r>
              <w:rPr>
                <w:spacing w:val="-6"/>
                <w:sz w:val="24"/>
                <w:szCs w:val="24"/>
              </w:rPr>
              <w:t xml:space="preserve"> </w:t>
            </w:r>
            <w:r>
              <w:rPr>
                <w:spacing w:val="-5"/>
                <w:sz w:val="24"/>
                <w:szCs w:val="24"/>
              </w:rPr>
              <w:t>(%)</w:t>
            </w:r>
          </w:p>
        </w:tc>
        <w:tc>
          <w:tcPr>
            <w:tcW w:w="1983" w:type="dxa"/>
          </w:tcPr>
          <w:p w14:paraId="0C200A1D">
            <w:pPr>
              <w:pStyle w:val="11"/>
              <w:spacing w:line="315" w:lineRule="exact"/>
              <w:ind w:left="4" w:right="4"/>
              <w:rPr>
                <w:sz w:val="24"/>
                <w:szCs w:val="24"/>
              </w:rPr>
            </w:pPr>
            <w:r>
              <w:rPr>
                <w:sz w:val="24"/>
                <w:szCs w:val="24"/>
              </w:rPr>
              <w:t>49</w:t>
            </w:r>
            <w:r>
              <w:rPr>
                <w:spacing w:val="-2"/>
                <w:sz w:val="24"/>
                <w:szCs w:val="24"/>
              </w:rPr>
              <w:t xml:space="preserve"> (72,0%)</w:t>
            </w:r>
          </w:p>
        </w:tc>
        <w:tc>
          <w:tcPr>
            <w:tcW w:w="2128" w:type="dxa"/>
          </w:tcPr>
          <w:p w14:paraId="4430A133">
            <w:pPr>
              <w:pStyle w:val="11"/>
              <w:spacing w:line="315" w:lineRule="exact"/>
              <w:ind w:left="10" w:right="1"/>
              <w:rPr>
                <w:sz w:val="24"/>
                <w:szCs w:val="24"/>
              </w:rPr>
            </w:pPr>
            <w:r>
              <w:rPr>
                <w:sz w:val="24"/>
                <w:szCs w:val="24"/>
              </w:rPr>
              <w:t>72</w:t>
            </w:r>
            <w:r>
              <w:rPr>
                <w:spacing w:val="-2"/>
                <w:sz w:val="24"/>
                <w:szCs w:val="24"/>
              </w:rPr>
              <w:t xml:space="preserve"> (74,2%)</w:t>
            </w:r>
          </w:p>
        </w:tc>
        <w:tc>
          <w:tcPr>
            <w:tcW w:w="988" w:type="dxa"/>
          </w:tcPr>
          <w:p w14:paraId="18A4F0E1">
            <w:pPr>
              <w:pStyle w:val="11"/>
              <w:spacing w:line="315" w:lineRule="exact"/>
              <w:ind w:left="6" w:right="1"/>
              <w:rPr>
                <w:sz w:val="24"/>
                <w:szCs w:val="24"/>
              </w:rPr>
            </w:pPr>
            <w:r>
              <w:rPr>
                <w:spacing w:val="-4"/>
                <w:sz w:val="24"/>
                <w:szCs w:val="24"/>
              </w:rPr>
              <w:t>0,835</w:t>
            </w:r>
          </w:p>
        </w:tc>
      </w:tr>
      <w:tr w14:paraId="50ABB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4540" w:type="dxa"/>
          </w:tcPr>
          <w:p w14:paraId="0F9266FD">
            <w:pPr>
              <w:pStyle w:val="11"/>
              <w:spacing w:line="315" w:lineRule="exact"/>
              <w:ind w:left="110"/>
              <w:jc w:val="left"/>
              <w:rPr>
                <w:sz w:val="24"/>
                <w:szCs w:val="24"/>
              </w:rPr>
            </w:pPr>
            <w:r>
              <w:rPr>
                <w:sz w:val="24"/>
                <w:szCs w:val="24"/>
              </w:rPr>
              <w:t>Длительность</w:t>
            </w:r>
            <w:r>
              <w:rPr>
                <w:spacing w:val="-14"/>
                <w:sz w:val="24"/>
                <w:szCs w:val="24"/>
              </w:rPr>
              <w:t xml:space="preserve"> </w:t>
            </w:r>
            <w:r>
              <w:rPr>
                <w:sz w:val="24"/>
                <w:szCs w:val="24"/>
              </w:rPr>
              <w:t>операции,</w:t>
            </w:r>
            <w:r>
              <w:rPr>
                <w:spacing w:val="-11"/>
                <w:sz w:val="24"/>
                <w:szCs w:val="24"/>
              </w:rPr>
              <w:t xml:space="preserve"> </w:t>
            </w:r>
            <w:r>
              <w:rPr>
                <w:spacing w:val="-5"/>
                <w:sz w:val="24"/>
                <w:szCs w:val="24"/>
              </w:rPr>
              <w:t>мин</w:t>
            </w:r>
          </w:p>
        </w:tc>
        <w:tc>
          <w:tcPr>
            <w:tcW w:w="1983" w:type="dxa"/>
          </w:tcPr>
          <w:p w14:paraId="7E85B80C">
            <w:pPr>
              <w:pStyle w:val="11"/>
              <w:spacing w:line="315" w:lineRule="exact"/>
              <w:ind w:left="4"/>
              <w:rPr>
                <w:sz w:val="24"/>
                <w:szCs w:val="24"/>
              </w:rPr>
            </w:pPr>
            <w:r>
              <w:rPr>
                <w:sz w:val="24"/>
                <w:szCs w:val="24"/>
              </w:rPr>
              <w:t>302</w:t>
            </w:r>
            <w:r>
              <w:rPr>
                <w:spacing w:val="-4"/>
                <w:sz w:val="24"/>
                <w:szCs w:val="24"/>
              </w:rPr>
              <w:t xml:space="preserve"> </w:t>
            </w:r>
            <w:r>
              <w:rPr>
                <w:spacing w:val="-2"/>
                <w:sz w:val="24"/>
                <w:szCs w:val="24"/>
              </w:rPr>
              <w:t>[244–356]</w:t>
            </w:r>
          </w:p>
        </w:tc>
        <w:tc>
          <w:tcPr>
            <w:tcW w:w="2128" w:type="dxa"/>
          </w:tcPr>
          <w:p w14:paraId="6AF290C7">
            <w:pPr>
              <w:pStyle w:val="11"/>
              <w:spacing w:line="315" w:lineRule="exact"/>
              <w:ind w:left="9" w:right="6"/>
              <w:rPr>
                <w:sz w:val="24"/>
                <w:szCs w:val="24"/>
              </w:rPr>
            </w:pPr>
            <w:r>
              <w:rPr>
                <w:sz w:val="24"/>
                <w:szCs w:val="24"/>
              </w:rPr>
              <w:t>380</w:t>
            </w:r>
            <w:r>
              <w:rPr>
                <w:spacing w:val="-4"/>
                <w:sz w:val="24"/>
                <w:szCs w:val="24"/>
              </w:rPr>
              <w:t xml:space="preserve"> </w:t>
            </w:r>
            <w:r>
              <w:rPr>
                <w:spacing w:val="-2"/>
                <w:sz w:val="24"/>
                <w:szCs w:val="24"/>
              </w:rPr>
              <w:t>[330–480]</w:t>
            </w:r>
          </w:p>
        </w:tc>
        <w:tc>
          <w:tcPr>
            <w:tcW w:w="988" w:type="dxa"/>
          </w:tcPr>
          <w:p w14:paraId="76A91C33">
            <w:pPr>
              <w:pStyle w:val="11"/>
              <w:spacing w:line="315" w:lineRule="exact"/>
              <w:ind w:left="6"/>
              <w:rPr>
                <w:sz w:val="24"/>
                <w:szCs w:val="24"/>
              </w:rPr>
            </w:pPr>
            <w:r>
              <w:rPr>
                <w:spacing w:val="-2"/>
                <w:sz w:val="24"/>
                <w:szCs w:val="24"/>
              </w:rPr>
              <w:t>&lt;0,001</w:t>
            </w:r>
            <w:r>
              <w:rPr>
                <w:spacing w:val="-2"/>
                <w:sz w:val="24"/>
                <w:szCs w:val="24"/>
                <w:vertAlign w:val="superscript"/>
              </w:rPr>
              <w:t>*</w:t>
            </w:r>
          </w:p>
        </w:tc>
      </w:tr>
      <w:tr w14:paraId="3A91A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4540" w:type="dxa"/>
          </w:tcPr>
          <w:p w14:paraId="67C186B7">
            <w:pPr>
              <w:pStyle w:val="11"/>
              <w:spacing w:line="315" w:lineRule="exact"/>
              <w:ind w:left="110"/>
              <w:jc w:val="left"/>
              <w:rPr>
                <w:sz w:val="24"/>
                <w:szCs w:val="24"/>
              </w:rPr>
            </w:pPr>
            <w:r>
              <w:rPr>
                <w:sz w:val="24"/>
                <w:szCs w:val="24"/>
              </w:rPr>
              <w:t>Кровопотеря,</w:t>
            </w:r>
            <w:r>
              <w:rPr>
                <w:spacing w:val="-13"/>
                <w:sz w:val="24"/>
                <w:szCs w:val="24"/>
              </w:rPr>
              <w:t xml:space="preserve"> </w:t>
            </w:r>
            <w:r>
              <w:rPr>
                <w:spacing w:val="-5"/>
                <w:sz w:val="24"/>
                <w:szCs w:val="24"/>
              </w:rPr>
              <w:t>мл</w:t>
            </w:r>
          </w:p>
        </w:tc>
        <w:tc>
          <w:tcPr>
            <w:tcW w:w="1983" w:type="dxa"/>
          </w:tcPr>
          <w:p w14:paraId="065A18D0">
            <w:pPr>
              <w:pStyle w:val="11"/>
              <w:spacing w:line="315" w:lineRule="exact"/>
              <w:ind w:left="4"/>
              <w:rPr>
                <w:sz w:val="24"/>
                <w:szCs w:val="24"/>
              </w:rPr>
            </w:pPr>
            <w:r>
              <w:rPr>
                <w:sz w:val="24"/>
                <w:szCs w:val="24"/>
              </w:rPr>
              <w:t>400</w:t>
            </w:r>
            <w:r>
              <w:rPr>
                <w:spacing w:val="-4"/>
                <w:sz w:val="24"/>
                <w:szCs w:val="24"/>
              </w:rPr>
              <w:t xml:space="preserve"> </w:t>
            </w:r>
            <w:r>
              <w:rPr>
                <w:spacing w:val="-2"/>
                <w:sz w:val="24"/>
                <w:szCs w:val="24"/>
              </w:rPr>
              <w:t>[200–500]</w:t>
            </w:r>
          </w:p>
        </w:tc>
        <w:tc>
          <w:tcPr>
            <w:tcW w:w="2128" w:type="dxa"/>
          </w:tcPr>
          <w:p w14:paraId="4976A07B">
            <w:pPr>
              <w:pStyle w:val="11"/>
              <w:spacing w:line="315" w:lineRule="exact"/>
              <w:ind w:left="9" w:right="6"/>
              <w:rPr>
                <w:sz w:val="24"/>
                <w:szCs w:val="24"/>
              </w:rPr>
            </w:pPr>
            <w:r>
              <w:rPr>
                <w:sz w:val="24"/>
                <w:szCs w:val="24"/>
              </w:rPr>
              <w:t>300</w:t>
            </w:r>
            <w:r>
              <w:rPr>
                <w:spacing w:val="-3"/>
                <w:sz w:val="24"/>
                <w:szCs w:val="24"/>
              </w:rPr>
              <w:t xml:space="preserve"> </w:t>
            </w:r>
            <w:r>
              <w:rPr>
                <w:spacing w:val="-2"/>
                <w:sz w:val="24"/>
                <w:szCs w:val="24"/>
              </w:rPr>
              <w:t>[200–500]</w:t>
            </w:r>
          </w:p>
        </w:tc>
        <w:tc>
          <w:tcPr>
            <w:tcW w:w="988" w:type="dxa"/>
          </w:tcPr>
          <w:p w14:paraId="66F75C02">
            <w:pPr>
              <w:pStyle w:val="11"/>
              <w:spacing w:line="315" w:lineRule="exact"/>
              <w:ind w:left="6" w:right="1"/>
              <w:rPr>
                <w:sz w:val="24"/>
                <w:szCs w:val="24"/>
              </w:rPr>
            </w:pPr>
            <w:r>
              <w:rPr>
                <w:spacing w:val="-4"/>
                <w:sz w:val="24"/>
                <w:szCs w:val="24"/>
              </w:rPr>
              <w:t>0,283</w:t>
            </w:r>
          </w:p>
        </w:tc>
      </w:tr>
      <w:tr w14:paraId="55575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4540" w:type="dxa"/>
          </w:tcPr>
          <w:p w14:paraId="004B7859">
            <w:pPr>
              <w:pStyle w:val="11"/>
              <w:spacing w:line="315" w:lineRule="exact"/>
              <w:ind w:left="110"/>
              <w:jc w:val="left"/>
              <w:rPr>
                <w:sz w:val="24"/>
                <w:szCs w:val="24"/>
              </w:rPr>
            </w:pPr>
            <w:r>
              <w:rPr>
                <w:sz w:val="24"/>
                <w:szCs w:val="24"/>
              </w:rPr>
              <w:t>Локализация, n</w:t>
            </w:r>
            <w:r>
              <w:rPr>
                <w:spacing w:val="-6"/>
                <w:sz w:val="24"/>
                <w:szCs w:val="24"/>
              </w:rPr>
              <w:t xml:space="preserve"> </w:t>
            </w:r>
            <w:r>
              <w:rPr>
                <w:sz w:val="24"/>
                <w:szCs w:val="24"/>
              </w:rPr>
              <w:t>(%):</w:t>
            </w:r>
            <w:r>
              <w:rPr>
                <w:spacing w:val="61"/>
                <w:sz w:val="24"/>
                <w:szCs w:val="24"/>
              </w:rPr>
              <w:t xml:space="preserve">    </w:t>
            </w:r>
            <w:r>
              <w:rPr>
                <w:spacing w:val="-5"/>
                <w:sz w:val="24"/>
                <w:szCs w:val="24"/>
              </w:rPr>
              <w:t>ГПЖ</w:t>
            </w:r>
          </w:p>
          <w:p w14:paraId="6A54A45A">
            <w:pPr>
              <w:pStyle w:val="11"/>
              <w:spacing w:line="240" w:lineRule="auto"/>
              <w:ind w:left="2611" w:right="917" w:firstLine="19"/>
              <w:jc w:val="both"/>
              <w:rPr>
                <w:sz w:val="24"/>
                <w:szCs w:val="24"/>
              </w:rPr>
            </w:pPr>
            <w:r>
              <w:rPr>
                <w:spacing w:val="-4"/>
                <w:sz w:val="24"/>
                <w:szCs w:val="24"/>
              </w:rPr>
              <w:t xml:space="preserve">БДС ТОХ </w:t>
            </w:r>
            <w:r>
              <w:rPr>
                <w:spacing w:val="-5"/>
                <w:sz w:val="24"/>
                <w:szCs w:val="24"/>
              </w:rPr>
              <w:t>ДПК</w:t>
            </w:r>
          </w:p>
        </w:tc>
        <w:tc>
          <w:tcPr>
            <w:tcW w:w="1983" w:type="dxa"/>
          </w:tcPr>
          <w:p w14:paraId="4C320F7A">
            <w:pPr>
              <w:pStyle w:val="11"/>
              <w:spacing w:line="315" w:lineRule="exact"/>
              <w:ind w:left="359"/>
              <w:jc w:val="left"/>
              <w:rPr>
                <w:sz w:val="24"/>
                <w:szCs w:val="24"/>
              </w:rPr>
            </w:pPr>
            <w:r>
              <w:rPr>
                <w:sz w:val="24"/>
                <w:szCs w:val="24"/>
              </w:rPr>
              <w:t>30</w:t>
            </w:r>
            <w:r>
              <w:rPr>
                <w:spacing w:val="-2"/>
                <w:sz w:val="24"/>
                <w:szCs w:val="24"/>
              </w:rPr>
              <w:t xml:space="preserve"> (44,1%)</w:t>
            </w:r>
          </w:p>
          <w:p w14:paraId="37888A12">
            <w:pPr>
              <w:pStyle w:val="11"/>
              <w:spacing w:line="322" w:lineRule="exact"/>
              <w:ind w:left="359"/>
              <w:jc w:val="left"/>
              <w:rPr>
                <w:sz w:val="24"/>
                <w:szCs w:val="24"/>
              </w:rPr>
            </w:pPr>
            <w:r>
              <w:rPr>
                <w:sz w:val="24"/>
                <w:szCs w:val="24"/>
              </w:rPr>
              <w:t>21</w:t>
            </w:r>
            <w:r>
              <w:rPr>
                <w:spacing w:val="-2"/>
                <w:sz w:val="24"/>
                <w:szCs w:val="24"/>
              </w:rPr>
              <w:t xml:space="preserve"> (30,9%)</w:t>
            </w:r>
          </w:p>
          <w:p w14:paraId="0C25AAB6">
            <w:pPr>
              <w:pStyle w:val="11"/>
              <w:spacing w:line="322" w:lineRule="exact"/>
              <w:ind w:left="359"/>
              <w:jc w:val="left"/>
              <w:rPr>
                <w:sz w:val="24"/>
                <w:szCs w:val="24"/>
              </w:rPr>
            </w:pPr>
            <w:r>
              <w:rPr>
                <w:sz w:val="24"/>
                <w:szCs w:val="24"/>
              </w:rPr>
              <w:t>14</w:t>
            </w:r>
            <w:r>
              <w:rPr>
                <w:spacing w:val="-2"/>
                <w:sz w:val="24"/>
                <w:szCs w:val="24"/>
              </w:rPr>
              <w:t xml:space="preserve"> (20,6%)</w:t>
            </w:r>
          </w:p>
          <w:p w14:paraId="1C12B740">
            <w:pPr>
              <w:pStyle w:val="11"/>
              <w:spacing w:line="240" w:lineRule="auto"/>
              <w:ind w:left="498"/>
              <w:jc w:val="left"/>
              <w:rPr>
                <w:sz w:val="24"/>
                <w:szCs w:val="24"/>
              </w:rPr>
            </w:pPr>
            <w:r>
              <w:rPr>
                <w:sz w:val="24"/>
                <w:szCs w:val="24"/>
              </w:rPr>
              <w:t>3</w:t>
            </w:r>
            <w:r>
              <w:rPr>
                <w:spacing w:val="-1"/>
                <w:sz w:val="24"/>
                <w:szCs w:val="24"/>
              </w:rPr>
              <w:t xml:space="preserve"> </w:t>
            </w:r>
            <w:r>
              <w:rPr>
                <w:spacing w:val="-2"/>
                <w:sz w:val="24"/>
                <w:szCs w:val="24"/>
              </w:rPr>
              <w:t>(4,4%)</w:t>
            </w:r>
          </w:p>
        </w:tc>
        <w:tc>
          <w:tcPr>
            <w:tcW w:w="2128" w:type="dxa"/>
          </w:tcPr>
          <w:p w14:paraId="150CCF65">
            <w:pPr>
              <w:pStyle w:val="11"/>
              <w:spacing w:line="315" w:lineRule="exact"/>
              <w:ind w:left="436"/>
              <w:jc w:val="left"/>
              <w:rPr>
                <w:sz w:val="24"/>
                <w:szCs w:val="24"/>
              </w:rPr>
            </w:pPr>
            <w:r>
              <w:rPr>
                <w:sz w:val="24"/>
                <w:szCs w:val="24"/>
              </w:rPr>
              <w:t>53</w:t>
            </w:r>
            <w:r>
              <w:rPr>
                <w:spacing w:val="-2"/>
                <w:sz w:val="24"/>
                <w:szCs w:val="24"/>
              </w:rPr>
              <w:t xml:space="preserve"> (54,6%)</w:t>
            </w:r>
          </w:p>
          <w:p w14:paraId="277D1190">
            <w:pPr>
              <w:pStyle w:val="11"/>
              <w:spacing w:line="322" w:lineRule="exact"/>
              <w:ind w:left="537"/>
              <w:jc w:val="left"/>
              <w:rPr>
                <w:sz w:val="24"/>
                <w:szCs w:val="24"/>
              </w:rPr>
            </w:pPr>
            <w:r>
              <w:rPr>
                <w:sz w:val="24"/>
                <w:szCs w:val="24"/>
              </w:rPr>
              <w:t>33</w:t>
            </w:r>
            <w:r>
              <w:rPr>
                <w:spacing w:val="-2"/>
                <w:sz w:val="24"/>
                <w:szCs w:val="24"/>
              </w:rPr>
              <w:t xml:space="preserve"> (34%)</w:t>
            </w:r>
          </w:p>
          <w:p w14:paraId="041779D0">
            <w:pPr>
              <w:pStyle w:val="11"/>
              <w:spacing w:line="322" w:lineRule="exact"/>
              <w:ind w:left="575"/>
              <w:jc w:val="left"/>
              <w:rPr>
                <w:sz w:val="24"/>
                <w:szCs w:val="24"/>
              </w:rPr>
            </w:pPr>
            <w:r>
              <w:rPr>
                <w:sz w:val="24"/>
                <w:szCs w:val="24"/>
              </w:rPr>
              <w:t>8</w:t>
            </w:r>
            <w:r>
              <w:rPr>
                <w:spacing w:val="-1"/>
                <w:sz w:val="24"/>
                <w:szCs w:val="24"/>
              </w:rPr>
              <w:t xml:space="preserve"> </w:t>
            </w:r>
            <w:r>
              <w:rPr>
                <w:spacing w:val="-2"/>
                <w:sz w:val="24"/>
                <w:szCs w:val="24"/>
              </w:rPr>
              <w:t>(8,3%)</w:t>
            </w:r>
          </w:p>
          <w:p w14:paraId="13A8D265">
            <w:pPr>
              <w:pStyle w:val="11"/>
              <w:spacing w:line="240" w:lineRule="auto"/>
              <w:ind w:left="575"/>
              <w:jc w:val="left"/>
              <w:rPr>
                <w:sz w:val="24"/>
                <w:szCs w:val="24"/>
              </w:rPr>
            </w:pPr>
            <w:r>
              <w:rPr>
                <w:sz w:val="24"/>
                <w:szCs w:val="24"/>
              </w:rPr>
              <w:t>3</w:t>
            </w:r>
            <w:r>
              <w:rPr>
                <w:spacing w:val="-1"/>
                <w:sz w:val="24"/>
                <w:szCs w:val="24"/>
              </w:rPr>
              <w:t xml:space="preserve"> </w:t>
            </w:r>
            <w:r>
              <w:rPr>
                <w:spacing w:val="-2"/>
                <w:sz w:val="24"/>
                <w:szCs w:val="24"/>
              </w:rPr>
              <w:t>(3,1%)</w:t>
            </w:r>
          </w:p>
        </w:tc>
        <w:tc>
          <w:tcPr>
            <w:tcW w:w="988" w:type="dxa"/>
          </w:tcPr>
          <w:p w14:paraId="4E9C1826">
            <w:pPr>
              <w:pStyle w:val="11"/>
              <w:spacing w:line="315" w:lineRule="exact"/>
              <w:ind w:left="6" w:right="1"/>
              <w:rPr>
                <w:sz w:val="24"/>
                <w:szCs w:val="24"/>
              </w:rPr>
            </w:pPr>
            <w:r>
              <w:rPr>
                <w:spacing w:val="-4"/>
                <w:sz w:val="24"/>
                <w:szCs w:val="24"/>
              </w:rPr>
              <w:t>0,124</w:t>
            </w:r>
          </w:p>
        </w:tc>
      </w:tr>
      <w:tr w14:paraId="7C61D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639" w:type="dxa"/>
            <w:gridSpan w:val="4"/>
          </w:tcPr>
          <w:p w14:paraId="7EE6EEBE">
            <w:pPr>
              <w:pStyle w:val="11"/>
              <w:spacing w:line="237" w:lineRule="auto"/>
              <w:ind w:left="110" w:right="53" w:firstLine="597"/>
              <w:jc w:val="both"/>
              <w:rPr>
                <w:sz w:val="24"/>
                <w:szCs w:val="24"/>
              </w:rPr>
            </w:pPr>
            <w:r>
              <w:rPr>
                <w:sz w:val="24"/>
                <w:szCs w:val="24"/>
              </w:rPr>
              <w:t>Примечание: Количественные</w:t>
            </w:r>
            <w:r>
              <w:rPr>
                <w:spacing w:val="-4"/>
                <w:sz w:val="24"/>
                <w:szCs w:val="24"/>
              </w:rPr>
              <w:t xml:space="preserve"> </w:t>
            </w:r>
            <w:r>
              <w:rPr>
                <w:sz w:val="24"/>
                <w:szCs w:val="24"/>
              </w:rPr>
              <w:t>данные</w:t>
            </w:r>
            <w:r>
              <w:rPr>
                <w:spacing w:val="-9"/>
                <w:sz w:val="24"/>
                <w:szCs w:val="24"/>
              </w:rPr>
              <w:t xml:space="preserve"> </w:t>
            </w:r>
            <w:r>
              <w:rPr>
                <w:sz w:val="24"/>
                <w:szCs w:val="24"/>
              </w:rPr>
              <w:t>представлены</w:t>
            </w:r>
            <w:r>
              <w:rPr>
                <w:spacing w:val="-2"/>
                <w:sz w:val="24"/>
                <w:szCs w:val="24"/>
              </w:rPr>
              <w:t xml:space="preserve"> </w:t>
            </w:r>
            <w:r>
              <w:rPr>
                <w:sz w:val="24"/>
                <w:szCs w:val="24"/>
              </w:rPr>
              <w:t>как</w:t>
            </w:r>
            <w:r>
              <w:rPr>
                <w:spacing w:val="-9"/>
                <w:sz w:val="24"/>
                <w:szCs w:val="24"/>
              </w:rPr>
              <w:t xml:space="preserve"> </w:t>
            </w:r>
            <w:r>
              <w:rPr>
                <w:sz w:val="24"/>
                <w:szCs w:val="24"/>
              </w:rPr>
              <w:t>медиана</w:t>
            </w:r>
            <w:r>
              <w:rPr>
                <w:spacing w:val="-4"/>
                <w:sz w:val="24"/>
                <w:szCs w:val="24"/>
              </w:rPr>
              <w:t xml:space="preserve"> </w:t>
            </w:r>
            <w:r>
              <w:rPr>
                <w:sz w:val="24"/>
                <w:szCs w:val="24"/>
              </w:rPr>
              <w:t>и</w:t>
            </w:r>
            <w:r>
              <w:rPr>
                <w:spacing w:val="-7"/>
                <w:sz w:val="24"/>
                <w:szCs w:val="24"/>
              </w:rPr>
              <w:t xml:space="preserve"> </w:t>
            </w:r>
            <w:r>
              <w:rPr>
                <w:sz w:val="24"/>
                <w:szCs w:val="24"/>
              </w:rPr>
              <w:t>межквартильного</w:t>
            </w:r>
            <w:r>
              <w:rPr>
                <w:spacing w:val="-3"/>
                <w:sz w:val="24"/>
                <w:szCs w:val="24"/>
              </w:rPr>
              <w:t xml:space="preserve"> </w:t>
            </w:r>
            <w:r>
              <w:rPr>
                <w:sz w:val="24"/>
                <w:szCs w:val="24"/>
              </w:rPr>
              <w:t>интервала —</w:t>
            </w:r>
            <w:r>
              <w:rPr>
                <w:spacing w:val="-3"/>
                <w:sz w:val="24"/>
                <w:szCs w:val="24"/>
              </w:rPr>
              <w:t xml:space="preserve"> </w:t>
            </w:r>
            <w:r>
              <w:rPr>
                <w:sz w:val="24"/>
                <w:szCs w:val="24"/>
              </w:rPr>
              <w:t>Me [Q1;</w:t>
            </w:r>
            <w:r>
              <w:rPr>
                <w:spacing w:val="-5"/>
                <w:sz w:val="24"/>
                <w:szCs w:val="24"/>
              </w:rPr>
              <w:t xml:space="preserve"> </w:t>
            </w:r>
            <w:r>
              <w:rPr>
                <w:sz w:val="24"/>
                <w:szCs w:val="24"/>
              </w:rPr>
              <w:t>Q3].</w:t>
            </w:r>
            <w:r>
              <w:rPr>
                <w:spacing w:val="1"/>
                <w:sz w:val="24"/>
                <w:szCs w:val="24"/>
              </w:rPr>
              <w:t xml:space="preserve"> </w:t>
            </w:r>
            <w:r>
              <w:rPr>
                <w:sz w:val="24"/>
                <w:szCs w:val="24"/>
              </w:rPr>
              <w:t>Категориальные</w:t>
            </w:r>
            <w:r>
              <w:rPr>
                <w:spacing w:val="-1"/>
                <w:sz w:val="24"/>
                <w:szCs w:val="24"/>
              </w:rPr>
              <w:t xml:space="preserve"> </w:t>
            </w:r>
            <w:r>
              <w:rPr>
                <w:sz w:val="24"/>
                <w:szCs w:val="24"/>
              </w:rPr>
              <w:t>данные</w:t>
            </w:r>
            <w:r>
              <w:rPr>
                <w:spacing w:val="-1"/>
                <w:sz w:val="24"/>
                <w:szCs w:val="24"/>
              </w:rPr>
              <w:t xml:space="preserve"> </w:t>
            </w:r>
            <w:r>
              <w:rPr>
                <w:sz w:val="24"/>
                <w:szCs w:val="24"/>
              </w:rPr>
              <w:t>представлены</w:t>
            </w:r>
            <w:r>
              <w:rPr>
                <w:spacing w:val="1"/>
                <w:sz w:val="24"/>
                <w:szCs w:val="24"/>
              </w:rPr>
              <w:t xml:space="preserve"> </w:t>
            </w:r>
            <w:r>
              <w:rPr>
                <w:sz w:val="24"/>
                <w:szCs w:val="24"/>
              </w:rPr>
              <w:t>как</w:t>
            </w:r>
            <w:r>
              <w:rPr>
                <w:spacing w:val="-2"/>
                <w:sz w:val="24"/>
                <w:szCs w:val="24"/>
              </w:rPr>
              <w:t xml:space="preserve"> </w:t>
            </w:r>
            <w:r>
              <w:rPr>
                <w:sz w:val="24"/>
                <w:szCs w:val="24"/>
              </w:rPr>
              <w:t>n</w:t>
            </w:r>
            <w:r>
              <w:rPr>
                <w:spacing w:val="-5"/>
                <w:sz w:val="24"/>
                <w:szCs w:val="24"/>
              </w:rPr>
              <w:t xml:space="preserve"> </w:t>
            </w:r>
            <w:r>
              <w:rPr>
                <w:sz w:val="24"/>
                <w:szCs w:val="24"/>
              </w:rPr>
              <w:t>(%).</w:t>
            </w:r>
            <w:r>
              <w:rPr>
                <w:spacing w:val="1"/>
                <w:sz w:val="24"/>
                <w:szCs w:val="24"/>
              </w:rPr>
              <w:t xml:space="preserve"> </w:t>
            </w:r>
            <w:r>
              <w:rPr>
                <w:sz w:val="24"/>
                <w:szCs w:val="24"/>
              </w:rPr>
              <w:t>*</w:t>
            </w:r>
            <w:r>
              <w:rPr>
                <w:spacing w:val="-5"/>
                <w:sz w:val="24"/>
                <w:szCs w:val="24"/>
              </w:rPr>
              <w:t xml:space="preserve"> </w:t>
            </w:r>
            <w:r>
              <w:rPr>
                <w:sz w:val="24"/>
                <w:szCs w:val="24"/>
              </w:rPr>
              <w:t>p &lt;</w:t>
            </w:r>
            <w:r>
              <w:rPr>
                <w:spacing w:val="-6"/>
                <w:sz w:val="24"/>
                <w:szCs w:val="24"/>
              </w:rPr>
              <w:t xml:space="preserve"> </w:t>
            </w:r>
            <w:r>
              <w:rPr>
                <w:sz w:val="24"/>
                <w:szCs w:val="24"/>
              </w:rPr>
              <w:t>0,05,</w:t>
            </w:r>
            <w:r>
              <w:rPr>
                <w:spacing w:val="2"/>
                <w:sz w:val="24"/>
                <w:szCs w:val="24"/>
              </w:rPr>
              <w:t xml:space="preserve"> </w:t>
            </w:r>
            <w:r>
              <w:rPr>
                <w:sz w:val="24"/>
                <w:szCs w:val="24"/>
              </w:rPr>
              <w:t>**</w:t>
            </w:r>
            <w:r>
              <w:rPr>
                <w:spacing w:val="-5"/>
                <w:sz w:val="24"/>
                <w:szCs w:val="24"/>
              </w:rPr>
              <w:t xml:space="preserve"> </w:t>
            </w:r>
            <w:r>
              <w:rPr>
                <w:sz w:val="24"/>
                <w:szCs w:val="24"/>
              </w:rPr>
              <w:t>p &lt;</w:t>
            </w:r>
            <w:r>
              <w:rPr>
                <w:spacing w:val="-1"/>
                <w:sz w:val="24"/>
                <w:szCs w:val="24"/>
              </w:rPr>
              <w:t xml:space="preserve"> </w:t>
            </w:r>
            <w:r>
              <w:rPr>
                <w:sz w:val="24"/>
                <w:szCs w:val="24"/>
              </w:rPr>
              <w:t>0,01,</w:t>
            </w:r>
            <w:r>
              <w:rPr>
                <w:spacing w:val="-3"/>
                <w:sz w:val="24"/>
                <w:szCs w:val="24"/>
              </w:rPr>
              <w:t xml:space="preserve"> </w:t>
            </w:r>
            <w:r>
              <w:rPr>
                <w:sz w:val="24"/>
                <w:szCs w:val="24"/>
              </w:rPr>
              <w:t>*** p</w:t>
            </w:r>
            <w:r>
              <w:rPr>
                <w:spacing w:val="-5"/>
                <w:sz w:val="24"/>
                <w:szCs w:val="24"/>
              </w:rPr>
              <w:t xml:space="preserve"> </w:t>
            </w:r>
            <w:r>
              <w:rPr>
                <w:spacing w:val="-10"/>
                <w:sz w:val="24"/>
                <w:szCs w:val="24"/>
              </w:rPr>
              <w:t>&lt;</w:t>
            </w:r>
            <w:r>
              <w:rPr>
                <w:sz w:val="24"/>
                <w:szCs w:val="24"/>
              </w:rPr>
              <w:t>0,001.</w:t>
            </w:r>
            <w:r>
              <w:rPr>
                <w:spacing w:val="-7"/>
                <w:sz w:val="24"/>
                <w:szCs w:val="24"/>
              </w:rPr>
              <w:t xml:space="preserve"> </w:t>
            </w:r>
            <w:r>
              <w:rPr>
                <w:sz w:val="24"/>
                <w:szCs w:val="24"/>
              </w:rPr>
              <w:t>Для</w:t>
            </w:r>
            <w:r>
              <w:rPr>
                <w:spacing w:val="-5"/>
                <w:sz w:val="24"/>
                <w:szCs w:val="24"/>
              </w:rPr>
              <w:t xml:space="preserve"> </w:t>
            </w:r>
            <w:r>
              <w:rPr>
                <w:sz w:val="24"/>
                <w:szCs w:val="24"/>
              </w:rPr>
              <w:t>сравнения</w:t>
            </w:r>
            <w:r>
              <w:rPr>
                <w:spacing w:val="-4"/>
                <w:sz w:val="24"/>
                <w:szCs w:val="24"/>
              </w:rPr>
              <w:t xml:space="preserve"> </w:t>
            </w:r>
            <w:r>
              <w:rPr>
                <w:sz w:val="24"/>
                <w:szCs w:val="24"/>
              </w:rPr>
              <w:t>количественных</w:t>
            </w:r>
            <w:r>
              <w:rPr>
                <w:spacing w:val="-9"/>
                <w:sz w:val="24"/>
                <w:szCs w:val="24"/>
              </w:rPr>
              <w:t xml:space="preserve"> </w:t>
            </w:r>
            <w:r>
              <w:rPr>
                <w:sz w:val="24"/>
                <w:szCs w:val="24"/>
              </w:rPr>
              <w:t>переменных</w:t>
            </w:r>
            <w:r>
              <w:rPr>
                <w:spacing w:val="-9"/>
                <w:sz w:val="24"/>
                <w:szCs w:val="24"/>
              </w:rPr>
              <w:t xml:space="preserve"> </w:t>
            </w:r>
            <w:r>
              <w:rPr>
                <w:sz w:val="24"/>
                <w:szCs w:val="24"/>
              </w:rPr>
              <w:t>использован U-критерий</w:t>
            </w:r>
            <w:r>
              <w:rPr>
                <w:spacing w:val="-3"/>
                <w:sz w:val="24"/>
                <w:szCs w:val="24"/>
              </w:rPr>
              <w:t xml:space="preserve"> </w:t>
            </w:r>
            <w:r>
              <w:rPr>
                <w:sz w:val="24"/>
                <w:szCs w:val="24"/>
              </w:rPr>
              <w:t>Манна— Уитни. Для сравнения категориальных переменных применён χ²-критерий Пирсона.</w:t>
            </w:r>
          </w:p>
        </w:tc>
      </w:tr>
    </w:tbl>
    <w:p w14:paraId="510159D3">
      <w:pPr>
        <w:pStyle w:val="7"/>
        <w:spacing w:before="275"/>
        <w:ind w:left="0" w:right="3" w:firstLine="701"/>
      </w:pPr>
      <w:r>
        <w:t>Сравнительный анализ непосредственных послеоперационных результатов,</w:t>
      </w:r>
      <w:r>
        <w:rPr>
          <w:spacing w:val="-6"/>
        </w:rPr>
        <w:t xml:space="preserve"> </w:t>
      </w:r>
      <w:r>
        <w:t>выполненный</w:t>
      </w:r>
      <w:r>
        <w:rPr>
          <w:spacing w:val="-9"/>
        </w:rPr>
        <w:t xml:space="preserve"> </w:t>
      </w:r>
      <w:r>
        <w:t>между</w:t>
      </w:r>
      <w:r>
        <w:rPr>
          <w:spacing w:val="-8"/>
        </w:rPr>
        <w:t xml:space="preserve"> </w:t>
      </w:r>
      <w:r>
        <w:t>ННЦХ</w:t>
      </w:r>
      <w:r>
        <w:rPr>
          <w:spacing w:val="-8"/>
        </w:rPr>
        <w:t xml:space="preserve"> </w:t>
      </w:r>
      <w:r>
        <w:t>им.</w:t>
      </w:r>
      <w:r>
        <w:rPr>
          <w:spacing w:val="-6"/>
        </w:rPr>
        <w:t xml:space="preserve"> </w:t>
      </w:r>
      <w:r>
        <w:t>А.Н.</w:t>
      </w:r>
      <w:r>
        <w:rPr>
          <w:spacing w:val="-6"/>
        </w:rPr>
        <w:t xml:space="preserve"> </w:t>
      </w:r>
      <w:r>
        <w:t>Сызганова</w:t>
      </w:r>
      <w:r>
        <w:rPr>
          <w:spacing w:val="-8"/>
        </w:rPr>
        <w:t xml:space="preserve"> </w:t>
      </w:r>
      <w:r>
        <w:t>(Алматы)</w:t>
      </w:r>
      <w:r>
        <w:rPr>
          <w:spacing w:val="-10"/>
        </w:rPr>
        <w:t xml:space="preserve"> </w:t>
      </w:r>
      <w:r>
        <w:t>и</w:t>
      </w:r>
      <w:r>
        <w:rPr>
          <w:spacing w:val="-4"/>
        </w:rPr>
        <w:t xml:space="preserve"> </w:t>
      </w:r>
      <w:r>
        <w:t>ННОЦ (Астана), показал ряд существенных межцентровых различий, отражающих неоднородность структуры осложнений и исходов у пациентов после ГПДР. Частота гастростаза была выше в алматинском центре — 11 (11,3%) против 3 (4,3%)</w:t>
      </w:r>
      <w:r>
        <w:rPr>
          <w:spacing w:val="-18"/>
        </w:rPr>
        <w:t xml:space="preserve"> </w:t>
      </w:r>
      <w:r>
        <w:t>в</w:t>
      </w:r>
      <w:r>
        <w:rPr>
          <w:spacing w:val="-17"/>
        </w:rPr>
        <w:t xml:space="preserve"> </w:t>
      </w:r>
      <w:r>
        <w:t>Астане;</w:t>
      </w:r>
      <w:r>
        <w:rPr>
          <w:spacing w:val="-18"/>
        </w:rPr>
        <w:t xml:space="preserve"> </w:t>
      </w:r>
      <w:r>
        <w:t>однако</w:t>
      </w:r>
      <w:r>
        <w:rPr>
          <w:spacing w:val="-17"/>
        </w:rPr>
        <w:t xml:space="preserve"> </w:t>
      </w:r>
      <w:r>
        <w:t>различия</w:t>
      </w:r>
      <w:r>
        <w:rPr>
          <w:spacing w:val="-18"/>
        </w:rPr>
        <w:t xml:space="preserve"> </w:t>
      </w:r>
      <w:r>
        <w:t>не</w:t>
      </w:r>
      <w:r>
        <w:rPr>
          <w:spacing w:val="-17"/>
        </w:rPr>
        <w:t xml:space="preserve"> </w:t>
      </w:r>
      <w:r>
        <w:t>достигли</w:t>
      </w:r>
      <w:r>
        <w:rPr>
          <w:spacing w:val="-18"/>
        </w:rPr>
        <w:t xml:space="preserve"> </w:t>
      </w:r>
      <w:r>
        <w:t>уровня</w:t>
      </w:r>
      <w:r>
        <w:rPr>
          <w:spacing w:val="-17"/>
        </w:rPr>
        <w:t xml:space="preserve"> </w:t>
      </w:r>
      <w:r>
        <w:t>статистической</w:t>
      </w:r>
      <w:r>
        <w:rPr>
          <w:spacing w:val="-18"/>
        </w:rPr>
        <w:t xml:space="preserve"> </w:t>
      </w:r>
      <w:r>
        <w:t>значимости (p = 0,158, точный критерий Фишера), что позволяет трактовать данный показатель как сопоставимый в обеих выборках. В то же время отмечены достоверные отличия в</w:t>
      </w:r>
      <w:r>
        <w:rPr>
          <w:spacing w:val="-3"/>
        </w:rPr>
        <w:t xml:space="preserve"> </w:t>
      </w:r>
      <w:r>
        <w:t>распределении</w:t>
      </w:r>
      <w:r>
        <w:rPr>
          <w:spacing w:val="-2"/>
        </w:rPr>
        <w:t xml:space="preserve"> </w:t>
      </w:r>
      <w:r>
        <w:t>степеней</w:t>
      </w:r>
      <w:r>
        <w:rPr>
          <w:spacing w:val="-1"/>
        </w:rPr>
        <w:t xml:space="preserve"> </w:t>
      </w:r>
      <w:r>
        <w:t>ПС по</w:t>
      </w:r>
      <w:r>
        <w:rPr>
          <w:spacing w:val="-1"/>
        </w:rPr>
        <w:t xml:space="preserve"> </w:t>
      </w:r>
      <w:r>
        <w:t>классификации</w:t>
      </w:r>
      <w:r>
        <w:rPr>
          <w:spacing w:val="-2"/>
        </w:rPr>
        <w:t xml:space="preserve"> </w:t>
      </w:r>
      <w:r>
        <w:t>ISGPS</w:t>
      </w:r>
      <w:r>
        <w:rPr>
          <w:spacing w:val="-2"/>
        </w:rPr>
        <w:t xml:space="preserve"> </w:t>
      </w:r>
      <w:r>
        <w:t>(p = 0,050; χ²-критерий Пирсона). В алматинском центре чаще встречались свищи степени</w:t>
      </w:r>
      <w:r>
        <w:rPr>
          <w:spacing w:val="31"/>
        </w:rPr>
        <w:t xml:space="preserve"> </w:t>
      </w:r>
      <w:r>
        <w:t>А,</w:t>
      </w:r>
      <w:r>
        <w:rPr>
          <w:spacing w:val="34"/>
        </w:rPr>
        <w:t xml:space="preserve"> </w:t>
      </w:r>
      <w:r>
        <w:t>тогда</w:t>
      </w:r>
      <w:r>
        <w:rPr>
          <w:spacing w:val="33"/>
        </w:rPr>
        <w:t xml:space="preserve"> </w:t>
      </w:r>
      <w:r>
        <w:t>как</w:t>
      </w:r>
      <w:r>
        <w:rPr>
          <w:spacing w:val="31"/>
        </w:rPr>
        <w:t xml:space="preserve"> </w:t>
      </w:r>
      <w:r>
        <w:t>в</w:t>
      </w:r>
      <w:r>
        <w:rPr>
          <w:spacing w:val="25"/>
        </w:rPr>
        <w:t xml:space="preserve"> </w:t>
      </w:r>
      <w:r>
        <w:t>Астане</w:t>
      </w:r>
      <w:r>
        <w:rPr>
          <w:spacing w:val="33"/>
        </w:rPr>
        <w:t xml:space="preserve"> </w:t>
      </w:r>
      <w:r>
        <w:t>наблюдалась</w:t>
      </w:r>
      <w:r>
        <w:rPr>
          <w:spacing w:val="30"/>
        </w:rPr>
        <w:t xml:space="preserve"> </w:t>
      </w:r>
      <w:r>
        <w:t>более</w:t>
      </w:r>
      <w:r>
        <w:rPr>
          <w:spacing w:val="29"/>
        </w:rPr>
        <w:t xml:space="preserve"> </w:t>
      </w:r>
      <w:r>
        <w:t>высокая</w:t>
      </w:r>
      <w:r>
        <w:rPr>
          <w:spacing w:val="33"/>
        </w:rPr>
        <w:t xml:space="preserve"> </w:t>
      </w:r>
      <w:r>
        <w:t>доля</w:t>
      </w:r>
      <w:r>
        <w:rPr>
          <w:spacing w:val="29"/>
        </w:rPr>
        <w:t xml:space="preserve"> </w:t>
      </w:r>
      <w:r>
        <w:t>пациентов</w:t>
      </w:r>
      <w:r>
        <w:rPr>
          <w:spacing w:val="30"/>
        </w:rPr>
        <w:t xml:space="preserve"> </w:t>
      </w:r>
      <w:r>
        <w:rPr>
          <w:spacing w:val="-5"/>
        </w:rPr>
        <w:t>со</w:t>
      </w:r>
      <w:r>
        <w:t xml:space="preserve"> свищами степени С, что указывает на различия в тяжести течения панкреатических осложнений. Особое внимание привлекает показатель повторных</w:t>
      </w:r>
      <w:r>
        <w:rPr>
          <w:spacing w:val="-5"/>
        </w:rPr>
        <w:t xml:space="preserve"> </w:t>
      </w:r>
      <w:r>
        <w:t>релапаротомий, который</w:t>
      </w:r>
      <w:r>
        <w:rPr>
          <w:spacing w:val="-1"/>
        </w:rPr>
        <w:t xml:space="preserve"> </w:t>
      </w:r>
      <w:r>
        <w:t>оказался существенно выше в</w:t>
      </w:r>
      <w:r>
        <w:rPr>
          <w:spacing w:val="-3"/>
        </w:rPr>
        <w:t xml:space="preserve"> </w:t>
      </w:r>
      <w:r>
        <w:t>Астане —</w:t>
      </w:r>
      <w:r>
        <w:rPr>
          <w:spacing w:val="-1"/>
        </w:rPr>
        <w:t xml:space="preserve"> </w:t>
      </w:r>
      <w:r>
        <w:t>12 (17,4%)</w:t>
      </w:r>
      <w:r>
        <w:rPr>
          <w:spacing w:val="-16"/>
        </w:rPr>
        <w:t xml:space="preserve"> </w:t>
      </w:r>
      <w:r>
        <w:t>против</w:t>
      </w:r>
      <w:r>
        <w:rPr>
          <w:spacing w:val="-18"/>
        </w:rPr>
        <w:t xml:space="preserve"> </w:t>
      </w:r>
      <w:r>
        <w:t>2</w:t>
      </w:r>
      <w:r>
        <w:rPr>
          <w:spacing w:val="-12"/>
        </w:rPr>
        <w:t xml:space="preserve"> </w:t>
      </w:r>
      <w:r>
        <w:t>(2,1%)</w:t>
      </w:r>
      <w:r>
        <w:rPr>
          <w:spacing w:val="-14"/>
        </w:rPr>
        <w:t xml:space="preserve"> </w:t>
      </w:r>
      <w:r>
        <w:t>в</w:t>
      </w:r>
      <w:r>
        <w:rPr>
          <w:spacing w:val="-14"/>
        </w:rPr>
        <w:t xml:space="preserve"> </w:t>
      </w:r>
      <w:r>
        <w:t>ННЦХ</w:t>
      </w:r>
      <w:r>
        <w:rPr>
          <w:spacing w:val="-12"/>
        </w:rPr>
        <w:t xml:space="preserve"> </w:t>
      </w:r>
      <w:r>
        <w:t>(p</w:t>
      </w:r>
      <w:r>
        <w:rPr>
          <w:spacing w:val="-17"/>
        </w:rPr>
        <w:t xml:space="preserve"> </w:t>
      </w:r>
      <w:r>
        <w:t>&lt;0,003;</w:t>
      </w:r>
      <w:r>
        <w:rPr>
          <w:spacing w:val="-17"/>
        </w:rPr>
        <w:t xml:space="preserve"> </w:t>
      </w:r>
      <w:r>
        <w:t>точный</w:t>
      </w:r>
      <w:r>
        <w:rPr>
          <w:spacing w:val="-17"/>
        </w:rPr>
        <w:t xml:space="preserve"> </w:t>
      </w:r>
      <w:r>
        <w:t>критерий</w:t>
      </w:r>
      <w:r>
        <w:rPr>
          <w:spacing w:val="-17"/>
        </w:rPr>
        <w:t xml:space="preserve"> </w:t>
      </w:r>
      <w:r>
        <w:t>Фишера).</w:t>
      </w:r>
      <w:r>
        <w:rPr>
          <w:spacing w:val="-15"/>
        </w:rPr>
        <w:t xml:space="preserve"> </w:t>
      </w:r>
      <w:r>
        <w:t>Этот</w:t>
      </w:r>
      <w:r>
        <w:rPr>
          <w:spacing w:val="-18"/>
        </w:rPr>
        <w:t xml:space="preserve"> </w:t>
      </w:r>
      <w:r>
        <w:t>факт может отражать как различия в структуре осложнений и тяжести контингента больных, так и особенности хирургической тактики и критериев к выполнению повторных вмешательств. Уровень госпитальной летальности был выше в Астане</w:t>
      </w:r>
      <w:r>
        <w:rPr>
          <w:spacing w:val="-10"/>
        </w:rPr>
        <w:t xml:space="preserve"> </w:t>
      </w:r>
      <w:r>
        <w:t>—</w:t>
      </w:r>
      <w:r>
        <w:rPr>
          <w:spacing w:val="-12"/>
        </w:rPr>
        <w:t xml:space="preserve"> </w:t>
      </w:r>
      <w:r>
        <w:t>4</w:t>
      </w:r>
      <w:r>
        <w:rPr>
          <w:spacing w:val="-12"/>
        </w:rPr>
        <w:t xml:space="preserve"> </w:t>
      </w:r>
      <w:r>
        <w:t>(5,8%)</w:t>
      </w:r>
      <w:r>
        <w:rPr>
          <w:spacing w:val="-14"/>
        </w:rPr>
        <w:t xml:space="preserve"> </w:t>
      </w:r>
      <w:r>
        <w:t>по</w:t>
      </w:r>
      <w:r>
        <w:rPr>
          <w:spacing w:val="-12"/>
        </w:rPr>
        <w:t xml:space="preserve"> </w:t>
      </w:r>
      <w:r>
        <w:t>сравнению</w:t>
      </w:r>
      <w:r>
        <w:rPr>
          <w:spacing w:val="-14"/>
        </w:rPr>
        <w:t xml:space="preserve"> </w:t>
      </w:r>
      <w:r>
        <w:t>с</w:t>
      </w:r>
      <w:r>
        <w:rPr>
          <w:spacing w:val="-11"/>
        </w:rPr>
        <w:t xml:space="preserve"> </w:t>
      </w:r>
      <w:r>
        <w:t>2</w:t>
      </w:r>
      <w:r>
        <w:rPr>
          <w:spacing w:val="-12"/>
        </w:rPr>
        <w:t xml:space="preserve"> </w:t>
      </w:r>
      <w:r>
        <w:t>(2,1%)</w:t>
      </w:r>
      <w:r>
        <w:rPr>
          <w:spacing w:val="-14"/>
        </w:rPr>
        <w:t xml:space="preserve"> </w:t>
      </w:r>
      <w:r>
        <w:t>случаями</w:t>
      </w:r>
      <w:r>
        <w:rPr>
          <w:spacing w:val="-12"/>
        </w:rPr>
        <w:t xml:space="preserve"> </w:t>
      </w:r>
      <w:r>
        <w:t>в</w:t>
      </w:r>
      <w:r>
        <w:rPr>
          <w:spacing w:val="-10"/>
        </w:rPr>
        <w:t xml:space="preserve"> </w:t>
      </w:r>
      <w:r>
        <w:t>Алматы;</w:t>
      </w:r>
      <w:r>
        <w:rPr>
          <w:spacing w:val="-13"/>
        </w:rPr>
        <w:t xml:space="preserve"> </w:t>
      </w:r>
      <w:r>
        <w:t>однако</w:t>
      </w:r>
      <w:r>
        <w:rPr>
          <w:spacing w:val="-12"/>
        </w:rPr>
        <w:t xml:space="preserve"> </w:t>
      </w:r>
      <w:r>
        <w:t xml:space="preserve">различия не достигли статистической значимости (p = 0,231, точный критерий Фишера), что связано с небольшим абсолютным числом летальных исходов в обеих </w:t>
      </w:r>
      <w:r>
        <w:rPr>
          <w:spacing w:val="-2"/>
        </w:rPr>
        <w:t>выборках.</w:t>
      </w:r>
    </w:p>
    <w:p w14:paraId="3BDFCBFE">
      <w:pPr>
        <w:pStyle w:val="7"/>
        <w:spacing w:before="281" w:line="242" w:lineRule="auto"/>
        <w:ind w:left="0" w:right="284" w:firstLine="0"/>
      </w:pPr>
      <w:r>
        <w:t>Таблица 11 - Характеристика послеоперационных осложнений после ГПДР в двух национальных центрах за 2023-2024 гг.</w:t>
      </w:r>
    </w:p>
    <w:p w14:paraId="13A1AF09">
      <w:pPr>
        <w:pStyle w:val="7"/>
        <w:spacing w:before="96"/>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78"/>
        <w:gridCol w:w="2268"/>
        <w:gridCol w:w="1701"/>
        <w:gridCol w:w="992"/>
      </w:tblGrid>
      <w:tr w14:paraId="36B9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678" w:type="dxa"/>
          </w:tcPr>
          <w:p w14:paraId="3CC4A4FE">
            <w:pPr>
              <w:pStyle w:val="11"/>
              <w:spacing w:line="315" w:lineRule="exact"/>
              <w:ind w:right="2"/>
              <w:rPr>
                <w:sz w:val="24"/>
                <w:szCs w:val="24"/>
              </w:rPr>
            </w:pPr>
            <w:r>
              <w:rPr>
                <w:spacing w:val="-2"/>
                <w:sz w:val="24"/>
                <w:szCs w:val="24"/>
              </w:rPr>
              <w:t>Показатель</w:t>
            </w:r>
          </w:p>
        </w:tc>
        <w:tc>
          <w:tcPr>
            <w:tcW w:w="2268" w:type="dxa"/>
          </w:tcPr>
          <w:p w14:paraId="5EFA6B01">
            <w:pPr>
              <w:pStyle w:val="11"/>
              <w:spacing w:line="240" w:lineRule="auto"/>
              <w:ind w:left="138" w:right="129" w:hanging="2"/>
              <w:rPr>
                <w:sz w:val="24"/>
                <w:szCs w:val="24"/>
              </w:rPr>
            </w:pPr>
            <w:r>
              <w:rPr>
                <w:sz w:val="24"/>
                <w:szCs w:val="24"/>
              </w:rPr>
              <w:t>ННЦХ имени А.Н.</w:t>
            </w:r>
            <w:r>
              <w:rPr>
                <w:spacing w:val="-18"/>
                <w:sz w:val="24"/>
                <w:szCs w:val="24"/>
              </w:rPr>
              <w:t xml:space="preserve"> </w:t>
            </w:r>
            <w:r>
              <w:rPr>
                <w:sz w:val="24"/>
                <w:szCs w:val="24"/>
              </w:rPr>
              <w:t>Сызганова,</w:t>
            </w:r>
          </w:p>
          <w:p w14:paraId="47E7F12F">
            <w:pPr>
              <w:pStyle w:val="11"/>
              <w:ind w:left="3" w:right="1"/>
              <w:rPr>
                <w:sz w:val="24"/>
                <w:szCs w:val="24"/>
              </w:rPr>
            </w:pPr>
            <w:r>
              <w:rPr>
                <w:spacing w:val="-4"/>
                <w:sz w:val="24"/>
                <w:szCs w:val="24"/>
              </w:rPr>
              <w:t>n=97</w:t>
            </w:r>
          </w:p>
        </w:tc>
        <w:tc>
          <w:tcPr>
            <w:tcW w:w="1701" w:type="dxa"/>
          </w:tcPr>
          <w:p w14:paraId="281C8087">
            <w:pPr>
              <w:pStyle w:val="11"/>
              <w:spacing w:line="315" w:lineRule="exact"/>
              <w:ind w:left="473"/>
              <w:jc w:val="left"/>
              <w:rPr>
                <w:sz w:val="24"/>
                <w:szCs w:val="24"/>
              </w:rPr>
            </w:pPr>
            <w:r>
              <w:rPr>
                <w:spacing w:val="-4"/>
                <w:sz w:val="24"/>
                <w:szCs w:val="24"/>
              </w:rPr>
              <w:t>ННОЦ</w:t>
            </w:r>
          </w:p>
          <w:p w14:paraId="687B7675">
            <w:pPr>
              <w:pStyle w:val="11"/>
              <w:spacing w:line="322" w:lineRule="exact"/>
              <w:ind w:left="584" w:right="352" w:hanging="226"/>
              <w:jc w:val="left"/>
              <w:rPr>
                <w:sz w:val="24"/>
                <w:szCs w:val="24"/>
              </w:rPr>
            </w:pPr>
            <w:r>
              <w:rPr>
                <w:spacing w:val="-2"/>
                <w:sz w:val="24"/>
                <w:szCs w:val="24"/>
              </w:rPr>
              <w:t xml:space="preserve">(Астана) </w:t>
            </w:r>
            <w:r>
              <w:rPr>
                <w:spacing w:val="-4"/>
                <w:sz w:val="24"/>
                <w:szCs w:val="24"/>
              </w:rPr>
              <w:t>n=68</w:t>
            </w:r>
          </w:p>
        </w:tc>
        <w:tc>
          <w:tcPr>
            <w:tcW w:w="992" w:type="dxa"/>
          </w:tcPr>
          <w:p w14:paraId="637C6847">
            <w:pPr>
              <w:pStyle w:val="11"/>
              <w:spacing w:line="315" w:lineRule="exact"/>
              <w:ind w:right="4"/>
              <w:rPr>
                <w:sz w:val="24"/>
                <w:szCs w:val="24"/>
              </w:rPr>
            </w:pPr>
            <w:r>
              <w:rPr>
                <w:spacing w:val="-2"/>
                <w:sz w:val="24"/>
                <w:szCs w:val="24"/>
              </w:rPr>
              <w:t>P-value</w:t>
            </w:r>
          </w:p>
        </w:tc>
      </w:tr>
      <w:tr w14:paraId="2950C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4678" w:type="dxa"/>
          </w:tcPr>
          <w:p w14:paraId="002681B2">
            <w:pPr>
              <w:pStyle w:val="11"/>
              <w:spacing w:line="315" w:lineRule="exact"/>
              <w:ind w:left="105"/>
              <w:jc w:val="left"/>
              <w:rPr>
                <w:sz w:val="24"/>
                <w:szCs w:val="24"/>
              </w:rPr>
            </w:pPr>
            <w:r>
              <w:rPr>
                <w:sz w:val="24"/>
                <w:szCs w:val="24"/>
              </w:rPr>
              <w:t>Гастростаз,</w:t>
            </w:r>
            <w:r>
              <w:rPr>
                <w:spacing w:val="-4"/>
                <w:sz w:val="24"/>
                <w:szCs w:val="24"/>
              </w:rPr>
              <w:t xml:space="preserve"> </w:t>
            </w:r>
            <w:r>
              <w:rPr>
                <w:sz w:val="24"/>
                <w:szCs w:val="24"/>
              </w:rPr>
              <w:t>n</w:t>
            </w:r>
            <w:r>
              <w:rPr>
                <w:spacing w:val="-11"/>
                <w:sz w:val="24"/>
                <w:szCs w:val="24"/>
              </w:rPr>
              <w:t xml:space="preserve"> </w:t>
            </w:r>
            <w:r>
              <w:rPr>
                <w:spacing w:val="-5"/>
                <w:sz w:val="24"/>
                <w:szCs w:val="24"/>
              </w:rPr>
              <w:t>(%)</w:t>
            </w:r>
          </w:p>
        </w:tc>
        <w:tc>
          <w:tcPr>
            <w:tcW w:w="2268" w:type="dxa"/>
          </w:tcPr>
          <w:p w14:paraId="604A3964">
            <w:pPr>
              <w:pStyle w:val="11"/>
              <w:spacing w:before="50"/>
              <w:ind w:left="3"/>
              <w:rPr>
                <w:sz w:val="24"/>
                <w:szCs w:val="24"/>
              </w:rPr>
            </w:pPr>
            <w:r>
              <w:rPr>
                <w:sz w:val="24"/>
                <w:szCs w:val="24"/>
              </w:rPr>
              <w:t>11</w:t>
            </w:r>
            <w:r>
              <w:rPr>
                <w:spacing w:val="-2"/>
                <w:sz w:val="24"/>
                <w:szCs w:val="24"/>
              </w:rPr>
              <w:t xml:space="preserve"> (11,3%)</w:t>
            </w:r>
          </w:p>
        </w:tc>
        <w:tc>
          <w:tcPr>
            <w:tcW w:w="1701" w:type="dxa"/>
          </w:tcPr>
          <w:p w14:paraId="1A88A638">
            <w:pPr>
              <w:pStyle w:val="11"/>
              <w:spacing w:before="50"/>
              <w:ind w:right="5"/>
              <w:rPr>
                <w:sz w:val="24"/>
                <w:szCs w:val="24"/>
              </w:rPr>
            </w:pPr>
            <w:r>
              <w:rPr>
                <w:sz w:val="24"/>
                <w:szCs w:val="24"/>
              </w:rPr>
              <w:t>3</w:t>
            </w:r>
            <w:r>
              <w:rPr>
                <w:spacing w:val="-1"/>
                <w:sz w:val="24"/>
                <w:szCs w:val="24"/>
              </w:rPr>
              <w:t xml:space="preserve"> </w:t>
            </w:r>
            <w:r>
              <w:rPr>
                <w:spacing w:val="-2"/>
                <w:sz w:val="24"/>
                <w:szCs w:val="24"/>
              </w:rPr>
              <w:t>(4,3%)</w:t>
            </w:r>
          </w:p>
        </w:tc>
        <w:tc>
          <w:tcPr>
            <w:tcW w:w="992" w:type="dxa"/>
          </w:tcPr>
          <w:p w14:paraId="075D81FF">
            <w:pPr>
              <w:pStyle w:val="11"/>
              <w:spacing w:line="315" w:lineRule="exact"/>
              <w:ind w:left="1" w:right="4"/>
              <w:rPr>
                <w:sz w:val="24"/>
                <w:szCs w:val="24"/>
              </w:rPr>
            </w:pPr>
            <w:r>
              <w:rPr>
                <w:spacing w:val="-4"/>
                <w:sz w:val="24"/>
                <w:szCs w:val="24"/>
              </w:rPr>
              <w:t>0,158</w:t>
            </w:r>
          </w:p>
        </w:tc>
      </w:tr>
      <w:tr w14:paraId="4B40D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4678" w:type="dxa"/>
          </w:tcPr>
          <w:p w14:paraId="1B6F0FA6">
            <w:pPr>
              <w:pStyle w:val="11"/>
              <w:spacing w:line="320" w:lineRule="exact"/>
              <w:ind w:left="105"/>
              <w:jc w:val="left"/>
              <w:rPr>
                <w:sz w:val="24"/>
                <w:szCs w:val="24"/>
              </w:rPr>
            </w:pPr>
            <w:r>
              <w:rPr>
                <w:sz w:val="24"/>
                <w:szCs w:val="24"/>
              </w:rPr>
              <w:t>Панкреатический</w:t>
            </w:r>
            <w:r>
              <w:rPr>
                <w:spacing w:val="-9"/>
                <w:sz w:val="24"/>
                <w:szCs w:val="24"/>
              </w:rPr>
              <w:t xml:space="preserve"> </w:t>
            </w:r>
            <w:r>
              <w:rPr>
                <w:sz w:val="24"/>
                <w:szCs w:val="24"/>
              </w:rPr>
              <w:t>свищ,</w:t>
            </w:r>
            <w:r>
              <w:rPr>
                <w:spacing w:val="-3"/>
                <w:sz w:val="24"/>
                <w:szCs w:val="24"/>
              </w:rPr>
              <w:t xml:space="preserve"> </w:t>
            </w:r>
            <w:r>
              <w:rPr>
                <w:sz w:val="24"/>
                <w:szCs w:val="24"/>
              </w:rPr>
              <w:t>n</w:t>
            </w:r>
            <w:r>
              <w:rPr>
                <w:spacing w:val="-12"/>
                <w:sz w:val="24"/>
                <w:szCs w:val="24"/>
              </w:rPr>
              <w:t xml:space="preserve"> </w:t>
            </w:r>
            <w:r>
              <w:rPr>
                <w:spacing w:val="-5"/>
                <w:sz w:val="24"/>
                <w:szCs w:val="24"/>
              </w:rPr>
              <w:t>(%)</w:t>
            </w:r>
          </w:p>
        </w:tc>
        <w:tc>
          <w:tcPr>
            <w:tcW w:w="2268" w:type="dxa"/>
          </w:tcPr>
          <w:p w14:paraId="0EB814F2">
            <w:pPr>
              <w:pStyle w:val="11"/>
              <w:spacing w:line="320" w:lineRule="exact"/>
              <w:ind w:left="3"/>
              <w:rPr>
                <w:sz w:val="24"/>
                <w:szCs w:val="24"/>
              </w:rPr>
            </w:pPr>
            <w:r>
              <w:rPr>
                <w:sz w:val="24"/>
                <w:szCs w:val="24"/>
              </w:rPr>
              <w:t>28</w:t>
            </w:r>
            <w:r>
              <w:rPr>
                <w:spacing w:val="-2"/>
                <w:sz w:val="24"/>
                <w:szCs w:val="24"/>
              </w:rPr>
              <w:t xml:space="preserve"> (28,9%)</w:t>
            </w:r>
          </w:p>
        </w:tc>
        <w:tc>
          <w:tcPr>
            <w:tcW w:w="1701" w:type="dxa"/>
          </w:tcPr>
          <w:p w14:paraId="47083FE3">
            <w:pPr>
              <w:pStyle w:val="11"/>
              <w:spacing w:line="320" w:lineRule="exact"/>
              <w:ind w:right="5"/>
              <w:rPr>
                <w:sz w:val="24"/>
                <w:szCs w:val="24"/>
              </w:rPr>
            </w:pPr>
            <w:r>
              <w:rPr>
                <w:sz w:val="24"/>
                <w:szCs w:val="24"/>
              </w:rPr>
              <w:t>45</w:t>
            </w:r>
            <w:r>
              <w:rPr>
                <w:spacing w:val="-2"/>
                <w:sz w:val="24"/>
                <w:szCs w:val="24"/>
              </w:rPr>
              <w:t xml:space="preserve"> (66,2%)</w:t>
            </w:r>
          </w:p>
        </w:tc>
        <w:tc>
          <w:tcPr>
            <w:tcW w:w="992" w:type="dxa"/>
          </w:tcPr>
          <w:p w14:paraId="2287B53E">
            <w:pPr>
              <w:pStyle w:val="11"/>
              <w:spacing w:line="320" w:lineRule="exact"/>
              <w:ind w:left="2" w:right="4"/>
              <w:rPr>
                <w:sz w:val="24"/>
                <w:szCs w:val="24"/>
              </w:rPr>
            </w:pPr>
            <w:r>
              <w:rPr>
                <w:spacing w:val="-2"/>
                <w:sz w:val="24"/>
                <w:szCs w:val="24"/>
              </w:rPr>
              <w:t>&lt;0,001</w:t>
            </w:r>
            <w:r>
              <w:rPr>
                <w:spacing w:val="-2"/>
                <w:sz w:val="24"/>
                <w:szCs w:val="24"/>
                <w:vertAlign w:val="superscript"/>
              </w:rPr>
              <w:t>*</w:t>
            </w:r>
          </w:p>
        </w:tc>
      </w:tr>
      <w:tr w14:paraId="1F6AC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3" w:hRule="atLeast"/>
        </w:trPr>
        <w:tc>
          <w:tcPr>
            <w:tcW w:w="4678" w:type="dxa"/>
          </w:tcPr>
          <w:p w14:paraId="110B50B9">
            <w:pPr>
              <w:pStyle w:val="11"/>
              <w:spacing w:line="315" w:lineRule="exact"/>
              <w:ind w:left="105"/>
              <w:jc w:val="left"/>
              <w:rPr>
                <w:sz w:val="24"/>
                <w:szCs w:val="24"/>
              </w:rPr>
            </w:pPr>
            <w:r>
              <w:rPr>
                <w:sz w:val="24"/>
                <w:szCs w:val="24"/>
              </w:rPr>
              <w:t>Панкреатический</w:t>
            </w:r>
            <w:r>
              <w:rPr>
                <w:spacing w:val="-6"/>
                <w:sz w:val="24"/>
                <w:szCs w:val="24"/>
              </w:rPr>
              <w:t xml:space="preserve"> </w:t>
            </w:r>
            <w:r>
              <w:rPr>
                <w:sz w:val="24"/>
                <w:szCs w:val="24"/>
              </w:rPr>
              <w:t>свищ,</w:t>
            </w:r>
            <w:r>
              <w:rPr>
                <w:spacing w:val="2"/>
                <w:sz w:val="24"/>
                <w:szCs w:val="24"/>
              </w:rPr>
              <w:t xml:space="preserve"> </w:t>
            </w:r>
            <w:r>
              <w:rPr>
                <w:sz w:val="24"/>
                <w:szCs w:val="24"/>
              </w:rPr>
              <w:t>n</w:t>
            </w:r>
            <w:r>
              <w:rPr>
                <w:spacing w:val="-9"/>
                <w:sz w:val="24"/>
                <w:szCs w:val="24"/>
              </w:rPr>
              <w:t xml:space="preserve"> </w:t>
            </w:r>
            <w:r>
              <w:rPr>
                <w:sz w:val="24"/>
                <w:szCs w:val="24"/>
              </w:rPr>
              <w:t>(%):</w:t>
            </w:r>
            <w:r>
              <w:rPr>
                <w:spacing w:val="56"/>
                <w:sz w:val="24"/>
                <w:szCs w:val="24"/>
              </w:rPr>
              <w:t xml:space="preserve">     </w:t>
            </w:r>
            <w:r>
              <w:rPr>
                <w:spacing w:val="-10"/>
                <w:sz w:val="24"/>
                <w:szCs w:val="24"/>
              </w:rPr>
              <w:t>А</w:t>
            </w:r>
          </w:p>
          <w:p w14:paraId="54671EF1">
            <w:pPr>
              <w:pStyle w:val="11"/>
              <w:spacing w:line="240" w:lineRule="auto"/>
              <w:ind w:left="3744" w:right="244"/>
              <w:jc w:val="left"/>
              <w:rPr>
                <w:spacing w:val="-10"/>
                <w:sz w:val="24"/>
                <w:szCs w:val="24"/>
              </w:rPr>
            </w:pPr>
            <w:r>
              <w:rPr>
                <w:spacing w:val="-10"/>
                <w:sz w:val="24"/>
                <w:szCs w:val="24"/>
              </w:rPr>
              <w:t xml:space="preserve"> В </w:t>
            </w:r>
          </w:p>
          <w:p w14:paraId="7A24817A">
            <w:pPr>
              <w:pStyle w:val="11"/>
              <w:spacing w:line="240" w:lineRule="auto"/>
              <w:ind w:left="3744" w:right="244"/>
              <w:jc w:val="left"/>
              <w:rPr>
                <w:sz w:val="24"/>
                <w:szCs w:val="24"/>
              </w:rPr>
            </w:pPr>
            <w:r>
              <w:rPr>
                <w:spacing w:val="-10"/>
                <w:sz w:val="24"/>
                <w:szCs w:val="24"/>
              </w:rPr>
              <w:t xml:space="preserve"> С</w:t>
            </w:r>
          </w:p>
        </w:tc>
        <w:tc>
          <w:tcPr>
            <w:tcW w:w="2268" w:type="dxa"/>
          </w:tcPr>
          <w:p w14:paraId="65880EF8">
            <w:pPr>
              <w:pStyle w:val="11"/>
              <w:spacing w:line="315" w:lineRule="exact"/>
              <w:ind w:left="623"/>
              <w:jc w:val="left"/>
              <w:rPr>
                <w:sz w:val="24"/>
                <w:szCs w:val="24"/>
              </w:rPr>
            </w:pPr>
            <w:r>
              <w:rPr>
                <w:sz w:val="24"/>
                <w:szCs w:val="24"/>
              </w:rPr>
              <w:t>9</w:t>
            </w:r>
            <w:r>
              <w:rPr>
                <w:spacing w:val="-1"/>
                <w:sz w:val="24"/>
                <w:szCs w:val="24"/>
              </w:rPr>
              <w:t xml:space="preserve"> </w:t>
            </w:r>
            <w:r>
              <w:rPr>
                <w:spacing w:val="-2"/>
                <w:sz w:val="24"/>
                <w:szCs w:val="24"/>
              </w:rPr>
              <w:t>(9,2%)</w:t>
            </w:r>
          </w:p>
          <w:p w14:paraId="2FB31E6E">
            <w:pPr>
              <w:pStyle w:val="11"/>
              <w:spacing w:line="322" w:lineRule="exact"/>
              <w:ind w:left="484"/>
              <w:jc w:val="left"/>
              <w:rPr>
                <w:sz w:val="24"/>
                <w:szCs w:val="24"/>
              </w:rPr>
            </w:pPr>
            <w:r>
              <w:rPr>
                <w:sz w:val="24"/>
                <w:szCs w:val="24"/>
              </w:rPr>
              <w:t>17</w:t>
            </w:r>
            <w:r>
              <w:rPr>
                <w:spacing w:val="-2"/>
                <w:sz w:val="24"/>
                <w:szCs w:val="24"/>
              </w:rPr>
              <w:t xml:space="preserve"> (17,5%)</w:t>
            </w:r>
          </w:p>
          <w:p w14:paraId="05A32FBE">
            <w:pPr>
              <w:pStyle w:val="11"/>
              <w:spacing w:line="240" w:lineRule="auto"/>
              <w:ind w:left="623"/>
              <w:jc w:val="left"/>
              <w:rPr>
                <w:sz w:val="24"/>
                <w:szCs w:val="24"/>
              </w:rPr>
            </w:pPr>
            <w:r>
              <w:rPr>
                <w:sz w:val="24"/>
                <w:szCs w:val="24"/>
              </w:rPr>
              <w:t>2</w:t>
            </w:r>
            <w:r>
              <w:rPr>
                <w:spacing w:val="-1"/>
                <w:sz w:val="24"/>
                <w:szCs w:val="24"/>
              </w:rPr>
              <w:t xml:space="preserve"> </w:t>
            </w:r>
            <w:r>
              <w:rPr>
                <w:spacing w:val="-2"/>
                <w:sz w:val="24"/>
                <w:szCs w:val="24"/>
              </w:rPr>
              <w:t>(2,1%)</w:t>
            </w:r>
          </w:p>
        </w:tc>
        <w:tc>
          <w:tcPr>
            <w:tcW w:w="1701" w:type="dxa"/>
          </w:tcPr>
          <w:p w14:paraId="606B2DF7">
            <w:pPr>
              <w:pStyle w:val="11"/>
              <w:spacing w:line="315" w:lineRule="exact"/>
              <w:ind w:left="243"/>
              <w:jc w:val="left"/>
              <w:rPr>
                <w:sz w:val="24"/>
                <w:szCs w:val="24"/>
              </w:rPr>
            </w:pPr>
            <w:r>
              <w:rPr>
                <w:sz w:val="24"/>
                <w:szCs w:val="24"/>
              </w:rPr>
              <w:t>17</w:t>
            </w:r>
            <w:r>
              <w:rPr>
                <w:spacing w:val="-2"/>
                <w:sz w:val="24"/>
                <w:szCs w:val="24"/>
              </w:rPr>
              <w:t xml:space="preserve"> (24,6%)</w:t>
            </w:r>
          </w:p>
          <w:p w14:paraId="0ACF4170">
            <w:pPr>
              <w:pStyle w:val="11"/>
              <w:spacing w:line="322" w:lineRule="exact"/>
              <w:ind w:left="243"/>
              <w:jc w:val="left"/>
              <w:rPr>
                <w:sz w:val="24"/>
                <w:szCs w:val="24"/>
              </w:rPr>
            </w:pPr>
            <w:r>
              <w:rPr>
                <w:sz w:val="24"/>
                <w:szCs w:val="24"/>
              </w:rPr>
              <w:t>16</w:t>
            </w:r>
            <w:r>
              <w:rPr>
                <w:spacing w:val="-2"/>
                <w:sz w:val="24"/>
                <w:szCs w:val="24"/>
              </w:rPr>
              <w:t xml:space="preserve"> (23,1%)</w:t>
            </w:r>
          </w:p>
          <w:p w14:paraId="4C0E1DF5">
            <w:pPr>
              <w:pStyle w:val="11"/>
              <w:spacing w:line="240" w:lineRule="auto"/>
              <w:ind w:left="243"/>
              <w:jc w:val="left"/>
              <w:rPr>
                <w:sz w:val="24"/>
                <w:szCs w:val="24"/>
              </w:rPr>
            </w:pPr>
            <w:r>
              <w:rPr>
                <w:sz w:val="24"/>
                <w:szCs w:val="24"/>
              </w:rPr>
              <w:t>12</w:t>
            </w:r>
            <w:r>
              <w:rPr>
                <w:spacing w:val="-2"/>
                <w:sz w:val="24"/>
                <w:szCs w:val="24"/>
              </w:rPr>
              <w:t xml:space="preserve"> (17,4%)</w:t>
            </w:r>
          </w:p>
        </w:tc>
        <w:tc>
          <w:tcPr>
            <w:tcW w:w="992" w:type="dxa"/>
          </w:tcPr>
          <w:p w14:paraId="54A029A7">
            <w:pPr>
              <w:pStyle w:val="11"/>
              <w:spacing w:line="315" w:lineRule="exact"/>
              <w:ind w:left="4" w:right="4"/>
              <w:rPr>
                <w:sz w:val="24"/>
                <w:szCs w:val="24"/>
              </w:rPr>
            </w:pPr>
            <w:r>
              <w:rPr>
                <w:spacing w:val="-2"/>
                <w:sz w:val="24"/>
                <w:szCs w:val="24"/>
              </w:rPr>
              <w:t>0,049</w:t>
            </w:r>
            <w:r>
              <w:rPr>
                <w:spacing w:val="-2"/>
                <w:sz w:val="24"/>
                <w:szCs w:val="24"/>
                <w:vertAlign w:val="superscript"/>
              </w:rPr>
              <w:t>*</w:t>
            </w:r>
          </w:p>
        </w:tc>
      </w:tr>
      <w:tr w14:paraId="14FA5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678" w:type="dxa"/>
          </w:tcPr>
          <w:p w14:paraId="5ECE9665">
            <w:pPr>
              <w:pStyle w:val="11"/>
              <w:spacing w:line="315" w:lineRule="exact"/>
              <w:ind w:left="105"/>
              <w:jc w:val="left"/>
              <w:rPr>
                <w:sz w:val="24"/>
                <w:szCs w:val="24"/>
              </w:rPr>
            </w:pPr>
            <w:r>
              <w:rPr>
                <w:sz w:val="24"/>
                <w:szCs w:val="24"/>
              </w:rPr>
              <w:t>Клинически</w:t>
            </w:r>
            <w:r>
              <w:rPr>
                <w:spacing w:val="-16"/>
                <w:sz w:val="24"/>
                <w:szCs w:val="24"/>
              </w:rPr>
              <w:t xml:space="preserve"> </w:t>
            </w:r>
            <w:r>
              <w:rPr>
                <w:spacing w:val="-2"/>
                <w:sz w:val="24"/>
                <w:szCs w:val="24"/>
              </w:rPr>
              <w:t>значимый</w:t>
            </w:r>
          </w:p>
          <w:p w14:paraId="366C979A">
            <w:pPr>
              <w:pStyle w:val="11"/>
              <w:spacing w:before="5"/>
              <w:ind w:left="105"/>
              <w:jc w:val="left"/>
              <w:rPr>
                <w:sz w:val="24"/>
                <w:szCs w:val="24"/>
              </w:rPr>
            </w:pPr>
            <w:r>
              <w:rPr>
                <w:sz w:val="24"/>
                <w:szCs w:val="24"/>
              </w:rPr>
              <w:t>панкреатический</w:t>
            </w:r>
            <w:r>
              <w:rPr>
                <w:spacing w:val="-6"/>
                <w:sz w:val="24"/>
                <w:szCs w:val="24"/>
              </w:rPr>
              <w:t xml:space="preserve"> </w:t>
            </w:r>
            <w:r>
              <w:rPr>
                <w:sz w:val="24"/>
                <w:szCs w:val="24"/>
              </w:rPr>
              <w:t>свищ</w:t>
            </w:r>
            <w:r>
              <w:rPr>
                <w:spacing w:val="61"/>
                <w:sz w:val="24"/>
                <w:szCs w:val="24"/>
              </w:rPr>
              <w:t xml:space="preserve"> </w:t>
            </w:r>
            <w:r>
              <w:rPr>
                <w:sz w:val="24"/>
                <w:szCs w:val="24"/>
              </w:rPr>
              <w:t>В/С,</w:t>
            </w:r>
            <w:r>
              <w:rPr>
                <w:spacing w:val="-3"/>
                <w:sz w:val="24"/>
                <w:szCs w:val="24"/>
              </w:rPr>
              <w:t xml:space="preserve"> </w:t>
            </w:r>
            <w:r>
              <w:rPr>
                <w:sz w:val="24"/>
                <w:szCs w:val="24"/>
              </w:rPr>
              <w:t>n</w:t>
            </w:r>
            <w:r>
              <w:rPr>
                <w:spacing w:val="-9"/>
                <w:sz w:val="24"/>
                <w:szCs w:val="24"/>
              </w:rPr>
              <w:t xml:space="preserve"> </w:t>
            </w:r>
            <w:r>
              <w:rPr>
                <w:spacing w:val="-5"/>
                <w:sz w:val="24"/>
                <w:szCs w:val="24"/>
              </w:rPr>
              <w:t>(%)</w:t>
            </w:r>
          </w:p>
        </w:tc>
        <w:tc>
          <w:tcPr>
            <w:tcW w:w="2268" w:type="dxa"/>
          </w:tcPr>
          <w:p w14:paraId="7F00D2E5">
            <w:pPr>
              <w:pStyle w:val="11"/>
              <w:spacing w:line="315" w:lineRule="exact"/>
              <w:ind w:left="3"/>
              <w:rPr>
                <w:sz w:val="24"/>
                <w:szCs w:val="24"/>
              </w:rPr>
            </w:pPr>
            <w:r>
              <w:rPr>
                <w:sz w:val="24"/>
                <w:szCs w:val="24"/>
              </w:rPr>
              <w:t>19</w:t>
            </w:r>
            <w:r>
              <w:rPr>
                <w:spacing w:val="-2"/>
                <w:sz w:val="24"/>
                <w:szCs w:val="24"/>
              </w:rPr>
              <w:t xml:space="preserve"> (19,6%)</w:t>
            </w:r>
          </w:p>
        </w:tc>
        <w:tc>
          <w:tcPr>
            <w:tcW w:w="1701" w:type="dxa"/>
          </w:tcPr>
          <w:p w14:paraId="5DA7A73B">
            <w:pPr>
              <w:pStyle w:val="11"/>
              <w:spacing w:line="315" w:lineRule="exact"/>
              <w:ind w:right="5"/>
              <w:rPr>
                <w:sz w:val="24"/>
                <w:szCs w:val="24"/>
              </w:rPr>
            </w:pPr>
            <w:r>
              <w:rPr>
                <w:sz w:val="24"/>
                <w:szCs w:val="24"/>
              </w:rPr>
              <w:t>28</w:t>
            </w:r>
            <w:r>
              <w:rPr>
                <w:spacing w:val="-2"/>
                <w:sz w:val="24"/>
                <w:szCs w:val="24"/>
              </w:rPr>
              <w:t xml:space="preserve"> (41,2%)</w:t>
            </w:r>
          </w:p>
        </w:tc>
        <w:tc>
          <w:tcPr>
            <w:tcW w:w="992" w:type="dxa"/>
          </w:tcPr>
          <w:p w14:paraId="03C76F02">
            <w:pPr>
              <w:pStyle w:val="11"/>
              <w:spacing w:line="315" w:lineRule="exact"/>
              <w:ind w:left="2" w:right="4"/>
              <w:rPr>
                <w:sz w:val="24"/>
                <w:szCs w:val="24"/>
              </w:rPr>
            </w:pPr>
            <w:r>
              <w:rPr>
                <w:spacing w:val="-2"/>
                <w:sz w:val="24"/>
                <w:szCs w:val="24"/>
              </w:rPr>
              <w:t>0,003</w:t>
            </w:r>
            <w:r>
              <w:rPr>
                <w:spacing w:val="-2"/>
                <w:sz w:val="24"/>
                <w:szCs w:val="24"/>
                <w:vertAlign w:val="superscript"/>
              </w:rPr>
              <w:t>**</w:t>
            </w:r>
          </w:p>
        </w:tc>
      </w:tr>
      <w:tr w14:paraId="6FE59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678" w:type="dxa"/>
          </w:tcPr>
          <w:p w14:paraId="63791680">
            <w:pPr>
              <w:pStyle w:val="11"/>
              <w:spacing w:line="315" w:lineRule="exact"/>
              <w:ind w:left="105"/>
              <w:jc w:val="left"/>
              <w:rPr>
                <w:sz w:val="24"/>
                <w:szCs w:val="24"/>
              </w:rPr>
            </w:pPr>
            <w:r>
              <w:rPr>
                <w:sz w:val="24"/>
                <w:szCs w:val="24"/>
              </w:rPr>
              <w:t>Релапаротомия,</w:t>
            </w:r>
            <w:r>
              <w:rPr>
                <w:spacing w:val="-5"/>
                <w:sz w:val="24"/>
                <w:szCs w:val="24"/>
              </w:rPr>
              <w:t xml:space="preserve"> </w:t>
            </w:r>
            <w:r>
              <w:rPr>
                <w:sz w:val="24"/>
                <w:szCs w:val="24"/>
              </w:rPr>
              <w:t>n</w:t>
            </w:r>
            <w:r>
              <w:rPr>
                <w:spacing w:val="-10"/>
                <w:sz w:val="24"/>
                <w:szCs w:val="24"/>
              </w:rPr>
              <w:t xml:space="preserve"> </w:t>
            </w:r>
            <w:r>
              <w:rPr>
                <w:spacing w:val="-5"/>
                <w:sz w:val="24"/>
                <w:szCs w:val="24"/>
              </w:rPr>
              <w:t>(%)</w:t>
            </w:r>
          </w:p>
        </w:tc>
        <w:tc>
          <w:tcPr>
            <w:tcW w:w="2268" w:type="dxa"/>
          </w:tcPr>
          <w:p w14:paraId="37610BA9">
            <w:pPr>
              <w:pStyle w:val="11"/>
              <w:spacing w:before="98"/>
              <w:ind w:left="3"/>
              <w:rPr>
                <w:sz w:val="24"/>
                <w:szCs w:val="24"/>
              </w:rPr>
            </w:pPr>
            <w:r>
              <w:rPr>
                <w:sz w:val="24"/>
                <w:szCs w:val="24"/>
              </w:rPr>
              <w:t>1</w:t>
            </w:r>
            <w:r>
              <w:rPr>
                <w:spacing w:val="-1"/>
                <w:sz w:val="24"/>
                <w:szCs w:val="24"/>
              </w:rPr>
              <w:t xml:space="preserve"> </w:t>
            </w:r>
            <w:r>
              <w:rPr>
                <w:spacing w:val="-2"/>
                <w:sz w:val="24"/>
                <w:szCs w:val="24"/>
              </w:rPr>
              <w:t>(1,1%)</w:t>
            </w:r>
          </w:p>
        </w:tc>
        <w:tc>
          <w:tcPr>
            <w:tcW w:w="1701" w:type="dxa"/>
          </w:tcPr>
          <w:p w14:paraId="21092019">
            <w:pPr>
              <w:pStyle w:val="11"/>
              <w:spacing w:before="98"/>
              <w:ind w:right="5"/>
              <w:rPr>
                <w:sz w:val="24"/>
                <w:szCs w:val="24"/>
              </w:rPr>
            </w:pPr>
            <w:r>
              <w:rPr>
                <w:sz w:val="24"/>
                <w:szCs w:val="24"/>
              </w:rPr>
              <w:t>12</w:t>
            </w:r>
            <w:r>
              <w:rPr>
                <w:spacing w:val="-2"/>
                <w:sz w:val="24"/>
                <w:szCs w:val="24"/>
              </w:rPr>
              <w:t xml:space="preserve"> (17,4%)</w:t>
            </w:r>
          </w:p>
        </w:tc>
        <w:tc>
          <w:tcPr>
            <w:tcW w:w="992" w:type="dxa"/>
          </w:tcPr>
          <w:p w14:paraId="7621206B">
            <w:pPr>
              <w:pStyle w:val="11"/>
              <w:spacing w:line="315" w:lineRule="exact"/>
              <w:ind w:left="2" w:right="4"/>
              <w:rPr>
                <w:sz w:val="24"/>
                <w:szCs w:val="24"/>
              </w:rPr>
            </w:pPr>
            <w:r>
              <w:rPr>
                <w:spacing w:val="-2"/>
                <w:sz w:val="24"/>
                <w:szCs w:val="24"/>
              </w:rPr>
              <w:t>&lt;0,001</w:t>
            </w:r>
            <w:r>
              <w:rPr>
                <w:spacing w:val="-2"/>
                <w:sz w:val="24"/>
                <w:szCs w:val="24"/>
                <w:vertAlign w:val="superscript"/>
              </w:rPr>
              <w:t>*</w:t>
            </w:r>
          </w:p>
        </w:tc>
      </w:tr>
      <w:tr w14:paraId="28590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4678" w:type="dxa"/>
          </w:tcPr>
          <w:p w14:paraId="551337FF">
            <w:pPr>
              <w:pStyle w:val="11"/>
              <w:spacing w:line="320" w:lineRule="exact"/>
              <w:ind w:left="105"/>
              <w:jc w:val="left"/>
              <w:rPr>
                <w:sz w:val="24"/>
                <w:szCs w:val="24"/>
              </w:rPr>
            </w:pPr>
            <w:r>
              <w:rPr>
                <w:sz w:val="24"/>
                <w:szCs w:val="24"/>
              </w:rPr>
              <w:t>Госпитальная</w:t>
            </w:r>
            <w:r>
              <w:rPr>
                <w:spacing w:val="-8"/>
                <w:sz w:val="24"/>
                <w:szCs w:val="24"/>
              </w:rPr>
              <w:t xml:space="preserve"> </w:t>
            </w:r>
            <w:r>
              <w:rPr>
                <w:sz w:val="24"/>
                <w:szCs w:val="24"/>
              </w:rPr>
              <w:t>летальность,</w:t>
            </w:r>
            <w:r>
              <w:rPr>
                <w:spacing w:val="-4"/>
                <w:sz w:val="24"/>
                <w:szCs w:val="24"/>
              </w:rPr>
              <w:t xml:space="preserve"> </w:t>
            </w:r>
            <w:r>
              <w:rPr>
                <w:sz w:val="24"/>
                <w:szCs w:val="24"/>
              </w:rPr>
              <w:t>n</w:t>
            </w:r>
            <w:r>
              <w:rPr>
                <w:spacing w:val="-12"/>
                <w:sz w:val="24"/>
                <w:szCs w:val="24"/>
              </w:rPr>
              <w:t xml:space="preserve"> </w:t>
            </w:r>
            <w:r>
              <w:rPr>
                <w:spacing w:val="-5"/>
                <w:sz w:val="24"/>
                <w:szCs w:val="24"/>
              </w:rPr>
              <w:t>(%)</w:t>
            </w:r>
          </w:p>
        </w:tc>
        <w:tc>
          <w:tcPr>
            <w:tcW w:w="2268" w:type="dxa"/>
          </w:tcPr>
          <w:p w14:paraId="5D5825D9">
            <w:pPr>
              <w:pStyle w:val="11"/>
              <w:spacing w:before="122"/>
              <w:ind w:left="3"/>
              <w:rPr>
                <w:sz w:val="24"/>
                <w:szCs w:val="24"/>
              </w:rPr>
            </w:pPr>
            <w:r>
              <w:rPr>
                <w:sz w:val="24"/>
                <w:szCs w:val="24"/>
              </w:rPr>
              <w:t>2</w:t>
            </w:r>
            <w:r>
              <w:rPr>
                <w:spacing w:val="-1"/>
                <w:sz w:val="24"/>
                <w:szCs w:val="24"/>
              </w:rPr>
              <w:t xml:space="preserve"> </w:t>
            </w:r>
            <w:r>
              <w:rPr>
                <w:spacing w:val="-2"/>
                <w:sz w:val="24"/>
                <w:szCs w:val="24"/>
              </w:rPr>
              <w:t>(2,1%)</w:t>
            </w:r>
          </w:p>
        </w:tc>
        <w:tc>
          <w:tcPr>
            <w:tcW w:w="1701" w:type="dxa"/>
          </w:tcPr>
          <w:p w14:paraId="19B0EB79">
            <w:pPr>
              <w:pStyle w:val="11"/>
              <w:spacing w:before="122"/>
              <w:ind w:right="5"/>
              <w:rPr>
                <w:sz w:val="24"/>
                <w:szCs w:val="24"/>
              </w:rPr>
            </w:pPr>
            <w:r>
              <w:rPr>
                <w:sz w:val="24"/>
                <w:szCs w:val="24"/>
              </w:rPr>
              <w:t>4</w:t>
            </w:r>
            <w:r>
              <w:rPr>
                <w:spacing w:val="-1"/>
                <w:sz w:val="24"/>
                <w:szCs w:val="24"/>
              </w:rPr>
              <w:t xml:space="preserve"> </w:t>
            </w:r>
            <w:r>
              <w:rPr>
                <w:spacing w:val="-2"/>
                <w:sz w:val="24"/>
                <w:szCs w:val="24"/>
              </w:rPr>
              <w:t>(5,8%)</w:t>
            </w:r>
          </w:p>
        </w:tc>
        <w:tc>
          <w:tcPr>
            <w:tcW w:w="992" w:type="dxa"/>
          </w:tcPr>
          <w:p w14:paraId="33463B2D">
            <w:pPr>
              <w:pStyle w:val="11"/>
              <w:spacing w:line="320" w:lineRule="exact"/>
              <w:ind w:left="1" w:right="4"/>
              <w:rPr>
                <w:sz w:val="24"/>
                <w:szCs w:val="24"/>
              </w:rPr>
            </w:pPr>
            <w:r>
              <w:rPr>
                <w:spacing w:val="-4"/>
                <w:sz w:val="24"/>
                <w:szCs w:val="24"/>
              </w:rPr>
              <w:t>0,231</w:t>
            </w:r>
          </w:p>
        </w:tc>
      </w:tr>
      <w:tr w14:paraId="3DA97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639" w:type="dxa"/>
            <w:gridSpan w:val="4"/>
          </w:tcPr>
          <w:p w14:paraId="43D42C04">
            <w:pPr>
              <w:pStyle w:val="11"/>
              <w:spacing w:line="240" w:lineRule="auto"/>
              <w:ind w:left="105" w:right="364" w:firstLine="604"/>
              <w:jc w:val="both"/>
              <w:rPr>
                <w:sz w:val="24"/>
                <w:szCs w:val="24"/>
              </w:rPr>
            </w:pPr>
            <w:r>
              <w:rPr>
                <w:sz w:val="24"/>
                <w:szCs w:val="24"/>
              </w:rPr>
              <w:t>Примечание: Количественные</w:t>
            </w:r>
            <w:r>
              <w:rPr>
                <w:spacing w:val="-4"/>
                <w:sz w:val="24"/>
                <w:szCs w:val="24"/>
              </w:rPr>
              <w:t xml:space="preserve"> </w:t>
            </w:r>
            <w:r>
              <w:rPr>
                <w:sz w:val="24"/>
                <w:szCs w:val="24"/>
              </w:rPr>
              <w:t>данные</w:t>
            </w:r>
            <w:r>
              <w:rPr>
                <w:spacing w:val="-9"/>
                <w:sz w:val="24"/>
                <w:szCs w:val="24"/>
              </w:rPr>
              <w:t xml:space="preserve"> </w:t>
            </w:r>
            <w:r>
              <w:rPr>
                <w:sz w:val="24"/>
                <w:szCs w:val="24"/>
              </w:rPr>
              <w:t>представлены</w:t>
            </w:r>
            <w:r>
              <w:rPr>
                <w:spacing w:val="-2"/>
                <w:sz w:val="24"/>
                <w:szCs w:val="24"/>
              </w:rPr>
              <w:t xml:space="preserve"> </w:t>
            </w:r>
            <w:r>
              <w:rPr>
                <w:sz w:val="24"/>
                <w:szCs w:val="24"/>
              </w:rPr>
              <w:t>как</w:t>
            </w:r>
            <w:r>
              <w:rPr>
                <w:spacing w:val="-9"/>
                <w:sz w:val="24"/>
                <w:szCs w:val="24"/>
              </w:rPr>
              <w:t xml:space="preserve"> </w:t>
            </w:r>
            <w:r>
              <w:rPr>
                <w:sz w:val="24"/>
                <w:szCs w:val="24"/>
              </w:rPr>
              <w:t>медиана</w:t>
            </w:r>
            <w:r>
              <w:rPr>
                <w:spacing w:val="-4"/>
                <w:sz w:val="24"/>
                <w:szCs w:val="24"/>
              </w:rPr>
              <w:t xml:space="preserve"> </w:t>
            </w:r>
            <w:r>
              <w:rPr>
                <w:sz w:val="24"/>
                <w:szCs w:val="24"/>
              </w:rPr>
              <w:t>и</w:t>
            </w:r>
            <w:r>
              <w:rPr>
                <w:spacing w:val="-7"/>
                <w:sz w:val="24"/>
                <w:szCs w:val="24"/>
              </w:rPr>
              <w:t xml:space="preserve"> </w:t>
            </w:r>
            <w:r>
              <w:rPr>
                <w:sz w:val="24"/>
                <w:szCs w:val="24"/>
              </w:rPr>
              <w:t>межквартильного</w:t>
            </w:r>
            <w:r>
              <w:rPr>
                <w:spacing w:val="-3"/>
                <w:sz w:val="24"/>
                <w:szCs w:val="24"/>
              </w:rPr>
              <w:t xml:space="preserve"> </w:t>
            </w:r>
            <w:r>
              <w:rPr>
                <w:sz w:val="24"/>
                <w:szCs w:val="24"/>
              </w:rPr>
              <w:t>интервала —</w:t>
            </w:r>
            <w:r>
              <w:rPr>
                <w:spacing w:val="-2"/>
                <w:sz w:val="24"/>
                <w:szCs w:val="24"/>
              </w:rPr>
              <w:t xml:space="preserve"> </w:t>
            </w:r>
            <w:r>
              <w:rPr>
                <w:sz w:val="24"/>
                <w:szCs w:val="24"/>
              </w:rPr>
              <w:t>Me [Q1;</w:t>
            </w:r>
            <w:r>
              <w:rPr>
                <w:spacing w:val="-4"/>
                <w:sz w:val="24"/>
                <w:szCs w:val="24"/>
              </w:rPr>
              <w:t xml:space="preserve"> </w:t>
            </w:r>
            <w:r>
              <w:rPr>
                <w:sz w:val="24"/>
                <w:szCs w:val="24"/>
              </w:rPr>
              <w:t>Q3]. Категориальные данные представлены как</w:t>
            </w:r>
            <w:r>
              <w:rPr>
                <w:spacing w:val="-1"/>
                <w:sz w:val="24"/>
                <w:szCs w:val="24"/>
              </w:rPr>
              <w:t xml:space="preserve"> </w:t>
            </w:r>
            <w:r>
              <w:rPr>
                <w:sz w:val="24"/>
                <w:szCs w:val="24"/>
              </w:rPr>
              <w:t>n</w:t>
            </w:r>
            <w:r>
              <w:rPr>
                <w:spacing w:val="-4"/>
                <w:sz w:val="24"/>
                <w:szCs w:val="24"/>
              </w:rPr>
              <w:t xml:space="preserve"> </w:t>
            </w:r>
            <w:r>
              <w:rPr>
                <w:sz w:val="24"/>
                <w:szCs w:val="24"/>
              </w:rPr>
              <w:t>(%). *</w:t>
            </w:r>
            <w:r>
              <w:rPr>
                <w:spacing w:val="-4"/>
                <w:sz w:val="24"/>
                <w:szCs w:val="24"/>
              </w:rPr>
              <w:t xml:space="preserve"> </w:t>
            </w:r>
            <w:r>
              <w:rPr>
                <w:sz w:val="24"/>
                <w:szCs w:val="24"/>
              </w:rPr>
              <w:t>p &lt;</w:t>
            </w:r>
            <w:r>
              <w:rPr>
                <w:spacing w:val="-5"/>
                <w:sz w:val="24"/>
                <w:szCs w:val="24"/>
              </w:rPr>
              <w:t xml:space="preserve"> </w:t>
            </w:r>
            <w:r>
              <w:rPr>
                <w:sz w:val="24"/>
                <w:szCs w:val="24"/>
              </w:rPr>
              <w:t>0,05, **</w:t>
            </w:r>
            <w:r>
              <w:rPr>
                <w:spacing w:val="-4"/>
                <w:sz w:val="24"/>
                <w:szCs w:val="24"/>
              </w:rPr>
              <w:t xml:space="preserve"> </w:t>
            </w:r>
            <w:r>
              <w:rPr>
                <w:sz w:val="24"/>
                <w:szCs w:val="24"/>
              </w:rPr>
              <w:t>p &lt; 0,01,</w:t>
            </w:r>
            <w:r>
              <w:rPr>
                <w:spacing w:val="-2"/>
                <w:sz w:val="24"/>
                <w:szCs w:val="24"/>
              </w:rPr>
              <w:t xml:space="preserve"> </w:t>
            </w:r>
            <w:r>
              <w:rPr>
                <w:sz w:val="24"/>
                <w:szCs w:val="24"/>
              </w:rPr>
              <w:t>*** p</w:t>
            </w:r>
            <w:r>
              <w:rPr>
                <w:spacing w:val="-4"/>
                <w:sz w:val="24"/>
                <w:szCs w:val="24"/>
              </w:rPr>
              <w:t xml:space="preserve"> </w:t>
            </w:r>
            <w:r>
              <w:rPr>
                <w:sz w:val="24"/>
                <w:szCs w:val="24"/>
              </w:rPr>
              <w:t>&lt; 0,001. Для сравнения количественных переменных использован U-критерий Манна—Уитни.</w:t>
            </w:r>
            <w:r>
              <w:rPr>
                <w:spacing w:val="-5"/>
                <w:sz w:val="24"/>
                <w:szCs w:val="24"/>
              </w:rPr>
              <w:t xml:space="preserve"> </w:t>
            </w:r>
            <w:r>
              <w:rPr>
                <w:sz w:val="24"/>
                <w:szCs w:val="24"/>
              </w:rPr>
              <w:t>Для</w:t>
            </w:r>
            <w:r>
              <w:rPr>
                <w:spacing w:val="-3"/>
                <w:sz w:val="24"/>
                <w:szCs w:val="24"/>
              </w:rPr>
              <w:t xml:space="preserve"> </w:t>
            </w:r>
            <w:r>
              <w:rPr>
                <w:sz w:val="24"/>
                <w:szCs w:val="24"/>
              </w:rPr>
              <w:t>сравнения</w:t>
            </w:r>
            <w:r>
              <w:rPr>
                <w:spacing w:val="-3"/>
                <w:sz w:val="24"/>
                <w:szCs w:val="24"/>
              </w:rPr>
              <w:t xml:space="preserve"> </w:t>
            </w:r>
            <w:r>
              <w:rPr>
                <w:sz w:val="24"/>
                <w:szCs w:val="24"/>
              </w:rPr>
              <w:t>категориальных</w:t>
            </w:r>
            <w:r>
              <w:rPr>
                <w:spacing w:val="-7"/>
                <w:sz w:val="24"/>
                <w:szCs w:val="24"/>
              </w:rPr>
              <w:t xml:space="preserve"> </w:t>
            </w:r>
            <w:r>
              <w:rPr>
                <w:sz w:val="24"/>
                <w:szCs w:val="24"/>
              </w:rPr>
              <w:t>переменных</w:t>
            </w:r>
            <w:r>
              <w:rPr>
                <w:spacing w:val="-7"/>
                <w:sz w:val="24"/>
                <w:szCs w:val="24"/>
              </w:rPr>
              <w:t xml:space="preserve"> </w:t>
            </w:r>
            <w:r>
              <w:rPr>
                <w:sz w:val="24"/>
                <w:szCs w:val="24"/>
              </w:rPr>
              <w:t>применён χ²-критерий</w:t>
            </w:r>
            <w:r>
              <w:rPr>
                <w:spacing w:val="-6"/>
                <w:sz w:val="24"/>
                <w:szCs w:val="24"/>
              </w:rPr>
              <w:t xml:space="preserve"> </w:t>
            </w:r>
            <w:r>
              <w:rPr>
                <w:sz w:val="24"/>
                <w:szCs w:val="24"/>
              </w:rPr>
              <w:t>Пирсона</w:t>
            </w:r>
            <w:r>
              <w:rPr>
                <w:spacing w:val="-6"/>
                <w:sz w:val="24"/>
                <w:szCs w:val="24"/>
              </w:rPr>
              <w:t xml:space="preserve"> </w:t>
            </w:r>
            <w:r>
              <w:rPr>
                <w:sz w:val="24"/>
                <w:szCs w:val="24"/>
              </w:rPr>
              <w:t>или точный критерий Фишера при малых ожидаемых частотах.</w:t>
            </w:r>
          </w:p>
        </w:tc>
      </w:tr>
    </w:tbl>
    <w:p w14:paraId="2A474917">
      <w:pPr>
        <w:pStyle w:val="7"/>
        <w:spacing w:before="319"/>
        <w:ind w:left="0" w:right="3" w:firstLine="709"/>
      </w:pPr>
      <w:r>
        <w:t>Анализ</w:t>
      </w:r>
      <w:r>
        <w:rPr>
          <w:spacing w:val="-18"/>
        </w:rPr>
        <w:t xml:space="preserve"> </w:t>
      </w:r>
      <w:r>
        <w:t>причин</w:t>
      </w:r>
      <w:r>
        <w:rPr>
          <w:spacing w:val="-17"/>
        </w:rPr>
        <w:t xml:space="preserve"> </w:t>
      </w:r>
      <w:r>
        <w:t>госпитальной</w:t>
      </w:r>
      <w:r>
        <w:rPr>
          <w:spacing w:val="-18"/>
        </w:rPr>
        <w:t xml:space="preserve"> </w:t>
      </w:r>
      <w:r>
        <w:t>летальности</w:t>
      </w:r>
      <w:r>
        <w:rPr>
          <w:spacing w:val="-17"/>
        </w:rPr>
        <w:t xml:space="preserve"> </w:t>
      </w:r>
      <w:r>
        <w:t>после</w:t>
      </w:r>
      <w:r>
        <w:rPr>
          <w:spacing w:val="-18"/>
        </w:rPr>
        <w:t xml:space="preserve"> </w:t>
      </w:r>
      <w:r>
        <w:t>ГПДР</w:t>
      </w:r>
      <w:r>
        <w:rPr>
          <w:spacing w:val="-17"/>
        </w:rPr>
        <w:t xml:space="preserve"> </w:t>
      </w:r>
      <w:r>
        <w:t>показал,</w:t>
      </w:r>
      <w:r>
        <w:rPr>
          <w:spacing w:val="-18"/>
        </w:rPr>
        <w:t xml:space="preserve"> </w:t>
      </w:r>
      <w:r>
        <w:t>что</w:t>
      </w:r>
      <w:r>
        <w:rPr>
          <w:spacing w:val="-17"/>
        </w:rPr>
        <w:t xml:space="preserve"> </w:t>
      </w:r>
      <w:r>
        <w:t>в</w:t>
      </w:r>
      <w:r>
        <w:rPr>
          <w:spacing w:val="-18"/>
        </w:rPr>
        <w:t xml:space="preserve"> </w:t>
      </w:r>
      <w:r>
        <w:t>ННЦХ им. А.Н. Сызганова (2 летальных исходов) ведущими причинами смерти являлись</w:t>
      </w:r>
      <w:r>
        <w:rPr>
          <w:spacing w:val="-3"/>
        </w:rPr>
        <w:t xml:space="preserve"> </w:t>
      </w:r>
      <w:r>
        <w:t>аррозивные кровотечения (36,8%), тяжёлый клинически</w:t>
      </w:r>
      <w:r>
        <w:rPr>
          <w:spacing w:val="-1"/>
        </w:rPr>
        <w:t xml:space="preserve"> </w:t>
      </w:r>
      <w:r>
        <w:t>значимый ПС с</w:t>
      </w:r>
      <w:r>
        <w:rPr>
          <w:spacing w:val="-9"/>
        </w:rPr>
        <w:t xml:space="preserve"> </w:t>
      </w:r>
      <w:r>
        <w:t>развитием</w:t>
      </w:r>
      <w:r>
        <w:rPr>
          <w:spacing w:val="-8"/>
        </w:rPr>
        <w:t xml:space="preserve"> </w:t>
      </w:r>
      <w:r>
        <w:t>сепсиса</w:t>
      </w:r>
      <w:r>
        <w:rPr>
          <w:spacing w:val="-9"/>
        </w:rPr>
        <w:t xml:space="preserve"> </w:t>
      </w:r>
      <w:r>
        <w:t>(15,8%).</w:t>
      </w:r>
      <w:r>
        <w:rPr>
          <w:spacing w:val="-7"/>
        </w:rPr>
        <w:t xml:space="preserve"> </w:t>
      </w:r>
      <w:r>
        <w:t>В</w:t>
      </w:r>
      <w:r>
        <w:rPr>
          <w:spacing w:val="-13"/>
        </w:rPr>
        <w:t xml:space="preserve"> </w:t>
      </w:r>
      <w:r>
        <w:t>ННОЦ</w:t>
      </w:r>
      <w:r>
        <w:rPr>
          <w:spacing w:val="-14"/>
        </w:rPr>
        <w:t xml:space="preserve"> </w:t>
      </w:r>
      <w:r>
        <w:t>г.</w:t>
      </w:r>
      <w:r>
        <w:rPr>
          <w:spacing w:val="-12"/>
        </w:rPr>
        <w:t xml:space="preserve"> </w:t>
      </w:r>
      <w:r>
        <w:t>Астаны</w:t>
      </w:r>
      <w:r>
        <w:rPr>
          <w:spacing w:val="-4"/>
        </w:rPr>
        <w:t xml:space="preserve"> </w:t>
      </w:r>
      <w:r>
        <w:t>(4</w:t>
      </w:r>
      <w:r>
        <w:rPr>
          <w:spacing w:val="-9"/>
        </w:rPr>
        <w:t xml:space="preserve"> </w:t>
      </w:r>
      <w:r>
        <w:t>летальных</w:t>
      </w:r>
      <w:r>
        <w:rPr>
          <w:spacing w:val="-14"/>
        </w:rPr>
        <w:t xml:space="preserve"> </w:t>
      </w:r>
      <w:r>
        <w:t>исхода)</w:t>
      </w:r>
      <w:r>
        <w:rPr>
          <w:spacing w:val="-11"/>
        </w:rPr>
        <w:t xml:space="preserve"> </w:t>
      </w:r>
      <w:r>
        <w:t>структура причин летальности была представлена преимущественно аррозивными кровотечениями (50%), а также полиорганной и острой сердечно-сосудистой недостаточностью (по 25%). Полученные данные свидетельствуют о доминирующей</w:t>
      </w:r>
      <w:r>
        <w:rPr>
          <w:spacing w:val="-15"/>
        </w:rPr>
        <w:t xml:space="preserve"> </w:t>
      </w:r>
      <w:r>
        <w:t>роли</w:t>
      </w:r>
      <w:r>
        <w:rPr>
          <w:spacing w:val="-14"/>
        </w:rPr>
        <w:t xml:space="preserve"> </w:t>
      </w:r>
      <w:r>
        <w:t>сосудистых</w:t>
      </w:r>
      <w:r>
        <w:rPr>
          <w:spacing w:val="-18"/>
        </w:rPr>
        <w:t xml:space="preserve"> </w:t>
      </w:r>
      <w:r>
        <w:t>осложнений</w:t>
      </w:r>
      <w:r>
        <w:rPr>
          <w:spacing w:val="-14"/>
        </w:rPr>
        <w:t xml:space="preserve"> </w:t>
      </w:r>
      <w:r>
        <w:t>и</w:t>
      </w:r>
      <w:r>
        <w:rPr>
          <w:spacing w:val="-14"/>
        </w:rPr>
        <w:t xml:space="preserve"> </w:t>
      </w:r>
      <w:r>
        <w:t>тяжёлого</w:t>
      </w:r>
      <w:r>
        <w:rPr>
          <w:spacing w:val="-14"/>
        </w:rPr>
        <w:t xml:space="preserve"> </w:t>
      </w:r>
      <w:r>
        <w:t>клинически</w:t>
      </w:r>
      <w:r>
        <w:rPr>
          <w:spacing w:val="-14"/>
        </w:rPr>
        <w:t xml:space="preserve"> </w:t>
      </w:r>
      <w:r>
        <w:t>значимого ПС в структуре госпитальной летальности после ГПДР, что подчёркивает клиническую значимость мероприятий, направленных на профилактику ПС и аррозивных кровотечений.</w:t>
      </w:r>
    </w:p>
    <w:p w14:paraId="0BCBB8C5">
      <w:pPr>
        <w:pStyle w:val="7"/>
        <w:spacing w:before="67"/>
        <w:ind w:left="0" w:right="3" w:firstLine="709"/>
      </w:pPr>
      <w:r>
        <w:t xml:space="preserve">Таким образом, формирование ПС обусловлено сочетанным влиянием биохимических, анатомических и интраоперационных параметров, среди которых наибольшее прогностическое значение имеют уровень ААД в первые сутки после операции, диаметр ПП и локализация опухоли, что необходимо учитывать при выборе хирургической тактики и разработке мер профилактики </w:t>
      </w:r>
      <w:r>
        <w:rPr>
          <w:spacing w:val="-2"/>
        </w:rPr>
        <w:t>осложнений.</w:t>
      </w:r>
    </w:p>
    <w:p w14:paraId="217C2700">
      <w:pPr>
        <w:pStyle w:val="7"/>
        <w:spacing w:before="4"/>
        <w:ind w:left="0" w:right="3" w:firstLine="709"/>
      </w:pPr>
      <w:r>
        <w:t>Резюмируя, анализ данных по опухолям периампулярной зоны в Республике Казахстан за 2022–2025 гг. выявил выраженную межрегиональную неоднородность выявляемости и чёткую централизацию диагностики и хирургического лечения в</w:t>
      </w:r>
      <w:r>
        <w:rPr>
          <w:spacing w:val="-2"/>
        </w:rPr>
        <w:t xml:space="preserve"> </w:t>
      </w:r>
      <w:r>
        <w:t>крупнейших</w:t>
      </w:r>
      <w:r>
        <w:rPr>
          <w:spacing w:val="-5"/>
        </w:rPr>
        <w:t xml:space="preserve"> </w:t>
      </w:r>
      <w:r>
        <w:t>городах — Алматы, Астана и Шымкент. Общее</w:t>
      </w:r>
      <w:r>
        <w:rPr>
          <w:spacing w:val="-8"/>
        </w:rPr>
        <w:t xml:space="preserve"> </w:t>
      </w:r>
      <w:r>
        <w:t>число</w:t>
      </w:r>
      <w:r>
        <w:rPr>
          <w:spacing w:val="-8"/>
        </w:rPr>
        <w:t xml:space="preserve"> </w:t>
      </w:r>
      <w:r>
        <w:t>зарегистрированных</w:t>
      </w:r>
      <w:r>
        <w:rPr>
          <w:spacing w:val="-13"/>
        </w:rPr>
        <w:t xml:space="preserve"> </w:t>
      </w:r>
      <w:r>
        <w:t>случаев</w:t>
      </w:r>
      <w:r>
        <w:rPr>
          <w:spacing w:val="-10"/>
        </w:rPr>
        <w:t xml:space="preserve"> </w:t>
      </w:r>
      <w:r>
        <w:t>варьировало</w:t>
      </w:r>
      <w:r>
        <w:rPr>
          <w:spacing w:val="-8"/>
        </w:rPr>
        <w:t xml:space="preserve"> </w:t>
      </w:r>
      <w:r>
        <w:t>от</w:t>
      </w:r>
      <w:r>
        <w:rPr>
          <w:spacing w:val="-10"/>
        </w:rPr>
        <w:t xml:space="preserve"> </w:t>
      </w:r>
      <w:r>
        <w:t>3066</w:t>
      </w:r>
      <w:r>
        <w:rPr>
          <w:spacing w:val="-8"/>
        </w:rPr>
        <w:t xml:space="preserve"> </w:t>
      </w:r>
      <w:r>
        <w:t>в</w:t>
      </w:r>
      <w:r>
        <w:rPr>
          <w:spacing w:val="-10"/>
        </w:rPr>
        <w:t xml:space="preserve"> </w:t>
      </w:r>
      <w:r>
        <w:t>2022</w:t>
      </w:r>
      <w:r>
        <w:rPr>
          <w:spacing w:val="-8"/>
        </w:rPr>
        <w:t xml:space="preserve"> </w:t>
      </w:r>
      <w:r>
        <w:t>г.</w:t>
      </w:r>
      <w:r>
        <w:rPr>
          <w:spacing w:val="-6"/>
        </w:rPr>
        <w:t xml:space="preserve"> </w:t>
      </w:r>
      <w:r>
        <w:t>до</w:t>
      </w:r>
      <w:r>
        <w:rPr>
          <w:spacing w:val="-8"/>
        </w:rPr>
        <w:t xml:space="preserve"> </w:t>
      </w:r>
      <w:r>
        <w:t xml:space="preserve">2840 в 2025 г.; при стабильной структуре локализаций это, вероятнее, отражает особенности маршрутизации и доступности диагностики, чем реальные колебания заболеваемости. Во всех регионах доминировали опухоли головки поджелудочной железы, далее — опухоли БДС и ТОХ. </w:t>
      </w:r>
      <w:r>
        <w:rPr>
          <w:spacing w:val="-2"/>
        </w:rPr>
        <w:t>Оценка</w:t>
      </w:r>
      <w:r>
        <w:t xml:space="preserve"> </w:t>
      </w:r>
      <w:r>
        <w:rPr>
          <w:spacing w:val="-2"/>
        </w:rPr>
        <w:t>объёма</w:t>
      </w:r>
      <w:r>
        <w:t xml:space="preserve"> </w:t>
      </w:r>
      <w:r>
        <w:rPr>
          <w:spacing w:val="-2"/>
        </w:rPr>
        <w:t>выполнения</w:t>
      </w:r>
      <w:r>
        <w:tab/>
      </w:r>
      <w:r>
        <w:tab/>
      </w:r>
      <w:r>
        <w:rPr>
          <w:spacing w:val="-4"/>
        </w:rPr>
        <w:t>ГПДР</w:t>
      </w:r>
      <w:r>
        <w:tab/>
      </w:r>
      <w:r>
        <w:tab/>
      </w:r>
      <w:r>
        <w:rPr>
          <w:spacing w:val="-2"/>
        </w:rPr>
        <w:t>показала</w:t>
      </w:r>
      <w:r>
        <w:tab/>
      </w:r>
      <w:r>
        <w:tab/>
      </w:r>
      <w:r>
        <w:rPr>
          <w:spacing w:val="-2"/>
        </w:rPr>
        <w:t xml:space="preserve">концентрацию </w:t>
      </w:r>
      <w:r>
        <w:t>высокотехнологичной помощи в мегаполисах: в 2022–2024 гг. число операций выросло</w:t>
      </w:r>
      <w:r>
        <w:rPr>
          <w:spacing w:val="31"/>
        </w:rPr>
        <w:t xml:space="preserve"> </w:t>
      </w:r>
      <w:r>
        <w:t>с</w:t>
      </w:r>
      <w:r>
        <w:rPr>
          <w:spacing w:val="32"/>
        </w:rPr>
        <w:t xml:space="preserve"> </w:t>
      </w:r>
      <w:r>
        <w:t>145</w:t>
      </w:r>
      <w:r>
        <w:rPr>
          <w:spacing w:val="31"/>
        </w:rPr>
        <w:t xml:space="preserve"> </w:t>
      </w:r>
      <w:r>
        <w:t>до</w:t>
      </w:r>
      <w:r>
        <w:rPr>
          <w:spacing w:val="31"/>
        </w:rPr>
        <w:t xml:space="preserve"> </w:t>
      </w:r>
      <w:r>
        <w:t>175,</w:t>
      </w:r>
      <w:r>
        <w:rPr>
          <w:spacing w:val="33"/>
        </w:rPr>
        <w:t xml:space="preserve"> </w:t>
      </w:r>
      <w:r>
        <w:t>с</w:t>
      </w:r>
      <w:r>
        <w:rPr>
          <w:spacing w:val="32"/>
        </w:rPr>
        <w:t xml:space="preserve"> </w:t>
      </w:r>
      <w:r>
        <w:t>последующим</w:t>
      </w:r>
      <w:r>
        <w:rPr>
          <w:spacing w:val="36"/>
        </w:rPr>
        <w:t xml:space="preserve"> </w:t>
      </w:r>
      <w:r>
        <w:t>снижением</w:t>
      </w:r>
      <w:r>
        <w:rPr>
          <w:spacing w:val="32"/>
        </w:rPr>
        <w:t xml:space="preserve"> </w:t>
      </w:r>
      <w:r>
        <w:t>до</w:t>
      </w:r>
      <w:r>
        <w:rPr>
          <w:spacing w:val="31"/>
        </w:rPr>
        <w:t xml:space="preserve"> </w:t>
      </w:r>
      <w:r>
        <w:t>133</w:t>
      </w:r>
      <w:r>
        <w:rPr>
          <w:spacing w:val="31"/>
        </w:rPr>
        <w:t xml:space="preserve"> </w:t>
      </w:r>
      <w:r>
        <w:t>в</w:t>
      </w:r>
      <w:r>
        <w:rPr>
          <w:spacing w:val="29"/>
        </w:rPr>
        <w:t xml:space="preserve"> </w:t>
      </w:r>
      <w:r>
        <w:t>2025</w:t>
      </w:r>
      <w:r>
        <w:rPr>
          <w:spacing w:val="31"/>
        </w:rPr>
        <w:t xml:space="preserve"> </w:t>
      </w:r>
      <w:r>
        <w:t>г.;</w:t>
      </w:r>
      <w:r>
        <w:rPr>
          <w:spacing w:val="30"/>
        </w:rPr>
        <w:t xml:space="preserve"> </w:t>
      </w:r>
      <w:r>
        <w:t xml:space="preserve">ежегодно </w:t>
      </w:r>
      <w:r>
        <w:rPr>
          <w:spacing w:val="-2"/>
        </w:rPr>
        <w:t>более</w:t>
      </w:r>
      <w:r>
        <w:tab/>
      </w:r>
      <w:r>
        <w:rPr>
          <w:spacing w:val="-4"/>
        </w:rPr>
        <w:t>70%</w:t>
      </w:r>
      <w:r>
        <w:tab/>
      </w:r>
      <w:r>
        <w:rPr>
          <w:spacing w:val="-2"/>
        </w:rPr>
        <w:t>вмешательств</w:t>
      </w:r>
      <w:r>
        <w:tab/>
      </w:r>
      <w:r>
        <w:tab/>
      </w:r>
      <w:r>
        <w:rPr>
          <w:spacing w:val="-2"/>
        </w:rPr>
        <w:t>выполнялись</w:t>
      </w:r>
      <w:r>
        <w:tab/>
      </w:r>
      <w:r>
        <w:tab/>
      </w:r>
      <w:r>
        <w:rPr>
          <w:spacing w:val="-10"/>
        </w:rPr>
        <w:t>в</w:t>
      </w:r>
      <w:r>
        <w:tab/>
      </w:r>
      <w:r>
        <w:tab/>
      </w:r>
      <w:r>
        <w:rPr>
          <w:spacing w:val="-2"/>
        </w:rPr>
        <w:t>Алматы</w:t>
      </w:r>
      <w:r>
        <w:t xml:space="preserve"> </w:t>
      </w:r>
      <w:r>
        <w:rPr>
          <w:spacing w:val="-10"/>
        </w:rPr>
        <w:t>и</w:t>
      </w:r>
      <w:r>
        <w:tab/>
      </w:r>
      <w:r>
        <w:rPr>
          <w:spacing w:val="-2"/>
        </w:rPr>
        <w:t>Астане.</w:t>
      </w:r>
      <w:r>
        <w:tab/>
      </w:r>
      <w:r>
        <w:rPr>
          <w:spacing w:val="-2"/>
        </w:rPr>
        <w:t>Показатель послеоперационной</w:t>
      </w:r>
      <w:r>
        <w:tab/>
      </w:r>
      <w:r>
        <w:rPr>
          <w:spacing w:val="-2"/>
        </w:rPr>
        <w:t>летальности</w:t>
      </w:r>
      <w:r>
        <w:t xml:space="preserve"> </w:t>
      </w:r>
      <w:r>
        <w:rPr>
          <w:spacing w:val="-2"/>
        </w:rPr>
        <w:t>снизился</w:t>
      </w:r>
      <w:r>
        <w:t xml:space="preserve"> </w:t>
      </w:r>
      <w:r>
        <w:rPr>
          <w:lang w:val="en-US"/>
        </w:rPr>
        <w:t>c</w:t>
      </w:r>
      <w:r>
        <w:t xml:space="preserve"> </w:t>
      </w:r>
      <w:r>
        <w:rPr>
          <w:spacing w:val="-4"/>
        </w:rPr>
        <w:t>6,2%</w:t>
      </w:r>
      <w:r>
        <w:tab/>
      </w:r>
      <w:r>
        <w:tab/>
      </w:r>
      <w:r>
        <w:rPr>
          <w:spacing w:val="-6"/>
        </w:rPr>
        <w:t>до</w:t>
      </w:r>
      <w:r>
        <w:tab/>
      </w:r>
      <w:r>
        <w:rPr>
          <w:spacing w:val="-2"/>
        </w:rPr>
        <w:t>3,0%,</w:t>
      </w:r>
      <w:r>
        <w:tab/>
      </w:r>
      <w:r>
        <w:tab/>
      </w:r>
      <w:r>
        <w:rPr>
          <w:spacing w:val="-2"/>
        </w:rPr>
        <w:t>причём</w:t>
      </w:r>
      <w:r>
        <w:tab/>
      </w:r>
      <w:r>
        <w:rPr>
          <w:spacing w:val="-10"/>
        </w:rPr>
        <w:t xml:space="preserve">в </w:t>
      </w:r>
      <w:r>
        <w:t>высокообъёмных</w:t>
      </w:r>
      <w:r>
        <w:rPr>
          <w:spacing w:val="40"/>
        </w:rPr>
        <w:t xml:space="preserve"> </w:t>
      </w:r>
      <w:r>
        <w:t>центрах</w:t>
      </w:r>
      <w:r>
        <w:rPr>
          <w:spacing w:val="40"/>
        </w:rPr>
        <w:t xml:space="preserve"> </w:t>
      </w:r>
      <w:r>
        <w:t>он</w:t>
      </w:r>
      <w:r>
        <w:rPr>
          <w:spacing w:val="40"/>
        </w:rPr>
        <w:t xml:space="preserve"> </w:t>
      </w:r>
      <w:r>
        <w:t>был</w:t>
      </w:r>
      <w:r>
        <w:rPr>
          <w:spacing w:val="40"/>
        </w:rPr>
        <w:t xml:space="preserve"> </w:t>
      </w:r>
      <w:r>
        <w:t>стабильнее,</w:t>
      </w:r>
      <w:r>
        <w:rPr>
          <w:spacing w:val="40"/>
        </w:rPr>
        <w:t xml:space="preserve"> </w:t>
      </w:r>
      <w:r>
        <w:t>чем</w:t>
      </w:r>
      <w:r>
        <w:rPr>
          <w:spacing w:val="40"/>
        </w:rPr>
        <w:t xml:space="preserve"> </w:t>
      </w:r>
      <w:r>
        <w:t>в</w:t>
      </w:r>
      <w:r>
        <w:rPr>
          <w:spacing w:val="40"/>
        </w:rPr>
        <w:t xml:space="preserve"> </w:t>
      </w:r>
      <w:r>
        <w:t>регионах</w:t>
      </w:r>
      <w:r>
        <w:rPr>
          <w:spacing w:val="40"/>
        </w:rPr>
        <w:t xml:space="preserve"> </w:t>
      </w:r>
      <w:r>
        <w:t>с</w:t>
      </w:r>
      <w:r>
        <w:rPr>
          <w:spacing w:val="40"/>
        </w:rPr>
        <w:t xml:space="preserve"> </w:t>
      </w:r>
      <w:r>
        <w:t>единичными операциями, что подтверждает зависимость исходов от хирургического объёма. Сравнение</w:t>
      </w:r>
      <w:r>
        <w:rPr>
          <w:spacing w:val="40"/>
        </w:rPr>
        <w:t xml:space="preserve"> </w:t>
      </w:r>
      <w:r>
        <w:t>результатов</w:t>
      </w:r>
      <w:r>
        <w:rPr>
          <w:spacing w:val="40"/>
        </w:rPr>
        <w:t xml:space="preserve"> </w:t>
      </w:r>
      <w:r>
        <w:t>между</w:t>
      </w:r>
      <w:r>
        <w:rPr>
          <w:spacing w:val="40"/>
        </w:rPr>
        <w:t xml:space="preserve"> </w:t>
      </w:r>
      <w:r>
        <w:t>Национальный</w:t>
      </w:r>
      <w:r>
        <w:rPr>
          <w:spacing w:val="40"/>
        </w:rPr>
        <w:t xml:space="preserve"> </w:t>
      </w:r>
      <w:r>
        <w:t>научный</w:t>
      </w:r>
      <w:r>
        <w:rPr>
          <w:spacing w:val="40"/>
        </w:rPr>
        <w:t xml:space="preserve"> </w:t>
      </w:r>
      <w:r>
        <w:t>центр</w:t>
      </w:r>
      <w:r>
        <w:rPr>
          <w:spacing w:val="40"/>
        </w:rPr>
        <w:t xml:space="preserve"> </w:t>
      </w:r>
      <w:r>
        <w:t>хирургии</w:t>
      </w:r>
      <w:r>
        <w:rPr>
          <w:spacing w:val="80"/>
          <w:w w:val="150"/>
        </w:rPr>
        <w:t xml:space="preserve"> </w:t>
      </w:r>
      <w:r>
        <w:rPr>
          <w:spacing w:val="-2"/>
        </w:rPr>
        <w:t>имени</w:t>
      </w:r>
      <w:r>
        <w:tab/>
      </w:r>
      <w:r>
        <w:tab/>
      </w:r>
      <w:r>
        <w:rPr>
          <w:spacing w:val="-4"/>
        </w:rPr>
        <w:t>А.Н.</w:t>
      </w:r>
      <w:r>
        <w:tab/>
      </w:r>
      <w:r>
        <w:rPr>
          <w:spacing w:val="-2"/>
        </w:rPr>
        <w:t>Сызганова</w:t>
      </w:r>
      <w:r>
        <w:t xml:space="preserve"> </w:t>
      </w:r>
      <w:r>
        <w:rPr>
          <w:spacing w:val="-2"/>
        </w:rPr>
        <w:t>Национальный</w:t>
      </w:r>
      <w:r>
        <w:tab/>
      </w:r>
      <w:r>
        <w:rPr>
          <w:spacing w:val="-2"/>
        </w:rPr>
        <w:t>научный</w:t>
      </w:r>
      <w:r>
        <w:tab/>
      </w:r>
      <w:r>
        <w:rPr>
          <w:spacing w:val="-56"/>
        </w:rPr>
        <w:t xml:space="preserve"> </w:t>
      </w:r>
      <w:r>
        <w:t>онкологический</w:t>
      </w:r>
      <w:r>
        <w:tab/>
      </w:r>
      <w:r>
        <w:rPr>
          <w:spacing w:val="-2"/>
        </w:rPr>
        <w:t>центр показало</w:t>
      </w:r>
      <w:r>
        <w:t xml:space="preserve"> </w:t>
      </w:r>
      <w:r>
        <w:rPr>
          <w:spacing w:val="-2"/>
        </w:rPr>
        <w:t>сопоставимость</w:t>
      </w:r>
      <w:r>
        <w:t xml:space="preserve"> </w:t>
      </w:r>
      <w:r>
        <w:rPr>
          <w:spacing w:val="-2"/>
        </w:rPr>
        <w:t>пациентов</w:t>
      </w:r>
      <w:r>
        <w:tab/>
      </w:r>
      <w:r>
        <w:rPr>
          <w:spacing w:val="-6"/>
        </w:rPr>
        <w:t>по</w:t>
      </w:r>
      <w:r>
        <w:tab/>
      </w:r>
      <w:r>
        <w:tab/>
      </w:r>
      <w:r>
        <w:tab/>
      </w:r>
      <w:r>
        <w:t>возрасту,</w:t>
      </w:r>
      <w:r>
        <w:rPr>
          <w:spacing w:val="80"/>
        </w:rPr>
        <w:t xml:space="preserve"> </w:t>
      </w:r>
      <w:r>
        <w:t>полу</w:t>
      </w:r>
      <w:r>
        <w:rPr>
          <w:spacing w:val="80"/>
        </w:rPr>
        <w:t xml:space="preserve"> </w:t>
      </w:r>
      <w:r>
        <w:t>и</w:t>
      </w:r>
      <w:r>
        <w:rPr>
          <w:spacing w:val="80"/>
        </w:rPr>
        <w:t xml:space="preserve"> </w:t>
      </w:r>
      <w:r>
        <w:t>анатомическим факторам риска. Отличия касались большей длительности операций в Алматы при</w:t>
      </w:r>
      <w:r>
        <w:rPr>
          <w:spacing w:val="70"/>
        </w:rPr>
        <w:t xml:space="preserve">  </w:t>
      </w:r>
      <w:r>
        <w:t>сопоставимой</w:t>
      </w:r>
      <w:r>
        <w:rPr>
          <w:spacing w:val="70"/>
        </w:rPr>
        <w:t xml:space="preserve">  </w:t>
      </w:r>
      <w:r>
        <w:t>кровопотере</w:t>
      </w:r>
      <w:r>
        <w:rPr>
          <w:spacing w:val="71"/>
        </w:rPr>
        <w:t xml:space="preserve">  </w:t>
      </w:r>
      <w:r>
        <w:t>и</w:t>
      </w:r>
      <w:r>
        <w:rPr>
          <w:spacing w:val="70"/>
        </w:rPr>
        <w:t xml:space="preserve">  </w:t>
      </w:r>
      <w:r>
        <w:t>более</w:t>
      </w:r>
      <w:r>
        <w:rPr>
          <w:spacing w:val="71"/>
        </w:rPr>
        <w:t xml:space="preserve">  </w:t>
      </w:r>
      <w:r>
        <w:t>высокой</w:t>
      </w:r>
      <w:r>
        <w:rPr>
          <w:spacing w:val="70"/>
        </w:rPr>
        <w:t xml:space="preserve">  </w:t>
      </w:r>
      <w:r>
        <w:t>частоты</w:t>
      </w:r>
      <w:r>
        <w:rPr>
          <w:spacing w:val="70"/>
        </w:rPr>
        <w:t xml:space="preserve">  </w:t>
      </w:r>
      <w:r>
        <w:t>КЗ-ПС</w:t>
      </w:r>
      <w:r>
        <w:rPr>
          <w:spacing w:val="71"/>
        </w:rPr>
        <w:t xml:space="preserve">  </w:t>
      </w:r>
      <w:r>
        <w:t>и релапаротомий в Астане. В целом результаты подтверждают территориальную неоднородность</w:t>
      </w:r>
      <w:r>
        <w:rPr>
          <w:spacing w:val="78"/>
        </w:rPr>
        <w:t xml:space="preserve"> </w:t>
      </w:r>
      <w:r>
        <w:t>выявляемости,</w:t>
      </w:r>
      <w:r>
        <w:rPr>
          <w:spacing w:val="47"/>
          <w:w w:val="150"/>
        </w:rPr>
        <w:t xml:space="preserve"> </w:t>
      </w:r>
      <w:r>
        <w:t>значимость</w:t>
      </w:r>
      <w:r>
        <w:rPr>
          <w:spacing w:val="79"/>
        </w:rPr>
        <w:t xml:space="preserve"> </w:t>
      </w:r>
      <w:r>
        <w:t>централизации</w:t>
      </w:r>
      <w:r>
        <w:rPr>
          <w:spacing w:val="45"/>
          <w:w w:val="150"/>
        </w:rPr>
        <w:t xml:space="preserve"> </w:t>
      </w:r>
      <w:r>
        <w:t>ГПДР</w:t>
      </w:r>
      <w:r>
        <w:rPr>
          <w:spacing w:val="45"/>
          <w:w w:val="150"/>
        </w:rPr>
        <w:t xml:space="preserve"> </w:t>
      </w:r>
      <w:r>
        <w:t>и</w:t>
      </w:r>
      <w:r>
        <w:rPr>
          <w:spacing w:val="45"/>
          <w:w w:val="150"/>
        </w:rPr>
        <w:t xml:space="preserve"> </w:t>
      </w:r>
      <w:r>
        <w:rPr>
          <w:spacing w:val="-2"/>
        </w:rPr>
        <w:t>влияние</w:t>
      </w:r>
    </w:p>
    <w:p w14:paraId="32F0DEC7">
      <w:pPr>
        <w:pStyle w:val="7"/>
        <w:spacing w:before="2"/>
        <w:ind w:left="0" w:firstLine="0"/>
        <w:jc w:val="left"/>
      </w:pPr>
      <w:r>
        <w:t>анатомо-биохимических</w:t>
      </w:r>
      <w:r>
        <w:rPr>
          <w:spacing w:val="-15"/>
        </w:rPr>
        <w:t xml:space="preserve"> </w:t>
      </w:r>
      <w:r>
        <w:t>предикторов</w:t>
      </w:r>
      <w:r>
        <w:rPr>
          <w:spacing w:val="-13"/>
        </w:rPr>
        <w:t xml:space="preserve"> </w:t>
      </w:r>
      <w:r>
        <w:t>на</w:t>
      </w:r>
      <w:r>
        <w:rPr>
          <w:spacing w:val="-7"/>
        </w:rPr>
        <w:t xml:space="preserve"> </w:t>
      </w:r>
      <w:r>
        <w:t>структуру</w:t>
      </w:r>
      <w:r>
        <w:rPr>
          <w:spacing w:val="-15"/>
        </w:rPr>
        <w:t xml:space="preserve"> </w:t>
      </w:r>
      <w:r>
        <w:rPr>
          <w:spacing w:val="-2"/>
        </w:rPr>
        <w:t>осложнений.</w:t>
      </w:r>
    </w:p>
    <w:p w14:paraId="5D9F3F79">
      <w:pPr>
        <w:pStyle w:val="7"/>
        <w:spacing w:before="5"/>
        <w:ind w:left="0" w:firstLine="0"/>
        <w:jc w:val="left"/>
      </w:pPr>
    </w:p>
    <w:p w14:paraId="4152F43A">
      <w:pPr>
        <w:pStyle w:val="3"/>
        <w:numPr>
          <w:ilvl w:val="1"/>
          <w:numId w:val="8"/>
        </w:numPr>
        <w:tabs>
          <w:tab w:val="left" w:pos="1594"/>
        </w:tabs>
        <w:ind w:left="0" w:right="3" w:firstLine="709"/>
      </w:pPr>
      <w:r>
        <w:t>Результаты ретроспективного анализа ГПДР при опухолях периампулярной зоны</w:t>
      </w:r>
    </w:p>
    <w:p w14:paraId="374063C7">
      <w:pPr>
        <w:pStyle w:val="10"/>
        <w:numPr>
          <w:ilvl w:val="2"/>
          <w:numId w:val="8"/>
        </w:numPr>
        <w:tabs>
          <w:tab w:val="left" w:pos="1904"/>
        </w:tabs>
        <w:ind w:left="0" w:right="3" w:firstLine="709"/>
        <w:rPr>
          <w:sz w:val="28"/>
        </w:rPr>
      </w:pPr>
      <w:r>
        <w:rPr>
          <w:sz w:val="28"/>
        </w:rPr>
        <w:t>Общая клинико-демографическая, интраоперационная и послеоперационная характеристика пациентов</w:t>
      </w:r>
    </w:p>
    <w:p w14:paraId="13D0E2C8">
      <w:pPr>
        <w:pStyle w:val="7"/>
        <w:ind w:left="0" w:right="3" w:firstLine="709"/>
      </w:pPr>
      <w:r>
        <w:t>В ретроспективный анализ включено 208 пациентов, перенёсших ГПДР в период с 2016 по 2022 годы. Основные клинико-демографические характеристики, лабораторные показатели, структура локализации опухолей и тип выполненного ПЕА представлены в таблице 12.</w:t>
      </w:r>
    </w:p>
    <w:p w14:paraId="4F98C71B">
      <w:pPr>
        <w:pStyle w:val="7"/>
        <w:spacing w:before="315"/>
        <w:ind w:left="0" w:firstLine="0"/>
        <w:jc w:val="left"/>
      </w:pPr>
      <w:r>
        <w:t>Таблица</w:t>
      </w:r>
      <w:r>
        <w:rPr>
          <w:spacing w:val="-6"/>
        </w:rPr>
        <w:t xml:space="preserve"> </w:t>
      </w:r>
      <w:r>
        <w:t>12</w:t>
      </w:r>
      <w:r>
        <w:rPr>
          <w:spacing w:val="-4"/>
        </w:rPr>
        <w:t xml:space="preserve"> </w:t>
      </w:r>
      <w:r>
        <w:t>-</w:t>
      </w:r>
      <w:r>
        <w:rPr>
          <w:spacing w:val="-4"/>
        </w:rPr>
        <w:t xml:space="preserve"> </w:t>
      </w:r>
      <w:r>
        <w:t>Клинико-демографическая</w:t>
      </w:r>
      <w:r>
        <w:rPr>
          <w:spacing w:val="-2"/>
        </w:rPr>
        <w:t xml:space="preserve"> </w:t>
      </w:r>
      <w:r>
        <w:t>характеристика</w:t>
      </w:r>
      <w:r>
        <w:rPr>
          <w:spacing w:val="-6"/>
        </w:rPr>
        <w:t xml:space="preserve"> </w:t>
      </w:r>
      <w:r>
        <w:t>пациентов,</w:t>
      </w:r>
      <w:r>
        <w:rPr>
          <w:spacing w:val="-4"/>
        </w:rPr>
        <w:t xml:space="preserve"> </w:t>
      </w:r>
      <w:r>
        <w:t>перенёсших ГПДР, в 2016–2022 гг.</w:t>
      </w:r>
    </w:p>
    <w:p w14:paraId="331B3658">
      <w:pPr>
        <w:pStyle w:val="7"/>
        <w:ind w:left="0" w:firstLine="0"/>
        <w:jc w:val="left"/>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54"/>
        <w:gridCol w:w="3685"/>
      </w:tblGrid>
      <w:tr w14:paraId="6F30A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trPr>
        <w:tc>
          <w:tcPr>
            <w:tcW w:w="5954" w:type="dxa"/>
          </w:tcPr>
          <w:p w14:paraId="36009826">
            <w:pPr>
              <w:pStyle w:val="11"/>
              <w:spacing w:line="315" w:lineRule="exact"/>
              <w:ind w:left="887" w:right="714"/>
              <w:rPr>
                <w:sz w:val="24"/>
                <w:szCs w:val="24"/>
              </w:rPr>
            </w:pPr>
            <w:r>
              <w:rPr>
                <w:spacing w:val="-2"/>
                <w:sz w:val="24"/>
                <w:szCs w:val="24"/>
              </w:rPr>
              <w:t>Показатель</w:t>
            </w:r>
          </w:p>
        </w:tc>
        <w:tc>
          <w:tcPr>
            <w:tcW w:w="3685" w:type="dxa"/>
          </w:tcPr>
          <w:p w14:paraId="4FD9BCE6">
            <w:pPr>
              <w:pStyle w:val="11"/>
              <w:spacing w:line="315" w:lineRule="exact"/>
              <w:ind w:left="1123"/>
              <w:jc w:val="left"/>
              <w:rPr>
                <w:sz w:val="24"/>
                <w:szCs w:val="24"/>
                <w:lang w:val="kk-KZ"/>
              </w:rPr>
            </w:pPr>
            <w:r>
              <w:rPr>
                <w:sz w:val="24"/>
                <w:szCs w:val="24"/>
              </w:rPr>
              <w:t>2016–2022</w:t>
            </w:r>
            <w:r>
              <w:rPr>
                <w:spacing w:val="-12"/>
                <w:sz w:val="24"/>
                <w:szCs w:val="24"/>
              </w:rPr>
              <w:t xml:space="preserve"> </w:t>
            </w:r>
            <w:r>
              <w:rPr>
                <w:spacing w:val="-4"/>
                <w:sz w:val="24"/>
                <w:szCs w:val="24"/>
              </w:rPr>
              <w:t>гг.</w:t>
            </w:r>
          </w:p>
        </w:tc>
      </w:tr>
      <w:tr w14:paraId="596B9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5954" w:type="dxa"/>
          </w:tcPr>
          <w:p w14:paraId="3999C044">
            <w:pPr>
              <w:pStyle w:val="11"/>
              <w:spacing w:line="240" w:lineRule="auto"/>
              <w:jc w:val="left"/>
              <w:rPr>
                <w:sz w:val="24"/>
                <w:szCs w:val="24"/>
              </w:rPr>
            </w:pPr>
          </w:p>
        </w:tc>
        <w:tc>
          <w:tcPr>
            <w:tcW w:w="3685" w:type="dxa"/>
          </w:tcPr>
          <w:p w14:paraId="5A71C3A6">
            <w:pPr>
              <w:pStyle w:val="11"/>
              <w:spacing w:line="315" w:lineRule="exact"/>
              <w:ind w:left="178" w:right="11"/>
              <w:rPr>
                <w:sz w:val="24"/>
                <w:szCs w:val="24"/>
              </w:rPr>
            </w:pPr>
            <w:r>
              <w:rPr>
                <w:sz w:val="24"/>
                <w:szCs w:val="24"/>
              </w:rPr>
              <w:t>n</w:t>
            </w:r>
            <w:r>
              <w:rPr>
                <w:spacing w:val="-5"/>
                <w:sz w:val="24"/>
                <w:szCs w:val="24"/>
              </w:rPr>
              <w:t xml:space="preserve"> </w:t>
            </w:r>
            <w:r>
              <w:rPr>
                <w:sz w:val="24"/>
                <w:szCs w:val="24"/>
              </w:rPr>
              <w:t>=</w:t>
            </w:r>
            <w:r>
              <w:rPr>
                <w:spacing w:val="1"/>
                <w:sz w:val="24"/>
                <w:szCs w:val="24"/>
              </w:rPr>
              <w:t xml:space="preserve"> </w:t>
            </w:r>
            <w:r>
              <w:rPr>
                <w:spacing w:val="-5"/>
                <w:sz w:val="24"/>
                <w:szCs w:val="24"/>
              </w:rPr>
              <w:t>208</w:t>
            </w:r>
          </w:p>
        </w:tc>
      </w:tr>
      <w:tr w14:paraId="7CCB3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5954" w:type="dxa"/>
          </w:tcPr>
          <w:p w14:paraId="0F1C2513">
            <w:pPr>
              <w:pStyle w:val="11"/>
              <w:spacing w:line="315" w:lineRule="exact"/>
              <w:ind w:left="278"/>
              <w:jc w:val="left"/>
              <w:rPr>
                <w:sz w:val="24"/>
                <w:szCs w:val="24"/>
              </w:rPr>
            </w:pPr>
            <w:r>
              <w:rPr>
                <w:sz w:val="24"/>
                <w:szCs w:val="24"/>
              </w:rPr>
              <w:t>Возраст,</w:t>
            </w:r>
            <w:r>
              <w:rPr>
                <w:spacing w:val="-3"/>
                <w:sz w:val="24"/>
                <w:szCs w:val="24"/>
              </w:rPr>
              <w:t xml:space="preserve"> </w:t>
            </w:r>
            <w:r>
              <w:rPr>
                <w:sz w:val="24"/>
                <w:szCs w:val="24"/>
              </w:rPr>
              <w:t>лет,</w:t>
            </w:r>
            <w:r>
              <w:rPr>
                <w:spacing w:val="-2"/>
                <w:sz w:val="24"/>
                <w:szCs w:val="24"/>
              </w:rPr>
              <w:t xml:space="preserve"> </w:t>
            </w:r>
            <w:r>
              <w:rPr>
                <w:sz w:val="24"/>
                <w:szCs w:val="24"/>
              </w:rPr>
              <w:t>Me</w:t>
            </w:r>
            <w:r>
              <w:rPr>
                <w:spacing w:val="-5"/>
                <w:sz w:val="24"/>
                <w:szCs w:val="24"/>
              </w:rPr>
              <w:t xml:space="preserve"> </w:t>
            </w:r>
            <w:r>
              <w:rPr>
                <w:sz w:val="24"/>
                <w:szCs w:val="24"/>
              </w:rPr>
              <w:t>[Q1;</w:t>
            </w:r>
            <w:r>
              <w:rPr>
                <w:spacing w:val="-2"/>
                <w:sz w:val="24"/>
                <w:szCs w:val="24"/>
              </w:rPr>
              <w:t xml:space="preserve"> </w:t>
            </w:r>
            <w:r>
              <w:rPr>
                <w:spacing w:val="-5"/>
                <w:sz w:val="24"/>
                <w:szCs w:val="24"/>
              </w:rPr>
              <w:t>Q3]</w:t>
            </w:r>
          </w:p>
        </w:tc>
        <w:tc>
          <w:tcPr>
            <w:tcW w:w="3685" w:type="dxa"/>
          </w:tcPr>
          <w:p w14:paraId="45C6F5A9">
            <w:pPr>
              <w:pStyle w:val="11"/>
              <w:spacing w:line="315" w:lineRule="exact"/>
              <w:ind w:left="178"/>
              <w:rPr>
                <w:sz w:val="24"/>
                <w:szCs w:val="24"/>
              </w:rPr>
            </w:pPr>
            <w:r>
              <w:rPr>
                <w:sz w:val="24"/>
                <w:szCs w:val="24"/>
              </w:rPr>
              <w:t>59,0</w:t>
            </w:r>
            <w:r>
              <w:rPr>
                <w:spacing w:val="-4"/>
                <w:sz w:val="24"/>
                <w:szCs w:val="24"/>
              </w:rPr>
              <w:t xml:space="preserve"> </w:t>
            </w:r>
            <w:r>
              <w:rPr>
                <w:sz w:val="24"/>
                <w:szCs w:val="24"/>
              </w:rPr>
              <w:t>[52,0;</w:t>
            </w:r>
            <w:r>
              <w:rPr>
                <w:spacing w:val="-4"/>
                <w:sz w:val="24"/>
                <w:szCs w:val="24"/>
              </w:rPr>
              <w:t xml:space="preserve"> </w:t>
            </w:r>
            <w:r>
              <w:rPr>
                <w:spacing w:val="-2"/>
                <w:sz w:val="24"/>
                <w:szCs w:val="24"/>
              </w:rPr>
              <w:t>65,0]</w:t>
            </w:r>
          </w:p>
        </w:tc>
      </w:tr>
      <w:tr w14:paraId="1AC4E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954" w:type="dxa"/>
          </w:tcPr>
          <w:p w14:paraId="1A2C804C">
            <w:pPr>
              <w:pStyle w:val="11"/>
              <w:tabs>
                <w:tab w:val="left" w:pos="1823"/>
              </w:tabs>
              <w:spacing w:line="315" w:lineRule="exact"/>
              <w:ind w:right="2572"/>
              <w:jc w:val="right"/>
              <w:rPr>
                <w:sz w:val="24"/>
                <w:szCs w:val="24"/>
              </w:rPr>
            </w:pPr>
            <w:r>
              <w:rPr>
                <w:sz w:val="24"/>
                <w:szCs w:val="24"/>
              </w:rPr>
              <w:t>Пол,</w:t>
            </w:r>
            <w:r>
              <w:rPr>
                <w:spacing w:val="1"/>
                <w:sz w:val="24"/>
                <w:szCs w:val="24"/>
              </w:rPr>
              <w:t xml:space="preserve"> </w:t>
            </w:r>
            <w:r>
              <w:rPr>
                <w:sz w:val="24"/>
                <w:szCs w:val="24"/>
              </w:rPr>
              <w:t>n</w:t>
            </w:r>
            <w:r>
              <w:rPr>
                <w:spacing w:val="-8"/>
                <w:sz w:val="24"/>
                <w:szCs w:val="24"/>
              </w:rPr>
              <w:t xml:space="preserve"> </w:t>
            </w:r>
            <w:r>
              <w:rPr>
                <w:spacing w:val="-4"/>
                <w:sz w:val="24"/>
                <w:szCs w:val="24"/>
              </w:rPr>
              <w:t>(%):</w:t>
            </w:r>
            <w:r>
              <w:rPr>
                <w:sz w:val="24"/>
                <w:szCs w:val="24"/>
              </w:rPr>
              <w:tab/>
            </w:r>
            <w:r>
              <w:rPr>
                <w:spacing w:val="-2"/>
                <w:sz w:val="24"/>
                <w:szCs w:val="24"/>
              </w:rPr>
              <w:t>мужчины</w:t>
            </w:r>
          </w:p>
          <w:p w14:paraId="3842B1C3">
            <w:pPr>
              <w:pStyle w:val="11"/>
              <w:ind w:right="2538"/>
              <w:jc w:val="right"/>
              <w:rPr>
                <w:sz w:val="24"/>
                <w:szCs w:val="24"/>
              </w:rPr>
            </w:pPr>
            <w:r>
              <w:rPr>
                <w:spacing w:val="-2"/>
                <w:sz w:val="24"/>
                <w:szCs w:val="24"/>
              </w:rPr>
              <w:t>женщины</w:t>
            </w:r>
          </w:p>
        </w:tc>
        <w:tc>
          <w:tcPr>
            <w:tcW w:w="3685" w:type="dxa"/>
          </w:tcPr>
          <w:p w14:paraId="71AA4A9F">
            <w:pPr>
              <w:pStyle w:val="11"/>
              <w:spacing w:line="315" w:lineRule="exact"/>
              <w:ind w:left="1368"/>
              <w:jc w:val="left"/>
              <w:rPr>
                <w:sz w:val="24"/>
                <w:szCs w:val="24"/>
              </w:rPr>
            </w:pPr>
            <w:r>
              <w:rPr>
                <w:sz w:val="24"/>
                <w:szCs w:val="24"/>
              </w:rPr>
              <w:t>87</w:t>
            </w:r>
            <w:r>
              <w:rPr>
                <w:spacing w:val="-2"/>
                <w:sz w:val="24"/>
                <w:szCs w:val="24"/>
              </w:rPr>
              <w:t xml:space="preserve"> (41,8%)</w:t>
            </w:r>
          </w:p>
          <w:p w14:paraId="2CFDAC3A">
            <w:pPr>
              <w:pStyle w:val="11"/>
              <w:ind w:left="1272"/>
              <w:jc w:val="left"/>
              <w:rPr>
                <w:sz w:val="24"/>
                <w:szCs w:val="24"/>
              </w:rPr>
            </w:pPr>
            <w:r>
              <w:rPr>
                <w:sz w:val="24"/>
                <w:szCs w:val="24"/>
              </w:rPr>
              <w:t>121</w:t>
            </w:r>
            <w:r>
              <w:rPr>
                <w:spacing w:val="-4"/>
                <w:sz w:val="24"/>
                <w:szCs w:val="24"/>
              </w:rPr>
              <w:t xml:space="preserve"> </w:t>
            </w:r>
            <w:r>
              <w:rPr>
                <w:spacing w:val="-2"/>
                <w:sz w:val="24"/>
                <w:szCs w:val="24"/>
              </w:rPr>
              <w:t>(58,2%)</w:t>
            </w:r>
          </w:p>
        </w:tc>
      </w:tr>
      <w:tr w14:paraId="77AB30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954" w:type="dxa"/>
          </w:tcPr>
          <w:p w14:paraId="0EE9E0E5">
            <w:pPr>
              <w:pStyle w:val="11"/>
              <w:spacing w:line="301" w:lineRule="exact"/>
              <w:ind w:left="278"/>
              <w:jc w:val="left"/>
              <w:rPr>
                <w:sz w:val="24"/>
                <w:szCs w:val="24"/>
              </w:rPr>
            </w:pPr>
            <w:r>
              <w:rPr>
                <w:sz w:val="24"/>
                <w:szCs w:val="24"/>
              </w:rPr>
              <w:t>ИБС, n</w:t>
            </w:r>
            <w:r>
              <w:rPr>
                <w:spacing w:val="-7"/>
                <w:sz w:val="24"/>
                <w:szCs w:val="24"/>
              </w:rPr>
              <w:t xml:space="preserve"> </w:t>
            </w:r>
            <w:r>
              <w:rPr>
                <w:spacing w:val="-5"/>
                <w:sz w:val="24"/>
                <w:szCs w:val="24"/>
              </w:rPr>
              <w:t>(%)</w:t>
            </w:r>
          </w:p>
        </w:tc>
        <w:tc>
          <w:tcPr>
            <w:tcW w:w="3685" w:type="dxa"/>
          </w:tcPr>
          <w:p w14:paraId="3D6570F5">
            <w:pPr>
              <w:pStyle w:val="11"/>
              <w:spacing w:line="301" w:lineRule="exact"/>
              <w:ind w:left="178" w:right="4"/>
              <w:rPr>
                <w:sz w:val="24"/>
                <w:szCs w:val="24"/>
              </w:rPr>
            </w:pPr>
            <w:r>
              <w:rPr>
                <w:sz w:val="24"/>
                <w:szCs w:val="24"/>
              </w:rPr>
              <w:t>98</w:t>
            </w:r>
            <w:r>
              <w:rPr>
                <w:spacing w:val="-2"/>
                <w:sz w:val="24"/>
                <w:szCs w:val="24"/>
              </w:rPr>
              <w:t xml:space="preserve"> (47,1%)</w:t>
            </w:r>
          </w:p>
        </w:tc>
      </w:tr>
      <w:tr w14:paraId="3D892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5954" w:type="dxa"/>
          </w:tcPr>
          <w:p w14:paraId="7D73AC33">
            <w:pPr>
              <w:pStyle w:val="11"/>
              <w:spacing w:line="315" w:lineRule="exact"/>
              <w:ind w:left="278"/>
              <w:jc w:val="left"/>
              <w:rPr>
                <w:sz w:val="24"/>
                <w:szCs w:val="24"/>
              </w:rPr>
            </w:pPr>
            <w:r>
              <w:rPr>
                <w:sz w:val="24"/>
                <w:szCs w:val="24"/>
              </w:rPr>
              <w:t>Сахарный</w:t>
            </w:r>
            <w:r>
              <w:rPr>
                <w:spacing w:val="-5"/>
                <w:sz w:val="24"/>
                <w:szCs w:val="24"/>
              </w:rPr>
              <w:t xml:space="preserve"> </w:t>
            </w:r>
            <w:r>
              <w:rPr>
                <w:sz w:val="24"/>
                <w:szCs w:val="24"/>
              </w:rPr>
              <w:t>диабет,</w:t>
            </w:r>
            <w:r>
              <w:rPr>
                <w:spacing w:val="-2"/>
                <w:sz w:val="24"/>
                <w:szCs w:val="24"/>
              </w:rPr>
              <w:t xml:space="preserve"> </w:t>
            </w:r>
            <w:r>
              <w:rPr>
                <w:sz w:val="24"/>
                <w:szCs w:val="24"/>
              </w:rPr>
              <w:t>n</w:t>
            </w:r>
            <w:r>
              <w:rPr>
                <w:spacing w:val="-9"/>
                <w:sz w:val="24"/>
                <w:szCs w:val="24"/>
              </w:rPr>
              <w:t xml:space="preserve"> </w:t>
            </w:r>
            <w:r>
              <w:rPr>
                <w:spacing w:val="-5"/>
                <w:sz w:val="24"/>
                <w:szCs w:val="24"/>
              </w:rPr>
              <w:t>(%)</w:t>
            </w:r>
          </w:p>
        </w:tc>
        <w:tc>
          <w:tcPr>
            <w:tcW w:w="3685" w:type="dxa"/>
          </w:tcPr>
          <w:p w14:paraId="59A22C44">
            <w:pPr>
              <w:pStyle w:val="11"/>
              <w:spacing w:line="315" w:lineRule="exact"/>
              <w:ind w:left="178" w:right="4"/>
              <w:rPr>
                <w:sz w:val="24"/>
                <w:szCs w:val="24"/>
              </w:rPr>
            </w:pPr>
            <w:r>
              <w:rPr>
                <w:sz w:val="24"/>
                <w:szCs w:val="24"/>
              </w:rPr>
              <w:t>43</w:t>
            </w:r>
            <w:r>
              <w:rPr>
                <w:spacing w:val="-2"/>
                <w:sz w:val="24"/>
                <w:szCs w:val="24"/>
              </w:rPr>
              <w:t xml:space="preserve"> (20,7%)</w:t>
            </w:r>
          </w:p>
        </w:tc>
      </w:tr>
      <w:tr w14:paraId="36BCAD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5954" w:type="dxa"/>
          </w:tcPr>
          <w:p w14:paraId="512DE1BB">
            <w:pPr>
              <w:pStyle w:val="11"/>
              <w:spacing w:line="315" w:lineRule="exact"/>
              <w:ind w:left="278"/>
              <w:jc w:val="left"/>
              <w:rPr>
                <w:sz w:val="24"/>
                <w:szCs w:val="24"/>
              </w:rPr>
            </w:pPr>
            <w:r>
              <w:rPr>
                <w:sz w:val="24"/>
                <w:szCs w:val="24"/>
              </w:rPr>
              <w:t>Предоперационное</w:t>
            </w:r>
            <w:r>
              <w:rPr>
                <w:spacing w:val="-16"/>
                <w:sz w:val="24"/>
                <w:szCs w:val="24"/>
              </w:rPr>
              <w:t xml:space="preserve"> </w:t>
            </w:r>
            <w:r>
              <w:rPr>
                <w:sz w:val="24"/>
                <w:szCs w:val="24"/>
              </w:rPr>
              <w:t>дренирование</w:t>
            </w:r>
            <w:r>
              <w:rPr>
                <w:spacing w:val="-15"/>
                <w:sz w:val="24"/>
                <w:szCs w:val="24"/>
              </w:rPr>
              <w:t xml:space="preserve"> </w:t>
            </w:r>
            <w:r>
              <w:rPr>
                <w:spacing w:val="-2"/>
                <w:sz w:val="24"/>
                <w:szCs w:val="24"/>
              </w:rPr>
              <w:t>желчных</w:t>
            </w:r>
          </w:p>
          <w:p w14:paraId="6839A05E">
            <w:pPr>
              <w:pStyle w:val="11"/>
              <w:ind w:left="278"/>
              <w:jc w:val="left"/>
              <w:rPr>
                <w:sz w:val="24"/>
                <w:szCs w:val="24"/>
              </w:rPr>
            </w:pPr>
            <w:r>
              <w:rPr>
                <w:sz w:val="24"/>
                <w:szCs w:val="24"/>
              </w:rPr>
              <w:t>путей,</w:t>
            </w:r>
            <w:r>
              <w:rPr>
                <w:spacing w:val="-2"/>
                <w:sz w:val="24"/>
                <w:szCs w:val="24"/>
              </w:rPr>
              <w:t xml:space="preserve"> </w:t>
            </w:r>
            <w:r>
              <w:rPr>
                <w:sz w:val="24"/>
                <w:szCs w:val="24"/>
              </w:rPr>
              <w:t>n</w:t>
            </w:r>
            <w:r>
              <w:rPr>
                <w:spacing w:val="-8"/>
                <w:sz w:val="24"/>
                <w:szCs w:val="24"/>
              </w:rPr>
              <w:t xml:space="preserve"> </w:t>
            </w:r>
            <w:r>
              <w:rPr>
                <w:spacing w:val="-5"/>
                <w:sz w:val="24"/>
                <w:szCs w:val="24"/>
              </w:rPr>
              <w:t>(%)</w:t>
            </w:r>
          </w:p>
        </w:tc>
        <w:tc>
          <w:tcPr>
            <w:tcW w:w="3685" w:type="dxa"/>
          </w:tcPr>
          <w:p w14:paraId="05CA2366">
            <w:pPr>
              <w:pStyle w:val="11"/>
              <w:spacing w:line="315" w:lineRule="exact"/>
              <w:ind w:left="178" w:right="5"/>
              <w:rPr>
                <w:sz w:val="24"/>
                <w:szCs w:val="24"/>
              </w:rPr>
            </w:pPr>
            <w:r>
              <w:rPr>
                <w:sz w:val="24"/>
                <w:szCs w:val="24"/>
              </w:rPr>
              <w:t>127</w:t>
            </w:r>
            <w:r>
              <w:rPr>
                <w:spacing w:val="-4"/>
                <w:sz w:val="24"/>
                <w:szCs w:val="24"/>
              </w:rPr>
              <w:t xml:space="preserve"> </w:t>
            </w:r>
            <w:r>
              <w:rPr>
                <w:spacing w:val="-2"/>
                <w:sz w:val="24"/>
                <w:szCs w:val="24"/>
              </w:rPr>
              <w:t>(61,1%)</w:t>
            </w:r>
          </w:p>
        </w:tc>
      </w:tr>
      <w:tr w14:paraId="65A68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1" w:hRule="atLeast"/>
        </w:trPr>
        <w:tc>
          <w:tcPr>
            <w:tcW w:w="5954" w:type="dxa"/>
          </w:tcPr>
          <w:p w14:paraId="7F490532">
            <w:pPr>
              <w:pStyle w:val="11"/>
              <w:spacing w:line="315" w:lineRule="exact"/>
              <w:ind w:left="278"/>
              <w:jc w:val="both"/>
              <w:rPr>
                <w:sz w:val="24"/>
                <w:szCs w:val="24"/>
              </w:rPr>
            </w:pPr>
            <w:r>
              <w:rPr>
                <w:sz w:val="24"/>
                <w:szCs w:val="24"/>
              </w:rPr>
              <w:t>Лабораторные</w:t>
            </w:r>
            <w:r>
              <w:rPr>
                <w:spacing w:val="-16"/>
                <w:sz w:val="24"/>
                <w:szCs w:val="24"/>
              </w:rPr>
              <w:t xml:space="preserve"> </w:t>
            </w:r>
            <w:r>
              <w:rPr>
                <w:spacing w:val="-2"/>
                <w:sz w:val="24"/>
                <w:szCs w:val="24"/>
              </w:rPr>
              <w:t>показатели:</w:t>
            </w:r>
          </w:p>
          <w:p w14:paraId="2F59580F">
            <w:pPr>
              <w:pStyle w:val="11"/>
              <w:spacing w:line="322" w:lineRule="exact"/>
              <w:ind w:left="1224"/>
              <w:jc w:val="both"/>
              <w:rPr>
                <w:sz w:val="24"/>
                <w:szCs w:val="24"/>
              </w:rPr>
            </w:pPr>
            <w:r>
              <w:rPr>
                <w:sz w:val="24"/>
                <w:szCs w:val="24"/>
              </w:rPr>
              <w:t>СА</w:t>
            </w:r>
            <w:r>
              <w:rPr>
                <w:spacing w:val="-9"/>
                <w:sz w:val="24"/>
                <w:szCs w:val="24"/>
              </w:rPr>
              <w:t xml:space="preserve"> </w:t>
            </w:r>
            <w:r>
              <w:rPr>
                <w:sz w:val="24"/>
                <w:szCs w:val="24"/>
              </w:rPr>
              <w:t>19-9,</w:t>
            </w:r>
            <w:r>
              <w:rPr>
                <w:spacing w:val="-2"/>
                <w:sz w:val="24"/>
                <w:szCs w:val="24"/>
              </w:rPr>
              <w:t xml:space="preserve"> </w:t>
            </w:r>
            <w:r>
              <w:rPr>
                <w:sz w:val="24"/>
                <w:szCs w:val="24"/>
              </w:rPr>
              <w:t>U/ml,</w:t>
            </w:r>
            <w:r>
              <w:rPr>
                <w:spacing w:val="-3"/>
                <w:sz w:val="24"/>
                <w:szCs w:val="24"/>
              </w:rPr>
              <w:t xml:space="preserve"> </w:t>
            </w:r>
            <w:r>
              <w:rPr>
                <w:sz w:val="24"/>
                <w:szCs w:val="24"/>
              </w:rPr>
              <w:t>Me</w:t>
            </w:r>
            <w:r>
              <w:rPr>
                <w:spacing w:val="-4"/>
                <w:sz w:val="24"/>
                <w:szCs w:val="24"/>
              </w:rPr>
              <w:t xml:space="preserve"> </w:t>
            </w:r>
            <w:r>
              <w:rPr>
                <w:sz w:val="24"/>
                <w:szCs w:val="24"/>
              </w:rPr>
              <w:t>[Q1;</w:t>
            </w:r>
            <w:r>
              <w:rPr>
                <w:spacing w:val="-5"/>
                <w:sz w:val="24"/>
                <w:szCs w:val="24"/>
              </w:rPr>
              <w:t xml:space="preserve"> Q3]</w:t>
            </w:r>
          </w:p>
          <w:p w14:paraId="11940BE6">
            <w:pPr>
              <w:pStyle w:val="11"/>
              <w:spacing w:line="240" w:lineRule="auto"/>
              <w:ind w:left="1257" w:right="985"/>
              <w:jc w:val="both"/>
              <w:rPr>
                <w:sz w:val="24"/>
                <w:szCs w:val="24"/>
              </w:rPr>
            </w:pPr>
            <w:r>
              <w:rPr>
                <w:sz w:val="24"/>
                <w:szCs w:val="24"/>
              </w:rPr>
              <w:t>Гемоглобин, г/л,</w:t>
            </w:r>
            <w:r>
              <w:rPr>
                <w:spacing w:val="-1"/>
                <w:sz w:val="24"/>
                <w:szCs w:val="24"/>
              </w:rPr>
              <w:t xml:space="preserve"> </w:t>
            </w:r>
            <w:r>
              <w:rPr>
                <w:sz w:val="24"/>
                <w:szCs w:val="24"/>
              </w:rPr>
              <w:t>Me [Q1; Q3] Общий билирубин, мкмоль/л Прямой</w:t>
            </w:r>
            <w:r>
              <w:rPr>
                <w:spacing w:val="-9"/>
                <w:sz w:val="24"/>
                <w:szCs w:val="24"/>
              </w:rPr>
              <w:t xml:space="preserve"> </w:t>
            </w:r>
            <w:r>
              <w:rPr>
                <w:sz w:val="24"/>
                <w:szCs w:val="24"/>
              </w:rPr>
              <w:t>билирубин,</w:t>
            </w:r>
            <w:r>
              <w:rPr>
                <w:spacing w:val="-8"/>
                <w:sz w:val="24"/>
                <w:szCs w:val="24"/>
              </w:rPr>
              <w:t xml:space="preserve"> </w:t>
            </w:r>
            <w:r>
              <w:rPr>
                <w:spacing w:val="-2"/>
                <w:sz w:val="24"/>
                <w:szCs w:val="24"/>
              </w:rPr>
              <w:t>мкмоль/л</w:t>
            </w:r>
          </w:p>
          <w:p w14:paraId="77991EDD">
            <w:pPr>
              <w:pStyle w:val="11"/>
              <w:ind w:left="1224"/>
              <w:jc w:val="both"/>
              <w:rPr>
                <w:sz w:val="24"/>
                <w:szCs w:val="24"/>
              </w:rPr>
            </w:pPr>
            <w:r>
              <w:rPr>
                <w:sz w:val="24"/>
                <w:szCs w:val="24"/>
              </w:rPr>
              <w:t>Альбумин,</w:t>
            </w:r>
            <w:r>
              <w:rPr>
                <w:spacing w:val="-5"/>
                <w:sz w:val="24"/>
                <w:szCs w:val="24"/>
              </w:rPr>
              <w:t xml:space="preserve"> </w:t>
            </w:r>
            <w:r>
              <w:rPr>
                <w:sz w:val="24"/>
                <w:szCs w:val="24"/>
              </w:rPr>
              <w:t>г/л,</w:t>
            </w:r>
            <w:r>
              <w:rPr>
                <w:spacing w:val="-4"/>
                <w:sz w:val="24"/>
                <w:szCs w:val="24"/>
              </w:rPr>
              <w:t xml:space="preserve"> </w:t>
            </w:r>
            <w:r>
              <w:rPr>
                <w:sz w:val="24"/>
                <w:szCs w:val="24"/>
              </w:rPr>
              <w:t>Me</w:t>
            </w:r>
            <w:r>
              <w:rPr>
                <w:spacing w:val="-5"/>
                <w:sz w:val="24"/>
                <w:szCs w:val="24"/>
              </w:rPr>
              <w:t xml:space="preserve"> </w:t>
            </w:r>
            <w:r>
              <w:rPr>
                <w:sz w:val="24"/>
                <w:szCs w:val="24"/>
              </w:rPr>
              <w:t>[Q1;</w:t>
            </w:r>
            <w:r>
              <w:rPr>
                <w:spacing w:val="-6"/>
                <w:sz w:val="24"/>
                <w:szCs w:val="24"/>
              </w:rPr>
              <w:t xml:space="preserve"> </w:t>
            </w:r>
            <w:r>
              <w:rPr>
                <w:spacing w:val="-5"/>
                <w:sz w:val="24"/>
                <w:szCs w:val="24"/>
              </w:rPr>
              <w:t>Q3]</w:t>
            </w:r>
          </w:p>
        </w:tc>
        <w:tc>
          <w:tcPr>
            <w:tcW w:w="3685" w:type="dxa"/>
          </w:tcPr>
          <w:p w14:paraId="4841F9D9">
            <w:pPr>
              <w:pStyle w:val="11"/>
              <w:spacing w:before="314" w:line="322" w:lineRule="exact"/>
              <w:ind w:left="965"/>
              <w:jc w:val="left"/>
              <w:rPr>
                <w:sz w:val="24"/>
                <w:szCs w:val="24"/>
              </w:rPr>
            </w:pPr>
            <w:r>
              <w:rPr>
                <w:sz w:val="24"/>
                <w:szCs w:val="24"/>
              </w:rPr>
              <w:t>56,4</w:t>
            </w:r>
            <w:r>
              <w:rPr>
                <w:spacing w:val="-4"/>
                <w:sz w:val="24"/>
                <w:szCs w:val="24"/>
              </w:rPr>
              <w:t xml:space="preserve"> </w:t>
            </w:r>
            <w:r>
              <w:rPr>
                <w:sz w:val="24"/>
                <w:szCs w:val="24"/>
              </w:rPr>
              <w:t>[12,9;</w:t>
            </w:r>
            <w:r>
              <w:rPr>
                <w:spacing w:val="-4"/>
                <w:sz w:val="24"/>
                <w:szCs w:val="24"/>
              </w:rPr>
              <w:t xml:space="preserve"> </w:t>
            </w:r>
            <w:r>
              <w:rPr>
                <w:spacing w:val="-2"/>
                <w:sz w:val="24"/>
                <w:szCs w:val="24"/>
              </w:rPr>
              <w:t>267,1]</w:t>
            </w:r>
          </w:p>
          <w:p w14:paraId="261AD386">
            <w:pPr>
              <w:pStyle w:val="11"/>
              <w:spacing w:line="322" w:lineRule="exact"/>
              <w:ind w:left="826"/>
              <w:jc w:val="left"/>
              <w:rPr>
                <w:sz w:val="24"/>
                <w:szCs w:val="24"/>
              </w:rPr>
            </w:pPr>
            <w:r>
              <w:rPr>
                <w:sz w:val="24"/>
                <w:szCs w:val="24"/>
              </w:rPr>
              <w:t>124,0</w:t>
            </w:r>
            <w:r>
              <w:rPr>
                <w:spacing w:val="-6"/>
                <w:sz w:val="24"/>
                <w:szCs w:val="24"/>
              </w:rPr>
              <w:t xml:space="preserve"> </w:t>
            </w:r>
            <w:r>
              <w:rPr>
                <w:sz w:val="24"/>
                <w:szCs w:val="24"/>
              </w:rPr>
              <w:t>[111,8;</w:t>
            </w:r>
            <w:r>
              <w:rPr>
                <w:spacing w:val="-5"/>
                <w:sz w:val="24"/>
                <w:szCs w:val="24"/>
              </w:rPr>
              <w:t xml:space="preserve"> </w:t>
            </w:r>
            <w:r>
              <w:rPr>
                <w:spacing w:val="-2"/>
                <w:sz w:val="24"/>
                <w:szCs w:val="24"/>
              </w:rPr>
              <w:t>133,3]</w:t>
            </w:r>
          </w:p>
          <w:p w14:paraId="6E317F6A">
            <w:pPr>
              <w:pStyle w:val="11"/>
              <w:spacing w:line="322" w:lineRule="exact"/>
              <w:ind w:left="1037"/>
              <w:jc w:val="left"/>
              <w:rPr>
                <w:sz w:val="24"/>
                <w:szCs w:val="24"/>
              </w:rPr>
            </w:pPr>
            <w:r>
              <w:rPr>
                <w:sz w:val="24"/>
                <w:szCs w:val="24"/>
              </w:rPr>
              <w:t>39,4</w:t>
            </w:r>
            <w:r>
              <w:rPr>
                <w:spacing w:val="-4"/>
                <w:sz w:val="24"/>
                <w:szCs w:val="24"/>
              </w:rPr>
              <w:t xml:space="preserve"> </w:t>
            </w:r>
            <w:r>
              <w:rPr>
                <w:sz w:val="24"/>
                <w:szCs w:val="24"/>
              </w:rPr>
              <w:t>[17,5;</w:t>
            </w:r>
            <w:r>
              <w:rPr>
                <w:spacing w:val="-4"/>
                <w:sz w:val="24"/>
                <w:szCs w:val="24"/>
              </w:rPr>
              <w:t xml:space="preserve"> </w:t>
            </w:r>
            <w:r>
              <w:rPr>
                <w:spacing w:val="-2"/>
                <w:sz w:val="24"/>
                <w:szCs w:val="24"/>
              </w:rPr>
              <w:t>75,9]</w:t>
            </w:r>
          </w:p>
          <w:p w14:paraId="7BF1E723">
            <w:pPr>
              <w:pStyle w:val="11"/>
              <w:spacing w:line="240" w:lineRule="auto"/>
              <w:ind w:left="1037"/>
              <w:jc w:val="left"/>
              <w:rPr>
                <w:sz w:val="24"/>
                <w:szCs w:val="24"/>
              </w:rPr>
            </w:pPr>
            <w:r>
              <w:rPr>
                <w:sz w:val="24"/>
                <w:szCs w:val="24"/>
              </w:rPr>
              <w:t>35,1</w:t>
            </w:r>
            <w:r>
              <w:rPr>
                <w:spacing w:val="-4"/>
                <w:sz w:val="24"/>
                <w:szCs w:val="24"/>
              </w:rPr>
              <w:t xml:space="preserve"> </w:t>
            </w:r>
            <w:r>
              <w:rPr>
                <w:sz w:val="24"/>
                <w:szCs w:val="24"/>
              </w:rPr>
              <w:t>[11,9;</w:t>
            </w:r>
            <w:r>
              <w:rPr>
                <w:spacing w:val="-4"/>
                <w:sz w:val="24"/>
                <w:szCs w:val="24"/>
              </w:rPr>
              <w:t xml:space="preserve"> </w:t>
            </w:r>
            <w:r>
              <w:rPr>
                <w:spacing w:val="-2"/>
                <w:sz w:val="24"/>
                <w:szCs w:val="24"/>
              </w:rPr>
              <w:t>67,8]</w:t>
            </w:r>
          </w:p>
          <w:p w14:paraId="0A3D1DA2">
            <w:pPr>
              <w:pStyle w:val="11"/>
              <w:spacing w:before="1"/>
              <w:ind w:left="1037"/>
              <w:jc w:val="left"/>
              <w:rPr>
                <w:sz w:val="24"/>
                <w:szCs w:val="24"/>
              </w:rPr>
            </w:pPr>
            <w:r>
              <w:rPr>
                <w:sz w:val="24"/>
                <w:szCs w:val="24"/>
              </w:rPr>
              <w:t>38,7</w:t>
            </w:r>
            <w:r>
              <w:rPr>
                <w:spacing w:val="-4"/>
                <w:sz w:val="24"/>
                <w:szCs w:val="24"/>
              </w:rPr>
              <w:t xml:space="preserve"> </w:t>
            </w:r>
            <w:r>
              <w:rPr>
                <w:sz w:val="24"/>
                <w:szCs w:val="24"/>
              </w:rPr>
              <w:t>[35,6;</w:t>
            </w:r>
            <w:r>
              <w:rPr>
                <w:spacing w:val="-4"/>
                <w:sz w:val="24"/>
                <w:szCs w:val="24"/>
              </w:rPr>
              <w:t xml:space="preserve"> </w:t>
            </w:r>
            <w:r>
              <w:rPr>
                <w:spacing w:val="-2"/>
                <w:sz w:val="24"/>
                <w:szCs w:val="24"/>
              </w:rPr>
              <w:t>42,7]</w:t>
            </w:r>
          </w:p>
        </w:tc>
      </w:tr>
      <w:tr w14:paraId="2EC63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trPr>
        <w:tc>
          <w:tcPr>
            <w:tcW w:w="5954" w:type="dxa"/>
          </w:tcPr>
          <w:p w14:paraId="4008FF30">
            <w:pPr>
              <w:pStyle w:val="11"/>
              <w:tabs>
                <w:tab w:val="left" w:pos="3090"/>
              </w:tabs>
              <w:spacing w:line="315" w:lineRule="exact"/>
              <w:ind w:left="278"/>
              <w:jc w:val="left"/>
              <w:rPr>
                <w:sz w:val="24"/>
                <w:szCs w:val="24"/>
              </w:rPr>
            </w:pPr>
            <w:r>
              <w:rPr>
                <w:sz w:val="24"/>
                <w:szCs w:val="24"/>
              </w:rPr>
              <w:t>Локализация,</w:t>
            </w:r>
            <w:r>
              <w:rPr>
                <w:spacing w:val="-4"/>
                <w:sz w:val="24"/>
                <w:szCs w:val="24"/>
              </w:rPr>
              <w:t xml:space="preserve"> </w:t>
            </w:r>
            <w:r>
              <w:rPr>
                <w:sz w:val="24"/>
                <w:szCs w:val="24"/>
              </w:rPr>
              <w:t>n</w:t>
            </w:r>
            <w:r>
              <w:rPr>
                <w:spacing w:val="-9"/>
                <w:sz w:val="24"/>
                <w:szCs w:val="24"/>
              </w:rPr>
              <w:t xml:space="preserve"> </w:t>
            </w:r>
            <w:r>
              <w:rPr>
                <w:spacing w:val="-4"/>
                <w:sz w:val="24"/>
                <w:szCs w:val="24"/>
              </w:rPr>
              <w:t>(%):</w:t>
            </w:r>
            <w:r>
              <w:rPr>
                <w:sz w:val="24"/>
                <w:szCs w:val="24"/>
              </w:rPr>
              <w:tab/>
            </w:r>
            <w:r>
              <w:rPr>
                <w:sz w:val="24"/>
                <w:szCs w:val="24"/>
              </w:rPr>
              <w:t xml:space="preserve">  </w:t>
            </w:r>
            <w:r>
              <w:rPr>
                <w:spacing w:val="-5"/>
                <w:sz w:val="24"/>
                <w:szCs w:val="24"/>
              </w:rPr>
              <w:t>ГПЖ</w:t>
            </w:r>
          </w:p>
          <w:p w14:paraId="3432ADD4">
            <w:pPr>
              <w:pStyle w:val="11"/>
              <w:spacing w:line="240" w:lineRule="auto"/>
              <w:ind w:left="887"/>
              <w:rPr>
                <w:sz w:val="24"/>
                <w:szCs w:val="24"/>
              </w:rPr>
            </w:pPr>
            <w:r>
              <w:rPr>
                <w:spacing w:val="-5"/>
                <w:sz w:val="24"/>
                <w:szCs w:val="24"/>
              </w:rPr>
              <w:t>БДС</w:t>
            </w:r>
          </w:p>
          <w:p w14:paraId="17436C3E">
            <w:pPr>
              <w:pStyle w:val="11"/>
              <w:spacing w:line="322" w:lineRule="exact"/>
              <w:ind w:left="3078" w:right="2150" w:hanging="5"/>
              <w:rPr>
                <w:sz w:val="24"/>
                <w:szCs w:val="24"/>
              </w:rPr>
            </w:pPr>
            <w:r>
              <w:rPr>
                <w:spacing w:val="-4"/>
                <w:sz w:val="24"/>
                <w:szCs w:val="24"/>
              </w:rPr>
              <w:t xml:space="preserve">ТОХ </w:t>
            </w:r>
            <w:r>
              <w:rPr>
                <w:spacing w:val="-6"/>
                <w:sz w:val="24"/>
                <w:szCs w:val="24"/>
              </w:rPr>
              <w:t>ДПК</w:t>
            </w:r>
          </w:p>
        </w:tc>
        <w:tc>
          <w:tcPr>
            <w:tcW w:w="3685" w:type="dxa"/>
          </w:tcPr>
          <w:p w14:paraId="109C5247">
            <w:pPr>
              <w:pStyle w:val="11"/>
              <w:spacing w:line="315" w:lineRule="exact"/>
              <w:ind w:left="178" w:right="100"/>
              <w:rPr>
                <w:sz w:val="24"/>
                <w:szCs w:val="24"/>
              </w:rPr>
            </w:pPr>
            <w:r>
              <w:rPr>
                <w:sz w:val="24"/>
                <w:szCs w:val="24"/>
              </w:rPr>
              <w:t>116</w:t>
            </w:r>
            <w:r>
              <w:rPr>
                <w:spacing w:val="-3"/>
                <w:sz w:val="24"/>
                <w:szCs w:val="24"/>
              </w:rPr>
              <w:t xml:space="preserve"> </w:t>
            </w:r>
            <w:r>
              <w:rPr>
                <w:spacing w:val="-2"/>
                <w:sz w:val="24"/>
                <w:szCs w:val="24"/>
              </w:rPr>
              <w:t>(55,8%)</w:t>
            </w:r>
          </w:p>
          <w:p w14:paraId="580D39C5">
            <w:pPr>
              <w:pStyle w:val="11"/>
              <w:spacing w:line="240" w:lineRule="auto"/>
              <w:ind w:left="178" w:right="4"/>
              <w:rPr>
                <w:sz w:val="24"/>
                <w:szCs w:val="24"/>
              </w:rPr>
            </w:pPr>
            <w:r>
              <w:rPr>
                <w:sz w:val="24"/>
                <w:szCs w:val="24"/>
              </w:rPr>
              <w:t>78</w:t>
            </w:r>
            <w:r>
              <w:rPr>
                <w:spacing w:val="-2"/>
                <w:sz w:val="24"/>
                <w:szCs w:val="24"/>
              </w:rPr>
              <w:t xml:space="preserve"> (37,5%)</w:t>
            </w:r>
          </w:p>
          <w:p w14:paraId="0E6E1B74">
            <w:pPr>
              <w:pStyle w:val="11"/>
              <w:spacing w:before="4" w:line="322" w:lineRule="exact"/>
              <w:ind w:left="178" w:right="4"/>
              <w:rPr>
                <w:sz w:val="24"/>
                <w:szCs w:val="24"/>
              </w:rPr>
            </w:pPr>
            <w:r>
              <w:rPr>
                <w:sz w:val="24"/>
                <w:szCs w:val="24"/>
              </w:rPr>
              <w:t>8</w:t>
            </w:r>
            <w:r>
              <w:rPr>
                <w:spacing w:val="-1"/>
                <w:sz w:val="24"/>
                <w:szCs w:val="24"/>
              </w:rPr>
              <w:t xml:space="preserve"> </w:t>
            </w:r>
            <w:r>
              <w:rPr>
                <w:spacing w:val="-2"/>
                <w:sz w:val="24"/>
                <w:szCs w:val="24"/>
              </w:rPr>
              <w:t>(3,8%)</w:t>
            </w:r>
          </w:p>
          <w:p w14:paraId="311FDF4C">
            <w:pPr>
              <w:pStyle w:val="11"/>
              <w:ind w:left="178" w:right="4"/>
              <w:rPr>
                <w:sz w:val="24"/>
                <w:szCs w:val="24"/>
              </w:rPr>
            </w:pPr>
            <w:r>
              <w:rPr>
                <w:sz w:val="24"/>
                <w:szCs w:val="24"/>
              </w:rPr>
              <w:t>6</w:t>
            </w:r>
            <w:r>
              <w:rPr>
                <w:spacing w:val="-1"/>
                <w:sz w:val="24"/>
                <w:szCs w:val="24"/>
              </w:rPr>
              <w:t xml:space="preserve"> </w:t>
            </w:r>
            <w:r>
              <w:rPr>
                <w:spacing w:val="-2"/>
                <w:sz w:val="24"/>
                <w:szCs w:val="24"/>
              </w:rPr>
              <w:t>(2,9%)</w:t>
            </w:r>
          </w:p>
        </w:tc>
      </w:tr>
      <w:tr w14:paraId="6D057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5954" w:type="dxa"/>
          </w:tcPr>
          <w:p w14:paraId="060254B2">
            <w:pPr>
              <w:pStyle w:val="11"/>
              <w:tabs>
                <w:tab w:val="left" w:pos="2807"/>
              </w:tabs>
              <w:spacing w:line="315" w:lineRule="exact"/>
              <w:ind w:left="278"/>
              <w:jc w:val="left"/>
              <w:rPr>
                <w:sz w:val="24"/>
                <w:szCs w:val="24"/>
              </w:rPr>
            </w:pPr>
            <w:r>
              <w:rPr>
                <w:sz w:val="24"/>
                <w:szCs w:val="24"/>
              </w:rPr>
              <w:t>Тип</w:t>
            </w:r>
            <w:r>
              <w:rPr>
                <w:spacing w:val="-3"/>
                <w:sz w:val="24"/>
                <w:szCs w:val="24"/>
              </w:rPr>
              <w:t xml:space="preserve"> </w:t>
            </w:r>
            <w:r>
              <w:rPr>
                <w:sz w:val="24"/>
                <w:szCs w:val="24"/>
              </w:rPr>
              <w:t>ПЕА, n</w:t>
            </w:r>
            <w:r>
              <w:rPr>
                <w:spacing w:val="-10"/>
                <w:sz w:val="24"/>
                <w:szCs w:val="24"/>
              </w:rPr>
              <w:t xml:space="preserve"> </w:t>
            </w:r>
            <w:r>
              <w:rPr>
                <w:spacing w:val="-4"/>
                <w:sz w:val="24"/>
                <w:szCs w:val="24"/>
              </w:rPr>
              <w:t>(%):</w:t>
            </w:r>
            <w:r>
              <w:rPr>
                <w:sz w:val="24"/>
                <w:szCs w:val="24"/>
              </w:rPr>
              <w:tab/>
            </w:r>
            <w:r>
              <w:rPr>
                <w:spacing w:val="-2"/>
                <w:sz w:val="24"/>
                <w:szCs w:val="24"/>
              </w:rPr>
              <w:t>Стандартный</w:t>
            </w:r>
          </w:p>
          <w:p w14:paraId="2277E44B">
            <w:pPr>
              <w:pStyle w:val="11"/>
              <w:ind w:left="2804"/>
              <w:jc w:val="left"/>
              <w:rPr>
                <w:sz w:val="24"/>
                <w:szCs w:val="24"/>
              </w:rPr>
            </w:pPr>
            <w:r>
              <w:rPr>
                <w:spacing w:val="-2"/>
                <w:sz w:val="24"/>
                <w:szCs w:val="24"/>
              </w:rPr>
              <w:t>Инвагинационный</w:t>
            </w:r>
          </w:p>
        </w:tc>
        <w:tc>
          <w:tcPr>
            <w:tcW w:w="3685" w:type="dxa"/>
          </w:tcPr>
          <w:p w14:paraId="6C7DCA7D">
            <w:pPr>
              <w:pStyle w:val="11"/>
              <w:spacing w:line="315" w:lineRule="exact"/>
              <w:ind w:left="1224"/>
              <w:jc w:val="left"/>
              <w:rPr>
                <w:sz w:val="24"/>
                <w:szCs w:val="24"/>
              </w:rPr>
            </w:pPr>
            <w:r>
              <w:rPr>
                <w:sz w:val="24"/>
                <w:szCs w:val="24"/>
              </w:rPr>
              <w:t>179</w:t>
            </w:r>
            <w:r>
              <w:rPr>
                <w:spacing w:val="-4"/>
                <w:sz w:val="24"/>
                <w:szCs w:val="24"/>
              </w:rPr>
              <w:t xml:space="preserve"> </w:t>
            </w:r>
            <w:r>
              <w:rPr>
                <w:spacing w:val="-2"/>
                <w:sz w:val="24"/>
                <w:szCs w:val="24"/>
              </w:rPr>
              <w:t>(86,1%)</w:t>
            </w:r>
          </w:p>
          <w:p w14:paraId="30CE14EC">
            <w:pPr>
              <w:pStyle w:val="11"/>
              <w:ind w:left="1344"/>
              <w:jc w:val="left"/>
              <w:rPr>
                <w:sz w:val="24"/>
                <w:szCs w:val="24"/>
              </w:rPr>
            </w:pPr>
            <w:r>
              <w:rPr>
                <w:sz w:val="24"/>
                <w:szCs w:val="24"/>
              </w:rPr>
              <w:t>29</w:t>
            </w:r>
            <w:r>
              <w:rPr>
                <w:spacing w:val="-2"/>
                <w:sz w:val="24"/>
                <w:szCs w:val="24"/>
              </w:rPr>
              <w:t xml:space="preserve"> (13,9%)</w:t>
            </w:r>
          </w:p>
        </w:tc>
      </w:tr>
    </w:tbl>
    <w:p w14:paraId="04C49AB3">
      <w:pPr>
        <w:pStyle w:val="7"/>
        <w:spacing w:before="12"/>
        <w:ind w:left="0" w:firstLine="0"/>
        <w:jc w:val="left"/>
      </w:pPr>
    </w:p>
    <w:p w14:paraId="056F8A31">
      <w:pPr>
        <w:pStyle w:val="7"/>
        <w:ind w:left="0" w:right="3" w:firstLine="709"/>
      </w:pPr>
      <w:r>
        <w:t>Медианный возраст пациентов составил 59 лет; основная часть обследованных относилась к лицам среднего и старшего возраста. В исследуемой</w:t>
      </w:r>
      <w:r>
        <w:rPr>
          <w:spacing w:val="-2"/>
        </w:rPr>
        <w:t xml:space="preserve"> </w:t>
      </w:r>
      <w:r>
        <w:t>когорте</w:t>
      </w:r>
      <w:r>
        <w:rPr>
          <w:spacing w:val="-1"/>
        </w:rPr>
        <w:t xml:space="preserve"> </w:t>
      </w:r>
      <w:r>
        <w:t>преобладали</w:t>
      </w:r>
      <w:r>
        <w:rPr>
          <w:spacing w:val="-2"/>
        </w:rPr>
        <w:t xml:space="preserve"> </w:t>
      </w:r>
      <w:r>
        <w:t>женщины</w:t>
      </w:r>
      <w:r>
        <w:rPr>
          <w:spacing w:val="-2"/>
        </w:rPr>
        <w:t xml:space="preserve"> </w:t>
      </w:r>
      <w:r>
        <w:t>(58,2%), что</w:t>
      </w:r>
      <w:r>
        <w:rPr>
          <w:spacing w:val="-2"/>
        </w:rPr>
        <w:t xml:space="preserve"> </w:t>
      </w:r>
      <w:r>
        <w:t>в</w:t>
      </w:r>
      <w:r>
        <w:rPr>
          <w:spacing w:val="-4"/>
        </w:rPr>
        <w:t xml:space="preserve"> </w:t>
      </w:r>
      <w:r>
        <w:t>целом соответствует структуре обращаемости пациентов с опухолями периампулярной зоны.</w:t>
      </w:r>
    </w:p>
    <w:p w14:paraId="23152004">
      <w:pPr>
        <w:pStyle w:val="7"/>
        <w:spacing w:before="68"/>
        <w:ind w:left="0" w:firstLine="0"/>
        <w:jc w:val="left"/>
        <w:rPr>
          <w:sz w:val="20"/>
        </w:rPr>
      </w:pPr>
      <w:r>
        <w:rPr>
          <w:sz w:val="20"/>
          <w:lang w:eastAsia="ru-RU"/>
        </w:rPr>
        <mc:AlternateContent>
          <mc:Choice Requires="wpg">
            <w:drawing>
              <wp:anchor distT="0" distB="0" distL="0" distR="0" simplePos="0" relativeHeight="251675648" behindDoc="1" locked="0" layoutInCell="1" allowOverlap="1">
                <wp:simplePos x="0" y="0"/>
                <wp:positionH relativeFrom="page">
                  <wp:posOffset>2592705</wp:posOffset>
                </wp:positionH>
                <wp:positionV relativeFrom="paragraph">
                  <wp:posOffset>207010</wp:posOffset>
                </wp:positionV>
                <wp:extent cx="3522980" cy="2073910"/>
                <wp:effectExtent l="0" t="0" r="20320" b="21590"/>
                <wp:wrapTopAndBottom/>
                <wp:docPr id="140" name="Group 140"/>
                <wp:cNvGraphicFramePr/>
                <a:graphic xmlns:a="http://schemas.openxmlformats.org/drawingml/2006/main">
                  <a:graphicData uri="http://schemas.microsoft.com/office/word/2010/wordprocessingGroup">
                    <wpg:wgp>
                      <wpg:cNvGrpSpPr/>
                      <wpg:grpSpPr>
                        <a:xfrm>
                          <a:off x="0" y="0"/>
                          <a:ext cx="3522980" cy="2073910"/>
                          <a:chOff x="0" y="0"/>
                          <a:chExt cx="3604895" cy="2448560"/>
                        </a:xfrm>
                      </wpg:grpSpPr>
                      <wps:wsp>
                        <wps:cNvPr id="141" name="Graphic 141"/>
                        <wps:cNvSpPr/>
                        <wps:spPr>
                          <a:xfrm>
                            <a:off x="1252855" y="372999"/>
                            <a:ext cx="887094" cy="1659255"/>
                          </a:xfrm>
                          <a:custGeom>
                            <a:avLst/>
                            <a:gdLst/>
                            <a:ahLst/>
                            <a:cxnLst/>
                            <a:rect l="l" t="t" r="r" b="b"/>
                            <a:pathLst>
                              <a:path w="887094" h="1659255">
                                <a:moveTo>
                                  <a:pt x="0" y="0"/>
                                </a:moveTo>
                                <a:lnTo>
                                  <a:pt x="0" y="886968"/>
                                </a:lnTo>
                                <a:lnTo>
                                  <a:pt x="437006" y="1658874"/>
                                </a:lnTo>
                                <a:lnTo>
                                  <a:pt x="480029" y="1632883"/>
                                </a:lnTo>
                                <a:lnTo>
                                  <a:pt x="521227" y="1604707"/>
                                </a:lnTo>
                                <a:lnTo>
                                  <a:pt x="560544" y="1574444"/>
                                </a:lnTo>
                                <a:lnTo>
                                  <a:pt x="597922" y="1542194"/>
                                </a:lnTo>
                                <a:lnTo>
                                  <a:pt x="633304" y="1508054"/>
                                </a:lnTo>
                                <a:lnTo>
                                  <a:pt x="666633" y="1472123"/>
                                </a:lnTo>
                                <a:lnTo>
                                  <a:pt x="697851" y="1434501"/>
                                </a:lnTo>
                                <a:lnTo>
                                  <a:pt x="726901" y="1395285"/>
                                </a:lnTo>
                                <a:lnTo>
                                  <a:pt x="753726" y="1354575"/>
                                </a:lnTo>
                                <a:lnTo>
                                  <a:pt x="778268" y="1312468"/>
                                </a:lnTo>
                                <a:lnTo>
                                  <a:pt x="800470" y="1269065"/>
                                </a:lnTo>
                                <a:lnTo>
                                  <a:pt x="820275" y="1224462"/>
                                </a:lnTo>
                                <a:lnTo>
                                  <a:pt x="837625" y="1178760"/>
                                </a:lnTo>
                                <a:lnTo>
                                  <a:pt x="852463" y="1132056"/>
                                </a:lnTo>
                                <a:lnTo>
                                  <a:pt x="864732" y="1084449"/>
                                </a:lnTo>
                                <a:lnTo>
                                  <a:pt x="874374" y="1036038"/>
                                </a:lnTo>
                                <a:lnTo>
                                  <a:pt x="881332" y="986922"/>
                                </a:lnTo>
                                <a:lnTo>
                                  <a:pt x="885549" y="937199"/>
                                </a:lnTo>
                                <a:lnTo>
                                  <a:pt x="886967" y="886968"/>
                                </a:lnTo>
                                <a:lnTo>
                                  <a:pt x="885655" y="838304"/>
                                </a:lnTo>
                                <a:lnTo>
                                  <a:pt x="881763" y="790326"/>
                                </a:lnTo>
                                <a:lnTo>
                                  <a:pt x="875358" y="743102"/>
                                </a:lnTo>
                                <a:lnTo>
                                  <a:pt x="866509" y="696698"/>
                                </a:lnTo>
                                <a:lnTo>
                                  <a:pt x="855283" y="651183"/>
                                </a:lnTo>
                                <a:lnTo>
                                  <a:pt x="841747" y="606625"/>
                                </a:lnTo>
                                <a:lnTo>
                                  <a:pt x="825970" y="563090"/>
                                </a:lnTo>
                                <a:lnTo>
                                  <a:pt x="808019" y="520647"/>
                                </a:lnTo>
                                <a:lnTo>
                                  <a:pt x="787962" y="479363"/>
                                </a:lnTo>
                                <a:lnTo>
                                  <a:pt x="765866" y="439307"/>
                                </a:lnTo>
                                <a:lnTo>
                                  <a:pt x="741799" y="400544"/>
                                </a:lnTo>
                                <a:lnTo>
                                  <a:pt x="715828" y="363144"/>
                                </a:lnTo>
                                <a:lnTo>
                                  <a:pt x="688022" y="327174"/>
                                </a:lnTo>
                                <a:lnTo>
                                  <a:pt x="658448" y="292701"/>
                                </a:lnTo>
                                <a:lnTo>
                                  <a:pt x="627173" y="259794"/>
                                </a:lnTo>
                                <a:lnTo>
                                  <a:pt x="594266" y="228519"/>
                                </a:lnTo>
                                <a:lnTo>
                                  <a:pt x="559793" y="198945"/>
                                </a:lnTo>
                                <a:lnTo>
                                  <a:pt x="523823" y="171139"/>
                                </a:lnTo>
                                <a:lnTo>
                                  <a:pt x="486423" y="145168"/>
                                </a:lnTo>
                                <a:lnTo>
                                  <a:pt x="447660" y="121101"/>
                                </a:lnTo>
                                <a:lnTo>
                                  <a:pt x="407604" y="99005"/>
                                </a:lnTo>
                                <a:lnTo>
                                  <a:pt x="366320" y="78948"/>
                                </a:lnTo>
                                <a:lnTo>
                                  <a:pt x="323877" y="60997"/>
                                </a:lnTo>
                                <a:lnTo>
                                  <a:pt x="280342" y="45220"/>
                                </a:lnTo>
                                <a:lnTo>
                                  <a:pt x="235784" y="31684"/>
                                </a:lnTo>
                                <a:lnTo>
                                  <a:pt x="190269" y="20458"/>
                                </a:lnTo>
                                <a:lnTo>
                                  <a:pt x="143865" y="11609"/>
                                </a:lnTo>
                                <a:lnTo>
                                  <a:pt x="96641" y="5204"/>
                                </a:lnTo>
                                <a:lnTo>
                                  <a:pt x="48663" y="1312"/>
                                </a:lnTo>
                                <a:lnTo>
                                  <a:pt x="0" y="0"/>
                                </a:lnTo>
                                <a:close/>
                              </a:path>
                            </a:pathLst>
                          </a:custGeom>
                          <a:solidFill>
                            <a:srgbClr val="5B9BD4"/>
                          </a:solidFill>
                        </wps:spPr>
                        <wps:bodyPr wrap="square" lIns="0" tIns="0" rIns="0" bIns="0" rtlCol="0">
                          <a:noAutofit/>
                        </wps:bodyPr>
                      </wps:wsp>
                      <wps:wsp>
                        <wps:cNvPr id="142" name="Graphic 142"/>
                        <wps:cNvSpPr/>
                        <wps:spPr>
                          <a:xfrm>
                            <a:off x="365698" y="372999"/>
                            <a:ext cx="1324610" cy="1774189"/>
                          </a:xfrm>
                          <a:custGeom>
                            <a:avLst/>
                            <a:gdLst/>
                            <a:ahLst/>
                            <a:cxnLst/>
                            <a:rect l="l" t="t" r="r" b="b"/>
                            <a:pathLst>
                              <a:path w="1324610" h="1774189">
                                <a:moveTo>
                                  <a:pt x="887156" y="0"/>
                                </a:moveTo>
                                <a:lnTo>
                                  <a:pt x="836182" y="1462"/>
                                </a:lnTo>
                                <a:lnTo>
                                  <a:pt x="785534" y="5829"/>
                                </a:lnTo>
                                <a:lnTo>
                                  <a:pt x="735330" y="13071"/>
                                </a:lnTo>
                                <a:lnTo>
                                  <a:pt x="685686" y="23157"/>
                                </a:lnTo>
                                <a:lnTo>
                                  <a:pt x="636722" y="36057"/>
                                </a:lnTo>
                                <a:lnTo>
                                  <a:pt x="588555" y="51740"/>
                                </a:lnTo>
                                <a:lnTo>
                                  <a:pt x="541304" y="70177"/>
                                </a:lnTo>
                                <a:lnTo>
                                  <a:pt x="495087" y="91336"/>
                                </a:lnTo>
                                <a:lnTo>
                                  <a:pt x="450022" y="115188"/>
                                </a:lnTo>
                                <a:lnTo>
                                  <a:pt x="408314" y="140303"/>
                                </a:lnTo>
                                <a:lnTo>
                                  <a:pt x="368474" y="167325"/>
                                </a:lnTo>
                                <a:lnTo>
                                  <a:pt x="330529" y="196163"/>
                                </a:lnTo>
                                <a:lnTo>
                                  <a:pt x="294504" y="226724"/>
                                </a:lnTo>
                                <a:lnTo>
                                  <a:pt x="260424" y="258915"/>
                                </a:lnTo>
                                <a:lnTo>
                                  <a:pt x="228314" y="292646"/>
                                </a:lnTo>
                                <a:lnTo>
                                  <a:pt x="198201" y="327823"/>
                                </a:lnTo>
                                <a:lnTo>
                                  <a:pt x="170110" y="364355"/>
                                </a:lnTo>
                                <a:lnTo>
                                  <a:pt x="144066" y="402149"/>
                                </a:lnTo>
                                <a:lnTo>
                                  <a:pt x="120094" y="441113"/>
                                </a:lnTo>
                                <a:lnTo>
                                  <a:pt x="98222" y="481155"/>
                                </a:lnTo>
                                <a:lnTo>
                                  <a:pt x="78472" y="522182"/>
                                </a:lnTo>
                                <a:lnTo>
                                  <a:pt x="60873" y="564103"/>
                                </a:lnTo>
                                <a:lnTo>
                                  <a:pt x="45448" y="606824"/>
                                </a:lnTo>
                                <a:lnTo>
                                  <a:pt x="32223" y="650255"/>
                                </a:lnTo>
                                <a:lnTo>
                                  <a:pt x="21225" y="694303"/>
                                </a:lnTo>
                                <a:lnTo>
                                  <a:pt x="12478" y="738875"/>
                                </a:lnTo>
                                <a:lnTo>
                                  <a:pt x="6007" y="783880"/>
                                </a:lnTo>
                                <a:lnTo>
                                  <a:pt x="1839" y="829225"/>
                                </a:lnTo>
                                <a:lnTo>
                                  <a:pt x="0" y="874818"/>
                                </a:lnTo>
                                <a:lnTo>
                                  <a:pt x="513" y="920566"/>
                                </a:lnTo>
                                <a:lnTo>
                                  <a:pt x="3406" y="966379"/>
                                </a:lnTo>
                                <a:lnTo>
                                  <a:pt x="8702" y="1012162"/>
                                </a:lnTo>
                                <a:lnTo>
                                  <a:pt x="16429" y="1057825"/>
                                </a:lnTo>
                                <a:lnTo>
                                  <a:pt x="26612" y="1103275"/>
                                </a:lnTo>
                                <a:lnTo>
                                  <a:pt x="39275" y="1148420"/>
                                </a:lnTo>
                                <a:lnTo>
                                  <a:pt x="54445" y="1193167"/>
                                </a:lnTo>
                                <a:lnTo>
                                  <a:pt x="72147" y="1237424"/>
                                </a:lnTo>
                                <a:lnTo>
                                  <a:pt x="92407" y="1281100"/>
                                </a:lnTo>
                                <a:lnTo>
                                  <a:pt x="115250" y="1324102"/>
                                </a:lnTo>
                                <a:lnTo>
                                  <a:pt x="140364" y="1365798"/>
                                </a:lnTo>
                                <a:lnTo>
                                  <a:pt x="167386" y="1405627"/>
                                </a:lnTo>
                                <a:lnTo>
                                  <a:pt x="196224" y="1443563"/>
                                </a:lnTo>
                                <a:lnTo>
                                  <a:pt x="226785" y="1479581"/>
                                </a:lnTo>
                                <a:lnTo>
                                  <a:pt x="258977" y="1513655"/>
                                </a:lnTo>
                                <a:lnTo>
                                  <a:pt x="292707" y="1545760"/>
                                </a:lnTo>
                                <a:lnTo>
                                  <a:pt x="327885" y="1575870"/>
                                </a:lnTo>
                                <a:lnTo>
                                  <a:pt x="364416" y="1603959"/>
                                </a:lnTo>
                                <a:lnTo>
                                  <a:pt x="402210" y="1630001"/>
                                </a:lnTo>
                                <a:lnTo>
                                  <a:pt x="441174" y="1653972"/>
                                </a:lnTo>
                                <a:lnTo>
                                  <a:pt x="481216" y="1675846"/>
                                </a:lnTo>
                                <a:lnTo>
                                  <a:pt x="522243" y="1695596"/>
                                </a:lnTo>
                                <a:lnTo>
                                  <a:pt x="564164" y="1713197"/>
                                </a:lnTo>
                                <a:lnTo>
                                  <a:pt x="606886" y="1728625"/>
                                </a:lnTo>
                                <a:lnTo>
                                  <a:pt x="650317" y="1741852"/>
                                </a:lnTo>
                                <a:lnTo>
                                  <a:pt x="694364" y="1752854"/>
                                </a:lnTo>
                                <a:lnTo>
                                  <a:pt x="738937" y="1761605"/>
                                </a:lnTo>
                                <a:lnTo>
                                  <a:pt x="783941" y="1768079"/>
                                </a:lnTo>
                                <a:lnTo>
                                  <a:pt x="829286" y="1772251"/>
                                </a:lnTo>
                                <a:lnTo>
                                  <a:pt x="874879" y="1774095"/>
                                </a:lnTo>
                                <a:lnTo>
                                  <a:pt x="920628" y="1773586"/>
                                </a:lnTo>
                                <a:lnTo>
                                  <a:pt x="966440" y="1770698"/>
                                </a:lnTo>
                                <a:lnTo>
                                  <a:pt x="1012224" y="1765405"/>
                                </a:lnTo>
                                <a:lnTo>
                                  <a:pt x="1057886" y="1757682"/>
                                </a:lnTo>
                                <a:lnTo>
                                  <a:pt x="1103336" y="1747502"/>
                                </a:lnTo>
                                <a:lnTo>
                                  <a:pt x="1148481" y="1734842"/>
                                </a:lnTo>
                                <a:lnTo>
                                  <a:pt x="1193228" y="1719674"/>
                                </a:lnTo>
                                <a:lnTo>
                                  <a:pt x="1237485" y="1701974"/>
                                </a:lnTo>
                                <a:lnTo>
                                  <a:pt x="1281161" y="1681716"/>
                                </a:lnTo>
                                <a:lnTo>
                                  <a:pt x="1324163" y="1658874"/>
                                </a:lnTo>
                                <a:lnTo>
                                  <a:pt x="887156" y="886968"/>
                                </a:lnTo>
                                <a:lnTo>
                                  <a:pt x="887156" y="0"/>
                                </a:lnTo>
                                <a:close/>
                              </a:path>
                            </a:pathLst>
                          </a:custGeom>
                          <a:solidFill>
                            <a:srgbClr val="EC7C30"/>
                          </a:solidFill>
                        </wps:spPr>
                        <wps:bodyPr wrap="square" lIns="0" tIns="0" rIns="0" bIns="0" rtlCol="0">
                          <a:noAutofit/>
                        </wps:bodyPr>
                      </wps:wsp>
                      <wps:wsp>
                        <wps:cNvPr id="143" name="Graphic 143"/>
                        <wps:cNvSpPr/>
                        <wps:spPr>
                          <a:xfrm>
                            <a:off x="2525267" y="1351942"/>
                            <a:ext cx="91440" cy="91440"/>
                          </a:xfrm>
                          <a:custGeom>
                            <a:avLst/>
                            <a:gdLst/>
                            <a:ahLst/>
                            <a:cxnLst/>
                            <a:rect l="l" t="t" r="r" b="b"/>
                            <a:pathLst>
                              <a:path w="91440" h="91440">
                                <a:moveTo>
                                  <a:pt x="91412" y="0"/>
                                </a:moveTo>
                                <a:lnTo>
                                  <a:pt x="0" y="0"/>
                                </a:lnTo>
                                <a:lnTo>
                                  <a:pt x="0" y="91412"/>
                                </a:lnTo>
                                <a:lnTo>
                                  <a:pt x="91412" y="91412"/>
                                </a:lnTo>
                                <a:lnTo>
                                  <a:pt x="91412" y="0"/>
                                </a:lnTo>
                                <a:close/>
                              </a:path>
                            </a:pathLst>
                          </a:custGeom>
                          <a:solidFill>
                            <a:srgbClr val="5B9BD4"/>
                          </a:solidFill>
                        </wps:spPr>
                        <wps:bodyPr wrap="square" lIns="0" tIns="0" rIns="0" bIns="0" rtlCol="0">
                          <a:noAutofit/>
                        </wps:bodyPr>
                      </wps:wsp>
                      <wps:wsp>
                        <wps:cNvPr id="144" name="Graphic 144"/>
                        <wps:cNvSpPr/>
                        <wps:spPr>
                          <a:xfrm>
                            <a:off x="2525267" y="1778916"/>
                            <a:ext cx="91440" cy="91440"/>
                          </a:xfrm>
                          <a:custGeom>
                            <a:avLst/>
                            <a:gdLst/>
                            <a:ahLst/>
                            <a:cxnLst/>
                            <a:rect l="l" t="t" r="r" b="b"/>
                            <a:pathLst>
                              <a:path w="91440" h="91440">
                                <a:moveTo>
                                  <a:pt x="91412" y="0"/>
                                </a:moveTo>
                                <a:lnTo>
                                  <a:pt x="0" y="0"/>
                                </a:lnTo>
                                <a:lnTo>
                                  <a:pt x="0" y="91412"/>
                                </a:lnTo>
                                <a:lnTo>
                                  <a:pt x="91412" y="91412"/>
                                </a:lnTo>
                                <a:lnTo>
                                  <a:pt x="91412" y="0"/>
                                </a:lnTo>
                                <a:close/>
                              </a:path>
                            </a:pathLst>
                          </a:custGeom>
                          <a:solidFill>
                            <a:srgbClr val="EC7C30"/>
                          </a:solidFill>
                        </wps:spPr>
                        <wps:bodyPr wrap="square" lIns="0" tIns="0" rIns="0" bIns="0" rtlCol="0">
                          <a:noAutofit/>
                        </wps:bodyPr>
                      </wps:wsp>
                      <wps:wsp>
                        <wps:cNvPr id="145" name="Graphic 145"/>
                        <wps:cNvSpPr/>
                        <wps:spPr>
                          <a:xfrm>
                            <a:off x="3175" y="3175"/>
                            <a:ext cx="3598545" cy="2442210"/>
                          </a:xfrm>
                          <a:custGeom>
                            <a:avLst/>
                            <a:gdLst/>
                            <a:ahLst/>
                            <a:cxnLst/>
                            <a:rect l="l" t="t" r="r" b="b"/>
                            <a:pathLst>
                              <a:path w="3598545" h="2442210">
                                <a:moveTo>
                                  <a:pt x="0" y="2442210"/>
                                </a:moveTo>
                                <a:lnTo>
                                  <a:pt x="3598545" y="2442210"/>
                                </a:lnTo>
                                <a:lnTo>
                                  <a:pt x="3598545" y="0"/>
                                </a:lnTo>
                                <a:lnTo>
                                  <a:pt x="0" y="0"/>
                                </a:lnTo>
                                <a:lnTo>
                                  <a:pt x="0" y="2442210"/>
                                </a:lnTo>
                                <a:close/>
                              </a:path>
                            </a:pathLst>
                          </a:custGeom>
                          <a:ln w="6350">
                            <a:solidFill>
                              <a:srgbClr val="888888"/>
                            </a:solidFill>
                            <a:prstDash val="solid"/>
                          </a:ln>
                        </wps:spPr>
                        <wps:bodyPr wrap="square" lIns="0" tIns="0" rIns="0" bIns="0" rtlCol="0">
                          <a:noAutofit/>
                        </wps:bodyPr>
                      </wps:wsp>
                      <wps:wsp>
                        <wps:cNvPr id="146" name="Textbox 146"/>
                        <wps:cNvSpPr txBox="1"/>
                        <wps:spPr>
                          <a:xfrm>
                            <a:off x="645794" y="1100962"/>
                            <a:ext cx="1316990" cy="266065"/>
                          </a:xfrm>
                          <a:prstGeom prst="rect">
                            <a:avLst/>
                          </a:prstGeom>
                        </wps:spPr>
                        <wps:txbx>
                          <w:txbxContent>
                            <w:p w14:paraId="7FB39C51">
                              <w:pPr>
                                <w:spacing w:line="418" w:lineRule="exact"/>
                                <w:rPr>
                                  <w:sz w:val="36"/>
                                </w:rPr>
                              </w:pPr>
                              <w:r>
                                <w:rPr>
                                  <w:position w:val="2"/>
                                  <w:sz w:val="36"/>
                                </w:rPr>
                                <w:t>58,2%</w:t>
                              </w:r>
                              <w:r>
                                <w:rPr>
                                  <w:spacing w:val="50"/>
                                  <w:w w:val="150"/>
                                  <w:position w:val="2"/>
                                  <w:sz w:val="36"/>
                                </w:rPr>
                                <w:t xml:space="preserve"> </w:t>
                              </w:r>
                              <w:r>
                                <w:rPr>
                                  <w:spacing w:val="-4"/>
                                  <w:sz w:val="36"/>
                                </w:rPr>
                                <w:t>41,8%</w:t>
                              </w:r>
                            </w:p>
                          </w:txbxContent>
                        </wps:txbx>
                        <wps:bodyPr wrap="square" lIns="0" tIns="0" rIns="0" bIns="0" rtlCol="0">
                          <a:noAutofit/>
                        </wps:bodyPr>
                      </wps:wsp>
                      <wps:wsp>
                        <wps:cNvPr id="147" name="Textbox 147"/>
                        <wps:cNvSpPr txBox="1"/>
                        <wps:spPr>
                          <a:xfrm>
                            <a:off x="2659633" y="1321942"/>
                            <a:ext cx="718820" cy="167640"/>
                          </a:xfrm>
                          <a:prstGeom prst="rect">
                            <a:avLst/>
                          </a:prstGeom>
                        </wps:spPr>
                        <wps:txbx>
                          <w:txbxContent>
                            <w:p w14:paraId="70EC4255">
                              <w:pPr>
                                <w:spacing w:line="264" w:lineRule="exact"/>
                                <w:rPr>
                                  <w:rFonts w:ascii="Calibri" w:hAnsi="Calibri"/>
                                  <w:sz w:val="26"/>
                                </w:rPr>
                              </w:pPr>
                              <w:r>
                                <w:rPr>
                                  <w:rFonts w:ascii="Calibri" w:hAnsi="Calibri"/>
                                  <w:spacing w:val="-2"/>
                                  <w:sz w:val="26"/>
                                </w:rPr>
                                <w:t>Мужчины</w:t>
                              </w:r>
                            </w:p>
                          </w:txbxContent>
                        </wps:txbx>
                        <wps:bodyPr wrap="square" lIns="0" tIns="0" rIns="0" bIns="0" rtlCol="0">
                          <a:noAutofit/>
                        </wps:bodyPr>
                      </wps:wsp>
                      <wps:wsp>
                        <wps:cNvPr id="148" name="Textbox 148"/>
                        <wps:cNvSpPr txBox="1"/>
                        <wps:spPr>
                          <a:xfrm>
                            <a:off x="2659633" y="1748917"/>
                            <a:ext cx="730885" cy="167640"/>
                          </a:xfrm>
                          <a:prstGeom prst="rect">
                            <a:avLst/>
                          </a:prstGeom>
                        </wps:spPr>
                        <wps:txbx>
                          <w:txbxContent>
                            <w:p w14:paraId="19021A58">
                              <w:pPr>
                                <w:spacing w:line="264" w:lineRule="exact"/>
                                <w:rPr>
                                  <w:rFonts w:ascii="Calibri" w:hAnsi="Calibri"/>
                                  <w:sz w:val="26"/>
                                </w:rPr>
                              </w:pPr>
                              <w:r>
                                <w:rPr>
                                  <w:rFonts w:ascii="Calibri" w:hAnsi="Calibri"/>
                                  <w:spacing w:val="-2"/>
                                  <w:sz w:val="26"/>
                                </w:rPr>
                                <w:t>Женщины</w:t>
                              </w:r>
                            </w:p>
                          </w:txbxContent>
                        </wps:txbx>
                        <wps:bodyPr wrap="square" lIns="0" tIns="0" rIns="0" bIns="0" rtlCol="0">
                          <a:noAutofit/>
                        </wps:bodyPr>
                      </wps:wsp>
                    </wpg:wgp>
                  </a:graphicData>
                </a:graphic>
              </wp:anchor>
            </w:drawing>
          </mc:Choice>
          <mc:Fallback>
            <w:pict>
              <v:group id="Group 140" o:spid="_x0000_s1026" o:spt="203" style="position:absolute;left:0pt;margin-left:204.15pt;margin-top:16.3pt;height:163.3pt;width:277.4pt;mso-position-horizontal-relative:page;mso-wrap-distance-bottom:0pt;mso-wrap-distance-top:0pt;z-index:-251640832;mso-width-relative:page;mso-height-relative:page;" coordsize="3604895,2448560" o:gfxdata="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">
                <o:lock v:ext="edit" aspectratio="f"/>
                <v:shape id="Graphic 141" o:spid="_x0000_s1026" o:spt="100" style="position:absolute;left:1252855;top:372999;height:1659255;width:887094;" fillcolor="#5B9BD4" filled="t" stroked="f" coordsize="887094,1659255" o:gfxdata="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jRhi8AAAA&#10;3AAAAA8AAAAAAAAAAQAgAAAAIgAAAGRycy9kb3ducmV2LnhtbFBLAQIUABQAAAAIAIdO4kAzLwWe&#10;OwAAADkAAAAQAAAAAAAAAAEAIAAAAAsBAABkcnMvc2hhcGV4bWwueG1sUEsFBgAAAAAGAAYAWwEA&#10;ALUDAAAAAA==&#10;" path="m0,0l0,886968,437006,1658874,480029,1632883,521227,1604707,560544,1574444,597922,1542194,633304,1508054,666633,1472123,697851,1434501,726901,1395285,753726,1354575,778268,1312468,800470,1269065,820275,1224462,837625,1178760,852463,1132056,864732,1084449,874374,1036038,881332,986922,885549,937199,886967,886968,885655,838304,881763,790326,875358,743102,866509,696698,855283,651183,841747,606625,825970,563090,808019,520647,787962,479363,765866,439307,741799,400544,715828,363144,688022,327174,658448,292701,627173,259794,594266,228519,559793,198945,523823,171139,486423,145168,447660,121101,407604,99005,366320,78948,323877,60997,280342,45220,235784,31684,190269,20458,143865,11609,96641,5204,48663,1312,0,0xe">
                  <v:fill on="t" focussize="0,0"/>
                  <v:stroke on="f"/>
                  <v:imagedata o:title=""/>
                  <o:lock v:ext="edit" aspectratio="f"/>
                  <v:textbox inset="0mm,0mm,0mm,0mm"/>
                </v:shape>
                <v:shape id="Graphic 142" o:spid="_x0000_s1026" o:spt="100" style="position:absolute;left:365698;top:372999;height:1774189;width:1324610;" fillcolor="#EC7C30" filled="t" stroked="f" coordsize="1324610,1774189" o:gfxdata="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UGkQvQAA&#10;ANwAAAAPAAAAAAAAAAEAIAAAACIAAABkcnMvZG93bnJldi54bWxQSwECFAAUAAAACACHTuJAMy8F&#10;njsAAAA5AAAAEAAAAAAAAAABACAAAAAMAQAAZHJzL3NoYXBleG1sLnhtbFBLBQYAAAAABgAGAFsB&#10;AAC2AwAAAAA=&#10;" path="m887156,0l836182,1462,785534,5829,735330,13071,685686,23157,636722,36057,588555,51740,541304,70177,495087,91336,450022,115188,408314,140303,368474,167325,330529,196163,294504,226724,260424,258915,228314,292646,198201,327823,170110,364355,144066,402149,120094,441113,98222,481155,78472,522182,60873,564103,45448,606824,32223,650255,21225,694303,12478,738875,6007,783880,1839,829225,0,874818,513,920566,3406,966379,8702,1012162,16429,1057825,26612,1103275,39275,1148420,54445,1193167,72147,1237424,92407,1281100,115250,1324102,140364,1365798,167386,1405627,196224,1443563,226785,1479581,258977,1513655,292707,1545760,327885,1575870,364416,1603959,402210,1630001,441174,1653972,481216,1675846,522243,1695596,564164,1713197,606886,1728625,650317,1741852,694364,1752854,738937,1761605,783941,1768079,829286,1772251,874879,1774095,920628,1773586,966440,1770698,1012224,1765405,1057886,1757682,1103336,1747502,1148481,1734842,1193228,1719674,1237485,1701974,1281161,1681716,1324163,1658874,887156,886968,887156,0xe">
                  <v:fill on="t" focussize="0,0"/>
                  <v:stroke on="f"/>
                  <v:imagedata o:title=""/>
                  <o:lock v:ext="edit" aspectratio="f"/>
                  <v:textbox inset="0mm,0mm,0mm,0mm"/>
                </v:shape>
                <v:shape id="Graphic 143" o:spid="_x0000_s1026" o:spt="100" style="position:absolute;left:2525267;top:1351942;height:91440;width:91440;" fillcolor="#5B9BD4" filled="t" stroked="f" coordsize="91440,91440" o:gfxdata="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3nAsugAAANwA&#10;AAAPAAAAAAAAAAEAIAAAACIAAABkcnMvZG93bnJldi54bWxQSwECFAAUAAAACACHTuJAMy8FnjsA&#10;AAA5AAAAEAAAAAAAAAABACAAAAAJAQAAZHJzL3NoYXBleG1sLnhtbFBLBQYAAAAABgAGAFsBAACz&#10;AwAAAAA=&#10;" path="m91412,0l0,0,0,91412,91412,91412,91412,0xe">
                  <v:fill on="t" focussize="0,0"/>
                  <v:stroke on="f"/>
                  <v:imagedata o:title=""/>
                  <o:lock v:ext="edit" aspectratio="f"/>
                  <v:textbox inset="0mm,0mm,0mm,0mm"/>
                </v:shape>
                <v:shape id="Graphic 144" o:spid="_x0000_s1026" o:spt="100" style="position:absolute;left:2525267;top:1778916;height:91440;width:91440;" fillcolor="#EC7C30" filled="t" stroked="f" coordsize="91440,91440" o:gfxdata="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TnixbsAAADc&#10;AAAADwAAAAAAAAABACAAAAAiAAAAZHJzL2Rvd25yZXYueG1sUEsBAhQAFAAAAAgAh07iQDMvBZ47&#10;AAAAOQAAABAAAAAAAAAAAQAgAAAACgEAAGRycy9zaGFwZXhtbC54bWxQSwUGAAAAAAYABgBbAQAA&#10;tAMAAAAA&#10;" path="m91412,0l0,0,0,91412,91412,91412,91412,0xe">
                  <v:fill on="t" focussize="0,0"/>
                  <v:stroke on="f"/>
                  <v:imagedata o:title=""/>
                  <o:lock v:ext="edit" aspectratio="f"/>
                  <v:textbox inset="0mm,0mm,0mm,0mm"/>
                </v:shape>
                <v:shape id="Graphic 145" o:spid="_x0000_s1026" o:spt="100" style="position:absolute;left:3175;top:3175;height:2442210;width:3598545;" filled="f" stroked="t" coordsize="3598545,2442210" o:gfxdata="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l6C8AAAA&#10;3AAAAA8AAAAAAAAAAQAgAAAAIgAAAGRycy9kb3ducmV2LnhtbFBLAQIUABQAAAAIAIdO4kAzLwWe&#10;OwAAADkAAAAQAAAAAAAAAAEAIAAAAAsBAABkcnMvc2hhcGV4bWwueG1sUEsFBgAAAAAGAAYAWwEA&#10;ALUDAAAAAA==&#10;" path="m0,2442210l3598545,2442210,3598545,0,0,0,0,2442210xe">
                  <v:fill on="f" focussize="0,0"/>
                  <v:stroke weight="0.5pt" color="#888888" joinstyle="round"/>
                  <v:imagedata o:title=""/>
                  <o:lock v:ext="edit" aspectratio="f"/>
                  <v:textbox inset="0mm,0mm,0mm,0mm"/>
                </v:shape>
                <v:shape id="Textbox 146" o:spid="_x0000_s1026" o:spt="202" type="#_x0000_t202" style="position:absolute;left:645794;top:1100962;height:266065;width:1316990;" filled="f" stroked="f" coordsize="21600,21600" o:gfxdata="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P0k2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FB39C51">
                        <w:pPr>
                          <w:spacing w:line="418" w:lineRule="exact"/>
                          <w:rPr>
                            <w:sz w:val="36"/>
                          </w:rPr>
                        </w:pPr>
                        <w:r>
                          <w:rPr>
                            <w:position w:val="2"/>
                            <w:sz w:val="36"/>
                          </w:rPr>
                          <w:t>58,2%</w:t>
                        </w:r>
                        <w:r>
                          <w:rPr>
                            <w:spacing w:val="50"/>
                            <w:w w:val="150"/>
                            <w:position w:val="2"/>
                            <w:sz w:val="36"/>
                          </w:rPr>
                          <w:t xml:space="preserve"> </w:t>
                        </w:r>
                        <w:r>
                          <w:rPr>
                            <w:spacing w:val="-4"/>
                            <w:sz w:val="36"/>
                          </w:rPr>
                          <w:t>41,8%</w:t>
                        </w:r>
                      </w:p>
                    </w:txbxContent>
                  </v:textbox>
                </v:shape>
                <v:shape id="Textbox 147" o:spid="_x0000_s1026" o:spt="202" type="#_x0000_t202" style="position:absolute;left:2659633;top:1321942;height:167640;width:718820;" filled="f" stroked="f" coordsize="21600,21600" o:gfxdata="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Dd9a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0EC4255">
                        <w:pPr>
                          <w:spacing w:line="264" w:lineRule="exact"/>
                          <w:rPr>
                            <w:rFonts w:ascii="Calibri" w:hAnsi="Calibri"/>
                            <w:sz w:val="26"/>
                          </w:rPr>
                        </w:pPr>
                        <w:r>
                          <w:rPr>
                            <w:rFonts w:ascii="Calibri" w:hAnsi="Calibri"/>
                            <w:spacing w:val="-2"/>
                            <w:sz w:val="26"/>
                          </w:rPr>
                          <w:t>Мужчины</w:t>
                        </w:r>
                      </w:p>
                    </w:txbxContent>
                  </v:textbox>
                </v:shape>
                <v:shape id="Textbox 148" o:spid="_x0000_s1026" o:spt="202" type="#_x0000_t202" style="position:absolute;left:2659633;top:1748917;height:167640;width:730885;" filled="f" stroked="f" coordsize="21600,21600" o:gfxdata="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46S/&#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19021A58">
                        <w:pPr>
                          <w:spacing w:line="264" w:lineRule="exact"/>
                          <w:rPr>
                            <w:rFonts w:ascii="Calibri" w:hAnsi="Calibri"/>
                            <w:sz w:val="26"/>
                          </w:rPr>
                        </w:pPr>
                        <w:r>
                          <w:rPr>
                            <w:rFonts w:ascii="Calibri" w:hAnsi="Calibri"/>
                            <w:spacing w:val="-2"/>
                            <w:sz w:val="26"/>
                          </w:rPr>
                          <w:t>Женщины</w:t>
                        </w:r>
                      </w:p>
                    </w:txbxContent>
                  </v:textbox>
                </v:shape>
                <w10:wrap type="topAndBottom"/>
              </v:group>
            </w:pict>
          </mc:Fallback>
        </mc:AlternateContent>
      </w:r>
    </w:p>
    <w:p w14:paraId="7C7A055A">
      <w:pPr>
        <w:pStyle w:val="7"/>
        <w:spacing w:before="17"/>
        <w:ind w:left="0" w:firstLine="0"/>
        <w:jc w:val="left"/>
      </w:pPr>
    </w:p>
    <w:p w14:paraId="702C4DF8">
      <w:pPr>
        <w:pStyle w:val="7"/>
        <w:spacing w:line="322" w:lineRule="exact"/>
        <w:ind w:left="0" w:firstLine="0"/>
        <w:jc w:val="center"/>
      </w:pPr>
      <w:r>
        <w:t>Рисунок</w:t>
      </w:r>
      <w:r>
        <w:rPr>
          <w:spacing w:val="-9"/>
        </w:rPr>
        <w:t xml:space="preserve"> </w:t>
      </w:r>
      <w:r>
        <w:t>11</w:t>
      </w:r>
      <w:r>
        <w:rPr>
          <w:spacing w:val="-6"/>
        </w:rPr>
        <w:t xml:space="preserve"> </w:t>
      </w:r>
      <w:r>
        <w:t>-</w:t>
      </w:r>
      <w:r>
        <w:rPr>
          <w:spacing w:val="-9"/>
        </w:rPr>
        <w:t xml:space="preserve"> </w:t>
      </w:r>
      <w:r>
        <w:t>Гендерное</w:t>
      </w:r>
      <w:r>
        <w:rPr>
          <w:spacing w:val="-6"/>
        </w:rPr>
        <w:t xml:space="preserve"> </w:t>
      </w:r>
      <w:r>
        <w:t>распределение</w:t>
      </w:r>
      <w:r>
        <w:rPr>
          <w:spacing w:val="-6"/>
        </w:rPr>
        <w:t xml:space="preserve"> </w:t>
      </w:r>
      <w:r>
        <w:t>пациентов</w:t>
      </w:r>
      <w:r>
        <w:rPr>
          <w:spacing w:val="-9"/>
        </w:rPr>
        <w:t xml:space="preserve"> </w:t>
      </w:r>
      <w:r>
        <w:rPr>
          <w:spacing w:val="-2"/>
        </w:rPr>
        <w:t>ретроспективной</w:t>
      </w:r>
    </w:p>
    <w:p w14:paraId="6EB82218">
      <w:pPr>
        <w:pStyle w:val="7"/>
        <w:ind w:left="707" w:right="565" w:firstLine="0"/>
        <w:jc w:val="center"/>
        <w:rPr>
          <w:lang w:val="kk-KZ"/>
        </w:rPr>
      </w:pPr>
      <w:r>
        <w:rPr>
          <w:spacing w:val="-2"/>
        </w:rPr>
        <w:t>группы</w:t>
      </w:r>
    </w:p>
    <w:p w14:paraId="2900EE6D">
      <w:pPr>
        <w:pStyle w:val="7"/>
        <w:spacing w:before="321"/>
        <w:ind w:left="0" w:right="3" w:firstLine="709"/>
      </w:pPr>
      <w:r>
        <w:t>Значительная доля пациентов имела сопутствующую соматическую патологию,</w:t>
      </w:r>
      <w:r>
        <w:rPr>
          <w:spacing w:val="48"/>
        </w:rPr>
        <w:t xml:space="preserve"> </w:t>
      </w:r>
      <w:r>
        <w:t>преимущественно</w:t>
      </w:r>
      <w:r>
        <w:rPr>
          <w:spacing w:val="47"/>
        </w:rPr>
        <w:t xml:space="preserve"> </w:t>
      </w:r>
      <w:r>
        <w:t>сердечно-сосудистые</w:t>
      </w:r>
      <w:r>
        <w:rPr>
          <w:spacing w:val="47"/>
        </w:rPr>
        <w:t xml:space="preserve"> </w:t>
      </w:r>
      <w:r>
        <w:t>заболевания,</w:t>
      </w:r>
      <w:r>
        <w:rPr>
          <w:spacing w:val="49"/>
        </w:rPr>
        <w:t xml:space="preserve"> </w:t>
      </w:r>
      <w:r>
        <w:t>в</w:t>
      </w:r>
      <w:r>
        <w:rPr>
          <w:spacing w:val="45"/>
        </w:rPr>
        <w:t xml:space="preserve"> </w:t>
      </w:r>
      <w:r>
        <w:t>том</w:t>
      </w:r>
      <w:r>
        <w:rPr>
          <w:spacing w:val="48"/>
        </w:rPr>
        <w:t xml:space="preserve"> </w:t>
      </w:r>
      <w:r>
        <w:rPr>
          <w:spacing w:val="-4"/>
        </w:rPr>
        <w:t>числе</w:t>
      </w:r>
    </w:p>
    <w:p w14:paraId="23C7A13E">
      <w:pPr>
        <w:pStyle w:val="7"/>
        <w:spacing w:before="67"/>
        <w:ind w:left="0" w:right="3" w:firstLine="0"/>
      </w:pPr>
      <w:r>
        <w:t>ишемическую болезнь сердца (47,1%), а также сахарный диабет (20,7%), что свидетельствует</w:t>
      </w:r>
      <w:r>
        <w:rPr>
          <w:spacing w:val="-18"/>
        </w:rPr>
        <w:t xml:space="preserve"> </w:t>
      </w:r>
      <w:r>
        <w:t>об</w:t>
      </w:r>
      <w:r>
        <w:rPr>
          <w:spacing w:val="-14"/>
        </w:rPr>
        <w:t xml:space="preserve"> </w:t>
      </w:r>
      <w:r>
        <w:t>отягощённости</w:t>
      </w:r>
      <w:r>
        <w:rPr>
          <w:spacing w:val="-16"/>
        </w:rPr>
        <w:t xml:space="preserve"> </w:t>
      </w:r>
      <w:r>
        <w:t>соматического</w:t>
      </w:r>
      <w:r>
        <w:rPr>
          <w:spacing w:val="-16"/>
        </w:rPr>
        <w:t xml:space="preserve"> </w:t>
      </w:r>
      <w:r>
        <w:t>статуса</w:t>
      </w:r>
      <w:r>
        <w:rPr>
          <w:spacing w:val="-15"/>
        </w:rPr>
        <w:t xml:space="preserve"> </w:t>
      </w:r>
      <w:r>
        <w:t>и</w:t>
      </w:r>
      <w:r>
        <w:rPr>
          <w:spacing w:val="-16"/>
        </w:rPr>
        <w:t xml:space="preserve"> </w:t>
      </w:r>
      <w:r>
        <w:t>имеет</w:t>
      </w:r>
      <w:r>
        <w:rPr>
          <w:spacing w:val="-9"/>
        </w:rPr>
        <w:t xml:space="preserve"> </w:t>
      </w:r>
      <w:r>
        <w:t>существенное значение при оценке периоперационного риска.</w:t>
      </w:r>
    </w:p>
    <w:p w14:paraId="3C81929A">
      <w:pPr>
        <w:pStyle w:val="7"/>
        <w:spacing w:line="242" w:lineRule="auto"/>
        <w:ind w:left="0" w:right="3" w:firstLine="709"/>
      </w:pPr>
      <w:r>
        <w:t>Более чем у половины больных (61,1%) на дооперационном этапе выполнялось дренирование жёлчных путей, что отражает высокую частоту механической желтухи у пациентов данной категории.</w:t>
      </w:r>
    </w:p>
    <w:p w14:paraId="51E1F7EF">
      <w:pPr>
        <w:pStyle w:val="7"/>
        <w:ind w:left="0" w:right="3" w:firstLine="709"/>
      </w:pPr>
      <w:r>
        <w:t>Анализ биохимических показателей выявил характерные изменения, типичные для опухолей периампулярной зоны: повышение уровня общего билирубина и онкомаркера CA 19-9 на фоне удовлетворительных показателей альбумина и гемоглобина у большинства пациентов.</w:t>
      </w:r>
    </w:p>
    <w:p w14:paraId="64F16B6E">
      <w:pPr>
        <w:pStyle w:val="7"/>
        <w:spacing w:before="58"/>
        <w:ind w:left="0" w:firstLine="990"/>
        <w:jc w:val="left"/>
        <w:rPr>
          <w:sz w:val="20"/>
        </w:rPr>
      </w:pPr>
      <w:r>
        <w:rPr>
          <w:sz w:val="20"/>
          <w:lang w:eastAsia="ru-RU"/>
        </w:rPr>
        <mc:AlternateContent>
          <mc:Choice Requires="wpg">
            <w:drawing>
              <wp:anchor distT="0" distB="0" distL="0" distR="0" simplePos="0" relativeHeight="251674624" behindDoc="1" locked="0" layoutInCell="1" allowOverlap="1">
                <wp:simplePos x="0" y="0"/>
                <wp:positionH relativeFrom="page">
                  <wp:posOffset>2067560</wp:posOffset>
                </wp:positionH>
                <wp:positionV relativeFrom="paragraph">
                  <wp:posOffset>198755</wp:posOffset>
                </wp:positionV>
                <wp:extent cx="4495800" cy="2447925"/>
                <wp:effectExtent l="0" t="0" r="0" b="0"/>
                <wp:wrapTopAndBottom/>
                <wp:docPr id="149" name="Group 149"/>
                <wp:cNvGraphicFramePr/>
                <a:graphic xmlns:a="http://schemas.openxmlformats.org/drawingml/2006/main">
                  <a:graphicData uri="http://schemas.microsoft.com/office/word/2010/wordprocessingGroup">
                    <wpg:wgp>
                      <wpg:cNvGrpSpPr/>
                      <wpg:grpSpPr>
                        <a:xfrm>
                          <a:off x="0" y="0"/>
                          <a:ext cx="4495800" cy="2447925"/>
                          <a:chOff x="0" y="0"/>
                          <a:chExt cx="4495800" cy="2447925"/>
                        </a:xfrm>
                      </wpg:grpSpPr>
                      <wps:wsp>
                        <wps:cNvPr id="150" name="Graphic 150"/>
                        <wps:cNvSpPr/>
                        <wps:spPr>
                          <a:xfrm>
                            <a:off x="1265999" y="358076"/>
                            <a:ext cx="1198245" cy="1803400"/>
                          </a:xfrm>
                          <a:custGeom>
                            <a:avLst/>
                            <a:gdLst/>
                            <a:ahLst/>
                            <a:cxnLst/>
                            <a:rect l="l" t="t" r="r" b="b"/>
                            <a:pathLst>
                              <a:path w="1198245" h="1803400">
                                <a:moveTo>
                                  <a:pt x="296672" y="0"/>
                                </a:moveTo>
                                <a:lnTo>
                                  <a:pt x="296672" y="901573"/>
                                </a:lnTo>
                                <a:lnTo>
                                  <a:pt x="0" y="1752981"/>
                                </a:lnTo>
                                <a:lnTo>
                                  <a:pt x="48072" y="1768250"/>
                                </a:lnTo>
                                <a:lnTo>
                                  <a:pt x="96839" y="1780775"/>
                                </a:lnTo>
                                <a:lnTo>
                                  <a:pt x="146192" y="1790541"/>
                                </a:lnTo>
                                <a:lnTo>
                                  <a:pt x="196022" y="1797534"/>
                                </a:lnTo>
                                <a:lnTo>
                                  <a:pt x="246218" y="1801740"/>
                                </a:lnTo>
                                <a:lnTo>
                                  <a:pt x="296672" y="1803146"/>
                                </a:lnTo>
                                <a:lnTo>
                                  <a:pt x="344557" y="1801896"/>
                                </a:lnTo>
                                <a:lnTo>
                                  <a:pt x="391791" y="1798189"/>
                                </a:lnTo>
                                <a:lnTo>
                                  <a:pt x="438311" y="1792086"/>
                                </a:lnTo>
                                <a:lnTo>
                                  <a:pt x="484055" y="1783651"/>
                                </a:lnTo>
                                <a:lnTo>
                                  <a:pt x="528961" y="1772944"/>
                                </a:lnTo>
                                <a:lnTo>
                                  <a:pt x="572967" y="1760029"/>
                                </a:lnTo>
                                <a:lnTo>
                                  <a:pt x="616009" y="1744968"/>
                                </a:lnTo>
                                <a:lnTo>
                                  <a:pt x="658027" y="1727823"/>
                                </a:lnTo>
                                <a:lnTo>
                                  <a:pt x="698957" y="1708656"/>
                                </a:lnTo>
                                <a:lnTo>
                                  <a:pt x="738737" y="1687530"/>
                                </a:lnTo>
                                <a:lnTo>
                                  <a:pt x="777306" y="1664507"/>
                                </a:lnTo>
                                <a:lnTo>
                                  <a:pt x="814600" y="1639649"/>
                                </a:lnTo>
                                <a:lnTo>
                                  <a:pt x="850558" y="1613019"/>
                                </a:lnTo>
                                <a:lnTo>
                                  <a:pt x="885116" y="1584678"/>
                                </a:lnTo>
                                <a:lnTo>
                                  <a:pt x="918214" y="1554689"/>
                                </a:lnTo>
                                <a:lnTo>
                                  <a:pt x="949788" y="1523115"/>
                                </a:lnTo>
                                <a:lnTo>
                                  <a:pt x="979777" y="1490017"/>
                                </a:lnTo>
                                <a:lnTo>
                                  <a:pt x="1008118" y="1455459"/>
                                </a:lnTo>
                                <a:lnTo>
                                  <a:pt x="1034748" y="1419501"/>
                                </a:lnTo>
                                <a:lnTo>
                                  <a:pt x="1059606" y="1382207"/>
                                </a:lnTo>
                                <a:lnTo>
                                  <a:pt x="1082629" y="1343638"/>
                                </a:lnTo>
                                <a:lnTo>
                                  <a:pt x="1103755" y="1303858"/>
                                </a:lnTo>
                                <a:lnTo>
                                  <a:pt x="1122922" y="1262928"/>
                                </a:lnTo>
                                <a:lnTo>
                                  <a:pt x="1140067" y="1220910"/>
                                </a:lnTo>
                                <a:lnTo>
                                  <a:pt x="1155128" y="1177868"/>
                                </a:lnTo>
                                <a:lnTo>
                                  <a:pt x="1168043" y="1133862"/>
                                </a:lnTo>
                                <a:lnTo>
                                  <a:pt x="1178750" y="1088956"/>
                                </a:lnTo>
                                <a:lnTo>
                                  <a:pt x="1187185" y="1043212"/>
                                </a:lnTo>
                                <a:lnTo>
                                  <a:pt x="1193288" y="996692"/>
                                </a:lnTo>
                                <a:lnTo>
                                  <a:pt x="1196995" y="949458"/>
                                </a:lnTo>
                                <a:lnTo>
                                  <a:pt x="1198245" y="901573"/>
                                </a:lnTo>
                                <a:lnTo>
                                  <a:pt x="1196995" y="853699"/>
                                </a:lnTo>
                                <a:lnTo>
                                  <a:pt x="1193288" y="806475"/>
                                </a:lnTo>
                                <a:lnTo>
                                  <a:pt x="1187185" y="759963"/>
                                </a:lnTo>
                                <a:lnTo>
                                  <a:pt x="1178750" y="714226"/>
                                </a:lnTo>
                                <a:lnTo>
                                  <a:pt x="1168043" y="669326"/>
                                </a:lnTo>
                                <a:lnTo>
                                  <a:pt x="1155128" y="625325"/>
                                </a:lnTo>
                                <a:lnTo>
                                  <a:pt x="1140067" y="582286"/>
                                </a:lnTo>
                                <a:lnTo>
                                  <a:pt x="1122922" y="540271"/>
                                </a:lnTo>
                                <a:lnTo>
                                  <a:pt x="1103755" y="499343"/>
                                </a:lnTo>
                                <a:lnTo>
                                  <a:pt x="1082629" y="459563"/>
                                </a:lnTo>
                                <a:lnTo>
                                  <a:pt x="1059606" y="420994"/>
                                </a:lnTo>
                                <a:lnTo>
                                  <a:pt x="1034748" y="383699"/>
                                </a:lnTo>
                                <a:lnTo>
                                  <a:pt x="1008118" y="347740"/>
                                </a:lnTo>
                                <a:lnTo>
                                  <a:pt x="979777" y="313179"/>
                                </a:lnTo>
                                <a:lnTo>
                                  <a:pt x="949788" y="280079"/>
                                </a:lnTo>
                                <a:lnTo>
                                  <a:pt x="918214" y="248502"/>
                                </a:lnTo>
                                <a:lnTo>
                                  <a:pt x="885116" y="218509"/>
                                </a:lnTo>
                                <a:lnTo>
                                  <a:pt x="850558" y="190165"/>
                                </a:lnTo>
                                <a:lnTo>
                                  <a:pt x="814600" y="163531"/>
                                </a:lnTo>
                                <a:lnTo>
                                  <a:pt x="777306" y="138669"/>
                                </a:lnTo>
                                <a:lnTo>
                                  <a:pt x="738737" y="115642"/>
                                </a:lnTo>
                                <a:lnTo>
                                  <a:pt x="698957" y="94511"/>
                                </a:lnTo>
                                <a:lnTo>
                                  <a:pt x="658027" y="75341"/>
                                </a:lnTo>
                                <a:lnTo>
                                  <a:pt x="616009" y="58192"/>
                                </a:lnTo>
                                <a:lnTo>
                                  <a:pt x="572967" y="43127"/>
                                </a:lnTo>
                                <a:lnTo>
                                  <a:pt x="528961" y="30209"/>
                                </a:lnTo>
                                <a:lnTo>
                                  <a:pt x="484055" y="19500"/>
                                </a:lnTo>
                                <a:lnTo>
                                  <a:pt x="438311" y="11062"/>
                                </a:lnTo>
                                <a:lnTo>
                                  <a:pt x="391791" y="4958"/>
                                </a:lnTo>
                                <a:lnTo>
                                  <a:pt x="344557" y="1249"/>
                                </a:lnTo>
                                <a:lnTo>
                                  <a:pt x="296672" y="0"/>
                                </a:lnTo>
                                <a:close/>
                              </a:path>
                            </a:pathLst>
                          </a:custGeom>
                          <a:solidFill>
                            <a:srgbClr val="5B9BD4"/>
                          </a:solidFill>
                        </wps:spPr>
                        <wps:bodyPr wrap="square" lIns="0" tIns="0" rIns="0" bIns="0" rtlCol="0">
                          <a:noAutofit/>
                        </wps:bodyPr>
                      </wps:wsp>
                      <wps:wsp>
                        <wps:cNvPr id="151" name="Graphic 151"/>
                        <wps:cNvSpPr/>
                        <wps:spPr>
                          <a:xfrm>
                            <a:off x="661072" y="489775"/>
                            <a:ext cx="901700" cy="1621790"/>
                          </a:xfrm>
                          <a:custGeom>
                            <a:avLst/>
                            <a:gdLst/>
                            <a:ahLst/>
                            <a:cxnLst/>
                            <a:rect l="l" t="t" r="r" b="b"/>
                            <a:pathLst>
                              <a:path w="901700" h="1621790">
                                <a:moveTo>
                                  <a:pt x="432587" y="0"/>
                                </a:moveTo>
                                <a:lnTo>
                                  <a:pt x="388894" y="28381"/>
                                </a:lnTo>
                                <a:lnTo>
                                  <a:pt x="347085" y="59102"/>
                                </a:lnTo>
                                <a:lnTo>
                                  <a:pt x="307240" y="92065"/>
                                </a:lnTo>
                                <a:lnTo>
                                  <a:pt x="269439" y="127169"/>
                                </a:lnTo>
                                <a:lnTo>
                                  <a:pt x="233762" y="164316"/>
                                </a:lnTo>
                                <a:lnTo>
                                  <a:pt x="200288" y="203406"/>
                                </a:lnTo>
                                <a:lnTo>
                                  <a:pt x="169098" y="244340"/>
                                </a:lnTo>
                                <a:lnTo>
                                  <a:pt x="140271" y="287020"/>
                                </a:lnTo>
                                <a:lnTo>
                                  <a:pt x="113887" y="331344"/>
                                </a:lnTo>
                                <a:lnTo>
                                  <a:pt x="90025" y="377216"/>
                                </a:lnTo>
                                <a:lnTo>
                                  <a:pt x="68767" y="424535"/>
                                </a:lnTo>
                                <a:lnTo>
                                  <a:pt x="50190" y="473201"/>
                                </a:lnTo>
                                <a:lnTo>
                                  <a:pt x="35616" y="518836"/>
                                </a:lnTo>
                                <a:lnTo>
                                  <a:pt x="23576" y="564663"/>
                                </a:lnTo>
                                <a:lnTo>
                                  <a:pt x="14033" y="610605"/>
                                </a:lnTo>
                                <a:lnTo>
                                  <a:pt x="6948" y="656582"/>
                                </a:lnTo>
                                <a:lnTo>
                                  <a:pt x="2283" y="702514"/>
                                </a:lnTo>
                                <a:lnTo>
                                  <a:pt x="0" y="748322"/>
                                </a:lnTo>
                                <a:lnTo>
                                  <a:pt x="59" y="793927"/>
                                </a:lnTo>
                                <a:lnTo>
                                  <a:pt x="2424" y="839250"/>
                                </a:lnTo>
                                <a:lnTo>
                                  <a:pt x="7055" y="884211"/>
                                </a:lnTo>
                                <a:lnTo>
                                  <a:pt x="13915" y="928731"/>
                                </a:lnTo>
                                <a:lnTo>
                                  <a:pt x="22965" y="972730"/>
                                </a:lnTo>
                                <a:lnTo>
                                  <a:pt x="34167" y="1016130"/>
                                </a:lnTo>
                                <a:lnTo>
                                  <a:pt x="47483" y="1058850"/>
                                </a:lnTo>
                                <a:lnTo>
                                  <a:pt x="62873" y="1100813"/>
                                </a:lnTo>
                                <a:lnTo>
                                  <a:pt x="80301" y="1141937"/>
                                </a:lnTo>
                                <a:lnTo>
                                  <a:pt x="99727" y="1182145"/>
                                </a:lnTo>
                                <a:lnTo>
                                  <a:pt x="121114" y="1221356"/>
                                </a:lnTo>
                                <a:lnTo>
                                  <a:pt x="144423" y="1259492"/>
                                </a:lnTo>
                                <a:lnTo>
                                  <a:pt x="169616" y="1296472"/>
                                </a:lnTo>
                                <a:lnTo>
                                  <a:pt x="196654" y="1332219"/>
                                </a:lnTo>
                                <a:lnTo>
                                  <a:pt x="225499" y="1366651"/>
                                </a:lnTo>
                                <a:lnTo>
                                  <a:pt x="256113" y="1399691"/>
                                </a:lnTo>
                                <a:lnTo>
                                  <a:pt x="288458" y="1431259"/>
                                </a:lnTo>
                                <a:lnTo>
                                  <a:pt x="322496" y="1461275"/>
                                </a:lnTo>
                                <a:lnTo>
                                  <a:pt x="358187" y="1489660"/>
                                </a:lnTo>
                                <a:lnTo>
                                  <a:pt x="395494" y="1516335"/>
                                </a:lnTo>
                                <a:lnTo>
                                  <a:pt x="434379" y="1541221"/>
                                </a:lnTo>
                                <a:lnTo>
                                  <a:pt x="474803" y="1564237"/>
                                </a:lnTo>
                                <a:lnTo>
                                  <a:pt x="516727" y="1585306"/>
                                </a:lnTo>
                                <a:lnTo>
                                  <a:pt x="560115" y="1604347"/>
                                </a:lnTo>
                                <a:lnTo>
                                  <a:pt x="604926" y="1621282"/>
                                </a:lnTo>
                                <a:lnTo>
                                  <a:pt x="901598" y="769874"/>
                                </a:lnTo>
                                <a:lnTo>
                                  <a:pt x="432587" y="0"/>
                                </a:lnTo>
                                <a:close/>
                              </a:path>
                            </a:pathLst>
                          </a:custGeom>
                          <a:solidFill>
                            <a:srgbClr val="EC7C30"/>
                          </a:solidFill>
                        </wps:spPr>
                        <wps:bodyPr wrap="square" lIns="0" tIns="0" rIns="0" bIns="0" rtlCol="0">
                          <a:noAutofit/>
                        </wps:bodyPr>
                      </wps:wsp>
                      <wps:wsp>
                        <wps:cNvPr id="152" name="Graphic 152"/>
                        <wps:cNvSpPr/>
                        <wps:spPr>
                          <a:xfrm>
                            <a:off x="1093660" y="369506"/>
                            <a:ext cx="469265" cy="890269"/>
                          </a:xfrm>
                          <a:custGeom>
                            <a:avLst/>
                            <a:gdLst/>
                            <a:ahLst/>
                            <a:cxnLst/>
                            <a:rect l="l" t="t" r="r" b="b"/>
                            <a:pathLst>
                              <a:path w="469265" h="890269">
                                <a:moveTo>
                                  <a:pt x="326389" y="0"/>
                                </a:moveTo>
                                <a:lnTo>
                                  <a:pt x="277165" y="9301"/>
                                </a:lnTo>
                                <a:lnTo>
                                  <a:pt x="228625" y="21288"/>
                                </a:lnTo>
                                <a:lnTo>
                                  <a:pt x="180879" y="35926"/>
                                </a:lnTo>
                                <a:lnTo>
                                  <a:pt x="134034" y="53178"/>
                                </a:lnTo>
                                <a:lnTo>
                                  <a:pt x="88200" y="73010"/>
                                </a:lnTo>
                                <a:lnTo>
                                  <a:pt x="43485" y="95385"/>
                                </a:lnTo>
                                <a:lnTo>
                                  <a:pt x="0" y="120268"/>
                                </a:lnTo>
                                <a:lnTo>
                                  <a:pt x="469011" y="890142"/>
                                </a:lnTo>
                                <a:lnTo>
                                  <a:pt x="326389" y="0"/>
                                </a:lnTo>
                                <a:close/>
                              </a:path>
                            </a:pathLst>
                          </a:custGeom>
                          <a:solidFill>
                            <a:srgbClr val="A4A4A4"/>
                          </a:solidFill>
                        </wps:spPr>
                        <wps:bodyPr wrap="square" lIns="0" tIns="0" rIns="0" bIns="0" rtlCol="0">
                          <a:noAutofit/>
                        </wps:bodyPr>
                      </wps:wsp>
                      <wps:wsp>
                        <wps:cNvPr id="153" name="Graphic 153"/>
                        <wps:cNvSpPr/>
                        <wps:spPr>
                          <a:xfrm>
                            <a:off x="1420050" y="358076"/>
                            <a:ext cx="142875" cy="901700"/>
                          </a:xfrm>
                          <a:custGeom>
                            <a:avLst/>
                            <a:gdLst/>
                            <a:ahLst/>
                            <a:cxnLst/>
                            <a:rect l="l" t="t" r="r" b="b"/>
                            <a:pathLst>
                              <a:path w="142875" h="901700">
                                <a:moveTo>
                                  <a:pt x="142621" y="0"/>
                                </a:moveTo>
                                <a:lnTo>
                                  <a:pt x="106816" y="714"/>
                                </a:lnTo>
                                <a:lnTo>
                                  <a:pt x="71072" y="2857"/>
                                </a:lnTo>
                                <a:lnTo>
                                  <a:pt x="35446" y="6429"/>
                                </a:lnTo>
                                <a:lnTo>
                                  <a:pt x="0" y="11430"/>
                                </a:lnTo>
                                <a:lnTo>
                                  <a:pt x="142621" y="901573"/>
                                </a:lnTo>
                                <a:lnTo>
                                  <a:pt x="142621" y="0"/>
                                </a:lnTo>
                                <a:close/>
                              </a:path>
                            </a:pathLst>
                          </a:custGeom>
                          <a:solidFill>
                            <a:srgbClr val="FFC000"/>
                          </a:solidFill>
                        </wps:spPr>
                        <wps:bodyPr wrap="square" lIns="0" tIns="0" rIns="0" bIns="0" rtlCol="0">
                          <a:noAutofit/>
                        </wps:bodyPr>
                      </wps:wsp>
                      <wps:wsp>
                        <wps:cNvPr id="154" name="Graphic 154"/>
                        <wps:cNvSpPr/>
                        <wps:spPr>
                          <a:xfrm>
                            <a:off x="3154616" y="1198336"/>
                            <a:ext cx="91440" cy="91440"/>
                          </a:xfrm>
                          <a:custGeom>
                            <a:avLst/>
                            <a:gdLst/>
                            <a:ahLst/>
                            <a:cxnLst/>
                            <a:rect l="l" t="t" r="r" b="b"/>
                            <a:pathLst>
                              <a:path w="91440" h="91440">
                                <a:moveTo>
                                  <a:pt x="91412" y="0"/>
                                </a:moveTo>
                                <a:lnTo>
                                  <a:pt x="0" y="0"/>
                                </a:lnTo>
                                <a:lnTo>
                                  <a:pt x="0" y="91412"/>
                                </a:lnTo>
                                <a:lnTo>
                                  <a:pt x="91412" y="91412"/>
                                </a:lnTo>
                                <a:lnTo>
                                  <a:pt x="91412" y="0"/>
                                </a:lnTo>
                                <a:close/>
                              </a:path>
                            </a:pathLst>
                          </a:custGeom>
                          <a:solidFill>
                            <a:srgbClr val="5B9BD4"/>
                          </a:solidFill>
                        </wps:spPr>
                        <wps:bodyPr wrap="square" lIns="0" tIns="0" rIns="0" bIns="0" rtlCol="0">
                          <a:noAutofit/>
                        </wps:bodyPr>
                      </wps:wsp>
                      <wps:wsp>
                        <wps:cNvPr id="155" name="Graphic 155"/>
                        <wps:cNvSpPr/>
                        <wps:spPr>
                          <a:xfrm>
                            <a:off x="3154616" y="1411569"/>
                            <a:ext cx="91440" cy="91440"/>
                          </a:xfrm>
                          <a:custGeom>
                            <a:avLst/>
                            <a:gdLst/>
                            <a:ahLst/>
                            <a:cxnLst/>
                            <a:rect l="l" t="t" r="r" b="b"/>
                            <a:pathLst>
                              <a:path w="91440" h="91440">
                                <a:moveTo>
                                  <a:pt x="91412" y="0"/>
                                </a:moveTo>
                                <a:lnTo>
                                  <a:pt x="0" y="0"/>
                                </a:lnTo>
                                <a:lnTo>
                                  <a:pt x="0" y="91412"/>
                                </a:lnTo>
                                <a:lnTo>
                                  <a:pt x="91412" y="91412"/>
                                </a:lnTo>
                                <a:lnTo>
                                  <a:pt x="91412" y="0"/>
                                </a:lnTo>
                                <a:close/>
                              </a:path>
                            </a:pathLst>
                          </a:custGeom>
                          <a:solidFill>
                            <a:srgbClr val="EC7C30"/>
                          </a:solidFill>
                        </wps:spPr>
                        <wps:bodyPr wrap="square" lIns="0" tIns="0" rIns="0" bIns="0" rtlCol="0">
                          <a:noAutofit/>
                        </wps:bodyPr>
                      </wps:wsp>
                      <wps:wsp>
                        <wps:cNvPr id="156" name="Graphic 156"/>
                        <wps:cNvSpPr/>
                        <wps:spPr>
                          <a:xfrm>
                            <a:off x="3154616" y="1624675"/>
                            <a:ext cx="91440" cy="91440"/>
                          </a:xfrm>
                          <a:custGeom>
                            <a:avLst/>
                            <a:gdLst/>
                            <a:ahLst/>
                            <a:cxnLst/>
                            <a:rect l="l" t="t" r="r" b="b"/>
                            <a:pathLst>
                              <a:path w="91440" h="91440">
                                <a:moveTo>
                                  <a:pt x="91412" y="0"/>
                                </a:moveTo>
                                <a:lnTo>
                                  <a:pt x="0" y="0"/>
                                </a:lnTo>
                                <a:lnTo>
                                  <a:pt x="0" y="91412"/>
                                </a:lnTo>
                                <a:lnTo>
                                  <a:pt x="91412" y="91412"/>
                                </a:lnTo>
                                <a:lnTo>
                                  <a:pt x="91412" y="0"/>
                                </a:lnTo>
                                <a:close/>
                              </a:path>
                            </a:pathLst>
                          </a:custGeom>
                          <a:solidFill>
                            <a:srgbClr val="A4A4A4"/>
                          </a:solidFill>
                        </wps:spPr>
                        <wps:bodyPr wrap="square" lIns="0" tIns="0" rIns="0" bIns="0" rtlCol="0">
                          <a:noAutofit/>
                        </wps:bodyPr>
                      </wps:wsp>
                      <wps:wsp>
                        <wps:cNvPr id="157" name="Graphic 157"/>
                        <wps:cNvSpPr/>
                        <wps:spPr>
                          <a:xfrm>
                            <a:off x="3154616" y="1837908"/>
                            <a:ext cx="91440" cy="91440"/>
                          </a:xfrm>
                          <a:custGeom>
                            <a:avLst/>
                            <a:gdLst/>
                            <a:ahLst/>
                            <a:cxnLst/>
                            <a:rect l="l" t="t" r="r" b="b"/>
                            <a:pathLst>
                              <a:path w="91440" h="91440">
                                <a:moveTo>
                                  <a:pt x="91412" y="0"/>
                                </a:moveTo>
                                <a:lnTo>
                                  <a:pt x="0" y="0"/>
                                </a:lnTo>
                                <a:lnTo>
                                  <a:pt x="0" y="91412"/>
                                </a:lnTo>
                                <a:lnTo>
                                  <a:pt x="91412" y="91412"/>
                                </a:lnTo>
                                <a:lnTo>
                                  <a:pt x="91412" y="0"/>
                                </a:lnTo>
                                <a:close/>
                              </a:path>
                            </a:pathLst>
                          </a:custGeom>
                          <a:solidFill>
                            <a:srgbClr val="FFC000"/>
                          </a:solidFill>
                        </wps:spPr>
                        <wps:bodyPr wrap="square" lIns="0" tIns="0" rIns="0" bIns="0" rtlCol="0">
                          <a:noAutofit/>
                        </wps:bodyPr>
                      </wps:wsp>
                      <wps:wsp>
                        <wps:cNvPr id="158" name="Graphic 158"/>
                        <wps:cNvSpPr/>
                        <wps:spPr>
                          <a:xfrm>
                            <a:off x="4762" y="4762"/>
                            <a:ext cx="4486275" cy="2438400"/>
                          </a:xfrm>
                          <a:custGeom>
                            <a:avLst/>
                            <a:gdLst/>
                            <a:ahLst/>
                            <a:cxnLst/>
                            <a:rect l="l" t="t" r="r" b="b"/>
                            <a:pathLst>
                              <a:path w="4486275" h="2438400">
                                <a:moveTo>
                                  <a:pt x="0" y="2438400"/>
                                </a:moveTo>
                                <a:lnTo>
                                  <a:pt x="4486275" y="2438400"/>
                                </a:lnTo>
                                <a:lnTo>
                                  <a:pt x="4486275" y="0"/>
                                </a:lnTo>
                                <a:lnTo>
                                  <a:pt x="0" y="0"/>
                                </a:lnTo>
                                <a:lnTo>
                                  <a:pt x="0" y="2438400"/>
                                </a:lnTo>
                                <a:close/>
                              </a:path>
                            </a:pathLst>
                          </a:custGeom>
                          <a:ln w="9524">
                            <a:solidFill>
                              <a:srgbClr val="888888"/>
                            </a:solidFill>
                            <a:prstDash val="solid"/>
                          </a:ln>
                        </wps:spPr>
                        <wps:bodyPr wrap="square" lIns="0" tIns="0" rIns="0" bIns="0" rtlCol="0">
                          <a:noAutofit/>
                        </wps:bodyPr>
                      </wps:wsp>
                      <wps:wsp>
                        <wps:cNvPr id="159" name="Textbox 159"/>
                        <wps:cNvSpPr txBox="1"/>
                        <wps:spPr>
                          <a:xfrm>
                            <a:off x="1257744" y="570420"/>
                            <a:ext cx="127000" cy="253365"/>
                          </a:xfrm>
                          <a:prstGeom prst="rect">
                            <a:avLst/>
                          </a:prstGeom>
                        </wps:spPr>
                        <wps:txbx>
                          <w:txbxContent>
                            <w:p w14:paraId="6082EE6C">
                              <w:pPr>
                                <w:spacing w:line="399" w:lineRule="exact"/>
                                <w:rPr>
                                  <w:sz w:val="36"/>
                                </w:rPr>
                              </w:pPr>
                              <w:r>
                                <w:rPr>
                                  <w:spacing w:val="-10"/>
                                  <w:sz w:val="36"/>
                                </w:rPr>
                                <w:t>8</w:t>
                              </w:r>
                            </w:p>
                          </w:txbxContent>
                        </wps:txbx>
                        <wps:bodyPr wrap="square" lIns="0" tIns="0" rIns="0" bIns="0" rtlCol="0">
                          <a:noAutofit/>
                        </wps:bodyPr>
                      </wps:wsp>
                      <wps:wsp>
                        <wps:cNvPr id="160" name="Textbox 160"/>
                        <wps:cNvSpPr txBox="1"/>
                        <wps:spPr>
                          <a:xfrm>
                            <a:off x="1412303" y="69913"/>
                            <a:ext cx="1260475" cy="540385"/>
                          </a:xfrm>
                          <a:prstGeom prst="rect">
                            <a:avLst/>
                          </a:prstGeom>
                        </wps:spPr>
                        <wps:txbx>
                          <w:txbxContent>
                            <w:p w14:paraId="47E7A85B">
                              <w:pPr>
                                <w:spacing w:line="347" w:lineRule="exact"/>
                                <w:rPr>
                                  <w:rFonts w:ascii="Calibri" w:hAnsi="Calibri"/>
                                  <w:b/>
                                  <w:sz w:val="34"/>
                                </w:rPr>
                              </w:pPr>
                              <w:r>
                                <w:rPr>
                                  <w:rFonts w:ascii="Calibri" w:hAnsi="Calibri"/>
                                  <w:b/>
                                  <w:spacing w:val="-2"/>
                                  <w:sz w:val="34"/>
                                </w:rPr>
                                <w:t>Локализация</w:t>
                              </w:r>
                            </w:p>
                            <w:p w14:paraId="1D3281E7">
                              <w:pPr>
                                <w:spacing w:before="89"/>
                                <w:ind w:left="32"/>
                                <w:rPr>
                                  <w:sz w:val="36"/>
                                </w:rPr>
                              </w:pPr>
                              <w:r>
                                <w:rPr>
                                  <w:spacing w:val="-10"/>
                                  <w:sz w:val="36"/>
                                </w:rPr>
                                <w:t>6</w:t>
                              </w:r>
                            </w:p>
                          </w:txbxContent>
                        </wps:txbx>
                        <wps:bodyPr wrap="square" lIns="0" tIns="0" rIns="0" bIns="0" rtlCol="0">
                          <a:noAutofit/>
                        </wps:bodyPr>
                      </wps:wsp>
                      <wps:wsp>
                        <wps:cNvPr id="161" name="Textbox 161"/>
                        <wps:cNvSpPr txBox="1"/>
                        <wps:spPr>
                          <a:xfrm>
                            <a:off x="881316" y="1097089"/>
                            <a:ext cx="244475" cy="253365"/>
                          </a:xfrm>
                          <a:prstGeom prst="rect">
                            <a:avLst/>
                          </a:prstGeom>
                        </wps:spPr>
                        <wps:txbx>
                          <w:txbxContent>
                            <w:p w14:paraId="793627D4">
                              <w:pPr>
                                <w:spacing w:line="399" w:lineRule="exact"/>
                                <w:rPr>
                                  <w:sz w:val="36"/>
                                </w:rPr>
                              </w:pPr>
                              <w:r>
                                <w:rPr>
                                  <w:spacing w:val="-5"/>
                                  <w:sz w:val="36"/>
                                </w:rPr>
                                <w:t>78</w:t>
                              </w:r>
                            </w:p>
                          </w:txbxContent>
                        </wps:txbx>
                        <wps:bodyPr wrap="square" lIns="0" tIns="0" rIns="0" bIns="0" rtlCol="0">
                          <a:noAutofit/>
                        </wps:bodyPr>
                      </wps:wsp>
                      <wps:wsp>
                        <wps:cNvPr id="162" name="Textbox 162"/>
                        <wps:cNvSpPr txBox="1"/>
                        <wps:spPr>
                          <a:xfrm>
                            <a:off x="1807908" y="1280857"/>
                            <a:ext cx="360680" cy="253365"/>
                          </a:xfrm>
                          <a:prstGeom prst="rect">
                            <a:avLst/>
                          </a:prstGeom>
                        </wps:spPr>
                        <wps:txbx>
                          <w:txbxContent>
                            <w:p w14:paraId="60A9B1B6">
                              <w:pPr>
                                <w:spacing w:line="399" w:lineRule="exact"/>
                                <w:rPr>
                                  <w:sz w:val="36"/>
                                </w:rPr>
                              </w:pPr>
                              <w:r>
                                <w:rPr>
                                  <w:spacing w:val="-5"/>
                                  <w:sz w:val="36"/>
                                </w:rPr>
                                <w:t>116</w:t>
                              </w:r>
                            </w:p>
                          </w:txbxContent>
                        </wps:txbx>
                        <wps:bodyPr wrap="square" lIns="0" tIns="0" rIns="0" bIns="0" rtlCol="0">
                          <a:noAutofit/>
                        </wps:bodyPr>
                      </wps:wsp>
                      <wps:wsp>
                        <wps:cNvPr id="163" name="Textbox 163"/>
                        <wps:cNvSpPr txBox="1"/>
                        <wps:spPr>
                          <a:xfrm>
                            <a:off x="3288982" y="1166964"/>
                            <a:ext cx="833755" cy="807720"/>
                          </a:xfrm>
                          <a:prstGeom prst="rect">
                            <a:avLst/>
                          </a:prstGeom>
                        </wps:spPr>
                        <wps:txbx>
                          <w:txbxContent>
                            <w:p w14:paraId="29FCDC88">
                              <w:pPr>
                                <w:spacing w:line="268" w:lineRule="exact"/>
                                <w:jc w:val="both"/>
                                <w:rPr>
                                  <w:rFonts w:ascii="Calibri" w:hAnsi="Calibri"/>
                                  <w:sz w:val="26"/>
                                </w:rPr>
                              </w:pPr>
                              <w:r>
                                <w:rPr>
                                  <w:rFonts w:ascii="Calibri" w:hAnsi="Calibri"/>
                                  <w:spacing w:val="-5"/>
                                  <w:sz w:val="26"/>
                                </w:rPr>
                                <w:t>Головка ПЖ</w:t>
                              </w:r>
                            </w:p>
                            <w:p w14:paraId="64A50959">
                              <w:pPr>
                                <w:spacing w:line="254" w:lineRule="auto"/>
                                <w:ind w:right="835"/>
                                <w:jc w:val="both"/>
                                <w:rPr>
                                  <w:rFonts w:ascii="Calibri" w:hAnsi="Calibri"/>
                                  <w:sz w:val="26"/>
                                </w:rPr>
                              </w:pPr>
                              <w:r>
                                <w:rPr>
                                  <w:rFonts w:ascii="Calibri" w:hAnsi="Calibri"/>
                                  <w:spacing w:val="-4"/>
                                  <w:sz w:val="26"/>
                                </w:rPr>
                                <w:t>БДС ТОХ ДПК</w:t>
                              </w:r>
                            </w:p>
                          </w:txbxContent>
                        </wps:txbx>
                        <wps:bodyPr wrap="square" lIns="0" tIns="0" rIns="0" bIns="0" rtlCol="0">
                          <a:noAutofit/>
                        </wps:bodyPr>
                      </wps:wsp>
                    </wpg:wgp>
                  </a:graphicData>
                </a:graphic>
              </wp:anchor>
            </w:drawing>
          </mc:Choice>
          <mc:Fallback>
            <w:pict>
              <v:group id="Group 149" o:spid="_x0000_s1026" o:spt="203" style="position:absolute;left:0pt;margin-left:162.8pt;margin-top:15.65pt;height:192.75pt;width:354pt;mso-position-horizontal-relative:page;mso-wrap-distance-bottom:0pt;mso-wrap-distance-top:0pt;z-index:-251641856;mso-width-relative:page;mso-height-relative:page;" coordsize="4495800,2447925" o:gfxdata="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">
                <o:lock v:ext="edit" aspectratio="f"/>
                <v:shape id="Graphic 150" o:spid="_x0000_s1026" o:spt="100" style="position:absolute;left:1265999;top:358076;height:1803400;width:1198245;" fillcolor="#5B9BD4" filled="t" stroked="f" coordsize="1198245,1803400" o:gfxdata="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f3zlr4A&#10;AADcAAAADwAAAAAAAAABACAAAAAiAAAAZHJzL2Rvd25yZXYueG1sUEsBAhQAFAAAAAgAh07iQDMv&#10;BZ47AAAAOQAAABAAAAAAAAAAAQAgAAAADQEAAGRycy9zaGFwZXhtbC54bWxQSwUGAAAAAAYABgBb&#10;AQAAtwMAAAAA&#10;" path="m296672,0l296672,901573,0,1752981,48072,1768250,96839,1780775,146192,1790541,196022,1797534,246218,1801740,296672,1803146,344557,1801896,391791,1798189,438311,1792086,484055,1783651,528961,1772944,572967,1760029,616009,1744968,658027,1727823,698957,1708656,738737,1687530,777306,1664507,814600,1639649,850558,1613019,885116,1584678,918214,1554689,949788,1523115,979777,1490017,1008118,1455459,1034748,1419501,1059606,1382207,1082629,1343638,1103755,1303858,1122922,1262928,1140067,1220910,1155128,1177868,1168043,1133862,1178750,1088956,1187185,1043212,1193288,996692,1196995,949458,1198245,901573,1196995,853699,1193288,806475,1187185,759963,1178750,714226,1168043,669326,1155128,625325,1140067,582286,1122922,540271,1103755,499343,1082629,459563,1059606,420994,1034748,383699,1008118,347740,979777,313179,949788,280079,918214,248502,885116,218509,850558,190165,814600,163531,777306,138669,738737,115642,698957,94511,658027,75341,616009,58192,572967,43127,528961,30209,484055,19500,438311,11062,391791,4958,344557,1249,296672,0xe">
                  <v:fill on="t" focussize="0,0"/>
                  <v:stroke on="f"/>
                  <v:imagedata o:title=""/>
                  <o:lock v:ext="edit" aspectratio="f"/>
                  <v:textbox inset="0mm,0mm,0mm,0mm"/>
                </v:shape>
                <v:shape id="Graphic 151" o:spid="_x0000_s1026" o:spt="100" style="position:absolute;left:661072;top:489775;height:1621790;width:901700;" fillcolor="#EC7C30" filled="t" stroked="f" coordsize="901700,1621790" o:gfxdata="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ICRhLsAAADc&#10;AAAADwAAAAAAAAABACAAAAAiAAAAZHJzL2Rvd25yZXYueG1sUEsBAhQAFAAAAAgAh07iQDMvBZ47&#10;AAAAOQAAABAAAAAAAAAAAQAgAAAACgEAAGRycy9zaGFwZXhtbC54bWxQSwUGAAAAAAYABgBbAQAA&#10;tAMAAAAA&#10;" path="m432587,0l388894,28381,347085,59102,307240,92065,269439,127169,233762,164316,200288,203406,169098,244340,140271,287020,113887,331344,90025,377216,68767,424535,50190,473201,35616,518836,23576,564663,14033,610605,6948,656582,2283,702514,0,748322,59,793927,2424,839250,7055,884211,13915,928731,22965,972730,34167,1016130,47483,1058850,62873,1100813,80301,1141937,99727,1182145,121114,1221356,144423,1259492,169616,1296472,196654,1332219,225499,1366651,256113,1399691,288458,1431259,322496,1461275,358187,1489660,395494,1516335,434379,1541221,474803,1564237,516727,1585306,560115,1604347,604926,1621282,901598,769874,432587,0xe">
                  <v:fill on="t" focussize="0,0"/>
                  <v:stroke on="f"/>
                  <v:imagedata o:title=""/>
                  <o:lock v:ext="edit" aspectratio="f"/>
                  <v:textbox inset="0mm,0mm,0mm,0mm"/>
                </v:shape>
                <v:shape id="Graphic 152" o:spid="_x0000_s1026" o:spt="100" style="position:absolute;left:1093660;top:369506;height:890269;width:469265;" fillcolor="#A4A4A4" filled="t" stroked="f" coordsize="469265,890269" o:gfxdata="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QmwUugAAANwA&#10;AAAPAAAAAAAAAAEAIAAAACIAAABkcnMvZG93bnJldi54bWxQSwECFAAUAAAACACHTuJAMy8FnjsA&#10;AAA5AAAAEAAAAAAAAAABACAAAAAJAQAAZHJzL3NoYXBleG1sLnhtbFBLBQYAAAAABgAGAFsBAACz&#10;AwAAAAA=&#10;" path="m326389,0l277165,9301,228625,21288,180879,35926,134034,53178,88200,73010,43485,95385,0,120268,469011,890142,326389,0xe">
                  <v:fill on="t" focussize="0,0"/>
                  <v:stroke on="f"/>
                  <v:imagedata o:title=""/>
                  <o:lock v:ext="edit" aspectratio="f"/>
                  <v:textbox inset="0mm,0mm,0mm,0mm"/>
                </v:shape>
                <v:shape id="Graphic 153" o:spid="_x0000_s1026" o:spt="100" style="position:absolute;left:1420050;top:358076;height:901700;width:142875;" fillcolor="#FFC000" filled="t" stroked="f" coordsize="142875,901700" o:gfxdata="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vBR6ugAAANwA&#10;AAAPAAAAAAAAAAEAIAAAACIAAABkcnMvZG93bnJldi54bWxQSwECFAAUAAAACACHTuJAMy8FnjsA&#10;AAA5AAAAEAAAAAAAAAABACAAAAAJAQAAZHJzL3NoYXBleG1sLnhtbFBLBQYAAAAABgAGAFsBAACz&#10;AwAAAAA=&#10;" path="m142621,0l106816,714,71072,2857,35446,6429,0,11430,142621,901573,142621,0xe">
                  <v:fill on="t" focussize="0,0"/>
                  <v:stroke on="f"/>
                  <v:imagedata o:title=""/>
                  <o:lock v:ext="edit" aspectratio="f"/>
                  <v:textbox inset="0mm,0mm,0mm,0mm"/>
                </v:shape>
                <v:shape id="Graphic 154" o:spid="_x0000_s1026" o:spt="100" style="position:absolute;left:3154616;top:1198336;height:91440;width:91440;" fillcolor="#5B9BD4" filled="t" stroked="f" coordsize="91440,91440" o:gfxdata="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7n6FugAAANwA&#10;AAAPAAAAAAAAAAEAIAAAACIAAABkcnMvZG93bnJldi54bWxQSwECFAAUAAAACACHTuJAMy8FnjsA&#10;AAA5AAAAEAAAAAAAAAABACAAAAAJAQAAZHJzL3NoYXBleG1sLnhtbFBLBQYAAAAABgAGAFsBAACz&#10;AwAAAAA=&#10;" path="m91412,0l0,0,0,91412,91412,91412,91412,0xe">
                  <v:fill on="t" focussize="0,0"/>
                  <v:stroke on="f"/>
                  <v:imagedata o:title=""/>
                  <o:lock v:ext="edit" aspectratio="f"/>
                  <v:textbox inset="0mm,0mm,0mm,0mm"/>
                </v:shape>
                <v:shape id="Graphic 155" o:spid="_x0000_s1026" o:spt="100" style="position:absolute;left:3154616;top:1411569;height:91440;width:91440;" fillcolor="#EC7C30" filled="t" stroked="f" coordsize="91440,91440" o:gfxdata="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6zRg7sAAADc&#10;AAAADwAAAAAAAAABACAAAAAiAAAAZHJzL2Rvd25yZXYueG1sUEsBAhQAFAAAAAgAh07iQDMvBZ47&#10;AAAAOQAAABAAAAAAAAAAAQAgAAAACgEAAGRycy9zaGFwZXhtbC54bWxQSwUGAAAAAAYABgBbAQAA&#10;tAMAAAAA&#10;" path="m91412,0l0,0,0,91412,91412,91412,91412,0xe">
                  <v:fill on="t" focussize="0,0"/>
                  <v:stroke on="f"/>
                  <v:imagedata o:title=""/>
                  <o:lock v:ext="edit" aspectratio="f"/>
                  <v:textbox inset="0mm,0mm,0mm,0mm"/>
                </v:shape>
                <v:shape id="Graphic 156" o:spid="_x0000_s1026" o:spt="100" style="position:absolute;left:3154616;top:1624675;height:91440;width:91440;" fillcolor="#A4A4A4" filled="t" stroked="f" coordsize="91440,91440" o:gfxdata="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Tanyu2AAAA3AAAAA8A&#10;AAAAAAAAAQAgAAAAIgAAAGRycy9kb3ducmV2LnhtbFBLAQIUABQAAAAIAIdO4kAzLwWeOwAAADkA&#10;AAAQAAAAAAAAAAEAIAAAAAUBAABkcnMvc2hhcGV4bWwueG1sUEsFBgAAAAAGAAYAWwEAAK8DAAAA&#10;AA==&#10;" path="m91412,0l0,0,0,91412,91412,91412,91412,0xe">
                  <v:fill on="t" focussize="0,0"/>
                  <v:stroke on="f"/>
                  <v:imagedata o:title=""/>
                  <o:lock v:ext="edit" aspectratio="f"/>
                  <v:textbox inset="0mm,0mm,0mm,0mm"/>
                </v:shape>
                <v:shape id="Graphic 157" o:spid="_x0000_s1026" o:spt="100" style="position:absolute;left:3154616;top:1837908;height:91440;width:91440;" fillcolor="#FFC000" filled="t" stroked="f" coordsize="91440,91440" o:gfxdata="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WhnQ25AAAA3AAA&#10;AA8AAAAAAAAAAQAgAAAAIgAAAGRycy9kb3ducmV2LnhtbFBLAQIUABQAAAAIAIdO4kAzLwWeOwAA&#10;ADkAAAAQAAAAAAAAAAEAIAAAAAgBAABkcnMvc2hhcGV4bWwueG1sUEsFBgAAAAAGAAYAWwEAALID&#10;AAAAAA==&#10;" path="m91412,0l0,0,0,91412,91412,91412,91412,0xe">
                  <v:fill on="t" focussize="0,0"/>
                  <v:stroke on="f"/>
                  <v:imagedata o:title=""/>
                  <o:lock v:ext="edit" aspectratio="f"/>
                  <v:textbox inset="0mm,0mm,0mm,0mm"/>
                </v:shape>
                <v:shape id="Graphic 158" o:spid="_x0000_s1026" o:spt="100" style="position:absolute;left:4762;top:4762;height:2438400;width:4486275;" filled="f" stroked="t" coordsize="4486275,2438400" o:gfxdata="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bmryq/&#10;AAAA3AAAAA8AAAAAAAAAAQAgAAAAIgAAAGRycy9kb3ducmV2LnhtbFBLAQIUABQAAAAIAIdO4kAz&#10;LwWeOwAAADkAAAAQAAAAAAAAAAEAIAAAAA4BAABkcnMvc2hhcGV4bWwueG1sUEsFBgAAAAAGAAYA&#10;WwEAALgDAAAAAA==&#10;" path="m0,2438400l4486275,2438400,4486275,0,0,0,0,2438400xe">
                  <v:fill on="f" focussize="0,0"/>
                  <v:stroke weight="0.74992125984252pt" color="#888888" joinstyle="round"/>
                  <v:imagedata o:title=""/>
                  <o:lock v:ext="edit" aspectratio="f"/>
                  <v:textbox inset="0mm,0mm,0mm,0mm"/>
                </v:shape>
                <v:shape id="Textbox 159" o:spid="_x0000_s1026" o:spt="202" type="#_x0000_t202" style="position:absolute;left:1257744;top:570420;height:253365;width:127000;" filled="f" stroked="f" coordsize="21600,21600" o:gfxdata="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J0O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082EE6C">
                        <w:pPr>
                          <w:spacing w:line="399" w:lineRule="exact"/>
                          <w:rPr>
                            <w:sz w:val="36"/>
                          </w:rPr>
                        </w:pPr>
                        <w:r>
                          <w:rPr>
                            <w:spacing w:val="-10"/>
                            <w:sz w:val="36"/>
                          </w:rPr>
                          <w:t>8</w:t>
                        </w:r>
                      </w:p>
                    </w:txbxContent>
                  </v:textbox>
                </v:shape>
                <v:shape id="Textbox 160" o:spid="_x0000_s1026" o:spt="202" type="#_x0000_t202" style="position:absolute;left:1412303;top:69913;height:540385;width:1260475;" filled="f" stroked="f" coordsize="21600,21600" o:gfxdata="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pfs8K/&#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47E7A85B">
                        <w:pPr>
                          <w:spacing w:line="347" w:lineRule="exact"/>
                          <w:rPr>
                            <w:rFonts w:ascii="Calibri" w:hAnsi="Calibri"/>
                            <w:b/>
                            <w:sz w:val="34"/>
                          </w:rPr>
                        </w:pPr>
                        <w:r>
                          <w:rPr>
                            <w:rFonts w:ascii="Calibri" w:hAnsi="Calibri"/>
                            <w:b/>
                            <w:spacing w:val="-2"/>
                            <w:sz w:val="34"/>
                          </w:rPr>
                          <w:t>Локализация</w:t>
                        </w:r>
                      </w:p>
                      <w:p w14:paraId="1D3281E7">
                        <w:pPr>
                          <w:spacing w:before="89"/>
                          <w:ind w:left="32"/>
                          <w:rPr>
                            <w:sz w:val="36"/>
                          </w:rPr>
                        </w:pPr>
                        <w:r>
                          <w:rPr>
                            <w:spacing w:val="-10"/>
                            <w:sz w:val="36"/>
                          </w:rPr>
                          <w:t>6</w:t>
                        </w:r>
                      </w:p>
                    </w:txbxContent>
                  </v:textbox>
                </v:shape>
                <v:shape id="Textbox 161" o:spid="_x0000_s1026" o:spt="202" type="#_x0000_t202" style="position:absolute;left:881316;top:1097089;height:253365;width:244475;" filled="f" stroked="f" coordsize="21600,21600" o:gfxdata="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TFlm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93627D4">
                        <w:pPr>
                          <w:spacing w:line="399" w:lineRule="exact"/>
                          <w:rPr>
                            <w:sz w:val="36"/>
                          </w:rPr>
                        </w:pPr>
                        <w:r>
                          <w:rPr>
                            <w:spacing w:val="-5"/>
                            <w:sz w:val="36"/>
                          </w:rPr>
                          <w:t>78</w:t>
                        </w:r>
                      </w:p>
                    </w:txbxContent>
                  </v:textbox>
                </v:shape>
                <v:shape id="Textbox 162" o:spid="_x0000_s1026" o:spt="202" type="#_x0000_t202" style="position:absolute;left:1807908;top:1280857;height:253365;width:360680;" filled="f" stroked="f" coordsize="21600,21600" o:gfxdata="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BiC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0A9B1B6">
                        <w:pPr>
                          <w:spacing w:line="399" w:lineRule="exact"/>
                          <w:rPr>
                            <w:sz w:val="36"/>
                          </w:rPr>
                        </w:pPr>
                        <w:r>
                          <w:rPr>
                            <w:spacing w:val="-5"/>
                            <w:sz w:val="36"/>
                          </w:rPr>
                          <w:t>116</w:t>
                        </w:r>
                      </w:p>
                    </w:txbxContent>
                  </v:textbox>
                </v:shape>
                <v:shape id="Textbox 163" o:spid="_x0000_s1026" o:spt="202" type="#_x0000_t202" style="position:absolute;left:3288982;top:1166964;height:807720;width:833755;" filled="f" stroked="f" coordsize="21600,21600" o:gfxdata="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NLb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9FCDC88">
                        <w:pPr>
                          <w:spacing w:line="268" w:lineRule="exact"/>
                          <w:jc w:val="both"/>
                          <w:rPr>
                            <w:rFonts w:ascii="Calibri" w:hAnsi="Calibri"/>
                            <w:sz w:val="26"/>
                          </w:rPr>
                        </w:pPr>
                        <w:r>
                          <w:rPr>
                            <w:rFonts w:ascii="Calibri" w:hAnsi="Calibri"/>
                            <w:spacing w:val="-5"/>
                            <w:sz w:val="26"/>
                          </w:rPr>
                          <w:t>Головка ПЖ</w:t>
                        </w:r>
                      </w:p>
                      <w:p w14:paraId="64A50959">
                        <w:pPr>
                          <w:spacing w:line="254" w:lineRule="auto"/>
                          <w:ind w:right="835"/>
                          <w:jc w:val="both"/>
                          <w:rPr>
                            <w:rFonts w:ascii="Calibri" w:hAnsi="Calibri"/>
                            <w:sz w:val="26"/>
                          </w:rPr>
                        </w:pPr>
                        <w:r>
                          <w:rPr>
                            <w:rFonts w:ascii="Calibri" w:hAnsi="Calibri"/>
                            <w:spacing w:val="-4"/>
                            <w:sz w:val="26"/>
                          </w:rPr>
                          <w:t>БДС ТОХ ДПК</w:t>
                        </w:r>
                      </w:p>
                    </w:txbxContent>
                  </v:textbox>
                </v:shape>
                <w10:wrap type="topAndBottom"/>
              </v:group>
            </w:pict>
          </mc:Fallback>
        </mc:AlternateContent>
      </w:r>
    </w:p>
    <w:p w14:paraId="1CB35279">
      <w:pPr>
        <w:pStyle w:val="7"/>
        <w:spacing w:before="309"/>
        <w:ind w:left="0" w:firstLine="0"/>
        <w:jc w:val="center"/>
      </w:pPr>
      <w:r>
        <w:t>Рисунок</w:t>
      </w:r>
      <w:r>
        <w:rPr>
          <w:spacing w:val="-8"/>
        </w:rPr>
        <w:t xml:space="preserve"> </w:t>
      </w:r>
      <w:r>
        <w:t>12</w:t>
      </w:r>
      <w:r>
        <w:rPr>
          <w:spacing w:val="-6"/>
        </w:rPr>
        <w:t xml:space="preserve"> </w:t>
      </w:r>
      <w:r>
        <w:t>–</w:t>
      </w:r>
      <w:r>
        <w:rPr>
          <w:spacing w:val="-6"/>
        </w:rPr>
        <w:t xml:space="preserve"> </w:t>
      </w:r>
      <w:r>
        <w:t>Распределение</w:t>
      </w:r>
      <w:r>
        <w:rPr>
          <w:spacing w:val="-6"/>
        </w:rPr>
        <w:t xml:space="preserve"> </w:t>
      </w:r>
      <w:r>
        <w:t>пациентов</w:t>
      </w:r>
      <w:r>
        <w:rPr>
          <w:spacing w:val="-2"/>
        </w:rPr>
        <w:t xml:space="preserve"> </w:t>
      </w:r>
      <w:r>
        <w:t>ретроспективной</w:t>
      </w:r>
      <w:r>
        <w:rPr>
          <w:spacing w:val="-7"/>
        </w:rPr>
        <w:t xml:space="preserve"> </w:t>
      </w:r>
      <w:r>
        <w:t>группы</w:t>
      </w:r>
      <w:r>
        <w:rPr>
          <w:spacing w:val="-4"/>
        </w:rPr>
        <w:t xml:space="preserve"> </w:t>
      </w:r>
      <w:r>
        <w:t>по локализации опухолевого процесса</w:t>
      </w:r>
    </w:p>
    <w:p w14:paraId="266FBAEF">
      <w:pPr>
        <w:pStyle w:val="7"/>
        <w:spacing w:before="321"/>
        <w:ind w:left="0" w:right="3" w:firstLine="709"/>
      </w:pPr>
      <w:r>
        <w:t>В структуре локализаций опухолевого процесса преобладали новообразования ГПЖ (55,8%) и БДС (37,5%), что согласуется с данными мировой</w:t>
      </w:r>
      <w:r>
        <w:rPr>
          <w:spacing w:val="-11"/>
        </w:rPr>
        <w:t xml:space="preserve"> </w:t>
      </w:r>
      <w:r>
        <w:t>литературы</w:t>
      </w:r>
      <w:r>
        <w:rPr>
          <w:spacing w:val="-11"/>
        </w:rPr>
        <w:t xml:space="preserve"> </w:t>
      </w:r>
      <w:r>
        <w:t>и</w:t>
      </w:r>
      <w:r>
        <w:rPr>
          <w:spacing w:val="-11"/>
        </w:rPr>
        <w:t xml:space="preserve"> </w:t>
      </w:r>
      <w:r>
        <w:t>подтверждает</w:t>
      </w:r>
      <w:r>
        <w:rPr>
          <w:spacing w:val="-12"/>
        </w:rPr>
        <w:t xml:space="preserve"> </w:t>
      </w:r>
      <w:r>
        <w:t>репрезентативность</w:t>
      </w:r>
      <w:r>
        <w:rPr>
          <w:spacing w:val="-13"/>
        </w:rPr>
        <w:t xml:space="preserve"> </w:t>
      </w:r>
      <w:r>
        <w:t>исследуемой</w:t>
      </w:r>
      <w:r>
        <w:rPr>
          <w:spacing w:val="-11"/>
        </w:rPr>
        <w:t xml:space="preserve"> </w:t>
      </w:r>
      <w:r>
        <w:t>выборки. Значительно реже диагностировались ТОХ — 8 (3,8%) и ДПК — 6 (2,9%).</w:t>
      </w:r>
    </w:p>
    <w:p w14:paraId="27632789">
      <w:pPr>
        <w:pStyle w:val="7"/>
        <w:spacing w:before="4"/>
        <w:ind w:left="0" w:right="3" w:firstLine="709"/>
      </w:pPr>
      <w:r>
        <w:t>При реконструктивном этапе операции в подавляющем большинстве наблюдений</w:t>
      </w:r>
      <w:r>
        <w:rPr>
          <w:spacing w:val="-6"/>
        </w:rPr>
        <w:t xml:space="preserve"> </w:t>
      </w:r>
      <w:r>
        <w:t>применялся</w:t>
      </w:r>
      <w:r>
        <w:rPr>
          <w:spacing w:val="-4"/>
        </w:rPr>
        <w:t xml:space="preserve"> </w:t>
      </w:r>
      <w:r>
        <w:t>стандартный</w:t>
      </w:r>
      <w:r>
        <w:rPr>
          <w:spacing w:val="-6"/>
        </w:rPr>
        <w:t xml:space="preserve"> </w:t>
      </w:r>
      <w:r>
        <w:t>вариант</w:t>
      </w:r>
      <w:r>
        <w:rPr>
          <w:spacing w:val="-3"/>
        </w:rPr>
        <w:t xml:space="preserve"> </w:t>
      </w:r>
      <w:r>
        <w:t>ПЕА</w:t>
      </w:r>
      <w:r>
        <w:rPr>
          <w:spacing w:val="-3"/>
        </w:rPr>
        <w:t xml:space="preserve"> </w:t>
      </w:r>
      <w:r>
        <w:t>— у</w:t>
      </w:r>
      <w:r>
        <w:rPr>
          <w:spacing w:val="-10"/>
        </w:rPr>
        <w:t xml:space="preserve"> </w:t>
      </w:r>
      <w:r>
        <w:t>179</w:t>
      </w:r>
      <w:r>
        <w:rPr>
          <w:spacing w:val="-6"/>
        </w:rPr>
        <w:t xml:space="preserve"> </w:t>
      </w:r>
      <w:r>
        <w:t>(86,1%)</w:t>
      </w:r>
      <w:r>
        <w:rPr>
          <w:spacing w:val="-7"/>
        </w:rPr>
        <w:t xml:space="preserve"> </w:t>
      </w:r>
      <w:r>
        <w:t>пациентов, тогда как инвагинационная техника использована у 29 (13,9%) больных.</w:t>
      </w:r>
    </w:p>
    <w:p w14:paraId="21F07BE7">
      <w:pPr>
        <w:pStyle w:val="7"/>
        <w:ind w:left="0" w:right="3" w:firstLine="709"/>
      </w:pPr>
      <w:r>
        <w:t>На рисунке 13 представлено структура выполненных оперативных вмешательств у пациентов с опухолями периампулярной зоны: основную часть составила ГПДР — 154 наблюдений,</w:t>
      </w:r>
      <w:r>
        <w:rPr>
          <w:spacing w:val="-3"/>
        </w:rPr>
        <w:t xml:space="preserve"> </w:t>
      </w:r>
      <w:r>
        <w:t>ГПДР</w:t>
      </w:r>
      <w:r>
        <w:rPr>
          <w:spacing w:val="-1"/>
        </w:rPr>
        <w:t xml:space="preserve"> </w:t>
      </w:r>
      <w:r>
        <w:t>с</w:t>
      </w:r>
      <w:r>
        <w:rPr>
          <w:spacing w:val="-4"/>
        </w:rPr>
        <w:t xml:space="preserve"> </w:t>
      </w:r>
      <w:r>
        <w:t>резекцией сосудов</w:t>
      </w:r>
      <w:r>
        <w:rPr>
          <w:spacing w:val="-2"/>
        </w:rPr>
        <w:t xml:space="preserve"> </w:t>
      </w:r>
      <w:r>
        <w:t>выполнена в</w:t>
      </w:r>
      <w:r>
        <w:rPr>
          <w:spacing w:val="-2"/>
        </w:rPr>
        <w:t xml:space="preserve"> </w:t>
      </w:r>
      <w:r>
        <w:t>44 случаях, тотальная панкреатэктомия — в 3, лапароскопическая ГПДР — в 7 случае, что отражает преобладание стандартной ГПДР в структуре хирургических вмешательств и ограниченное применение расширенных и малоинвазивных операций.</w:t>
      </w:r>
    </w:p>
    <w:p w14:paraId="21CE0B30">
      <w:pPr>
        <w:pStyle w:val="7"/>
        <w:tabs>
          <w:tab w:val="left" w:pos="3119"/>
          <w:tab w:val="left" w:pos="4536"/>
        </w:tabs>
        <w:ind w:left="993" w:firstLine="0"/>
        <w:jc w:val="left"/>
        <w:rPr>
          <w:sz w:val="20"/>
        </w:rPr>
      </w:pPr>
      <w:r>
        <w:rPr>
          <w:sz w:val="20"/>
          <w:lang w:eastAsia="ru-RU"/>
        </w:rPr>
        <w:drawing>
          <wp:inline distT="0" distB="0" distL="0" distR="0">
            <wp:extent cx="5387975" cy="2928620"/>
            <wp:effectExtent l="0" t="0" r="0" b="0"/>
            <wp:docPr id="164" name="Image 164"/>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40" cstate="print"/>
                    <a:stretch>
                      <a:fillRect/>
                    </a:stretch>
                  </pic:blipFill>
                  <pic:spPr>
                    <a:xfrm>
                      <a:off x="0" y="0"/>
                      <a:ext cx="5388219" cy="2929128"/>
                    </a:xfrm>
                    <a:prstGeom prst="rect">
                      <a:avLst/>
                    </a:prstGeom>
                  </pic:spPr>
                </pic:pic>
              </a:graphicData>
            </a:graphic>
          </wp:inline>
        </w:drawing>
      </w:r>
    </w:p>
    <w:p w14:paraId="788FE1BD">
      <w:pPr>
        <w:pStyle w:val="7"/>
        <w:spacing w:before="158"/>
        <w:ind w:left="0" w:firstLine="0"/>
        <w:jc w:val="left"/>
      </w:pPr>
    </w:p>
    <w:p w14:paraId="42D3FD6E">
      <w:pPr>
        <w:pStyle w:val="7"/>
        <w:ind w:left="0" w:firstLine="0"/>
        <w:jc w:val="center"/>
      </w:pPr>
      <w:r>
        <w:t>Рисунок</w:t>
      </w:r>
      <w:r>
        <w:rPr>
          <w:spacing w:val="-6"/>
        </w:rPr>
        <w:t xml:space="preserve"> </w:t>
      </w:r>
      <w:r>
        <w:t>13</w:t>
      </w:r>
      <w:r>
        <w:rPr>
          <w:spacing w:val="-4"/>
        </w:rPr>
        <w:t xml:space="preserve"> </w:t>
      </w:r>
      <w:r>
        <w:t>–</w:t>
      </w:r>
      <w:r>
        <w:rPr>
          <w:spacing w:val="-4"/>
        </w:rPr>
        <w:t xml:space="preserve"> </w:t>
      </w:r>
      <w:r>
        <w:t>Структура</w:t>
      </w:r>
      <w:r>
        <w:rPr>
          <w:spacing w:val="-4"/>
        </w:rPr>
        <w:t xml:space="preserve"> </w:t>
      </w:r>
      <w:r>
        <w:t>выполненных</w:t>
      </w:r>
      <w:r>
        <w:rPr>
          <w:spacing w:val="-9"/>
        </w:rPr>
        <w:t xml:space="preserve"> </w:t>
      </w:r>
      <w:r>
        <w:t>оперативных</w:t>
      </w:r>
      <w:r>
        <w:rPr>
          <w:spacing w:val="-4"/>
        </w:rPr>
        <w:t xml:space="preserve"> </w:t>
      </w:r>
      <w:r>
        <w:t>вмешательств</w:t>
      </w:r>
      <w:r>
        <w:rPr>
          <w:spacing w:val="-6"/>
        </w:rPr>
        <w:t xml:space="preserve"> </w:t>
      </w:r>
      <w:r>
        <w:t>у пациентов с опухолями периампулярной зоны</w:t>
      </w:r>
    </w:p>
    <w:p w14:paraId="59AE42D8">
      <w:pPr>
        <w:pStyle w:val="7"/>
        <w:spacing w:before="321"/>
        <w:ind w:left="0" w:right="3" w:firstLine="709"/>
      </w:pPr>
      <w:r>
        <w:t>В таблице 13 представлены интраоперационные параметры и структура послеоперационных осложнений. Медианная продолжительность оперативного вмешательства составила 390 минут, медианный объём интраоперационной кровопотери — 255 мл, что отражает высокую техническую сложность ГПДР.</w:t>
      </w:r>
    </w:p>
    <w:p w14:paraId="0D47492A">
      <w:pPr>
        <w:pStyle w:val="7"/>
        <w:tabs>
          <w:tab w:val="left" w:pos="1276"/>
          <w:tab w:val="left" w:pos="1985"/>
          <w:tab w:val="left" w:pos="2268"/>
          <w:tab w:val="left" w:pos="6006"/>
          <w:tab w:val="left" w:pos="8299"/>
          <w:tab w:val="left" w:pos="8865"/>
        </w:tabs>
        <w:spacing w:before="320" w:line="242" w:lineRule="auto"/>
        <w:ind w:left="0" w:right="3" w:firstLine="0"/>
      </w:pPr>
      <w:r>
        <w:rPr>
          <w:spacing w:val="-2"/>
        </w:rPr>
        <w:t>Таблица</w:t>
      </w:r>
      <w:r>
        <w:tab/>
      </w:r>
      <w:r>
        <w:rPr>
          <w:spacing w:val="-6"/>
        </w:rPr>
        <w:t>13</w:t>
      </w:r>
      <w:r>
        <w:tab/>
      </w:r>
      <w:r>
        <w:rPr>
          <w:spacing w:val="-10"/>
        </w:rPr>
        <w:t>-</w:t>
      </w:r>
      <w:r>
        <w:tab/>
      </w:r>
      <w:r>
        <w:rPr>
          <w:spacing w:val="-2"/>
        </w:rPr>
        <w:t>Интраоперационные</w:t>
      </w:r>
      <w:r>
        <w:tab/>
      </w:r>
      <w:r>
        <w:rPr>
          <w:spacing w:val="-2"/>
        </w:rPr>
        <w:t>характеристики</w:t>
      </w:r>
      <w:r>
        <w:tab/>
      </w:r>
      <w:r>
        <w:rPr>
          <w:spacing w:val="-10"/>
        </w:rPr>
        <w:t>и</w:t>
      </w:r>
      <w:r>
        <w:rPr>
          <w:spacing w:val="-2"/>
        </w:rPr>
        <w:t>структура послеоперационных</w:t>
      </w:r>
      <w:r>
        <w:rPr>
          <w:spacing w:val="-11"/>
        </w:rPr>
        <w:t xml:space="preserve"> </w:t>
      </w:r>
      <w:r>
        <w:rPr>
          <w:spacing w:val="-2"/>
        </w:rPr>
        <w:t>осложнений</w:t>
      </w:r>
      <w:r>
        <w:rPr>
          <w:spacing w:val="1"/>
        </w:rPr>
        <w:t xml:space="preserve"> </w:t>
      </w:r>
      <w:r>
        <w:rPr>
          <w:spacing w:val="-2"/>
        </w:rPr>
        <w:t>у</w:t>
      </w:r>
      <w:r>
        <w:rPr>
          <w:spacing w:val="-5"/>
        </w:rPr>
        <w:t xml:space="preserve"> </w:t>
      </w:r>
      <w:r>
        <w:rPr>
          <w:spacing w:val="-2"/>
        </w:rPr>
        <w:t>пациентов,</w:t>
      </w:r>
      <w:r>
        <w:rPr>
          <w:spacing w:val="-3"/>
        </w:rPr>
        <w:t xml:space="preserve"> </w:t>
      </w:r>
      <w:r>
        <w:rPr>
          <w:spacing w:val="-2"/>
        </w:rPr>
        <w:t>перенёсших</w:t>
      </w:r>
      <w:r>
        <w:rPr>
          <w:spacing w:val="-11"/>
        </w:rPr>
        <w:t xml:space="preserve"> </w:t>
      </w:r>
      <w:r>
        <w:rPr>
          <w:spacing w:val="-2"/>
        </w:rPr>
        <w:t>ГПДР</w:t>
      </w:r>
      <w:r>
        <w:t xml:space="preserve"> </w:t>
      </w:r>
      <w:r>
        <w:rPr>
          <w:spacing w:val="-2"/>
        </w:rPr>
        <w:t>(2016–2022</w:t>
      </w:r>
      <w:r>
        <w:rPr>
          <w:spacing w:val="-5"/>
        </w:rPr>
        <w:t xml:space="preserve"> </w:t>
      </w:r>
      <w:r>
        <w:rPr>
          <w:spacing w:val="-4"/>
        </w:rPr>
        <w:t>гг.)</w:t>
      </w:r>
    </w:p>
    <w:p w14:paraId="02CE8AEE">
      <w:pPr>
        <w:pStyle w:val="7"/>
        <w:ind w:left="0" w:firstLine="0"/>
        <w:jc w:val="left"/>
        <w:rPr>
          <w:sz w:val="20"/>
        </w:rPr>
      </w:pPr>
    </w:p>
    <w:p w14:paraId="48B4888E">
      <w:pPr>
        <w:pStyle w:val="7"/>
        <w:spacing w:before="1" w:after="1"/>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42"/>
        <w:gridCol w:w="3097"/>
      </w:tblGrid>
      <w:tr w14:paraId="7731B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2" w:hRule="atLeast"/>
        </w:trPr>
        <w:tc>
          <w:tcPr>
            <w:tcW w:w="6542" w:type="dxa"/>
          </w:tcPr>
          <w:p w14:paraId="50E77CFD">
            <w:pPr>
              <w:pStyle w:val="11"/>
              <w:spacing w:line="315" w:lineRule="exact"/>
              <w:ind w:left="9"/>
              <w:rPr>
                <w:sz w:val="24"/>
                <w:szCs w:val="24"/>
              </w:rPr>
            </w:pPr>
            <w:r>
              <w:rPr>
                <w:spacing w:val="-2"/>
                <w:sz w:val="24"/>
                <w:szCs w:val="24"/>
              </w:rPr>
              <w:t>Показатель</w:t>
            </w:r>
          </w:p>
        </w:tc>
        <w:tc>
          <w:tcPr>
            <w:tcW w:w="3097" w:type="dxa"/>
          </w:tcPr>
          <w:p w14:paraId="5BB2D8BD">
            <w:pPr>
              <w:pStyle w:val="11"/>
              <w:spacing w:line="315" w:lineRule="exact"/>
              <w:ind w:left="418" w:right="406"/>
              <w:rPr>
                <w:sz w:val="24"/>
                <w:szCs w:val="24"/>
              </w:rPr>
            </w:pPr>
            <w:r>
              <w:rPr>
                <w:sz w:val="24"/>
                <w:szCs w:val="24"/>
              </w:rPr>
              <w:t>2016–2022</w:t>
            </w:r>
            <w:r>
              <w:rPr>
                <w:spacing w:val="-4"/>
                <w:sz w:val="24"/>
                <w:szCs w:val="24"/>
              </w:rPr>
              <w:t xml:space="preserve"> </w:t>
            </w:r>
            <w:r>
              <w:rPr>
                <w:sz w:val="24"/>
                <w:szCs w:val="24"/>
              </w:rPr>
              <w:t>гг.,</w:t>
            </w:r>
            <w:r>
              <w:rPr>
                <w:spacing w:val="1"/>
                <w:sz w:val="24"/>
                <w:szCs w:val="24"/>
              </w:rPr>
              <w:t xml:space="preserve"> </w:t>
            </w:r>
            <w:r>
              <w:rPr>
                <w:sz w:val="24"/>
                <w:szCs w:val="24"/>
              </w:rPr>
              <w:t>n</w:t>
            </w:r>
            <w:r>
              <w:rPr>
                <w:spacing w:val="-7"/>
                <w:sz w:val="24"/>
                <w:szCs w:val="24"/>
              </w:rPr>
              <w:t xml:space="preserve"> </w:t>
            </w:r>
            <w:r>
              <w:rPr>
                <w:sz w:val="24"/>
                <w:szCs w:val="24"/>
              </w:rPr>
              <w:t>=</w:t>
            </w:r>
            <w:r>
              <w:rPr>
                <w:spacing w:val="-3"/>
                <w:sz w:val="24"/>
                <w:szCs w:val="24"/>
              </w:rPr>
              <w:t xml:space="preserve"> </w:t>
            </w:r>
            <w:r>
              <w:rPr>
                <w:spacing w:val="-5"/>
                <w:sz w:val="24"/>
                <w:szCs w:val="24"/>
              </w:rPr>
              <w:t>208</w:t>
            </w:r>
          </w:p>
        </w:tc>
      </w:tr>
      <w:tr w14:paraId="624DF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 w:hRule="atLeast"/>
        </w:trPr>
        <w:tc>
          <w:tcPr>
            <w:tcW w:w="6542" w:type="dxa"/>
          </w:tcPr>
          <w:p w14:paraId="49DC0D81">
            <w:pPr>
              <w:pStyle w:val="11"/>
              <w:spacing w:line="315" w:lineRule="exact"/>
              <w:ind w:left="9"/>
              <w:rPr>
                <w:spacing w:val="-2"/>
                <w:sz w:val="24"/>
                <w:szCs w:val="24"/>
                <w:lang w:val="en-US"/>
              </w:rPr>
            </w:pPr>
            <w:r>
              <w:rPr>
                <w:spacing w:val="-2"/>
                <w:sz w:val="24"/>
                <w:szCs w:val="24"/>
                <w:lang w:val="en-US"/>
              </w:rPr>
              <w:t>1</w:t>
            </w:r>
          </w:p>
        </w:tc>
        <w:tc>
          <w:tcPr>
            <w:tcW w:w="3097" w:type="dxa"/>
          </w:tcPr>
          <w:p w14:paraId="19FEE2C2">
            <w:pPr>
              <w:pStyle w:val="11"/>
              <w:spacing w:line="315" w:lineRule="exact"/>
              <w:ind w:left="418" w:right="406"/>
              <w:rPr>
                <w:sz w:val="24"/>
                <w:szCs w:val="24"/>
                <w:lang w:val="en-US"/>
              </w:rPr>
            </w:pPr>
            <w:r>
              <w:rPr>
                <w:sz w:val="24"/>
                <w:szCs w:val="24"/>
                <w:lang w:val="en-US"/>
              </w:rPr>
              <w:t>2</w:t>
            </w:r>
          </w:p>
        </w:tc>
      </w:tr>
      <w:tr w14:paraId="63B15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42" w:type="dxa"/>
          </w:tcPr>
          <w:p w14:paraId="652D106B">
            <w:pPr>
              <w:pStyle w:val="11"/>
              <w:spacing w:line="315" w:lineRule="exact"/>
              <w:ind w:left="110"/>
              <w:jc w:val="left"/>
              <w:rPr>
                <w:sz w:val="24"/>
                <w:szCs w:val="24"/>
              </w:rPr>
            </w:pPr>
            <w:r>
              <w:rPr>
                <w:sz w:val="24"/>
                <w:szCs w:val="24"/>
              </w:rPr>
              <w:t>Время</w:t>
            </w:r>
            <w:r>
              <w:rPr>
                <w:spacing w:val="-5"/>
                <w:sz w:val="24"/>
                <w:szCs w:val="24"/>
              </w:rPr>
              <w:t xml:space="preserve"> </w:t>
            </w:r>
            <w:r>
              <w:rPr>
                <w:sz w:val="24"/>
                <w:szCs w:val="24"/>
              </w:rPr>
              <w:t>операции,</w:t>
            </w:r>
            <w:r>
              <w:rPr>
                <w:spacing w:val="-4"/>
                <w:sz w:val="24"/>
                <w:szCs w:val="24"/>
              </w:rPr>
              <w:t xml:space="preserve"> </w:t>
            </w:r>
            <w:r>
              <w:rPr>
                <w:sz w:val="24"/>
                <w:szCs w:val="24"/>
              </w:rPr>
              <w:t>мин,</w:t>
            </w:r>
            <w:r>
              <w:rPr>
                <w:spacing w:val="-5"/>
                <w:sz w:val="24"/>
                <w:szCs w:val="24"/>
              </w:rPr>
              <w:t xml:space="preserve"> </w:t>
            </w:r>
            <w:r>
              <w:rPr>
                <w:sz w:val="24"/>
                <w:szCs w:val="24"/>
              </w:rPr>
              <w:t>Me</w:t>
            </w:r>
            <w:r>
              <w:rPr>
                <w:spacing w:val="-5"/>
                <w:sz w:val="24"/>
                <w:szCs w:val="24"/>
              </w:rPr>
              <w:t xml:space="preserve"> </w:t>
            </w:r>
            <w:r>
              <w:rPr>
                <w:sz w:val="24"/>
                <w:szCs w:val="24"/>
              </w:rPr>
              <w:t>[Q1;</w:t>
            </w:r>
            <w:r>
              <w:rPr>
                <w:spacing w:val="-6"/>
                <w:sz w:val="24"/>
                <w:szCs w:val="24"/>
              </w:rPr>
              <w:t xml:space="preserve"> </w:t>
            </w:r>
            <w:r>
              <w:rPr>
                <w:spacing w:val="-5"/>
                <w:sz w:val="24"/>
                <w:szCs w:val="24"/>
              </w:rPr>
              <w:t>Q3]</w:t>
            </w:r>
          </w:p>
        </w:tc>
        <w:tc>
          <w:tcPr>
            <w:tcW w:w="3097" w:type="dxa"/>
          </w:tcPr>
          <w:p w14:paraId="0CDBB4BD">
            <w:pPr>
              <w:pStyle w:val="11"/>
              <w:spacing w:line="315" w:lineRule="exact"/>
              <w:ind w:left="409" w:right="406"/>
              <w:rPr>
                <w:sz w:val="24"/>
                <w:szCs w:val="24"/>
              </w:rPr>
            </w:pPr>
            <w:r>
              <w:rPr>
                <w:sz w:val="24"/>
                <w:szCs w:val="24"/>
              </w:rPr>
              <w:t>390,0</w:t>
            </w:r>
            <w:r>
              <w:rPr>
                <w:spacing w:val="-6"/>
                <w:sz w:val="24"/>
                <w:szCs w:val="24"/>
              </w:rPr>
              <w:t xml:space="preserve"> </w:t>
            </w:r>
            <w:r>
              <w:rPr>
                <w:sz w:val="24"/>
                <w:szCs w:val="24"/>
              </w:rPr>
              <w:t>[337,5;</w:t>
            </w:r>
            <w:r>
              <w:rPr>
                <w:spacing w:val="-5"/>
                <w:sz w:val="24"/>
                <w:szCs w:val="24"/>
              </w:rPr>
              <w:t xml:space="preserve"> </w:t>
            </w:r>
            <w:r>
              <w:rPr>
                <w:spacing w:val="-2"/>
                <w:sz w:val="24"/>
                <w:szCs w:val="24"/>
              </w:rPr>
              <w:t>450,0]</w:t>
            </w:r>
          </w:p>
        </w:tc>
      </w:tr>
      <w:tr w14:paraId="794F2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6542" w:type="dxa"/>
          </w:tcPr>
          <w:p w14:paraId="267B66D2">
            <w:pPr>
              <w:pStyle w:val="11"/>
              <w:spacing w:line="315" w:lineRule="exact"/>
              <w:ind w:left="110"/>
              <w:jc w:val="left"/>
              <w:rPr>
                <w:sz w:val="24"/>
                <w:szCs w:val="24"/>
              </w:rPr>
            </w:pPr>
            <w:r>
              <w:rPr>
                <w:sz w:val="24"/>
                <w:szCs w:val="24"/>
              </w:rPr>
              <w:t>Кровопотеря,</w:t>
            </w:r>
            <w:r>
              <w:rPr>
                <w:spacing w:val="-4"/>
                <w:sz w:val="24"/>
                <w:szCs w:val="24"/>
              </w:rPr>
              <w:t xml:space="preserve"> </w:t>
            </w:r>
            <w:r>
              <w:rPr>
                <w:sz w:val="24"/>
                <w:szCs w:val="24"/>
              </w:rPr>
              <w:t>мл,</w:t>
            </w:r>
            <w:r>
              <w:rPr>
                <w:spacing w:val="-3"/>
                <w:sz w:val="24"/>
                <w:szCs w:val="24"/>
              </w:rPr>
              <w:t xml:space="preserve"> </w:t>
            </w:r>
            <w:r>
              <w:rPr>
                <w:sz w:val="24"/>
                <w:szCs w:val="24"/>
              </w:rPr>
              <w:t>Me</w:t>
            </w:r>
            <w:r>
              <w:rPr>
                <w:spacing w:val="-9"/>
                <w:sz w:val="24"/>
                <w:szCs w:val="24"/>
              </w:rPr>
              <w:t xml:space="preserve"> </w:t>
            </w:r>
            <w:r>
              <w:rPr>
                <w:sz w:val="24"/>
                <w:szCs w:val="24"/>
              </w:rPr>
              <w:t>[Q1;</w:t>
            </w:r>
            <w:r>
              <w:rPr>
                <w:spacing w:val="-6"/>
                <w:sz w:val="24"/>
                <w:szCs w:val="24"/>
              </w:rPr>
              <w:t xml:space="preserve"> </w:t>
            </w:r>
            <w:r>
              <w:rPr>
                <w:spacing w:val="-5"/>
                <w:sz w:val="24"/>
                <w:szCs w:val="24"/>
              </w:rPr>
              <w:t>Q3]</w:t>
            </w:r>
          </w:p>
        </w:tc>
        <w:tc>
          <w:tcPr>
            <w:tcW w:w="3097" w:type="dxa"/>
          </w:tcPr>
          <w:p w14:paraId="67245EA1">
            <w:pPr>
              <w:pStyle w:val="11"/>
              <w:spacing w:line="315" w:lineRule="exact"/>
              <w:ind w:left="409" w:right="406"/>
              <w:rPr>
                <w:sz w:val="24"/>
                <w:szCs w:val="24"/>
              </w:rPr>
            </w:pPr>
            <w:r>
              <w:rPr>
                <w:sz w:val="24"/>
                <w:szCs w:val="24"/>
              </w:rPr>
              <w:t>255,0</w:t>
            </w:r>
            <w:r>
              <w:rPr>
                <w:spacing w:val="-6"/>
                <w:sz w:val="24"/>
                <w:szCs w:val="24"/>
              </w:rPr>
              <w:t xml:space="preserve"> </w:t>
            </w:r>
            <w:r>
              <w:rPr>
                <w:sz w:val="24"/>
                <w:szCs w:val="24"/>
              </w:rPr>
              <w:t>[200,0;</w:t>
            </w:r>
            <w:r>
              <w:rPr>
                <w:spacing w:val="-5"/>
                <w:sz w:val="24"/>
                <w:szCs w:val="24"/>
              </w:rPr>
              <w:t xml:space="preserve"> </w:t>
            </w:r>
            <w:r>
              <w:rPr>
                <w:spacing w:val="-2"/>
                <w:sz w:val="24"/>
                <w:szCs w:val="24"/>
              </w:rPr>
              <w:t>350,0]</w:t>
            </w:r>
          </w:p>
        </w:tc>
      </w:tr>
      <w:tr w14:paraId="1FC61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42" w:type="dxa"/>
          </w:tcPr>
          <w:p w14:paraId="6C7B1DF8">
            <w:pPr>
              <w:pStyle w:val="11"/>
              <w:spacing w:line="315" w:lineRule="exact"/>
              <w:ind w:left="110"/>
              <w:jc w:val="left"/>
              <w:rPr>
                <w:sz w:val="24"/>
                <w:szCs w:val="24"/>
              </w:rPr>
            </w:pPr>
            <w:r>
              <w:rPr>
                <w:sz w:val="24"/>
                <w:szCs w:val="24"/>
              </w:rPr>
              <w:t>Резекция</w:t>
            </w:r>
            <w:r>
              <w:rPr>
                <w:spacing w:val="-6"/>
                <w:sz w:val="24"/>
                <w:szCs w:val="24"/>
              </w:rPr>
              <w:t xml:space="preserve"> </w:t>
            </w:r>
            <w:r>
              <w:rPr>
                <w:sz w:val="24"/>
                <w:szCs w:val="24"/>
              </w:rPr>
              <w:t>сосудов,</w:t>
            </w:r>
            <w:r>
              <w:rPr>
                <w:spacing w:val="-4"/>
                <w:sz w:val="24"/>
                <w:szCs w:val="24"/>
              </w:rPr>
              <w:t xml:space="preserve"> </w:t>
            </w:r>
            <w:r>
              <w:rPr>
                <w:sz w:val="24"/>
                <w:szCs w:val="24"/>
              </w:rPr>
              <w:t>n</w:t>
            </w:r>
            <w:r>
              <w:rPr>
                <w:spacing w:val="-11"/>
                <w:sz w:val="24"/>
                <w:szCs w:val="24"/>
              </w:rPr>
              <w:t xml:space="preserve"> </w:t>
            </w:r>
            <w:r>
              <w:rPr>
                <w:spacing w:val="-5"/>
                <w:sz w:val="24"/>
                <w:szCs w:val="24"/>
              </w:rPr>
              <w:t>(%)</w:t>
            </w:r>
          </w:p>
        </w:tc>
        <w:tc>
          <w:tcPr>
            <w:tcW w:w="3097" w:type="dxa"/>
          </w:tcPr>
          <w:p w14:paraId="4A39A044">
            <w:pPr>
              <w:pStyle w:val="11"/>
              <w:spacing w:line="315" w:lineRule="exact"/>
              <w:ind w:left="410" w:right="406"/>
              <w:rPr>
                <w:sz w:val="24"/>
                <w:szCs w:val="24"/>
              </w:rPr>
            </w:pPr>
            <w:r>
              <w:rPr>
                <w:sz w:val="24"/>
                <w:szCs w:val="24"/>
              </w:rPr>
              <w:t>42</w:t>
            </w:r>
            <w:r>
              <w:rPr>
                <w:spacing w:val="-2"/>
                <w:sz w:val="24"/>
                <w:szCs w:val="24"/>
              </w:rPr>
              <w:t xml:space="preserve"> (20,2%)</w:t>
            </w:r>
          </w:p>
        </w:tc>
      </w:tr>
      <w:tr w14:paraId="12878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6" w:hRule="atLeast"/>
        </w:trPr>
        <w:tc>
          <w:tcPr>
            <w:tcW w:w="6542" w:type="dxa"/>
          </w:tcPr>
          <w:p w14:paraId="0E5B3F31">
            <w:pPr>
              <w:pStyle w:val="11"/>
              <w:tabs>
                <w:tab w:val="left" w:pos="4042"/>
              </w:tabs>
              <w:spacing w:line="315" w:lineRule="exact"/>
              <w:ind w:right="673"/>
              <w:jc w:val="right"/>
              <w:rPr>
                <w:sz w:val="24"/>
                <w:szCs w:val="24"/>
              </w:rPr>
            </w:pPr>
            <w:r>
              <w:rPr>
                <w:sz w:val="24"/>
                <w:szCs w:val="24"/>
              </w:rPr>
              <w:t>Панкреатические</w:t>
            </w:r>
            <w:r>
              <w:rPr>
                <w:spacing w:val="-8"/>
                <w:sz w:val="24"/>
                <w:szCs w:val="24"/>
              </w:rPr>
              <w:t xml:space="preserve"> </w:t>
            </w:r>
            <w:r>
              <w:rPr>
                <w:sz w:val="24"/>
                <w:szCs w:val="24"/>
              </w:rPr>
              <w:t>свищи,</w:t>
            </w:r>
            <w:r>
              <w:rPr>
                <w:spacing w:val="-7"/>
                <w:sz w:val="24"/>
                <w:szCs w:val="24"/>
              </w:rPr>
              <w:t xml:space="preserve"> </w:t>
            </w:r>
            <w:r>
              <w:rPr>
                <w:sz w:val="24"/>
                <w:szCs w:val="24"/>
              </w:rPr>
              <w:t>n</w:t>
            </w:r>
            <w:r>
              <w:rPr>
                <w:spacing w:val="-12"/>
                <w:sz w:val="24"/>
                <w:szCs w:val="24"/>
              </w:rPr>
              <w:t xml:space="preserve"> </w:t>
            </w:r>
            <w:r>
              <w:rPr>
                <w:spacing w:val="-4"/>
                <w:sz w:val="24"/>
                <w:szCs w:val="24"/>
              </w:rPr>
              <w:t>(%):</w:t>
            </w:r>
            <w:r>
              <w:rPr>
                <w:sz w:val="24"/>
                <w:szCs w:val="24"/>
              </w:rPr>
              <w:tab/>
            </w:r>
            <w:r>
              <w:rPr>
                <w:sz w:val="24"/>
                <w:szCs w:val="24"/>
              </w:rPr>
              <w:t>Степень</w:t>
            </w:r>
            <w:r>
              <w:rPr>
                <w:spacing w:val="-8"/>
                <w:sz w:val="24"/>
                <w:szCs w:val="24"/>
              </w:rPr>
              <w:t xml:space="preserve"> </w:t>
            </w:r>
            <w:r>
              <w:rPr>
                <w:spacing w:val="-10"/>
                <w:sz w:val="24"/>
                <w:szCs w:val="24"/>
              </w:rPr>
              <w:t>A</w:t>
            </w:r>
          </w:p>
          <w:p w14:paraId="5D93F279">
            <w:pPr>
              <w:pStyle w:val="11"/>
              <w:spacing w:line="240" w:lineRule="auto"/>
              <w:ind w:left="4172" w:right="668" w:firstLine="4"/>
              <w:jc w:val="right"/>
              <w:rPr>
                <w:sz w:val="24"/>
                <w:szCs w:val="24"/>
              </w:rPr>
            </w:pPr>
            <w:r>
              <w:rPr>
                <w:sz w:val="24"/>
                <w:szCs w:val="24"/>
              </w:rPr>
              <w:t>Степень</w:t>
            </w:r>
            <w:r>
              <w:rPr>
                <w:spacing w:val="-18"/>
                <w:sz w:val="24"/>
                <w:szCs w:val="24"/>
              </w:rPr>
              <w:t xml:space="preserve"> </w:t>
            </w:r>
            <w:r>
              <w:rPr>
                <w:sz w:val="24"/>
                <w:szCs w:val="24"/>
              </w:rPr>
              <w:t>B Степень</w:t>
            </w:r>
            <w:r>
              <w:rPr>
                <w:spacing w:val="-13"/>
                <w:sz w:val="24"/>
                <w:szCs w:val="24"/>
              </w:rPr>
              <w:t xml:space="preserve"> </w:t>
            </w:r>
            <w:r>
              <w:rPr>
                <w:spacing w:val="-10"/>
                <w:sz w:val="24"/>
                <w:szCs w:val="24"/>
              </w:rPr>
              <w:t>C</w:t>
            </w:r>
          </w:p>
        </w:tc>
        <w:tc>
          <w:tcPr>
            <w:tcW w:w="3097" w:type="dxa"/>
          </w:tcPr>
          <w:p w14:paraId="0FC9E43A">
            <w:pPr>
              <w:pStyle w:val="11"/>
              <w:spacing w:line="315" w:lineRule="exact"/>
              <w:ind w:left="12" w:right="418"/>
              <w:rPr>
                <w:sz w:val="24"/>
                <w:szCs w:val="24"/>
              </w:rPr>
            </w:pPr>
            <w:r>
              <w:rPr>
                <w:sz w:val="24"/>
                <w:szCs w:val="24"/>
              </w:rPr>
              <w:t xml:space="preserve">      35</w:t>
            </w:r>
            <w:r>
              <w:rPr>
                <w:spacing w:val="-2"/>
                <w:sz w:val="24"/>
                <w:szCs w:val="24"/>
              </w:rPr>
              <w:t xml:space="preserve"> (16,8%)</w:t>
            </w:r>
          </w:p>
          <w:p w14:paraId="4F45377F">
            <w:pPr>
              <w:pStyle w:val="11"/>
              <w:spacing w:line="322" w:lineRule="exact"/>
              <w:ind w:left="410" w:right="406"/>
              <w:rPr>
                <w:sz w:val="24"/>
                <w:szCs w:val="24"/>
              </w:rPr>
            </w:pPr>
            <w:r>
              <w:rPr>
                <w:sz w:val="24"/>
                <w:szCs w:val="24"/>
              </w:rPr>
              <w:t>41</w:t>
            </w:r>
            <w:r>
              <w:rPr>
                <w:spacing w:val="-2"/>
                <w:sz w:val="24"/>
                <w:szCs w:val="24"/>
              </w:rPr>
              <w:t xml:space="preserve"> (19,8%)</w:t>
            </w:r>
          </w:p>
          <w:p w14:paraId="2D6EE658">
            <w:pPr>
              <w:pStyle w:val="11"/>
              <w:spacing w:line="240" w:lineRule="auto"/>
              <w:ind w:left="415" w:right="406"/>
              <w:rPr>
                <w:sz w:val="24"/>
                <w:szCs w:val="24"/>
              </w:rPr>
            </w:pPr>
            <w:r>
              <w:rPr>
                <w:sz w:val="24"/>
                <w:szCs w:val="24"/>
              </w:rPr>
              <w:t>11</w:t>
            </w:r>
            <w:r>
              <w:rPr>
                <w:spacing w:val="-2"/>
                <w:sz w:val="24"/>
                <w:szCs w:val="24"/>
              </w:rPr>
              <w:t xml:space="preserve"> (5,2%)</w:t>
            </w:r>
          </w:p>
        </w:tc>
      </w:tr>
      <w:tr w14:paraId="1B8876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42" w:type="dxa"/>
          </w:tcPr>
          <w:p w14:paraId="73EC537E">
            <w:pPr>
              <w:pStyle w:val="11"/>
              <w:spacing w:line="315" w:lineRule="exact"/>
              <w:ind w:left="110"/>
              <w:jc w:val="left"/>
              <w:rPr>
                <w:sz w:val="24"/>
                <w:szCs w:val="24"/>
              </w:rPr>
            </w:pPr>
            <w:r>
              <w:rPr>
                <w:sz w:val="24"/>
                <w:szCs w:val="24"/>
              </w:rPr>
              <w:t>Клинически</w:t>
            </w:r>
            <w:r>
              <w:rPr>
                <w:spacing w:val="-6"/>
                <w:sz w:val="24"/>
                <w:szCs w:val="24"/>
              </w:rPr>
              <w:t xml:space="preserve"> </w:t>
            </w:r>
            <w:r>
              <w:rPr>
                <w:sz w:val="24"/>
                <w:szCs w:val="24"/>
              </w:rPr>
              <w:t>значимые</w:t>
            </w:r>
            <w:r>
              <w:rPr>
                <w:spacing w:val="-5"/>
                <w:sz w:val="24"/>
                <w:szCs w:val="24"/>
              </w:rPr>
              <w:t xml:space="preserve"> </w:t>
            </w:r>
            <w:r>
              <w:rPr>
                <w:sz w:val="24"/>
                <w:szCs w:val="24"/>
              </w:rPr>
              <w:t>ПС</w:t>
            </w:r>
            <w:r>
              <w:rPr>
                <w:spacing w:val="-5"/>
                <w:sz w:val="24"/>
                <w:szCs w:val="24"/>
              </w:rPr>
              <w:t xml:space="preserve"> </w:t>
            </w:r>
            <w:r>
              <w:rPr>
                <w:sz w:val="24"/>
                <w:szCs w:val="24"/>
              </w:rPr>
              <w:t>(B/C),</w:t>
            </w:r>
            <w:r>
              <w:rPr>
                <w:spacing w:val="-4"/>
                <w:sz w:val="24"/>
                <w:szCs w:val="24"/>
              </w:rPr>
              <w:t xml:space="preserve"> </w:t>
            </w:r>
            <w:r>
              <w:rPr>
                <w:sz w:val="24"/>
                <w:szCs w:val="24"/>
              </w:rPr>
              <w:t>n</w:t>
            </w:r>
            <w:r>
              <w:rPr>
                <w:spacing w:val="-9"/>
                <w:sz w:val="24"/>
                <w:szCs w:val="24"/>
              </w:rPr>
              <w:t xml:space="preserve"> </w:t>
            </w:r>
            <w:r>
              <w:rPr>
                <w:spacing w:val="-5"/>
                <w:sz w:val="24"/>
                <w:szCs w:val="24"/>
              </w:rPr>
              <w:t>(%)</w:t>
            </w:r>
          </w:p>
        </w:tc>
        <w:tc>
          <w:tcPr>
            <w:tcW w:w="3097" w:type="dxa"/>
          </w:tcPr>
          <w:p w14:paraId="4C4C05D4">
            <w:pPr>
              <w:pStyle w:val="11"/>
              <w:spacing w:line="315" w:lineRule="exact"/>
              <w:ind w:left="410" w:right="406"/>
              <w:rPr>
                <w:sz w:val="24"/>
                <w:szCs w:val="24"/>
              </w:rPr>
            </w:pPr>
            <w:r>
              <w:rPr>
                <w:sz w:val="24"/>
                <w:szCs w:val="24"/>
              </w:rPr>
              <w:t>52</w:t>
            </w:r>
            <w:r>
              <w:rPr>
                <w:spacing w:val="-2"/>
                <w:sz w:val="24"/>
                <w:szCs w:val="24"/>
              </w:rPr>
              <w:t xml:space="preserve"> (25,0%)</w:t>
            </w:r>
          </w:p>
        </w:tc>
      </w:tr>
      <w:tr w14:paraId="7B2D3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6542" w:type="dxa"/>
          </w:tcPr>
          <w:p w14:paraId="5D23ABA0">
            <w:pPr>
              <w:pStyle w:val="11"/>
              <w:spacing w:line="315" w:lineRule="exact"/>
              <w:ind w:left="110"/>
              <w:jc w:val="left"/>
              <w:rPr>
                <w:sz w:val="24"/>
                <w:szCs w:val="24"/>
              </w:rPr>
            </w:pPr>
            <w:r>
              <w:rPr>
                <w:sz w:val="24"/>
                <w:szCs w:val="24"/>
              </w:rPr>
              <w:t>Кровотечение,</w:t>
            </w:r>
            <w:r>
              <w:rPr>
                <w:spacing w:val="-6"/>
                <w:sz w:val="24"/>
                <w:szCs w:val="24"/>
              </w:rPr>
              <w:t xml:space="preserve"> </w:t>
            </w:r>
            <w:r>
              <w:rPr>
                <w:sz w:val="24"/>
                <w:szCs w:val="24"/>
              </w:rPr>
              <w:t>n</w:t>
            </w:r>
            <w:r>
              <w:rPr>
                <w:spacing w:val="-11"/>
                <w:sz w:val="24"/>
                <w:szCs w:val="24"/>
              </w:rPr>
              <w:t xml:space="preserve"> </w:t>
            </w:r>
            <w:r>
              <w:rPr>
                <w:spacing w:val="-5"/>
                <w:sz w:val="24"/>
                <w:szCs w:val="24"/>
              </w:rPr>
              <w:t>(%)</w:t>
            </w:r>
          </w:p>
        </w:tc>
        <w:tc>
          <w:tcPr>
            <w:tcW w:w="3097" w:type="dxa"/>
          </w:tcPr>
          <w:p w14:paraId="3C7BF9DC">
            <w:pPr>
              <w:pStyle w:val="11"/>
              <w:spacing w:line="315" w:lineRule="exact"/>
              <w:ind w:left="415" w:right="406"/>
              <w:rPr>
                <w:sz w:val="24"/>
                <w:szCs w:val="24"/>
              </w:rPr>
            </w:pPr>
            <w:r>
              <w:rPr>
                <w:sz w:val="24"/>
                <w:szCs w:val="24"/>
              </w:rPr>
              <w:t>15</w:t>
            </w:r>
            <w:r>
              <w:rPr>
                <w:spacing w:val="-2"/>
                <w:sz w:val="24"/>
                <w:szCs w:val="24"/>
              </w:rPr>
              <w:t xml:space="preserve"> (7,2%)</w:t>
            </w:r>
          </w:p>
        </w:tc>
      </w:tr>
      <w:tr w14:paraId="44775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42" w:type="dxa"/>
          </w:tcPr>
          <w:p w14:paraId="101DB9C0">
            <w:pPr>
              <w:pStyle w:val="11"/>
              <w:spacing w:line="315" w:lineRule="exact"/>
              <w:ind w:left="110"/>
              <w:jc w:val="left"/>
              <w:rPr>
                <w:sz w:val="24"/>
                <w:szCs w:val="24"/>
              </w:rPr>
            </w:pPr>
            <w:r>
              <w:rPr>
                <w:sz w:val="24"/>
                <w:szCs w:val="24"/>
              </w:rPr>
              <w:t>Кровотечение</w:t>
            </w:r>
            <w:r>
              <w:rPr>
                <w:spacing w:val="-6"/>
                <w:sz w:val="24"/>
                <w:szCs w:val="24"/>
              </w:rPr>
              <w:t xml:space="preserve"> </w:t>
            </w:r>
            <w:r>
              <w:rPr>
                <w:sz w:val="24"/>
                <w:szCs w:val="24"/>
              </w:rPr>
              <w:t>связанное</w:t>
            </w:r>
            <w:r>
              <w:rPr>
                <w:spacing w:val="-6"/>
                <w:sz w:val="24"/>
                <w:szCs w:val="24"/>
              </w:rPr>
              <w:t xml:space="preserve"> </w:t>
            </w:r>
            <w:r>
              <w:rPr>
                <w:sz w:val="24"/>
                <w:szCs w:val="24"/>
              </w:rPr>
              <w:t>со</w:t>
            </w:r>
            <w:r>
              <w:rPr>
                <w:spacing w:val="-7"/>
                <w:sz w:val="24"/>
                <w:szCs w:val="24"/>
              </w:rPr>
              <w:t xml:space="preserve"> </w:t>
            </w:r>
            <w:r>
              <w:rPr>
                <w:sz w:val="24"/>
                <w:szCs w:val="24"/>
              </w:rPr>
              <w:t>свищем,</w:t>
            </w:r>
            <w:r>
              <w:rPr>
                <w:spacing w:val="-4"/>
                <w:sz w:val="24"/>
                <w:szCs w:val="24"/>
              </w:rPr>
              <w:t xml:space="preserve"> </w:t>
            </w:r>
            <w:r>
              <w:rPr>
                <w:sz w:val="24"/>
                <w:szCs w:val="24"/>
              </w:rPr>
              <w:t>n</w:t>
            </w:r>
            <w:r>
              <w:rPr>
                <w:spacing w:val="-10"/>
                <w:sz w:val="24"/>
                <w:szCs w:val="24"/>
              </w:rPr>
              <w:t xml:space="preserve"> </w:t>
            </w:r>
            <w:r>
              <w:rPr>
                <w:spacing w:val="-5"/>
                <w:sz w:val="24"/>
                <w:szCs w:val="24"/>
              </w:rPr>
              <w:t>(%)</w:t>
            </w:r>
          </w:p>
        </w:tc>
        <w:tc>
          <w:tcPr>
            <w:tcW w:w="3097" w:type="dxa"/>
          </w:tcPr>
          <w:p w14:paraId="5F6BC527">
            <w:pPr>
              <w:pStyle w:val="11"/>
              <w:spacing w:line="315" w:lineRule="exact"/>
              <w:ind w:left="415" w:right="406"/>
              <w:rPr>
                <w:sz w:val="24"/>
                <w:szCs w:val="24"/>
              </w:rPr>
            </w:pPr>
            <w:r>
              <w:rPr>
                <w:sz w:val="24"/>
                <w:szCs w:val="24"/>
              </w:rPr>
              <w:t>11</w:t>
            </w:r>
            <w:r>
              <w:rPr>
                <w:spacing w:val="-2"/>
                <w:sz w:val="24"/>
                <w:szCs w:val="24"/>
              </w:rPr>
              <w:t xml:space="preserve"> (5,3%)</w:t>
            </w:r>
          </w:p>
        </w:tc>
      </w:tr>
      <w:tr w14:paraId="1AD85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42" w:type="dxa"/>
          </w:tcPr>
          <w:p w14:paraId="3071BCF5">
            <w:pPr>
              <w:pStyle w:val="11"/>
              <w:spacing w:line="315" w:lineRule="exact"/>
              <w:ind w:left="110"/>
              <w:jc w:val="left"/>
              <w:rPr>
                <w:sz w:val="24"/>
                <w:szCs w:val="24"/>
              </w:rPr>
            </w:pPr>
            <w:r>
              <w:rPr>
                <w:sz w:val="24"/>
                <w:szCs w:val="24"/>
              </w:rPr>
              <w:t>Гастростаз,</w:t>
            </w:r>
            <w:r>
              <w:rPr>
                <w:spacing w:val="-4"/>
                <w:sz w:val="24"/>
                <w:szCs w:val="24"/>
              </w:rPr>
              <w:t xml:space="preserve"> </w:t>
            </w:r>
            <w:r>
              <w:rPr>
                <w:sz w:val="24"/>
                <w:szCs w:val="24"/>
              </w:rPr>
              <w:t>n</w:t>
            </w:r>
            <w:r>
              <w:rPr>
                <w:spacing w:val="-11"/>
                <w:sz w:val="24"/>
                <w:szCs w:val="24"/>
              </w:rPr>
              <w:t xml:space="preserve"> </w:t>
            </w:r>
            <w:r>
              <w:rPr>
                <w:spacing w:val="-5"/>
                <w:sz w:val="24"/>
                <w:szCs w:val="24"/>
              </w:rPr>
              <w:t>(%)</w:t>
            </w:r>
          </w:p>
        </w:tc>
        <w:tc>
          <w:tcPr>
            <w:tcW w:w="3097" w:type="dxa"/>
          </w:tcPr>
          <w:p w14:paraId="166AD0C8">
            <w:pPr>
              <w:pStyle w:val="11"/>
              <w:spacing w:line="315" w:lineRule="exact"/>
              <w:ind w:left="410" w:right="406"/>
              <w:rPr>
                <w:sz w:val="24"/>
                <w:szCs w:val="24"/>
              </w:rPr>
            </w:pPr>
            <w:r>
              <w:rPr>
                <w:sz w:val="24"/>
                <w:szCs w:val="24"/>
              </w:rPr>
              <w:t>9</w:t>
            </w:r>
            <w:r>
              <w:rPr>
                <w:spacing w:val="-1"/>
                <w:sz w:val="24"/>
                <w:szCs w:val="24"/>
              </w:rPr>
              <w:t xml:space="preserve"> </w:t>
            </w:r>
            <w:r>
              <w:rPr>
                <w:spacing w:val="-2"/>
                <w:sz w:val="24"/>
                <w:szCs w:val="24"/>
              </w:rPr>
              <w:t>(4,3%)</w:t>
            </w:r>
          </w:p>
        </w:tc>
      </w:tr>
      <w:tr w14:paraId="08461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 w:hRule="atLeast"/>
        </w:trPr>
        <w:tc>
          <w:tcPr>
            <w:tcW w:w="6542" w:type="dxa"/>
            <w:tcBorders>
              <w:bottom w:val="single" w:color="000000" w:sz="4" w:space="0"/>
            </w:tcBorders>
          </w:tcPr>
          <w:p w14:paraId="77A6D211">
            <w:pPr>
              <w:pStyle w:val="11"/>
              <w:spacing w:line="315" w:lineRule="exact"/>
              <w:ind w:left="110"/>
              <w:jc w:val="left"/>
              <w:rPr>
                <w:sz w:val="24"/>
                <w:szCs w:val="24"/>
              </w:rPr>
            </w:pPr>
            <w:r>
              <w:rPr>
                <w:sz w:val="24"/>
                <w:szCs w:val="24"/>
              </w:rPr>
              <w:t>Билиарный</w:t>
            </w:r>
            <w:r>
              <w:rPr>
                <w:spacing w:val="-6"/>
                <w:sz w:val="24"/>
                <w:szCs w:val="24"/>
              </w:rPr>
              <w:t xml:space="preserve"> </w:t>
            </w:r>
            <w:r>
              <w:rPr>
                <w:sz w:val="24"/>
                <w:szCs w:val="24"/>
              </w:rPr>
              <w:t>свищ,</w:t>
            </w:r>
            <w:r>
              <w:rPr>
                <w:spacing w:val="-2"/>
                <w:sz w:val="24"/>
                <w:szCs w:val="24"/>
              </w:rPr>
              <w:t xml:space="preserve"> </w:t>
            </w:r>
            <w:r>
              <w:rPr>
                <w:sz w:val="24"/>
                <w:szCs w:val="24"/>
              </w:rPr>
              <w:t>n</w:t>
            </w:r>
            <w:r>
              <w:rPr>
                <w:spacing w:val="-9"/>
                <w:sz w:val="24"/>
                <w:szCs w:val="24"/>
              </w:rPr>
              <w:t xml:space="preserve"> </w:t>
            </w:r>
            <w:r>
              <w:rPr>
                <w:spacing w:val="-5"/>
                <w:sz w:val="24"/>
                <w:szCs w:val="24"/>
              </w:rPr>
              <w:t>(%)</w:t>
            </w:r>
          </w:p>
        </w:tc>
        <w:tc>
          <w:tcPr>
            <w:tcW w:w="3097" w:type="dxa"/>
            <w:tcBorders>
              <w:bottom w:val="single" w:color="000000" w:sz="4" w:space="0"/>
            </w:tcBorders>
          </w:tcPr>
          <w:p w14:paraId="55D5DB2C">
            <w:pPr>
              <w:pStyle w:val="11"/>
              <w:spacing w:line="315" w:lineRule="exact"/>
              <w:ind w:left="410" w:right="406"/>
              <w:rPr>
                <w:sz w:val="24"/>
                <w:szCs w:val="24"/>
              </w:rPr>
            </w:pPr>
            <w:r>
              <w:rPr>
                <w:sz w:val="24"/>
                <w:szCs w:val="24"/>
              </w:rPr>
              <w:t>3</w:t>
            </w:r>
            <w:r>
              <w:rPr>
                <w:spacing w:val="-1"/>
                <w:sz w:val="24"/>
                <w:szCs w:val="24"/>
              </w:rPr>
              <w:t xml:space="preserve"> </w:t>
            </w:r>
            <w:r>
              <w:rPr>
                <w:spacing w:val="-2"/>
                <w:sz w:val="24"/>
                <w:szCs w:val="24"/>
              </w:rPr>
              <w:t>(1,4%)</w:t>
            </w:r>
          </w:p>
        </w:tc>
      </w:tr>
      <w:tr w14:paraId="7D4B8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42" w:type="dxa"/>
            <w:tcBorders>
              <w:bottom w:val="nil"/>
            </w:tcBorders>
          </w:tcPr>
          <w:p w14:paraId="02FBD4E9">
            <w:pPr>
              <w:pStyle w:val="11"/>
              <w:spacing w:line="315" w:lineRule="exact"/>
              <w:ind w:left="110"/>
              <w:jc w:val="left"/>
              <w:rPr>
                <w:sz w:val="24"/>
                <w:szCs w:val="24"/>
              </w:rPr>
            </w:pPr>
            <w:r>
              <w:rPr>
                <w:sz w:val="24"/>
                <w:szCs w:val="24"/>
              </w:rPr>
              <w:t>Раневая</w:t>
            </w:r>
            <w:r>
              <w:rPr>
                <w:spacing w:val="-6"/>
                <w:sz w:val="24"/>
                <w:szCs w:val="24"/>
              </w:rPr>
              <w:t xml:space="preserve"> </w:t>
            </w:r>
            <w:r>
              <w:rPr>
                <w:sz w:val="24"/>
                <w:szCs w:val="24"/>
              </w:rPr>
              <w:t>инфекция,</w:t>
            </w:r>
            <w:r>
              <w:rPr>
                <w:spacing w:val="-4"/>
                <w:sz w:val="24"/>
                <w:szCs w:val="24"/>
              </w:rPr>
              <w:t xml:space="preserve"> </w:t>
            </w:r>
            <w:r>
              <w:rPr>
                <w:sz w:val="24"/>
                <w:szCs w:val="24"/>
              </w:rPr>
              <w:t>n</w:t>
            </w:r>
            <w:r>
              <w:rPr>
                <w:spacing w:val="-11"/>
                <w:sz w:val="24"/>
                <w:szCs w:val="24"/>
              </w:rPr>
              <w:t xml:space="preserve"> </w:t>
            </w:r>
            <w:r>
              <w:rPr>
                <w:spacing w:val="-5"/>
                <w:sz w:val="24"/>
                <w:szCs w:val="24"/>
              </w:rPr>
              <w:t>(%)</w:t>
            </w:r>
          </w:p>
        </w:tc>
        <w:tc>
          <w:tcPr>
            <w:tcW w:w="3097" w:type="dxa"/>
            <w:tcBorders>
              <w:bottom w:val="nil"/>
            </w:tcBorders>
          </w:tcPr>
          <w:p w14:paraId="1223AA5E">
            <w:pPr>
              <w:pStyle w:val="11"/>
              <w:spacing w:line="315" w:lineRule="exact"/>
              <w:ind w:left="410" w:right="406"/>
              <w:rPr>
                <w:sz w:val="24"/>
                <w:szCs w:val="24"/>
              </w:rPr>
            </w:pPr>
            <w:r>
              <w:rPr>
                <w:sz w:val="24"/>
                <w:szCs w:val="24"/>
              </w:rPr>
              <w:t>7</w:t>
            </w:r>
            <w:r>
              <w:rPr>
                <w:spacing w:val="-1"/>
                <w:sz w:val="24"/>
                <w:szCs w:val="24"/>
              </w:rPr>
              <w:t xml:space="preserve"> </w:t>
            </w:r>
            <w:r>
              <w:rPr>
                <w:spacing w:val="-2"/>
                <w:sz w:val="24"/>
                <w:szCs w:val="24"/>
              </w:rPr>
              <w:t>(3,4%)</w:t>
            </w:r>
          </w:p>
        </w:tc>
      </w:tr>
    </w:tbl>
    <w:p w14:paraId="409786F4">
      <w:pPr>
        <w:rPr>
          <w:sz w:val="28"/>
          <w:szCs w:val="28"/>
          <w:lang w:val="kk-KZ"/>
        </w:rPr>
      </w:pPr>
    </w:p>
    <w:p w14:paraId="5DD7F955">
      <w:pPr>
        <w:rPr>
          <w:sz w:val="28"/>
          <w:szCs w:val="28"/>
          <w:lang w:val="kk-KZ"/>
        </w:rPr>
      </w:pPr>
    </w:p>
    <w:p w14:paraId="54E25130">
      <w:pPr>
        <w:rPr>
          <w:sz w:val="28"/>
          <w:szCs w:val="28"/>
        </w:rPr>
      </w:pPr>
      <w:r>
        <w:rPr>
          <w:sz w:val="28"/>
          <w:szCs w:val="28"/>
        </w:rPr>
        <w:t>Продолжение таблицы 13</w:t>
      </w:r>
    </w:p>
    <w:p w14:paraId="09518CF6"/>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21"/>
        <w:gridCol w:w="3118"/>
      </w:tblGrid>
      <w:tr w14:paraId="2F878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21" w:type="dxa"/>
          </w:tcPr>
          <w:p w14:paraId="189969C6">
            <w:pPr>
              <w:pStyle w:val="11"/>
              <w:spacing w:line="315" w:lineRule="exact"/>
              <w:ind w:left="110"/>
              <w:rPr>
                <w:sz w:val="24"/>
                <w:szCs w:val="24"/>
              </w:rPr>
            </w:pPr>
            <w:r>
              <w:rPr>
                <w:sz w:val="24"/>
                <w:szCs w:val="24"/>
              </w:rPr>
              <w:t>1</w:t>
            </w:r>
          </w:p>
        </w:tc>
        <w:tc>
          <w:tcPr>
            <w:tcW w:w="3118" w:type="dxa"/>
          </w:tcPr>
          <w:p w14:paraId="507B9171">
            <w:pPr>
              <w:pStyle w:val="11"/>
              <w:spacing w:line="315" w:lineRule="exact"/>
              <w:ind w:left="415" w:right="406"/>
              <w:rPr>
                <w:sz w:val="24"/>
                <w:szCs w:val="24"/>
              </w:rPr>
            </w:pPr>
            <w:r>
              <w:rPr>
                <w:sz w:val="24"/>
                <w:szCs w:val="24"/>
              </w:rPr>
              <w:t>2</w:t>
            </w:r>
          </w:p>
        </w:tc>
      </w:tr>
      <w:tr w14:paraId="09C3A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21" w:type="dxa"/>
          </w:tcPr>
          <w:p w14:paraId="7D044381">
            <w:pPr>
              <w:pStyle w:val="11"/>
              <w:spacing w:line="315" w:lineRule="exact"/>
              <w:ind w:left="110"/>
              <w:jc w:val="left"/>
              <w:rPr>
                <w:sz w:val="24"/>
                <w:szCs w:val="24"/>
              </w:rPr>
            </w:pPr>
            <w:r>
              <w:rPr>
                <w:sz w:val="24"/>
                <w:szCs w:val="24"/>
              </w:rPr>
              <w:t>Релапаротомия,</w:t>
            </w:r>
            <w:r>
              <w:rPr>
                <w:spacing w:val="-5"/>
                <w:sz w:val="24"/>
                <w:szCs w:val="24"/>
              </w:rPr>
              <w:t xml:space="preserve"> </w:t>
            </w:r>
            <w:r>
              <w:rPr>
                <w:sz w:val="24"/>
                <w:szCs w:val="24"/>
              </w:rPr>
              <w:t>n</w:t>
            </w:r>
            <w:r>
              <w:rPr>
                <w:spacing w:val="-10"/>
                <w:sz w:val="24"/>
                <w:szCs w:val="24"/>
              </w:rPr>
              <w:t xml:space="preserve"> </w:t>
            </w:r>
            <w:r>
              <w:rPr>
                <w:spacing w:val="-5"/>
                <w:sz w:val="24"/>
                <w:szCs w:val="24"/>
              </w:rPr>
              <w:t>(%)</w:t>
            </w:r>
          </w:p>
        </w:tc>
        <w:tc>
          <w:tcPr>
            <w:tcW w:w="3118" w:type="dxa"/>
          </w:tcPr>
          <w:p w14:paraId="279E94EA">
            <w:pPr>
              <w:pStyle w:val="11"/>
              <w:spacing w:line="315" w:lineRule="exact"/>
              <w:ind w:left="415" w:right="406"/>
              <w:rPr>
                <w:sz w:val="24"/>
                <w:szCs w:val="24"/>
              </w:rPr>
            </w:pPr>
            <w:r>
              <w:rPr>
                <w:sz w:val="24"/>
                <w:szCs w:val="24"/>
              </w:rPr>
              <w:t>15</w:t>
            </w:r>
            <w:r>
              <w:rPr>
                <w:spacing w:val="-2"/>
                <w:sz w:val="24"/>
                <w:szCs w:val="24"/>
              </w:rPr>
              <w:t xml:space="preserve"> (7,2%)</w:t>
            </w:r>
          </w:p>
        </w:tc>
      </w:tr>
      <w:tr w14:paraId="792E4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21" w:type="dxa"/>
          </w:tcPr>
          <w:p w14:paraId="312922C0">
            <w:pPr>
              <w:pStyle w:val="11"/>
              <w:spacing w:line="315" w:lineRule="exact"/>
              <w:ind w:left="110"/>
              <w:jc w:val="left"/>
              <w:rPr>
                <w:sz w:val="24"/>
                <w:szCs w:val="24"/>
              </w:rPr>
            </w:pPr>
            <w:r>
              <w:rPr>
                <w:sz w:val="24"/>
                <w:szCs w:val="24"/>
              </w:rPr>
              <w:t>Длительность</w:t>
            </w:r>
            <w:r>
              <w:rPr>
                <w:spacing w:val="-11"/>
                <w:sz w:val="24"/>
                <w:szCs w:val="24"/>
              </w:rPr>
              <w:t xml:space="preserve"> </w:t>
            </w:r>
            <w:r>
              <w:rPr>
                <w:sz w:val="24"/>
                <w:szCs w:val="24"/>
              </w:rPr>
              <w:t>госпитализации,</w:t>
            </w:r>
            <w:r>
              <w:rPr>
                <w:spacing w:val="-7"/>
                <w:sz w:val="24"/>
                <w:szCs w:val="24"/>
              </w:rPr>
              <w:t xml:space="preserve"> </w:t>
            </w:r>
            <w:r>
              <w:rPr>
                <w:sz w:val="24"/>
                <w:szCs w:val="24"/>
              </w:rPr>
              <w:t>дни,</w:t>
            </w:r>
            <w:r>
              <w:rPr>
                <w:spacing w:val="-7"/>
                <w:sz w:val="24"/>
                <w:szCs w:val="24"/>
              </w:rPr>
              <w:t xml:space="preserve"> </w:t>
            </w:r>
            <w:r>
              <w:rPr>
                <w:sz w:val="24"/>
                <w:szCs w:val="24"/>
              </w:rPr>
              <w:t>Me</w:t>
            </w:r>
            <w:r>
              <w:rPr>
                <w:spacing w:val="-8"/>
                <w:sz w:val="24"/>
                <w:szCs w:val="24"/>
              </w:rPr>
              <w:t xml:space="preserve"> </w:t>
            </w:r>
            <w:r>
              <w:rPr>
                <w:sz w:val="24"/>
                <w:szCs w:val="24"/>
              </w:rPr>
              <w:t>[Q1;</w:t>
            </w:r>
            <w:r>
              <w:rPr>
                <w:spacing w:val="-9"/>
                <w:sz w:val="24"/>
                <w:szCs w:val="24"/>
              </w:rPr>
              <w:t xml:space="preserve"> </w:t>
            </w:r>
            <w:r>
              <w:rPr>
                <w:spacing w:val="-5"/>
                <w:sz w:val="24"/>
                <w:szCs w:val="24"/>
              </w:rPr>
              <w:t>Q3]</w:t>
            </w:r>
          </w:p>
        </w:tc>
        <w:tc>
          <w:tcPr>
            <w:tcW w:w="3118" w:type="dxa"/>
          </w:tcPr>
          <w:p w14:paraId="1226E510">
            <w:pPr>
              <w:pStyle w:val="11"/>
              <w:spacing w:line="315" w:lineRule="exact"/>
              <w:ind w:left="414" w:right="406"/>
              <w:rPr>
                <w:sz w:val="24"/>
                <w:szCs w:val="24"/>
              </w:rPr>
            </w:pPr>
            <w:r>
              <w:rPr>
                <w:sz w:val="24"/>
                <w:szCs w:val="24"/>
              </w:rPr>
              <w:t>17,0</w:t>
            </w:r>
            <w:r>
              <w:rPr>
                <w:spacing w:val="-4"/>
                <w:sz w:val="24"/>
                <w:szCs w:val="24"/>
              </w:rPr>
              <w:t xml:space="preserve"> </w:t>
            </w:r>
            <w:r>
              <w:rPr>
                <w:sz w:val="24"/>
                <w:szCs w:val="24"/>
              </w:rPr>
              <w:t>[14,0;</w:t>
            </w:r>
            <w:r>
              <w:rPr>
                <w:spacing w:val="-4"/>
                <w:sz w:val="24"/>
                <w:szCs w:val="24"/>
              </w:rPr>
              <w:t xml:space="preserve"> </w:t>
            </w:r>
            <w:r>
              <w:rPr>
                <w:spacing w:val="-2"/>
                <w:sz w:val="24"/>
                <w:szCs w:val="24"/>
              </w:rPr>
              <w:t>23,2]</w:t>
            </w:r>
          </w:p>
        </w:tc>
      </w:tr>
      <w:tr w14:paraId="2ECE3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6521" w:type="dxa"/>
          </w:tcPr>
          <w:p w14:paraId="7FFEA963">
            <w:pPr>
              <w:pStyle w:val="11"/>
              <w:spacing w:line="315" w:lineRule="exact"/>
              <w:ind w:left="110"/>
              <w:jc w:val="left"/>
              <w:rPr>
                <w:sz w:val="24"/>
                <w:szCs w:val="24"/>
              </w:rPr>
            </w:pPr>
            <w:r>
              <w:rPr>
                <w:sz w:val="24"/>
                <w:szCs w:val="24"/>
              </w:rPr>
              <w:t>Госпитальная</w:t>
            </w:r>
            <w:r>
              <w:rPr>
                <w:spacing w:val="-8"/>
                <w:sz w:val="24"/>
                <w:szCs w:val="24"/>
              </w:rPr>
              <w:t xml:space="preserve"> </w:t>
            </w:r>
            <w:r>
              <w:rPr>
                <w:sz w:val="24"/>
                <w:szCs w:val="24"/>
              </w:rPr>
              <w:t>летальность,</w:t>
            </w:r>
            <w:r>
              <w:rPr>
                <w:spacing w:val="-4"/>
                <w:sz w:val="24"/>
                <w:szCs w:val="24"/>
              </w:rPr>
              <w:t xml:space="preserve"> </w:t>
            </w:r>
            <w:r>
              <w:rPr>
                <w:sz w:val="24"/>
                <w:szCs w:val="24"/>
              </w:rPr>
              <w:t>n</w:t>
            </w:r>
            <w:r>
              <w:rPr>
                <w:spacing w:val="-12"/>
                <w:sz w:val="24"/>
                <w:szCs w:val="24"/>
              </w:rPr>
              <w:t xml:space="preserve"> </w:t>
            </w:r>
            <w:r>
              <w:rPr>
                <w:spacing w:val="-5"/>
                <w:sz w:val="24"/>
                <w:szCs w:val="24"/>
              </w:rPr>
              <w:t>(%)</w:t>
            </w:r>
          </w:p>
        </w:tc>
        <w:tc>
          <w:tcPr>
            <w:tcW w:w="3118" w:type="dxa"/>
          </w:tcPr>
          <w:p w14:paraId="67B53C10">
            <w:pPr>
              <w:pStyle w:val="11"/>
              <w:spacing w:line="315" w:lineRule="exact"/>
              <w:ind w:left="415" w:right="406"/>
              <w:rPr>
                <w:sz w:val="24"/>
                <w:szCs w:val="24"/>
              </w:rPr>
            </w:pPr>
            <w:r>
              <w:rPr>
                <w:sz w:val="24"/>
                <w:szCs w:val="24"/>
              </w:rPr>
              <w:t>17</w:t>
            </w:r>
            <w:r>
              <w:rPr>
                <w:spacing w:val="-2"/>
                <w:sz w:val="24"/>
                <w:szCs w:val="24"/>
              </w:rPr>
              <w:t xml:space="preserve"> (8,2%)</w:t>
            </w:r>
          </w:p>
        </w:tc>
      </w:tr>
    </w:tbl>
    <w:p w14:paraId="37339732">
      <w:pPr>
        <w:pStyle w:val="7"/>
        <w:tabs>
          <w:tab w:val="left" w:pos="3828"/>
          <w:tab w:val="left" w:pos="5103"/>
        </w:tabs>
        <w:spacing w:before="291" w:line="242" w:lineRule="auto"/>
        <w:ind w:left="0" w:right="3" w:firstLine="709"/>
      </w:pPr>
      <w:r>
        <w:t>Резекция магистральных сосудов потребовалась в 20,2% случаев, что свидетельствует о высокой доле погранично резектабельных</w:t>
      </w:r>
      <w:r>
        <w:rPr>
          <w:spacing w:val="-1"/>
        </w:rPr>
        <w:t xml:space="preserve"> </w:t>
      </w:r>
      <w:r>
        <w:t>форм опухолевого процесса в исследуемой когорте.</w:t>
      </w:r>
    </w:p>
    <w:p w14:paraId="513C27C3">
      <w:pPr>
        <w:pStyle w:val="7"/>
        <w:ind w:left="0" w:right="3" w:firstLine="709"/>
      </w:pPr>
      <w:r>
        <w:t>Общая</w:t>
      </w:r>
      <w:r>
        <w:rPr>
          <w:spacing w:val="-3"/>
        </w:rPr>
        <w:t xml:space="preserve"> </w:t>
      </w:r>
      <w:r>
        <w:t>частота</w:t>
      </w:r>
      <w:r>
        <w:rPr>
          <w:spacing w:val="-4"/>
        </w:rPr>
        <w:t xml:space="preserve"> </w:t>
      </w:r>
      <w:r>
        <w:t>послеоперационных</w:t>
      </w:r>
      <w:r>
        <w:rPr>
          <w:spacing w:val="-8"/>
        </w:rPr>
        <w:t xml:space="preserve"> </w:t>
      </w:r>
      <w:r>
        <w:t>осложнений</w:t>
      </w:r>
      <w:r>
        <w:rPr>
          <w:spacing w:val="-4"/>
        </w:rPr>
        <w:t xml:space="preserve"> </w:t>
      </w:r>
      <w:r>
        <w:t>составила</w:t>
      </w:r>
      <w:r>
        <w:rPr>
          <w:spacing w:val="-4"/>
        </w:rPr>
        <w:t xml:space="preserve"> </w:t>
      </w:r>
      <w:r>
        <w:t>50,5%,</w:t>
      </w:r>
      <w:r>
        <w:rPr>
          <w:spacing w:val="-2"/>
        </w:rPr>
        <w:t xml:space="preserve"> </w:t>
      </w:r>
      <w:r>
        <w:t>при</w:t>
      </w:r>
      <w:r>
        <w:rPr>
          <w:spacing w:val="-4"/>
        </w:rPr>
        <w:t xml:space="preserve"> </w:t>
      </w:r>
      <w:r>
        <w:t>этом преобладали осложнения лёгкой и средней степени тяжести согласно общепринятым классификациям.</w:t>
      </w:r>
    </w:p>
    <w:p w14:paraId="0BCE5270">
      <w:pPr>
        <w:pStyle w:val="7"/>
        <w:ind w:left="0" w:right="3" w:firstLine="709"/>
      </w:pPr>
      <w:r>
        <w:t>КЗ-ПС (ПС классов B и C) были диагностированы у 25,0% пациентов, ПС- ассоциированное кровотечение — у 5,3% больных. Необходимость повторного хирургического вмешательства в виде релапаротомии возникла у 15 (7,2%) пациентов.</w:t>
      </w:r>
      <w:r>
        <w:rPr>
          <w:spacing w:val="40"/>
        </w:rPr>
        <w:t xml:space="preserve"> </w:t>
      </w:r>
      <w:r>
        <w:t>Уровень госпитальной летальности составил 8,2% и в большинстве случаев был обусловлен тяжёлым течением КЗ-ПС и развитием связанных с ними осложнений. Медианная продолжительность стационарного лечения составила 17,0 [14,0; 23,2] суток.</w:t>
      </w:r>
    </w:p>
    <w:p w14:paraId="053D4A10">
      <w:pPr>
        <w:pStyle w:val="7"/>
        <w:ind w:left="0" w:right="3" w:firstLine="709"/>
      </w:pPr>
      <w:bookmarkStart w:id="21" w:name="Полученные_данные_подтверждают_ведущую_р"/>
      <w:bookmarkEnd w:id="21"/>
      <w:r>
        <w:t>Полученные данные подтверждают ведущую роль ПС в структуре неблагоприятных исходов после ГПДР.</w:t>
      </w:r>
    </w:p>
    <w:p w14:paraId="1B4F0435">
      <w:pPr>
        <w:pStyle w:val="7"/>
        <w:spacing w:before="245"/>
        <w:ind w:left="0" w:right="3" w:firstLine="0"/>
        <w:jc w:val="left"/>
      </w:pPr>
      <w:bookmarkStart w:id="22" w:name="Таблица_14_-_Причины_летальности_после_Г"/>
      <w:bookmarkEnd w:id="22"/>
      <w:r>
        <w:t>Таблица</w:t>
      </w:r>
      <w:r>
        <w:rPr>
          <w:spacing w:val="-6"/>
        </w:rPr>
        <w:t xml:space="preserve"> </w:t>
      </w:r>
      <w:r>
        <w:t>14</w:t>
      </w:r>
      <w:r>
        <w:rPr>
          <w:spacing w:val="-4"/>
        </w:rPr>
        <w:t xml:space="preserve"> </w:t>
      </w:r>
      <w:r>
        <w:t>-</w:t>
      </w:r>
      <w:r>
        <w:rPr>
          <w:spacing w:val="-8"/>
        </w:rPr>
        <w:t xml:space="preserve"> </w:t>
      </w:r>
      <w:r>
        <w:t>Причины</w:t>
      </w:r>
      <w:r>
        <w:rPr>
          <w:spacing w:val="-7"/>
        </w:rPr>
        <w:t xml:space="preserve"> </w:t>
      </w:r>
      <w:r>
        <w:t>летальности</w:t>
      </w:r>
      <w:r>
        <w:rPr>
          <w:spacing w:val="-7"/>
        </w:rPr>
        <w:t xml:space="preserve"> </w:t>
      </w:r>
      <w:r>
        <w:t>после</w:t>
      </w:r>
      <w:r>
        <w:rPr>
          <w:spacing w:val="-6"/>
        </w:rPr>
        <w:t xml:space="preserve"> </w:t>
      </w:r>
      <w:r>
        <w:t>ГПДР</w:t>
      </w:r>
      <w:r>
        <w:rPr>
          <w:spacing w:val="-7"/>
        </w:rPr>
        <w:t xml:space="preserve"> </w:t>
      </w:r>
      <w:r>
        <w:t>(2016-2022</w:t>
      </w:r>
      <w:r>
        <w:rPr>
          <w:spacing w:val="-7"/>
        </w:rPr>
        <w:t xml:space="preserve"> </w:t>
      </w:r>
      <w:r>
        <w:rPr>
          <w:spacing w:val="-4"/>
        </w:rPr>
        <w:t>гг.)</w:t>
      </w:r>
    </w:p>
    <w:p w14:paraId="4161282A">
      <w:pPr>
        <w:pStyle w:val="7"/>
        <w:ind w:left="0" w:firstLine="0"/>
        <w:jc w:val="left"/>
        <w:rPr>
          <w:sz w:val="20"/>
        </w:rPr>
      </w:pPr>
    </w:p>
    <w:p w14:paraId="474EB4F7">
      <w:pPr>
        <w:pStyle w:val="7"/>
        <w:spacing w:before="8"/>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52"/>
        <w:gridCol w:w="2487"/>
      </w:tblGrid>
      <w:tr w14:paraId="63DA0A61">
        <w:tblPrEx>
          <w:tblCellMar>
            <w:top w:w="0" w:type="dxa"/>
            <w:left w:w="0" w:type="dxa"/>
            <w:bottom w:w="0" w:type="dxa"/>
            <w:right w:w="0" w:type="dxa"/>
          </w:tblCellMar>
        </w:tblPrEx>
        <w:trPr>
          <w:trHeight w:val="412" w:hRule="atLeast"/>
        </w:trPr>
        <w:tc>
          <w:tcPr>
            <w:tcW w:w="7152" w:type="dxa"/>
          </w:tcPr>
          <w:p w14:paraId="31813C2D">
            <w:pPr>
              <w:pStyle w:val="11"/>
              <w:spacing w:line="315" w:lineRule="exact"/>
              <w:ind w:left="1992"/>
              <w:jc w:val="left"/>
              <w:rPr>
                <w:sz w:val="28"/>
              </w:rPr>
            </w:pPr>
            <w:r>
              <w:rPr>
                <w:sz w:val="28"/>
              </w:rPr>
              <w:t>Причины</w:t>
            </w:r>
            <w:r>
              <w:rPr>
                <w:spacing w:val="-14"/>
                <w:sz w:val="28"/>
              </w:rPr>
              <w:t xml:space="preserve"> </w:t>
            </w:r>
            <w:r>
              <w:rPr>
                <w:spacing w:val="-2"/>
                <w:sz w:val="28"/>
              </w:rPr>
              <w:t>летальности</w:t>
            </w:r>
          </w:p>
        </w:tc>
        <w:tc>
          <w:tcPr>
            <w:tcW w:w="2487" w:type="dxa"/>
          </w:tcPr>
          <w:p w14:paraId="60C8648D">
            <w:pPr>
              <w:pStyle w:val="11"/>
              <w:spacing w:line="315" w:lineRule="exact"/>
              <w:ind w:left="105"/>
              <w:rPr>
                <w:spacing w:val="1"/>
                <w:sz w:val="28"/>
              </w:rPr>
            </w:pPr>
            <w:r>
              <w:rPr>
                <w:sz w:val="28"/>
              </w:rPr>
              <w:t>2016–2022</w:t>
            </w:r>
            <w:r>
              <w:rPr>
                <w:spacing w:val="-4"/>
                <w:sz w:val="28"/>
              </w:rPr>
              <w:t xml:space="preserve"> </w:t>
            </w:r>
            <w:r>
              <w:rPr>
                <w:sz w:val="28"/>
              </w:rPr>
              <w:t>гг.,</w:t>
            </w:r>
          </w:p>
          <w:p w14:paraId="45EE5906">
            <w:pPr>
              <w:pStyle w:val="11"/>
              <w:spacing w:line="315" w:lineRule="exact"/>
              <w:ind w:left="105"/>
              <w:rPr>
                <w:sz w:val="28"/>
              </w:rPr>
            </w:pPr>
            <w:r>
              <w:rPr>
                <w:sz w:val="28"/>
              </w:rPr>
              <w:t>n</w:t>
            </w:r>
            <w:r>
              <w:rPr>
                <w:spacing w:val="-7"/>
                <w:sz w:val="28"/>
              </w:rPr>
              <w:t xml:space="preserve"> </w:t>
            </w:r>
            <w:r>
              <w:rPr>
                <w:sz w:val="28"/>
              </w:rPr>
              <w:t>=</w:t>
            </w:r>
            <w:r>
              <w:rPr>
                <w:spacing w:val="-1"/>
                <w:sz w:val="28"/>
              </w:rPr>
              <w:t xml:space="preserve"> </w:t>
            </w:r>
            <w:r>
              <w:rPr>
                <w:spacing w:val="-7"/>
                <w:sz w:val="28"/>
              </w:rPr>
              <w:t>17</w:t>
            </w:r>
          </w:p>
        </w:tc>
      </w:tr>
      <w:tr w14:paraId="64A60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7152" w:type="dxa"/>
          </w:tcPr>
          <w:p w14:paraId="3ECD04DA">
            <w:pPr>
              <w:pStyle w:val="11"/>
              <w:spacing w:line="315" w:lineRule="exact"/>
              <w:ind w:left="105"/>
              <w:jc w:val="left"/>
              <w:rPr>
                <w:sz w:val="28"/>
              </w:rPr>
            </w:pPr>
            <w:r>
              <w:rPr>
                <w:sz w:val="28"/>
              </w:rPr>
              <w:t>Тяжёлый</w:t>
            </w:r>
            <w:r>
              <w:rPr>
                <w:spacing w:val="-6"/>
                <w:sz w:val="28"/>
              </w:rPr>
              <w:t xml:space="preserve"> </w:t>
            </w:r>
            <w:r>
              <w:rPr>
                <w:sz w:val="28"/>
              </w:rPr>
              <w:t>КЗ-ПС</w:t>
            </w:r>
            <w:r>
              <w:rPr>
                <w:spacing w:val="-4"/>
                <w:sz w:val="28"/>
              </w:rPr>
              <w:t xml:space="preserve"> </w:t>
            </w:r>
            <w:r>
              <w:rPr>
                <w:sz w:val="28"/>
              </w:rPr>
              <w:t>→</w:t>
            </w:r>
            <w:r>
              <w:rPr>
                <w:spacing w:val="-6"/>
                <w:sz w:val="28"/>
              </w:rPr>
              <w:t xml:space="preserve"> </w:t>
            </w:r>
            <w:r>
              <w:rPr>
                <w:sz w:val="28"/>
              </w:rPr>
              <w:t>сепсис,</w:t>
            </w:r>
            <w:r>
              <w:rPr>
                <w:spacing w:val="-2"/>
                <w:sz w:val="28"/>
              </w:rPr>
              <w:t xml:space="preserve"> </w:t>
            </w:r>
            <w:r>
              <w:rPr>
                <w:sz w:val="28"/>
              </w:rPr>
              <w:t>n</w:t>
            </w:r>
            <w:r>
              <w:rPr>
                <w:spacing w:val="-9"/>
                <w:sz w:val="28"/>
              </w:rPr>
              <w:t xml:space="preserve"> </w:t>
            </w:r>
            <w:r>
              <w:rPr>
                <w:spacing w:val="-5"/>
                <w:sz w:val="28"/>
              </w:rPr>
              <w:t>(%)</w:t>
            </w:r>
          </w:p>
        </w:tc>
        <w:tc>
          <w:tcPr>
            <w:tcW w:w="2487" w:type="dxa"/>
          </w:tcPr>
          <w:p w14:paraId="5A400253">
            <w:pPr>
              <w:pStyle w:val="11"/>
              <w:spacing w:line="315" w:lineRule="exact"/>
              <w:ind w:left="878"/>
              <w:jc w:val="left"/>
              <w:rPr>
                <w:sz w:val="28"/>
              </w:rPr>
            </w:pPr>
            <w:r>
              <w:rPr>
                <w:sz w:val="28"/>
              </w:rPr>
              <w:t>3</w:t>
            </w:r>
            <w:r>
              <w:rPr>
                <w:spacing w:val="-1"/>
                <w:sz w:val="28"/>
              </w:rPr>
              <w:t xml:space="preserve"> </w:t>
            </w:r>
            <w:r>
              <w:rPr>
                <w:spacing w:val="-2"/>
                <w:sz w:val="28"/>
              </w:rPr>
              <w:t>(17,6%)</w:t>
            </w:r>
          </w:p>
        </w:tc>
      </w:tr>
      <w:tr w14:paraId="3F498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7152" w:type="dxa"/>
          </w:tcPr>
          <w:p w14:paraId="51BD0462">
            <w:pPr>
              <w:pStyle w:val="11"/>
              <w:spacing w:line="315" w:lineRule="exact"/>
              <w:ind w:left="105"/>
              <w:jc w:val="left"/>
              <w:rPr>
                <w:sz w:val="28"/>
              </w:rPr>
            </w:pPr>
            <w:r>
              <w:rPr>
                <w:sz w:val="28"/>
              </w:rPr>
              <w:t>Аррозивное</w:t>
            </w:r>
            <w:r>
              <w:rPr>
                <w:spacing w:val="-9"/>
                <w:sz w:val="28"/>
              </w:rPr>
              <w:t xml:space="preserve"> </w:t>
            </w:r>
            <w:r>
              <w:rPr>
                <w:sz w:val="28"/>
              </w:rPr>
              <w:t>кровотечение,</w:t>
            </w:r>
            <w:r>
              <w:rPr>
                <w:spacing w:val="-6"/>
                <w:sz w:val="28"/>
              </w:rPr>
              <w:t xml:space="preserve"> </w:t>
            </w:r>
            <w:r>
              <w:rPr>
                <w:sz w:val="28"/>
              </w:rPr>
              <w:t>n</w:t>
            </w:r>
            <w:r>
              <w:rPr>
                <w:spacing w:val="-12"/>
                <w:sz w:val="28"/>
              </w:rPr>
              <w:t xml:space="preserve"> </w:t>
            </w:r>
            <w:r>
              <w:rPr>
                <w:spacing w:val="-5"/>
                <w:sz w:val="28"/>
              </w:rPr>
              <w:t>(%)</w:t>
            </w:r>
          </w:p>
        </w:tc>
        <w:tc>
          <w:tcPr>
            <w:tcW w:w="2487" w:type="dxa"/>
          </w:tcPr>
          <w:p w14:paraId="5B5DF9EB">
            <w:pPr>
              <w:pStyle w:val="11"/>
              <w:spacing w:line="315" w:lineRule="exact"/>
              <w:ind w:left="878"/>
              <w:jc w:val="left"/>
              <w:rPr>
                <w:sz w:val="28"/>
              </w:rPr>
            </w:pPr>
            <w:r>
              <w:rPr>
                <w:sz w:val="28"/>
              </w:rPr>
              <w:t>7</w:t>
            </w:r>
            <w:r>
              <w:rPr>
                <w:spacing w:val="-1"/>
                <w:sz w:val="28"/>
              </w:rPr>
              <w:t xml:space="preserve"> </w:t>
            </w:r>
            <w:r>
              <w:rPr>
                <w:spacing w:val="-2"/>
                <w:sz w:val="28"/>
              </w:rPr>
              <w:t>(41,2%)</w:t>
            </w:r>
          </w:p>
        </w:tc>
      </w:tr>
      <w:tr w14:paraId="50212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7152" w:type="dxa"/>
          </w:tcPr>
          <w:p w14:paraId="041E86BD">
            <w:pPr>
              <w:pStyle w:val="11"/>
              <w:spacing w:line="315" w:lineRule="exact"/>
              <w:ind w:left="105"/>
              <w:jc w:val="left"/>
              <w:rPr>
                <w:sz w:val="28"/>
              </w:rPr>
            </w:pPr>
            <w:r>
              <w:rPr>
                <w:sz w:val="28"/>
              </w:rPr>
              <w:t>Полиорганная</w:t>
            </w:r>
            <w:r>
              <w:rPr>
                <w:spacing w:val="-10"/>
                <w:sz w:val="28"/>
              </w:rPr>
              <w:t xml:space="preserve"> </w:t>
            </w:r>
            <w:r>
              <w:rPr>
                <w:sz w:val="28"/>
              </w:rPr>
              <w:t>недостаточность,</w:t>
            </w:r>
            <w:r>
              <w:rPr>
                <w:spacing w:val="-10"/>
                <w:sz w:val="28"/>
              </w:rPr>
              <w:t xml:space="preserve"> </w:t>
            </w:r>
            <w:r>
              <w:rPr>
                <w:sz w:val="28"/>
              </w:rPr>
              <w:t>n</w:t>
            </w:r>
            <w:r>
              <w:rPr>
                <w:spacing w:val="-15"/>
                <w:sz w:val="28"/>
              </w:rPr>
              <w:t xml:space="preserve"> </w:t>
            </w:r>
            <w:r>
              <w:rPr>
                <w:spacing w:val="-5"/>
                <w:sz w:val="28"/>
              </w:rPr>
              <w:t>(%)</w:t>
            </w:r>
          </w:p>
        </w:tc>
        <w:tc>
          <w:tcPr>
            <w:tcW w:w="2487" w:type="dxa"/>
          </w:tcPr>
          <w:p w14:paraId="2223BD47">
            <w:pPr>
              <w:pStyle w:val="11"/>
              <w:spacing w:line="315" w:lineRule="exact"/>
              <w:ind w:left="878"/>
              <w:jc w:val="left"/>
              <w:rPr>
                <w:sz w:val="28"/>
              </w:rPr>
            </w:pPr>
            <w:r>
              <w:rPr>
                <w:sz w:val="28"/>
              </w:rPr>
              <w:t>2</w:t>
            </w:r>
            <w:r>
              <w:rPr>
                <w:spacing w:val="-1"/>
                <w:sz w:val="28"/>
              </w:rPr>
              <w:t xml:space="preserve"> </w:t>
            </w:r>
            <w:r>
              <w:rPr>
                <w:spacing w:val="-2"/>
                <w:sz w:val="28"/>
              </w:rPr>
              <w:t>(11,8%)</w:t>
            </w:r>
          </w:p>
        </w:tc>
      </w:tr>
      <w:tr w14:paraId="637B174A">
        <w:tblPrEx>
          <w:tblCellMar>
            <w:top w:w="0" w:type="dxa"/>
            <w:left w:w="0" w:type="dxa"/>
            <w:bottom w:w="0" w:type="dxa"/>
            <w:right w:w="0" w:type="dxa"/>
          </w:tblCellMar>
        </w:tblPrEx>
        <w:trPr>
          <w:trHeight w:val="436" w:hRule="atLeast"/>
        </w:trPr>
        <w:tc>
          <w:tcPr>
            <w:tcW w:w="7152" w:type="dxa"/>
          </w:tcPr>
          <w:p w14:paraId="22864A04">
            <w:pPr>
              <w:pStyle w:val="11"/>
              <w:spacing w:line="315" w:lineRule="exact"/>
              <w:ind w:left="105"/>
              <w:jc w:val="left"/>
              <w:rPr>
                <w:sz w:val="28"/>
              </w:rPr>
            </w:pPr>
            <w:r>
              <w:rPr>
                <w:sz w:val="28"/>
              </w:rPr>
              <w:t>Острая</w:t>
            </w:r>
            <w:r>
              <w:rPr>
                <w:spacing w:val="-8"/>
                <w:sz w:val="28"/>
              </w:rPr>
              <w:t xml:space="preserve"> </w:t>
            </w:r>
            <w:r>
              <w:rPr>
                <w:sz w:val="28"/>
              </w:rPr>
              <w:t>печеночная</w:t>
            </w:r>
            <w:r>
              <w:rPr>
                <w:spacing w:val="-8"/>
                <w:sz w:val="28"/>
              </w:rPr>
              <w:t xml:space="preserve"> </w:t>
            </w:r>
            <w:r>
              <w:rPr>
                <w:sz w:val="28"/>
              </w:rPr>
              <w:t>недостаточность,</w:t>
            </w:r>
            <w:r>
              <w:rPr>
                <w:spacing w:val="-7"/>
                <w:sz w:val="28"/>
              </w:rPr>
              <w:t xml:space="preserve"> </w:t>
            </w:r>
            <w:r>
              <w:rPr>
                <w:sz w:val="28"/>
              </w:rPr>
              <w:t>n</w:t>
            </w:r>
            <w:r>
              <w:rPr>
                <w:spacing w:val="-13"/>
                <w:sz w:val="28"/>
              </w:rPr>
              <w:t xml:space="preserve"> </w:t>
            </w:r>
            <w:r>
              <w:rPr>
                <w:spacing w:val="-5"/>
                <w:sz w:val="28"/>
              </w:rPr>
              <w:t>(%)</w:t>
            </w:r>
          </w:p>
        </w:tc>
        <w:tc>
          <w:tcPr>
            <w:tcW w:w="2487" w:type="dxa"/>
          </w:tcPr>
          <w:p w14:paraId="14D25106">
            <w:pPr>
              <w:pStyle w:val="11"/>
              <w:spacing w:line="315" w:lineRule="exact"/>
              <w:ind w:left="950"/>
              <w:jc w:val="left"/>
              <w:rPr>
                <w:sz w:val="28"/>
              </w:rPr>
            </w:pPr>
            <w:r>
              <w:rPr>
                <w:sz w:val="28"/>
              </w:rPr>
              <w:t>1</w:t>
            </w:r>
            <w:r>
              <w:rPr>
                <w:spacing w:val="-1"/>
                <w:sz w:val="28"/>
              </w:rPr>
              <w:t xml:space="preserve"> </w:t>
            </w:r>
            <w:r>
              <w:rPr>
                <w:spacing w:val="-2"/>
                <w:sz w:val="28"/>
              </w:rPr>
              <w:t>(5,8%)</w:t>
            </w:r>
          </w:p>
        </w:tc>
      </w:tr>
      <w:tr w14:paraId="1D6D2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7152" w:type="dxa"/>
            <w:tcBorders>
              <w:bottom w:val="single" w:color="000000" w:sz="4" w:space="0"/>
            </w:tcBorders>
          </w:tcPr>
          <w:p w14:paraId="04394FFF">
            <w:pPr>
              <w:pStyle w:val="11"/>
              <w:tabs>
                <w:tab w:val="left" w:pos="1496"/>
                <w:tab w:val="left" w:pos="4544"/>
              </w:tabs>
              <w:spacing w:line="240" w:lineRule="auto"/>
              <w:ind w:left="105" w:right="106"/>
              <w:jc w:val="left"/>
              <w:rPr>
                <w:sz w:val="28"/>
              </w:rPr>
            </w:pPr>
            <w:r>
              <w:rPr>
                <w:spacing w:val="-2"/>
                <w:sz w:val="28"/>
              </w:rPr>
              <w:t>Острая</w:t>
            </w:r>
            <w:r>
              <w:rPr>
                <w:sz w:val="28"/>
              </w:rPr>
              <w:tab/>
            </w:r>
            <w:r>
              <w:rPr>
                <w:spacing w:val="-2"/>
                <w:sz w:val="28"/>
              </w:rPr>
              <w:t>сердечно-сосудистая</w:t>
            </w:r>
            <w:r>
              <w:rPr>
                <w:sz w:val="28"/>
              </w:rPr>
              <w:tab/>
            </w:r>
            <w:r>
              <w:rPr>
                <w:spacing w:val="-2"/>
                <w:sz w:val="28"/>
              </w:rPr>
              <w:t xml:space="preserve">недостаточность </w:t>
            </w:r>
            <w:r>
              <w:rPr>
                <w:sz w:val="28"/>
              </w:rPr>
              <w:t>(кардиальные осложнения), n (%)</w:t>
            </w:r>
          </w:p>
        </w:tc>
        <w:tc>
          <w:tcPr>
            <w:tcW w:w="2487" w:type="dxa"/>
            <w:tcBorders>
              <w:bottom w:val="single" w:color="000000" w:sz="4" w:space="0"/>
            </w:tcBorders>
          </w:tcPr>
          <w:p w14:paraId="25BEA282">
            <w:pPr>
              <w:pStyle w:val="11"/>
              <w:spacing w:line="315" w:lineRule="exact"/>
              <w:ind w:left="878"/>
              <w:jc w:val="left"/>
              <w:rPr>
                <w:sz w:val="28"/>
              </w:rPr>
            </w:pPr>
            <w:r>
              <w:rPr>
                <w:sz w:val="28"/>
              </w:rPr>
              <w:t>2</w:t>
            </w:r>
            <w:r>
              <w:rPr>
                <w:spacing w:val="-1"/>
                <w:sz w:val="28"/>
              </w:rPr>
              <w:t xml:space="preserve"> </w:t>
            </w:r>
            <w:r>
              <w:rPr>
                <w:spacing w:val="-2"/>
                <w:sz w:val="28"/>
              </w:rPr>
              <w:t>(11,8%)</w:t>
            </w:r>
          </w:p>
        </w:tc>
      </w:tr>
      <w:tr w14:paraId="6985D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7152" w:type="dxa"/>
            <w:tcBorders>
              <w:bottom w:val="single" w:color="auto" w:sz="4" w:space="0"/>
            </w:tcBorders>
          </w:tcPr>
          <w:p w14:paraId="7FED19C4">
            <w:pPr>
              <w:pStyle w:val="11"/>
              <w:spacing w:line="315" w:lineRule="exact"/>
              <w:ind w:left="105"/>
              <w:jc w:val="left"/>
              <w:rPr>
                <w:sz w:val="28"/>
              </w:rPr>
            </w:pPr>
            <w:r>
              <w:rPr>
                <w:sz w:val="28"/>
              </w:rPr>
              <w:t>Тромбоэмболия</w:t>
            </w:r>
            <w:r>
              <w:rPr>
                <w:spacing w:val="-5"/>
                <w:sz w:val="28"/>
              </w:rPr>
              <w:t xml:space="preserve"> </w:t>
            </w:r>
            <w:r>
              <w:rPr>
                <w:sz w:val="28"/>
              </w:rPr>
              <w:t>легочной</w:t>
            </w:r>
            <w:r>
              <w:rPr>
                <w:spacing w:val="-9"/>
                <w:sz w:val="28"/>
              </w:rPr>
              <w:t xml:space="preserve"> </w:t>
            </w:r>
            <w:r>
              <w:rPr>
                <w:sz w:val="28"/>
              </w:rPr>
              <w:t>артерии,</w:t>
            </w:r>
            <w:r>
              <w:rPr>
                <w:spacing w:val="-5"/>
                <w:sz w:val="28"/>
              </w:rPr>
              <w:t xml:space="preserve"> </w:t>
            </w:r>
            <w:r>
              <w:rPr>
                <w:sz w:val="28"/>
              </w:rPr>
              <w:t>n</w:t>
            </w:r>
            <w:r>
              <w:rPr>
                <w:spacing w:val="-12"/>
                <w:sz w:val="28"/>
              </w:rPr>
              <w:t xml:space="preserve"> </w:t>
            </w:r>
            <w:r>
              <w:rPr>
                <w:spacing w:val="-5"/>
                <w:sz w:val="28"/>
              </w:rPr>
              <w:t>(%)</w:t>
            </w:r>
          </w:p>
        </w:tc>
        <w:tc>
          <w:tcPr>
            <w:tcW w:w="2487" w:type="dxa"/>
            <w:tcBorders>
              <w:bottom w:val="single" w:color="auto" w:sz="4" w:space="0"/>
            </w:tcBorders>
          </w:tcPr>
          <w:p w14:paraId="460283C4">
            <w:pPr>
              <w:pStyle w:val="11"/>
              <w:spacing w:line="315" w:lineRule="exact"/>
              <w:ind w:left="878"/>
              <w:jc w:val="left"/>
              <w:rPr>
                <w:sz w:val="28"/>
              </w:rPr>
            </w:pPr>
            <w:r>
              <w:rPr>
                <w:sz w:val="28"/>
              </w:rPr>
              <w:t>2</w:t>
            </w:r>
            <w:r>
              <w:rPr>
                <w:spacing w:val="-1"/>
                <w:sz w:val="28"/>
              </w:rPr>
              <w:t xml:space="preserve"> </w:t>
            </w:r>
            <w:r>
              <w:rPr>
                <w:spacing w:val="-2"/>
                <w:sz w:val="28"/>
              </w:rPr>
              <w:t>(11,8%)</w:t>
            </w:r>
          </w:p>
        </w:tc>
      </w:tr>
    </w:tbl>
    <w:p w14:paraId="4DAD861E">
      <w:pPr>
        <w:pStyle w:val="7"/>
        <w:spacing w:before="317"/>
        <w:ind w:left="0" w:right="3" w:firstLine="709"/>
      </w:pPr>
      <w:r>
        <w:t>В ретроспективной когорте пациентов за период 2016–2022 гг. зарегистрировано 17 летальных исходов. Наиболее частой причиной смерти являлось аррозивное кровотечение, ассоциированное с КЗ-ПС — 7 случаев (41,2%), что подтверждает ключевую роль деструктивного воздействия панкреатического ферментного содержимого на сосудистые структуры в зоне панкреатодигестивного анастомоза.</w:t>
      </w:r>
    </w:p>
    <w:p w14:paraId="14F7A640">
      <w:pPr>
        <w:pStyle w:val="7"/>
        <w:spacing w:before="3"/>
        <w:ind w:left="0" w:right="3" w:firstLine="709"/>
      </w:pPr>
      <w:r>
        <w:t>В</w:t>
      </w:r>
      <w:r>
        <w:rPr>
          <w:spacing w:val="-15"/>
        </w:rPr>
        <w:t xml:space="preserve"> </w:t>
      </w:r>
      <w:r>
        <w:t>3</w:t>
      </w:r>
      <w:r>
        <w:rPr>
          <w:spacing w:val="-12"/>
        </w:rPr>
        <w:t xml:space="preserve"> </w:t>
      </w:r>
      <w:r>
        <w:t>наблюдениях</w:t>
      </w:r>
      <w:r>
        <w:rPr>
          <w:spacing w:val="-17"/>
        </w:rPr>
        <w:t xml:space="preserve"> </w:t>
      </w:r>
      <w:r>
        <w:t>(17,6%)</w:t>
      </w:r>
      <w:r>
        <w:rPr>
          <w:spacing w:val="-14"/>
        </w:rPr>
        <w:t xml:space="preserve"> </w:t>
      </w:r>
      <w:r>
        <w:t>причиной</w:t>
      </w:r>
      <w:r>
        <w:rPr>
          <w:spacing w:val="-12"/>
        </w:rPr>
        <w:t xml:space="preserve"> </w:t>
      </w:r>
      <w:r>
        <w:t>летального</w:t>
      </w:r>
      <w:r>
        <w:rPr>
          <w:spacing w:val="-12"/>
        </w:rPr>
        <w:t xml:space="preserve"> </w:t>
      </w:r>
      <w:r>
        <w:t>исхода</w:t>
      </w:r>
      <w:r>
        <w:rPr>
          <w:spacing w:val="-11"/>
        </w:rPr>
        <w:t xml:space="preserve"> </w:t>
      </w:r>
      <w:r>
        <w:t>стал</w:t>
      </w:r>
      <w:r>
        <w:rPr>
          <w:spacing w:val="-7"/>
        </w:rPr>
        <w:t xml:space="preserve"> </w:t>
      </w:r>
      <w:r>
        <w:t>тяжёлый</w:t>
      </w:r>
      <w:r>
        <w:rPr>
          <w:spacing w:val="-12"/>
        </w:rPr>
        <w:t xml:space="preserve"> </w:t>
      </w:r>
      <w:r>
        <w:t>КЗ-ПС классов B/C, осложнившийся развитием сепсиса и прогрессированием инфекционно-воспалительного процесса.</w:t>
      </w:r>
      <w:r>
        <w:rPr>
          <w:lang w:val="kk-KZ"/>
        </w:rPr>
        <w:t xml:space="preserve"> </w:t>
      </w:r>
      <w:r>
        <w:t xml:space="preserve">Полиорганная недостаточность была зафиксирована у 2 пациентов (11,8%) и рассматривалась как терминальное проявление тяжёлого осложнённого </w:t>
      </w:r>
      <w:r>
        <w:rPr>
          <w:spacing w:val="-2"/>
        </w:rPr>
        <w:t>течения послеоперационного</w:t>
      </w:r>
      <w:r>
        <w:rPr>
          <w:spacing w:val="-3"/>
        </w:rPr>
        <w:t xml:space="preserve"> </w:t>
      </w:r>
      <w:r>
        <w:rPr>
          <w:spacing w:val="-2"/>
        </w:rPr>
        <w:t>периода. Кроме того, зарегистрированы</w:t>
      </w:r>
      <w:r>
        <w:rPr>
          <w:spacing w:val="-3"/>
        </w:rPr>
        <w:t xml:space="preserve"> </w:t>
      </w:r>
      <w:r>
        <w:rPr>
          <w:spacing w:val="-2"/>
        </w:rPr>
        <w:t xml:space="preserve">единичные </w:t>
      </w:r>
      <w:r>
        <w:t>случаи</w:t>
      </w:r>
      <w:r>
        <w:rPr>
          <w:spacing w:val="37"/>
        </w:rPr>
        <w:t xml:space="preserve">  </w:t>
      </w:r>
      <w:r>
        <w:t>острой</w:t>
      </w:r>
      <w:r>
        <w:rPr>
          <w:spacing w:val="37"/>
        </w:rPr>
        <w:t xml:space="preserve">  </w:t>
      </w:r>
      <w:r>
        <w:t>печёночной</w:t>
      </w:r>
      <w:r>
        <w:rPr>
          <w:spacing w:val="37"/>
        </w:rPr>
        <w:t xml:space="preserve">  </w:t>
      </w:r>
      <w:r>
        <w:t>недостаточности</w:t>
      </w:r>
      <w:r>
        <w:rPr>
          <w:spacing w:val="40"/>
        </w:rPr>
        <w:t xml:space="preserve">  </w:t>
      </w:r>
      <w:r>
        <w:t>—</w:t>
      </w:r>
      <w:r>
        <w:rPr>
          <w:spacing w:val="38"/>
        </w:rPr>
        <w:t xml:space="preserve">  </w:t>
      </w:r>
      <w:r>
        <w:t>1</w:t>
      </w:r>
      <w:r>
        <w:rPr>
          <w:spacing w:val="37"/>
        </w:rPr>
        <w:t xml:space="preserve">  </w:t>
      </w:r>
      <w:r>
        <w:t>наблюдение</w:t>
      </w:r>
      <w:r>
        <w:rPr>
          <w:spacing w:val="37"/>
        </w:rPr>
        <w:t xml:space="preserve">  </w:t>
      </w:r>
      <w:r>
        <w:t>(5,8%)</w:t>
      </w:r>
      <w:r>
        <w:rPr>
          <w:spacing w:val="36"/>
        </w:rPr>
        <w:t xml:space="preserve">  </w:t>
      </w:r>
      <w:r>
        <w:rPr>
          <w:spacing w:val="-10"/>
        </w:rPr>
        <w:t>и</w:t>
      </w:r>
      <w:r>
        <w:t xml:space="preserve"> тромбоэмболии лёгочной артерии — 2 наблюдения (11,8%). Кардиальные осложнения с развитием острой сердечно-сосудистой недостаточности отмечены в 2 случаях (11,8%).</w:t>
      </w:r>
    </w:p>
    <w:p w14:paraId="7BB1AD1A">
      <w:pPr>
        <w:pStyle w:val="7"/>
        <w:ind w:left="0" w:right="3" w:firstLine="709"/>
      </w:pPr>
      <w:r>
        <w:t>Таким образом, проанализированная когорта пациентов характеризуется высокой коморбидной нагрузкой, значительной долей больных</w:t>
      </w:r>
      <w:r>
        <w:rPr>
          <w:spacing w:val="-1"/>
        </w:rPr>
        <w:t xml:space="preserve"> </w:t>
      </w:r>
      <w:r>
        <w:t>с проявлениями механической желтухи и выраженной гетерогенностью лабораторных показателей, что отражает сложность клинического профиля пациентов с опухолями</w:t>
      </w:r>
      <w:r>
        <w:rPr>
          <w:spacing w:val="-18"/>
        </w:rPr>
        <w:t xml:space="preserve"> </w:t>
      </w:r>
      <w:r>
        <w:t>периампулярной</w:t>
      </w:r>
      <w:r>
        <w:rPr>
          <w:spacing w:val="-17"/>
        </w:rPr>
        <w:t xml:space="preserve"> </w:t>
      </w:r>
      <w:r>
        <w:t>зоны.</w:t>
      </w:r>
      <w:r>
        <w:rPr>
          <w:spacing w:val="-18"/>
        </w:rPr>
        <w:t xml:space="preserve"> </w:t>
      </w:r>
      <w:r>
        <w:t>Структура</w:t>
      </w:r>
      <w:r>
        <w:rPr>
          <w:spacing w:val="-17"/>
        </w:rPr>
        <w:t xml:space="preserve"> </w:t>
      </w:r>
      <w:r>
        <w:t>локализации</w:t>
      </w:r>
      <w:r>
        <w:rPr>
          <w:spacing w:val="-18"/>
        </w:rPr>
        <w:t xml:space="preserve"> </w:t>
      </w:r>
      <w:r>
        <w:t>опухолевого</w:t>
      </w:r>
      <w:r>
        <w:rPr>
          <w:spacing w:val="-17"/>
        </w:rPr>
        <w:t xml:space="preserve"> </w:t>
      </w:r>
      <w:r>
        <w:t>процесса и применяемых реконструктивных методик соответствует современным тенденциям хирургического лечения данной категории больных.</w:t>
      </w:r>
    </w:p>
    <w:p w14:paraId="6A4AC610">
      <w:pPr>
        <w:pStyle w:val="7"/>
        <w:spacing w:before="3"/>
        <w:ind w:left="0" w:right="3" w:firstLine="709"/>
      </w:pPr>
      <w:r>
        <w:t>Несмотря на приемлемые показатели интраоперационной кровопотери и продолжительности вмешательства, частота КЗ-ПС остаётся высокой и достигает 25,0%, что подтверждает актуальность проблемы профилактики данного осложнения. Существенный вклад в структуру летальности вносит аррозивное кровотечение, ассоциированное с тяжёлыми формами ПС, что подчёркивает необходимость совершенствования технических и алгоритмических подходов к реконструктивному этапу ГПДР.</w:t>
      </w:r>
    </w:p>
    <w:p w14:paraId="519D4B53">
      <w:pPr>
        <w:pStyle w:val="7"/>
        <w:spacing w:before="2"/>
        <w:ind w:left="0" w:right="3" w:firstLine="709"/>
      </w:pPr>
      <w:r>
        <w:t>Полученные данные послужили основанием для дальнейшего сравнительного анализа групп и оценки эффективности модифицированных хирургических методик, представленных в последующих разделах работы.</w:t>
      </w:r>
    </w:p>
    <w:p w14:paraId="1A5F7E21">
      <w:pPr>
        <w:pStyle w:val="7"/>
        <w:spacing w:before="4"/>
        <w:ind w:left="0" w:firstLine="0"/>
        <w:jc w:val="left"/>
      </w:pPr>
    </w:p>
    <w:p w14:paraId="5C767CB2">
      <w:pPr>
        <w:pStyle w:val="3"/>
        <w:numPr>
          <w:ilvl w:val="2"/>
          <w:numId w:val="8"/>
        </w:numPr>
        <w:tabs>
          <w:tab w:val="left" w:pos="1693"/>
        </w:tabs>
        <w:ind w:left="0" w:right="3" w:firstLine="709"/>
        <w:rPr>
          <w:b w:val="0"/>
        </w:rPr>
      </w:pPr>
      <w:r>
        <w:rPr>
          <w:b w:val="0"/>
        </w:rPr>
        <w:t>Структура послеоперационных осложнений у пациентов после ГПДР с учётом консистенции ПЖ и диаметра ПП</w:t>
      </w:r>
    </w:p>
    <w:p w14:paraId="489AA828">
      <w:pPr>
        <w:pStyle w:val="7"/>
        <w:ind w:left="0" w:right="3" w:firstLine="709"/>
      </w:pPr>
      <w:r>
        <w:t>С целью оценки влияния анатомо-тканевых факторов на формирование послеоперационных осложнений после ГПДР проведён сравнительный анализ хирургических исходов в зависимости от консистенции ПЖ и диаметра ПП.</w:t>
      </w:r>
    </w:p>
    <w:p w14:paraId="7031EB28">
      <w:pPr>
        <w:pStyle w:val="7"/>
        <w:ind w:left="0" w:right="3" w:firstLine="709"/>
      </w:pPr>
      <w:r>
        <w:t>Пациенты были распределены на подгруппы в соответствии с консистенцией</w:t>
      </w:r>
      <w:r>
        <w:rPr>
          <w:spacing w:val="-7"/>
        </w:rPr>
        <w:t xml:space="preserve"> </w:t>
      </w:r>
      <w:r>
        <w:t>ПЖ</w:t>
      </w:r>
      <w:r>
        <w:rPr>
          <w:spacing w:val="-12"/>
        </w:rPr>
        <w:t xml:space="preserve"> </w:t>
      </w:r>
      <w:r>
        <w:t>(мягкая</w:t>
      </w:r>
      <w:r>
        <w:rPr>
          <w:spacing w:val="-11"/>
        </w:rPr>
        <w:t xml:space="preserve"> </w:t>
      </w:r>
      <w:r>
        <w:t>и</w:t>
      </w:r>
      <w:r>
        <w:rPr>
          <w:spacing w:val="-9"/>
        </w:rPr>
        <w:t xml:space="preserve"> </w:t>
      </w:r>
      <w:r>
        <w:t>плотная),</w:t>
      </w:r>
      <w:r>
        <w:rPr>
          <w:spacing w:val="-10"/>
        </w:rPr>
        <w:t xml:space="preserve"> </w:t>
      </w:r>
      <w:r>
        <w:t>а</w:t>
      </w:r>
      <w:r>
        <w:rPr>
          <w:spacing w:val="-11"/>
        </w:rPr>
        <w:t xml:space="preserve"> </w:t>
      </w:r>
      <w:r>
        <w:t>также</w:t>
      </w:r>
      <w:r>
        <w:rPr>
          <w:spacing w:val="-11"/>
        </w:rPr>
        <w:t xml:space="preserve"> </w:t>
      </w:r>
      <w:r>
        <w:t>в</w:t>
      </w:r>
      <w:r>
        <w:rPr>
          <w:spacing w:val="-14"/>
        </w:rPr>
        <w:t xml:space="preserve"> </w:t>
      </w:r>
      <w:r>
        <w:t>зависимости</w:t>
      </w:r>
      <w:r>
        <w:rPr>
          <w:spacing w:val="-12"/>
        </w:rPr>
        <w:t xml:space="preserve"> </w:t>
      </w:r>
      <w:r>
        <w:t>от</w:t>
      </w:r>
      <w:r>
        <w:rPr>
          <w:spacing w:val="-14"/>
        </w:rPr>
        <w:t xml:space="preserve"> </w:t>
      </w:r>
      <w:r>
        <w:t>диаметра</w:t>
      </w:r>
      <w:r>
        <w:rPr>
          <w:spacing w:val="-7"/>
        </w:rPr>
        <w:t xml:space="preserve"> </w:t>
      </w:r>
      <w:r>
        <w:t>ПП</w:t>
      </w:r>
      <w:r>
        <w:rPr>
          <w:spacing w:val="-16"/>
        </w:rPr>
        <w:t xml:space="preserve"> </w:t>
      </w:r>
      <w:r>
        <w:t>(≤ 5 мм и &gt;5 мм). В рамках анализа оценивались частота формирования ПС различной степени тяжести согласно классификации ISGPS (2016), частота ПС- ассоциированного кровотечения, структура послеоперационных осложнений и уровень госпитальной летальности.</w:t>
      </w:r>
    </w:p>
    <w:p w14:paraId="46175B90">
      <w:pPr>
        <w:pStyle w:val="7"/>
        <w:spacing w:before="319"/>
        <w:ind w:left="0" w:right="3" w:firstLine="0"/>
      </w:pPr>
      <w:r>
        <w:t xml:space="preserve">Таблица 15 – Сравнительная характеристика послеоперационных результатов у пациентов, перенесших ГПДР, в зависимости от консистенции ПЖ (2016-2022 </w:t>
      </w:r>
      <w:r>
        <w:rPr>
          <w:spacing w:val="-4"/>
        </w:rPr>
        <w:t>гг.)</w:t>
      </w:r>
    </w:p>
    <w:p w14:paraId="09206ADF">
      <w:pPr>
        <w:pStyle w:val="7"/>
        <w:spacing w:before="59"/>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21"/>
        <w:gridCol w:w="2098"/>
        <w:gridCol w:w="2028"/>
        <w:gridCol w:w="992"/>
      </w:tblGrid>
      <w:tr w14:paraId="2262B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521" w:type="dxa"/>
            <w:tcBorders>
              <w:bottom w:val="single" w:color="000000" w:sz="4" w:space="0"/>
            </w:tcBorders>
          </w:tcPr>
          <w:p w14:paraId="3BB0B265">
            <w:pPr>
              <w:pStyle w:val="11"/>
              <w:spacing w:line="320" w:lineRule="exact"/>
              <w:ind w:left="105"/>
              <w:rPr>
                <w:sz w:val="24"/>
                <w:szCs w:val="24"/>
              </w:rPr>
            </w:pPr>
            <w:r>
              <w:rPr>
                <w:spacing w:val="-2"/>
                <w:sz w:val="24"/>
                <w:szCs w:val="24"/>
              </w:rPr>
              <w:t>Показатель</w:t>
            </w:r>
          </w:p>
        </w:tc>
        <w:tc>
          <w:tcPr>
            <w:tcW w:w="2098" w:type="dxa"/>
            <w:tcBorders>
              <w:bottom w:val="single" w:color="000000" w:sz="4" w:space="0"/>
            </w:tcBorders>
          </w:tcPr>
          <w:p w14:paraId="04B8AE2D">
            <w:pPr>
              <w:pStyle w:val="11"/>
              <w:spacing w:line="322" w:lineRule="exact"/>
              <w:ind w:left="661" w:right="533" w:hanging="120"/>
              <w:rPr>
                <w:sz w:val="24"/>
                <w:szCs w:val="24"/>
              </w:rPr>
            </w:pPr>
            <w:r>
              <w:rPr>
                <w:spacing w:val="-2"/>
                <w:sz w:val="24"/>
                <w:szCs w:val="24"/>
              </w:rPr>
              <w:t>Плотная (n=87)</w:t>
            </w:r>
          </w:p>
        </w:tc>
        <w:tc>
          <w:tcPr>
            <w:tcW w:w="2028" w:type="dxa"/>
            <w:tcBorders>
              <w:bottom w:val="single" w:color="000000" w:sz="4" w:space="0"/>
            </w:tcBorders>
          </w:tcPr>
          <w:p w14:paraId="3BFEB3E3">
            <w:pPr>
              <w:pStyle w:val="11"/>
              <w:spacing w:line="322" w:lineRule="exact"/>
              <w:ind w:left="609" w:right="602" w:firstLine="9"/>
              <w:rPr>
                <w:sz w:val="24"/>
                <w:szCs w:val="24"/>
              </w:rPr>
            </w:pPr>
            <w:r>
              <w:rPr>
                <w:spacing w:val="-2"/>
                <w:sz w:val="24"/>
                <w:szCs w:val="24"/>
              </w:rPr>
              <w:t>Мягкая (n=121)</w:t>
            </w:r>
          </w:p>
        </w:tc>
        <w:tc>
          <w:tcPr>
            <w:tcW w:w="992" w:type="dxa"/>
            <w:tcBorders>
              <w:bottom w:val="single" w:color="000000" w:sz="4" w:space="0"/>
            </w:tcBorders>
          </w:tcPr>
          <w:p w14:paraId="3547E681">
            <w:pPr>
              <w:pStyle w:val="11"/>
              <w:spacing w:line="320" w:lineRule="exact"/>
              <w:ind w:left="8" w:right="8"/>
              <w:rPr>
                <w:sz w:val="24"/>
                <w:szCs w:val="24"/>
              </w:rPr>
            </w:pPr>
            <w:r>
              <w:rPr>
                <w:spacing w:val="-2"/>
                <w:sz w:val="24"/>
                <w:szCs w:val="24"/>
              </w:rPr>
              <w:t>P-value</w:t>
            </w:r>
          </w:p>
        </w:tc>
      </w:tr>
      <w:tr w14:paraId="44F9C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21" w:type="dxa"/>
          </w:tcPr>
          <w:p w14:paraId="3F2ACB5E">
            <w:pPr>
              <w:pStyle w:val="11"/>
              <w:spacing w:line="301" w:lineRule="exact"/>
              <w:ind w:left="105"/>
              <w:rPr>
                <w:sz w:val="24"/>
                <w:szCs w:val="24"/>
              </w:rPr>
            </w:pPr>
            <w:r>
              <w:rPr>
                <w:spacing w:val="-10"/>
                <w:sz w:val="24"/>
                <w:szCs w:val="24"/>
              </w:rPr>
              <w:t>1</w:t>
            </w:r>
          </w:p>
        </w:tc>
        <w:tc>
          <w:tcPr>
            <w:tcW w:w="2098" w:type="dxa"/>
          </w:tcPr>
          <w:p w14:paraId="67C8A95E">
            <w:pPr>
              <w:pStyle w:val="11"/>
              <w:spacing w:line="301" w:lineRule="exact"/>
              <w:ind w:left="3" w:right="4"/>
              <w:rPr>
                <w:sz w:val="24"/>
                <w:szCs w:val="24"/>
              </w:rPr>
            </w:pPr>
            <w:r>
              <w:rPr>
                <w:spacing w:val="-10"/>
                <w:sz w:val="24"/>
                <w:szCs w:val="24"/>
              </w:rPr>
              <w:t>2</w:t>
            </w:r>
          </w:p>
        </w:tc>
        <w:tc>
          <w:tcPr>
            <w:tcW w:w="2028" w:type="dxa"/>
          </w:tcPr>
          <w:p w14:paraId="18165B49">
            <w:pPr>
              <w:pStyle w:val="11"/>
              <w:spacing w:line="301" w:lineRule="exact"/>
              <w:ind w:left="5" w:right="1"/>
              <w:rPr>
                <w:sz w:val="24"/>
                <w:szCs w:val="24"/>
              </w:rPr>
            </w:pPr>
            <w:r>
              <w:rPr>
                <w:spacing w:val="-10"/>
                <w:sz w:val="24"/>
                <w:szCs w:val="24"/>
              </w:rPr>
              <w:t>3</w:t>
            </w:r>
          </w:p>
        </w:tc>
        <w:tc>
          <w:tcPr>
            <w:tcW w:w="992" w:type="dxa"/>
          </w:tcPr>
          <w:p w14:paraId="2CB8B4B8">
            <w:pPr>
              <w:pStyle w:val="11"/>
              <w:spacing w:line="301" w:lineRule="exact"/>
              <w:ind w:left="8" w:right="9"/>
              <w:rPr>
                <w:sz w:val="24"/>
                <w:szCs w:val="24"/>
              </w:rPr>
            </w:pPr>
            <w:r>
              <w:rPr>
                <w:spacing w:val="-10"/>
                <w:sz w:val="24"/>
                <w:szCs w:val="24"/>
              </w:rPr>
              <w:t>4</w:t>
            </w:r>
          </w:p>
        </w:tc>
      </w:tr>
      <w:tr w14:paraId="21636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21" w:type="dxa"/>
            <w:tcBorders>
              <w:bottom w:val="nil"/>
            </w:tcBorders>
          </w:tcPr>
          <w:p w14:paraId="48AEC75B">
            <w:pPr>
              <w:pStyle w:val="11"/>
              <w:spacing w:line="240" w:lineRule="auto"/>
              <w:ind w:left="1224" w:hanging="1119"/>
              <w:jc w:val="left"/>
              <w:rPr>
                <w:sz w:val="24"/>
                <w:szCs w:val="24"/>
                <w:lang w:val="kk-KZ"/>
              </w:rPr>
            </w:pPr>
            <w:r>
              <w:rPr>
                <w:sz w:val="24"/>
                <w:szCs w:val="24"/>
              </w:rPr>
              <w:t>Панкреатические</w:t>
            </w:r>
            <w:r>
              <w:rPr>
                <w:spacing w:val="-13"/>
                <w:sz w:val="24"/>
                <w:szCs w:val="24"/>
              </w:rPr>
              <w:t xml:space="preserve"> </w:t>
            </w:r>
            <w:r>
              <w:rPr>
                <w:sz w:val="24"/>
                <w:szCs w:val="24"/>
              </w:rPr>
              <w:t>свищи,</w:t>
            </w:r>
            <w:r>
              <w:rPr>
                <w:spacing w:val="-11"/>
                <w:sz w:val="24"/>
                <w:szCs w:val="24"/>
              </w:rPr>
              <w:t xml:space="preserve"> </w:t>
            </w:r>
            <w:r>
              <w:rPr>
                <w:sz w:val="24"/>
                <w:szCs w:val="24"/>
              </w:rPr>
              <w:t>n</w:t>
            </w:r>
            <w:r>
              <w:rPr>
                <w:spacing w:val="-17"/>
                <w:sz w:val="24"/>
                <w:szCs w:val="24"/>
              </w:rPr>
              <w:t xml:space="preserve"> </w:t>
            </w:r>
            <w:r>
              <w:rPr>
                <w:sz w:val="24"/>
                <w:szCs w:val="24"/>
              </w:rPr>
              <w:t xml:space="preserve">(%): </w:t>
            </w:r>
          </w:p>
        </w:tc>
        <w:tc>
          <w:tcPr>
            <w:tcW w:w="2098" w:type="dxa"/>
            <w:tcBorders>
              <w:bottom w:val="nil"/>
            </w:tcBorders>
          </w:tcPr>
          <w:p w14:paraId="7422CC9E">
            <w:pPr>
              <w:pStyle w:val="11"/>
              <w:spacing w:line="301" w:lineRule="exact"/>
              <w:ind w:right="4"/>
              <w:jc w:val="left"/>
              <w:rPr>
                <w:spacing w:val="-10"/>
                <w:sz w:val="24"/>
                <w:szCs w:val="24"/>
              </w:rPr>
            </w:pPr>
          </w:p>
        </w:tc>
        <w:tc>
          <w:tcPr>
            <w:tcW w:w="2028" w:type="dxa"/>
            <w:tcBorders>
              <w:bottom w:val="nil"/>
            </w:tcBorders>
          </w:tcPr>
          <w:p w14:paraId="7610AC13">
            <w:pPr>
              <w:pStyle w:val="11"/>
              <w:spacing w:line="301" w:lineRule="exact"/>
              <w:ind w:left="5" w:right="1"/>
              <w:rPr>
                <w:spacing w:val="-10"/>
                <w:sz w:val="24"/>
                <w:szCs w:val="24"/>
              </w:rPr>
            </w:pPr>
          </w:p>
        </w:tc>
        <w:tc>
          <w:tcPr>
            <w:tcW w:w="992" w:type="dxa"/>
            <w:tcBorders>
              <w:bottom w:val="nil"/>
            </w:tcBorders>
          </w:tcPr>
          <w:p w14:paraId="78A65DA5">
            <w:pPr>
              <w:pStyle w:val="11"/>
              <w:spacing w:line="301" w:lineRule="exact"/>
              <w:ind w:left="8" w:right="9"/>
              <w:rPr>
                <w:spacing w:val="-10"/>
                <w:sz w:val="24"/>
                <w:szCs w:val="24"/>
              </w:rPr>
            </w:pPr>
          </w:p>
        </w:tc>
      </w:tr>
    </w:tbl>
    <w:p w14:paraId="3E93DD93">
      <w:pPr>
        <w:rPr>
          <w:sz w:val="28"/>
          <w:szCs w:val="28"/>
        </w:rPr>
      </w:pPr>
      <w:r>
        <w:rPr>
          <w:sz w:val="28"/>
          <w:szCs w:val="28"/>
        </w:rPr>
        <w:t>Продолжение таблицы 15</w:t>
      </w:r>
    </w:p>
    <w:p w14:paraId="49A8273E"/>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21"/>
        <w:gridCol w:w="2098"/>
        <w:gridCol w:w="2028"/>
        <w:gridCol w:w="992"/>
      </w:tblGrid>
      <w:tr w14:paraId="1C51C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 w:hRule="atLeast"/>
        </w:trPr>
        <w:tc>
          <w:tcPr>
            <w:tcW w:w="4521" w:type="dxa"/>
            <w:tcBorders>
              <w:bottom w:val="nil"/>
            </w:tcBorders>
          </w:tcPr>
          <w:p w14:paraId="514EF1ED">
            <w:pPr>
              <w:pStyle w:val="11"/>
              <w:spacing w:line="240" w:lineRule="auto"/>
              <w:ind w:left="1224" w:hanging="1119"/>
              <w:rPr>
                <w:sz w:val="24"/>
                <w:szCs w:val="24"/>
              </w:rPr>
            </w:pPr>
            <w:r>
              <w:rPr>
                <w:sz w:val="24"/>
                <w:szCs w:val="24"/>
              </w:rPr>
              <w:t>1</w:t>
            </w:r>
          </w:p>
        </w:tc>
        <w:tc>
          <w:tcPr>
            <w:tcW w:w="2098" w:type="dxa"/>
            <w:tcBorders>
              <w:bottom w:val="nil"/>
            </w:tcBorders>
          </w:tcPr>
          <w:p w14:paraId="5CA3F6B3">
            <w:pPr>
              <w:pStyle w:val="11"/>
              <w:spacing w:line="240" w:lineRule="auto"/>
              <w:ind w:left="1224" w:hanging="1119"/>
              <w:rPr>
                <w:sz w:val="24"/>
                <w:szCs w:val="24"/>
              </w:rPr>
            </w:pPr>
            <w:r>
              <w:rPr>
                <w:sz w:val="24"/>
                <w:szCs w:val="24"/>
              </w:rPr>
              <w:t>2</w:t>
            </w:r>
          </w:p>
        </w:tc>
        <w:tc>
          <w:tcPr>
            <w:tcW w:w="2028" w:type="dxa"/>
            <w:tcBorders>
              <w:bottom w:val="nil"/>
            </w:tcBorders>
          </w:tcPr>
          <w:p w14:paraId="193C168F">
            <w:pPr>
              <w:pStyle w:val="11"/>
              <w:spacing w:line="240" w:lineRule="auto"/>
              <w:ind w:left="1224" w:hanging="1119"/>
              <w:rPr>
                <w:sz w:val="24"/>
                <w:szCs w:val="24"/>
              </w:rPr>
            </w:pPr>
            <w:r>
              <w:rPr>
                <w:sz w:val="24"/>
                <w:szCs w:val="24"/>
              </w:rPr>
              <w:t>3</w:t>
            </w:r>
          </w:p>
        </w:tc>
        <w:tc>
          <w:tcPr>
            <w:tcW w:w="992" w:type="dxa"/>
            <w:tcBorders>
              <w:bottom w:val="nil"/>
            </w:tcBorders>
          </w:tcPr>
          <w:p w14:paraId="1E898220">
            <w:pPr>
              <w:pStyle w:val="11"/>
              <w:spacing w:line="315" w:lineRule="exact"/>
              <w:ind w:right="1"/>
              <w:rPr>
                <w:spacing w:val="-2"/>
                <w:sz w:val="24"/>
                <w:szCs w:val="24"/>
              </w:rPr>
            </w:pPr>
            <w:r>
              <w:rPr>
                <w:spacing w:val="-2"/>
                <w:sz w:val="24"/>
                <w:szCs w:val="24"/>
              </w:rPr>
              <w:t>4</w:t>
            </w:r>
          </w:p>
        </w:tc>
      </w:tr>
      <w:tr w14:paraId="5E8EC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0" w:hRule="atLeast"/>
        </w:trPr>
        <w:tc>
          <w:tcPr>
            <w:tcW w:w="4521" w:type="dxa"/>
            <w:tcBorders>
              <w:bottom w:val="nil"/>
            </w:tcBorders>
          </w:tcPr>
          <w:p w14:paraId="73397DF3">
            <w:pPr>
              <w:pStyle w:val="11"/>
              <w:spacing w:line="240" w:lineRule="auto"/>
              <w:ind w:left="1229" w:right="573" w:hanging="5"/>
              <w:jc w:val="left"/>
              <w:rPr>
                <w:sz w:val="24"/>
                <w:szCs w:val="24"/>
              </w:rPr>
            </w:pPr>
          </w:p>
          <w:p w14:paraId="6440E19E">
            <w:pPr>
              <w:pStyle w:val="11"/>
              <w:spacing w:line="240" w:lineRule="auto"/>
              <w:ind w:left="1229" w:right="573" w:hanging="5"/>
              <w:jc w:val="left"/>
              <w:rPr>
                <w:sz w:val="24"/>
                <w:szCs w:val="24"/>
              </w:rPr>
            </w:pPr>
            <w:r>
              <w:rPr>
                <w:sz w:val="24"/>
                <w:szCs w:val="24"/>
              </w:rPr>
              <w:t>Степень</w:t>
            </w:r>
            <w:r>
              <w:rPr>
                <w:spacing w:val="-18"/>
                <w:sz w:val="24"/>
                <w:szCs w:val="24"/>
              </w:rPr>
              <w:t xml:space="preserve"> </w:t>
            </w:r>
            <w:r>
              <w:rPr>
                <w:sz w:val="24"/>
                <w:szCs w:val="24"/>
              </w:rPr>
              <w:t xml:space="preserve">А </w:t>
            </w:r>
          </w:p>
          <w:p w14:paraId="1BDDDD32">
            <w:pPr>
              <w:pStyle w:val="11"/>
              <w:spacing w:line="240" w:lineRule="auto"/>
              <w:ind w:left="1229" w:right="573" w:hanging="5"/>
              <w:jc w:val="left"/>
              <w:rPr>
                <w:spacing w:val="-10"/>
                <w:sz w:val="24"/>
                <w:szCs w:val="24"/>
              </w:rPr>
            </w:pPr>
            <w:r>
              <w:rPr>
                <w:sz w:val="24"/>
                <w:szCs w:val="24"/>
              </w:rPr>
              <w:t>Степень</w:t>
            </w:r>
            <w:r>
              <w:rPr>
                <w:spacing w:val="-13"/>
                <w:sz w:val="24"/>
                <w:szCs w:val="24"/>
              </w:rPr>
              <w:t xml:space="preserve"> </w:t>
            </w:r>
            <w:r>
              <w:rPr>
                <w:spacing w:val="-10"/>
                <w:sz w:val="24"/>
                <w:szCs w:val="24"/>
              </w:rPr>
              <w:t>В</w:t>
            </w:r>
          </w:p>
          <w:p w14:paraId="3121D1EF">
            <w:pPr>
              <w:pStyle w:val="11"/>
              <w:spacing w:line="240" w:lineRule="auto"/>
              <w:ind w:left="1229" w:right="573" w:hanging="5"/>
              <w:jc w:val="left"/>
              <w:rPr>
                <w:sz w:val="24"/>
                <w:szCs w:val="24"/>
              </w:rPr>
            </w:pPr>
            <w:r>
              <w:rPr>
                <w:sz w:val="24"/>
                <w:szCs w:val="24"/>
              </w:rPr>
              <w:t>Степень</w:t>
            </w:r>
            <w:r>
              <w:rPr>
                <w:spacing w:val="-13"/>
                <w:sz w:val="24"/>
                <w:szCs w:val="24"/>
              </w:rPr>
              <w:t xml:space="preserve"> </w:t>
            </w:r>
            <w:r>
              <w:rPr>
                <w:spacing w:val="-10"/>
                <w:sz w:val="24"/>
                <w:szCs w:val="24"/>
              </w:rPr>
              <w:t>С</w:t>
            </w:r>
          </w:p>
        </w:tc>
        <w:tc>
          <w:tcPr>
            <w:tcW w:w="2098" w:type="dxa"/>
            <w:tcBorders>
              <w:bottom w:val="nil"/>
            </w:tcBorders>
          </w:tcPr>
          <w:p w14:paraId="797F9004">
            <w:pPr>
              <w:pStyle w:val="11"/>
              <w:spacing w:before="315" w:line="322" w:lineRule="exact"/>
              <w:ind w:left="3" w:right="3"/>
              <w:rPr>
                <w:sz w:val="24"/>
                <w:szCs w:val="24"/>
              </w:rPr>
            </w:pPr>
            <w:r>
              <w:rPr>
                <w:sz w:val="24"/>
                <w:szCs w:val="24"/>
              </w:rPr>
              <w:t>10</w:t>
            </w:r>
            <w:r>
              <w:rPr>
                <w:spacing w:val="-2"/>
                <w:sz w:val="24"/>
                <w:szCs w:val="24"/>
              </w:rPr>
              <w:t xml:space="preserve"> (11,5%)</w:t>
            </w:r>
          </w:p>
          <w:p w14:paraId="2DC4F39F">
            <w:pPr>
              <w:pStyle w:val="11"/>
              <w:spacing w:line="322" w:lineRule="exact"/>
              <w:ind w:left="3" w:right="3"/>
              <w:rPr>
                <w:sz w:val="24"/>
                <w:szCs w:val="24"/>
              </w:rPr>
            </w:pPr>
            <w:r>
              <w:rPr>
                <w:sz w:val="24"/>
                <w:szCs w:val="24"/>
              </w:rPr>
              <w:t>5</w:t>
            </w:r>
            <w:r>
              <w:rPr>
                <w:spacing w:val="-1"/>
                <w:sz w:val="24"/>
                <w:szCs w:val="24"/>
              </w:rPr>
              <w:t xml:space="preserve"> </w:t>
            </w:r>
            <w:r>
              <w:rPr>
                <w:spacing w:val="-2"/>
                <w:sz w:val="24"/>
                <w:szCs w:val="24"/>
              </w:rPr>
              <w:t>(5,7%)</w:t>
            </w:r>
          </w:p>
          <w:p w14:paraId="77C2F280">
            <w:pPr>
              <w:pStyle w:val="11"/>
              <w:spacing w:line="240" w:lineRule="auto"/>
              <w:ind w:left="3" w:right="3"/>
              <w:rPr>
                <w:sz w:val="24"/>
                <w:szCs w:val="24"/>
              </w:rPr>
            </w:pPr>
            <w:r>
              <w:rPr>
                <w:sz w:val="24"/>
                <w:szCs w:val="24"/>
              </w:rPr>
              <w:t>0</w:t>
            </w:r>
            <w:r>
              <w:rPr>
                <w:spacing w:val="-1"/>
                <w:sz w:val="24"/>
                <w:szCs w:val="24"/>
              </w:rPr>
              <w:t xml:space="preserve"> </w:t>
            </w:r>
            <w:r>
              <w:rPr>
                <w:spacing w:val="-4"/>
                <w:sz w:val="24"/>
                <w:szCs w:val="24"/>
              </w:rPr>
              <w:t>(0%)</w:t>
            </w:r>
          </w:p>
        </w:tc>
        <w:tc>
          <w:tcPr>
            <w:tcW w:w="2028" w:type="dxa"/>
            <w:tcBorders>
              <w:bottom w:val="nil"/>
            </w:tcBorders>
          </w:tcPr>
          <w:p w14:paraId="0CDE0D3E">
            <w:pPr>
              <w:pStyle w:val="11"/>
              <w:spacing w:before="315" w:line="322" w:lineRule="exact"/>
              <w:ind w:left="431"/>
              <w:jc w:val="left"/>
              <w:rPr>
                <w:sz w:val="24"/>
                <w:szCs w:val="24"/>
              </w:rPr>
            </w:pPr>
            <w:r>
              <w:rPr>
                <w:sz w:val="24"/>
                <w:szCs w:val="24"/>
              </w:rPr>
              <w:t>25</w:t>
            </w:r>
            <w:r>
              <w:rPr>
                <w:spacing w:val="-2"/>
                <w:sz w:val="24"/>
                <w:szCs w:val="24"/>
              </w:rPr>
              <w:t xml:space="preserve"> (20,7%)</w:t>
            </w:r>
          </w:p>
          <w:p w14:paraId="3DAEB700">
            <w:pPr>
              <w:pStyle w:val="11"/>
              <w:spacing w:line="322" w:lineRule="exact"/>
              <w:ind w:left="431"/>
              <w:jc w:val="left"/>
              <w:rPr>
                <w:sz w:val="24"/>
                <w:szCs w:val="24"/>
              </w:rPr>
            </w:pPr>
            <w:r>
              <w:rPr>
                <w:sz w:val="24"/>
                <w:szCs w:val="24"/>
              </w:rPr>
              <w:t>36</w:t>
            </w:r>
            <w:r>
              <w:rPr>
                <w:spacing w:val="-2"/>
                <w:sz w:val="24"/>
                <w:szCs w:val="24"/>
              </w:rPr>
              <w:t xml:space="preserve"> (29,8%)</w:t>
            </w:r>
          </w:p>
          <w:p w14:paraId="72AF4CAB">
            <w:pPr>
              <w:pStyle w:val="11"/>
              <w:spacing w:line="240" w:lineRule="auto"/>
              <w:ind w:left="503"/>
              <w:jc w:val="left"/>
              <w:rPr>
                <w:sz w:val="24"/>
                <w:szCs w:val="24"/>
              </w:rPr>
            </w:pPr>
            <w:r>
              <w:rPr>
                <w:sz w:val="24"/>
                <w:szCs w:val="24"/>
              </w:rPr>
              <w:t>11</w:t>
            </w:r>
            <w:r>
              <w:rPr>
                <w:spacing w:val="-2"/>
                <w:sz w:val="24"/>
                <w:szCs w:val="24"/>
              </w:rPr>
              <w:t xml:space="preserve"> (9,1%)</w:t>
            </w:r>
          </w:p>
        </w:tc>
        <w:tc>
          <w:tcPr>
            <w:tcW w:w="992" w:type="dxa"/>
            <w:tcBorders>
              <w:bottom w:val="nil"/>
            </w:tcBorders>
          </w:tcPr>
          <w:p w14:paraId="4A1D3BE0">
            <w:pPr>
              <w:pStyle w:val="11"/>
              <w:spacing w:line="315" w:lineRule="exact"/>
              <w:ind w:left="9" w:right="1"/>
              <w:rPr>
                <w:sz w:val="24"/>
                <w:szCs w:val="24"/>
              </w:rPr>
            </w:pPr>
            <w:r>
              <w:rPr>
                <w:spacing w:val="-2"/>
                <w:sz w:val="24"/>
                <w:szCs w:val="24"/>
              </w:rPr>
              <w:t>&lt;0,001</w:t>
            </w:r>
            <w:r>
              <w:rPr>
                <w:spacing w:val="-2"/>
                <w:sz w:val="24"/>
                <w:szCs w:val="24"/>
                <w:vertAlign w:val="superscript"/>
              </w:rPr>
              <w:t>***</w:t>
            </w:r>
          </w:p>
        </w:tc>
      </w:tr>
      <w:tr w14:paraId="0ABA1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4521" w:type="dxa"/>
          </w:tcPr>
          <w:p w14:paraId="279B9592">
            <w:pPr>
              <w:pStyle w:val="11"/>
              <w:spacing w:line="315" w:lineRule="exact"/>
              <w:ind w:left="105"/>
              <w:jc w:val="left"/>
              <w:rPr>
                <w:sz w:val="24"/>
                <w:szCs w:val="24"/>
              </w:rPr>
            </w:pPr>
            <w:r>
              <w:rPr>
                <w:sz w:val="24"/>
                <w:szCs w:val="24"/>
              </w:rPr>
              <w:t>КЗ-</w:t>
            </w:r>
            <w:r>
              <w:rPr>
                <w:spacing w:val="-5"/>
                <w:sz w:val="24"/>
                <w:szCs w:val="24"/>
              </w:rPr>
              <w:t xml:space="preserve"> </w:t>
            </w:r>
            <w:r>
              <w:rPr>
                <w:sz w:val="24"/>
                <w:szCs w:val="24"/>
              </w:rPr>
              <w:t>ПС</w:t>
            </w:r>
            <w:r>
              <w:rPr>
                <w:spacing w:val="-3"/>
                <w:sz w:val="24"/>
                <w:szCs w:val="24"/>
              </w:rPr>
              <w:t xml:space="preserve"> </w:t>
            </w:r>
            <w:r>
              <w:rPr>
                <w:sz w:val="24"/>
                <w:szCs w:val="24"/>
              </w:rPr>
              <w:t>(B/C),</w:t>
            </w:r>
            <w:r>
              <w:rPr>
                <w:spacing w:val="-1"/>
                <w:sz w:val="24"/>
                <w:szCs w:val="24"/>
              </w:rPr>
              <w:t xml:space="preserve"> </w:t>
            </w:r>
            <w:r>
              <w:rPr>
                <w:sz w:val="24"/>
                <w:szCs w:val="24"/>
              </w:rPr>
              <w:t>n</w:t>
            </w:r>
            <w:r>
              <w:rPr>
                <w:spacing w:val="-7"/>
                <w:sz w:val="24"/>
                <w:szCs w:val="24"/>
              </w:rPr>
              <w:t xml:space="preserve"> </w:t>
            </w:r>
            <w:r>
              <w:rPr>
                <w:spacing w:val="-5"/>
                <w:sz w:val="24"/>
                <w:szCs w:val="24"/>
              </w:rPr>
              <w:t>(%)</w:t>
            </w:r>
          </w:p>
        </w:tc>
        <w:tc>
          <w:tcPr>
            <w:tcW w:w="2098" w:type="dxa"/>
          </w:tcPr>
          <w:p w14:paraId="16C5C9E6">
            <w:pPr>
              <w:pStyle w:val="11"/>
              <w:spacing w:line="315" w:lineRule="exact"/>
              <w:ind w:left="3" w:right="3"/>
              <w:rPr>
                <w:sz w:val="24"/>
                <w:szCs w:val="24"/>
              </w:rPr>
            </w:pPr>
            <w:r>
              <w:rPr>
                <w:sz w:val="24"/>
                <w:szCs w:val="24"/>
              </w:rPr>
              <w:t>5</w:t>
            </w:r>
            <w:r>
              <w:rPr>
                <w:spacing w:val="-1"/>
                <w:sz w:val="24"/>
                <w:szCs w:val="24"/>
              </w:rPr>
              <w:t xml:space="preserve"> </w:t>
            </w:r>
            <w:r>
              <w:rPr>
                <w:spacing w:val="-2"/>
                <w:sz w:val="24"/>
                <w:szCs w:val="24"/>
              </w:rPr>
              <w:t>(5,7%)</w:t>
            </w:r>
          </w:p>
        </w:tc>
        <w:tc>
          <w:tcPr>
            <w:tcW w:w="2028" w:type="dxa"/>
          </w:tcPr>
          <w:p w14:paraId="3CDF3773">
            <w:pPr>
              <w:pStyle w:val="11"/>
              <w:spacing w:line="315" w:lineRule="exact"/>
              <w:ind w:left="4" w:right="5"/>
              <w:rPr>
                <w:sz w:val="24"/>
                <w:szCs w:val="24"/>
              </w:rPr>
            </w:pPr>
            <w:r>
              <w:rPr>
                <w:sz w:val="24"/>
                <w:szCs w:val="24"/>
              </w:rPr>
              <w:t>47</w:t>
            </w:r>
            <w:r>
              <w:rPr>
                <w:spacing w:val="-2"/>
                <w:sz w:val="24"/>
                <w:szCs w:val="24"/>
              </w:rPr>
              <w:t xml:space="preserve"> (38,8%)</w:t>
            </w:r>
          </w:p>
        </w:tc>
        <w:tc>
          <w:tcPr>
            <w:tcW w:w="992" w:type="dxa"/>
          </w:tcPr>
          <w:p w14:paraId="5A5F07C6">
            <w:pPr>
              <w:pStyle w:val="11"/>
              <w:spacing w:line="315" w:lineRule="exact"/>
              <w:ind w:left="9" w:right="1"/>
              <w:rPr>
                <w:sz w:val="24"/>
                <w:szCs w:val="24"/>
              </w:rPr>
            </w:pPr>
            <w:r>
              <w:rPr>
                <w:spacing w:val="-2"/>
                <w:sz w:val="24"/>
                <w:szCs w:val="24"/>
              </w:rPr>
              <w:t>&lt;0,001</w:t>
            </w:r>
            <w:r>
              <w:rPr>
                <w:spacing w:val="-2"/>
                <w:sz w:val="24"/>
                <w:szCs w:val="24"/>
                <w:vertAlign w:val="superscript"/>
              </w:rPr>
              <w:t>***</w:t>
            </w:r>
          </w:p>
        </w:tc>
      </w:tr>
      <w:tr w14:paraId="0B245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4521" w:type="dxa"/>
          </w:tcPr>
          <w:p w14:paraId="212A6FD5">
            <w:pPr>
              <w:pStyle w:val="11"/>
              <w:spacing w:line="301" w:lineRule="exact"/>
              <w:ind w:left="105"/>
              <w:jc w:val="left"/>
              <w:rPr>
                <w:sz w:val="24"/>
                <w:szCs w:val="24"/>
              </w:rPr>
            </w:pPr>
            <w:r>
              <w:rPr>
                <w:sz w:val="24"/>
                <w:szCs w:val="24"/>
              </w:rPr>
              <w:t>Кровотечение,</w:t>
            </w:r>
            <w:r>
              <w:rPr>
                <w:spacing w:val="-6"/>
                <w:sz w:val="24"/>
                <w:szCs w:val="24"/>
              </w:rPr>
              <w:t xml:space="preserve"> </w:t>
            </w:r>
            <w:r>
              <w:rPr>
                <w:sz w:val="24"/>
                <w:szCs w:val="24"/>
              </w:rPr>
              <w:t>n</w:t>
            </w:r>
            <w:r>
              <w:rPr>
                <w:spacing w:val="-11"/>
                <w:sz w:val="24"/>
                <w:szCs w:val="24"/>
              </w:rPr>
              <w:t xml:space="preserve"> </w:t>
            </w:r>
            <w:r>
              <w:rPr>
                <w:spacing w:val="-5"/>
                <w:sz w:val="24"/>
                <w:szCs w:val="24"/>
              </w:rPr>
              <w:t>(%)</w:t>
            </w:r>
          </w:p>
        </w:tc>
        <w:tc>
          <w:tcPr>
            <w:tcW w:w="2098" w:type="dxa"/>
          </w:tcPr>
          <w:p w14:paraId="741106C2">
            <w:pPr>
              <w:pStyle w:val="11"/>
              <w:spacing w:line="301" w:lineRule="exact"/>
              <w:ind w:left="3" w:right="3"/>
              <w:rPr>
                <w:sz w:val="24"/>
                <w:szCs w:val="24"/>
              </w:rPr>
            </w:pPr>
            <w:r>
              <w:rPr>
                <w:sz w:val="24"/>
                <w:szCs w:val="24"/>
              </w:rPr>
              <w:t>4</w:t>
            </w:r>
            <w:r>
              <w:rPr>
                <w:spacing w:val="-1"/>
                <w:sz w:val="24"/>
                <w:szCs w:val="24"/>
              </w:rPr>
              <w:t xml:space="preserve"> </w:t>
            </w:r>
            <w:r>
              <w:rPr>
                <w:spacing w:val="-2"/>
                <w:sz w:val="24"/>
                <w:szCs w:val="24"/>
              </w:rPr>
              <w:t>(4,6%)</w:t>
            </w:r>
          </w:p>
        </w:tc>
        <w:tc>
          <w:tcPr>
            <w:tcW w:w="2028" w:type="dxa"/>
          </w:tcPr>
          <w:p w14:paraId="4C3D2C26">
            <w:pPr>
              <w:pStyle w:val="11"/>
              <w:spacing w:line="301" w:lineRule="exact"/>
              <w:ind w:left="4" w:right="3"/>
              <w:rPr>
                <w:sz w:val="24"/>
                <w:szCs w:val="24"/>
              </w:rPr>
            </w:pPr>
            <w:r>
              <w:rPr>
                <w:sz w:val="24"/>
                <w:szCs w:val="24"/>
              </w:rPr>
              <w:t>11</w:t>
            </w:r>
            <w:r>
              <w:rPr>
                <w:spacing w:val="-1"/>
                <w:sz w:val="24"/>
                <w:szCs w:val="24"/>
              </w:rPr>
              <w:t xml:space="preserve"> </w:t>
            </w:r>
            <w:r>
              <w:rPr>
                <w:spacing w:val="-2"/>
                <w:sz w:val="24"/>
                <w:szCs w:val="24"/>
              </w:rPr>
              <w:t>(9,1%)</w:t>
            </w:r>
          </w:p>
        </w:tc>
        <w:tc>
          <w:tcPr>
            <w:tcW w:w="992" w:type="dxa"/>
          </w:tcPr>
          <w:p w14:paraId="61D38864">
            <w:pPr>
              <w:pStyle w:val="11"/>
              <w:spacing w:line="301" w:lineRule="exact"/>
              <w:ind w:left="8" w:right="9"/>
              <w:rPr>
                <w:sz w:val="24"/>
                <w:szCs w:val="24"/>
              </w:rPr>
            </w:pPr>
            <w:r>
              <w:rPr>
                <w:spacing w:val="-4"/>
                <w:sz w:val="24"/>
                <w:szCs w:val="24"/>
              </w:rPr>
              <w:t>0,282</w:t>
            </w:r>
          </w:p>
        </w:tc>
      </w:tr>
      <w:tr w14:paraId="7BC8B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4521" w:type="dxa"/>
          </w:tcPr>
          <w:p w14:paraId="0584452D">
            <w:pPr>
              <w:pStyle w:val="11"/>
              <w:spacing w:line="315" w:lineRule="exact"/>
              <w:ind w:left="105"/>
              <w:jc w:val="left"/>
              <w:rPr>
                <w:sz w:val="24"/>
                <w:szCs w:val="24"/>
              </w:rPr>
            </w:pPr>
            <w:r>
              <w:rPr>
                <w:sz w:val="24"/>
                <w:szCs w:val="24"/>
              </w:rPr>
              <w:t>Кровотечение</w:t>
            </w:r>
            <w:r>
              <w:rPr>
                <w:spacing w:val="-13"/>
                <w:sz w:val="24"/>
                <w:szCs w:val="24"/>
              </w:rPr>
              <w:t xml:space="preserve"> </w:t>
            </w:r>
            <w:r>
              <w:rPr>
                <w:sz w:val="24"/>
                <w:szCs w:val="24"/>
              </w:rPr>
              <w:t>связанное</w:t>
            </w:r>
            <w:r>
              <w:rPr>
                <w:spacing w:val="-13"/>
                <w:sz w:val="24"/>
                <w:szCs w:val="24"/>
              </w:rPr>
              <w:t xml:space="preserve"> </w:t>
            </w:r>
            <w:r>
              <w:rPr>
                <w:spacing w:val="-5"/>
                <w:sz w:val="24"/>
                <w:szCs w:val="24"/>
              </w:rPr>
              <w:t>со</w:t>
            </w:r>
            <w:r>
              <w:rPr>
                <w:sz w:val="24"/>
                <w:szCs w:val="24"/>
              </w:rPr>
              <w:t xml:space="preserve"> свищем,</w:t>
            </w:r>
            <w:r>
              <w:rPr>
                <w:spacing w:val="-2"/>
                <w:sz w:val="24"/>
                <w:szCs w:val="24"/>
              </w:rPr>
              <w:t xml:space="preserve"> </w:t>
            </w:r>
            <w:r>
              <w:rPr>
                <w:sz w:val="24"/>
                <w:szCs w:val="24"/>
              </w:rPr>
              <w:t>n</w:t>
            </w:r>
            <w:r>
              <w:rPr>
                <w:spacing w:val="-8"/>
                <w:sz w:val="24"/>
                <w:szCs w:val="24"/>
              </w:rPr>
              <w:t xml:space="preserve"> </w:t>
            </w:r>
            <w:r>
              <w:rPr>
                <w:spacing w:val="-5"/>
                <w:sz w:val="24"/>
                <w:szCs w:val="24"/>
              </w:rPr>
              <w:t>(%)</w:t>
            </w:r>
          </w:p>
        </w:tc>
        <w:tc>
          <w:tcPr>
            <w:tcW w:w="2098" w:type="dxa"/>
          </w:tcPr>
          <w:p w14:paraId="3E5E84FF">
            <w:pPr>
              <w:pStyle w:val="11"/>
              <w:spacing w:line="315" w:lineRule="exact"/>
              <w:ind w:left="3" w:right="3"/>
              <w:rPr>
                <w:sz w:val="24"/>
                <w:szCs w:val="24"/>
              </w:rPr>
            </w:pPr>
            <w:r>
              <w:rPr>
                <w:sz w:val="24"/>
                <w:szCs w:val="24"/>
              </w:rPr>
              <w:t>0</w:t>
            </w:r>
            <w:r>
              <w:rPr>
                <w:spacing w:val="-1"/>
                <w:sz w:val="24"/>
                <w:szCs w:val="24"/>
              </w:rPr>
              <w:t xml:space="preserve"> </w:t>
            </w:r>
            <w:r>
              <w:rPr>
                <w:spacing w:val="-4"/>
                <w:sz w:val="24"/>
                <w:szCs w:val="24"/>
              </w:rPr>
              <w:t>(0%)</w:t>
            </w:r>
          </w:p>
        </w:tc>
        <w:tc>
          <w:tcPr>
            <w:tcW w:w="2028" w:type="dxa"/>
          </w:tcPr>
          <w:p w14:paraId="4B210693">
            <w:pPr>
              <w:pStyle w:val="11"/>
              <w:spacing w:line="315" w:lineRule="exact"/>
              <w:ind w:left="4" w:right="4"/>
              <w:rPr>
                <w:sz w:val="24"/>
                <w:szCs w:val="24"/>
              </w:rPr>
            </w:pPr>
            <w:r>
              <w:rPr>
                <w:sz w:val="24"/>
                <w:szCs w:val="24"/>
              </w:rPr>
              <w:t>11</w:t>
            </w:r>
            <w:r>
              <w:rPr>
                <w:spacing w:val="-2"/>
                <w:sz w:val="24"/>
                <w:szCs w:val="24"/>
              </w:rPr>
              <w:t xml:space="preserve"> (9,1%)</w:t>
            </w:r>
          </w:p>
        </w:tc>
        <w:tc>
          <w:tcPr>
            <w:tcW w:w="992" w:type="dxa"/>
          </w:tcPr>
          <w:p w14:paraId="4D060A5F">
            <w:pPr>
              <w:pStyle w:val="11"/>
              <w:spacing w:line="315" w:lineRule="exact"/>
              <w:ind w:left="8" w:right="8"/>
              <w:rPr>
                <w:sz w:val="24"/>
                <w:szCs w:val="24"/>
              </w:rPr>
            </w:pPr>
            <w:r>
              <w:rPr>
                <w:spacing w:val="-2"/>
                <w:sz w:val="24"/>
                <w:szCs w:val="24"/>
              </w:rPr>
              <w:t>0,003</w:t>
            </w:r>
            <w:r>
              <w:rPr>
                <w:spacing w:val="-2"/>
                <w:sz w:val="24"/>
                <w:szCs w:val="24"/>
                <w:vertAlign w:val="superscript"/>
              </w:rPr>
              <w:t>**</w:t>
            </w:r>
          </w:p>
        </w:tc>
      </w:tr>
      <w:tr w14:paraId="30BE1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4521" w:type="dxa"/>
          </w:tcPr>
          <w:p w14:paraId="5E3867A9">
            <w:pPr>
              <w:pStyle w:val="11"/>
              <w:spacing w:line="301" w:lineRule="exact"/>
              <w:ind w:left="105"/>
              <w:jc w:val="left"/>
              <w:rPr>
                <w:sz w:val="24"/>
                <w:szCs w:val="24"/>
              </w:rPr>
            </w:pPr>
            <w:r>
              <w:rPr>
                <w:sz w:val="24"/>
                <w:szCs w:val="24"/>
              </w:rPr>
              <w:t>Гастростаз,</w:t>
            </w:r>
            <w:r>
              <w:rPr>
                <w:spacing w:val="-5"/>
                <w:sz w:val="24"/>
                <w:szCs w:val="24"/>
              </w:rPr>
              <w:t xml:space="preserve"> </w:t>
            </w:r>
            <w:r>
              <w:rPr>
                <w:sz w:val="24"/>
                <w:szCs w:val="24"/>
              </w:rPr>
              <w:t>n</w:t>
            </w:r>
            <w:r>
              <w:rPr>
                <w:spacing w:val="-11"/>
                <w:sz w:val="24"/>
                <w:szCs w:val="24"/>
              </w:rPr>
              <w:t xml:space="preserve"> </w:t>
            </w:r>
            <w:r>
              <w:rPr>
                <w:spacing w:val="-5"/>
                <w:sz w:val="24"/>
                <w:szCs w:val="24"/>
              </w:rPr>
              <w:t>(%)</w:t>
            </w:r>
          </w:p>
        </w:tc>
        <w:tc>
          <w:tcPr>
            <w:tcW w:w="2098" w:type="dxa"/>
          </w:tcPr>
          <w:p w14:paraId="34ED9AA2">
            <w:pPr>
              <w:pStyle w:val="11"/>
              <w:spacing w:line="301" w:lineRule="exact"/>
              <w:ind w:left="3" w:right="3"/>
              <w:rPr>
                <w:sz w:val="24"/>
                <w:szCs w:val="24"/>
              </w:rPr>
            </w:pPr>
            <w:r>
              <w:rPr>
                <w:sz w:val="24"/>
                <w:szCs w:val="24"/>
              </w:rPr>
              <w:t>5</w:t>
            </w:r>
            <w:r>
              <w:rPr>
                <w:spacing w:val="-1"/>
                <w:sz w:val="24"/>
                <w:szCs w:val="24"/>
              </w:rPr>
              <w:t xml:space="preserve"> </w:t>
            </w:r>
            <w:r>
              <w:rPr>
                <w:spacing w:val="-2"/>
                <w:sz w:val="24"/>
                <w:szCs w:val="24"/>
              </w:rPr>
              <w:t>(5,7%)</w:t>
            </w:r>
          </w:p>
        </w:tc>
        <w:tc>
          <w:tcPr>
            <w:tcW w:w="2028" w:type="dxa"/>
          </w:tcPr>
          <w:p w14:paraId="1A520355">
            <w:pPr>
              <w:pStyle w:val="11"/>
              <w:spacing w:line="301" w:lineRule="exact"/>
              <w:ind w:left="4" w:right="5"/>
              <w:rPr>
                <w:sz w:val="24"/>
                <w:szCs w:val="24"/>
              </w:rPr>
            </w:pPr>
            <w:r>
              <w:rPr>
                <w:sz w:val="24"/>
                <w:szCs w:val="24"/>
              </w:rPr>
              <w:t>4</w:t>
            </w:r>
            <w:r>
              <w:rPr>
                <w:spacing w:val="-1"/>
                <w:sz w:val="24"/>
                <w:szCs w:val="24"/>
              </w:rPr>
              <w:t xml:space="preserve"> </w:t>
            </w:r>
            <w:r>
              <w:rPr>
                <w:spacing w:val="-2"/>
                <w:sz w:val="24"/>
                <w:szCs w:val="24"/>
              </w:rPr>
              <w:t>(3,3%)</w:t>
            </w:r>
          </w:p>
        </w:tc>
        <w:tc>
          <w:tcPr>
            <w:tcW w:w="992" w:type="dxa"/>
          </w:tcPr>
          <w:p w14:paraId="57569C7C">
            <w:pPr>
              <w:pStyle w:val="11"/>
              <w:spacing w:line="301" w:lineRule="exact"/>
              <w:ind w:left="8" w:right="9"/>
              <w:rPr>
                <w:sz w:val="24"/>
                <w:szCs w:val="24"/>
              </w:rPr>
            </w:pPr>
            <w:r>
              <w:rPr>
                <w:spacing w:val="-4"/>
                <w:sz w:val="24"/>
                <w:szCs w:val="24"/>
              </w:rPr>
              <w:t>0,496</w:t>
            </w:r>
          </w:p>
        </w:tc>
      </w:tr>
      <w:tr w14:paraId="6C62D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4521" w:type="dxa"/>
          </w:tcPr>
          <w:p w14:paraId="0828A77E">
            <w:pPr>
              <w:pStyle w:val="11"/>
              <w:spacing w:line="306" w:lineRule="exact"/>
              <w:ind w:left="105"/>
              <w:jc w:val="left"/>
              <w:rPr>
                <w:sz w:val="24"/>
                <w:szCs w:val="24"/>
              </w:rPr>
            </w:pPr>
            <w:r>
              <w:rPr>
                <w:sz w:val="24"/>
                <w:szCs w:val="24"/>
              </w:rPr>
              <w:t>Билиарный</w:t>
            </w:r>
            <w:r>
              <w:rPr>
                <w:spacing w:val="-6"/>
                <w:sz w:val="24"/>
                <w:szCs w:val="24"/>
              </w:rPr>
              <w:t xml:space="preserve"> </w:t>
            </w:r>
            <w:r>
              <w:rPr>
                <w:sz w:val="24"/>
                <w:szCs w:val="24"/>
              </w:rPr>
              <w:t>свищ,</w:t>
            </w:r>
            <w:r>
              <w:rPr>
                <w:spacing w:val="-3"/>
                <w:sz w:val="24"/>
                <w:szCs w:val="24"/>
              </w:rPr>
              <w:t xml:space="preserve"> </w:t>
            </w:r>
            <w:r>
              <w:rPr>
                <w:sz w:val="24"/>
                <w:szCs w:val="24"/>
              </w:rPr>
              <w:t>n</w:t>
            </w:r>
            <w:r>
              <w:rPr>
                <w:spacing w:val="-9"/>
                <w:sz w:val="24"/>
                <w:szCs w:val="24"/>
              </w:rPr>
              <w:t xml:space="preserve"> </w:t>
            </w:r>
            <w:r>
              <w:rPr>
                <w:spacing w:val="-5"/>
                <w:sz w:val="24"/>
                <w:szCs w:val="24"/>
              </w:rPr>
              <w:t>(%)</w:t>
            </w:r>
          </w:p>
        </w:tc>
        <w:tc>
          <w:tcPr>
            <w:tcW w:w="2098" w:type="dxa"/>
          </w:tcPr>
          <w:p w14:paraId="1AAE518F">
            <w:pPr>
              <w:pStyle w:val="11"/>
              <w:spacing w:line="306" w:lineRule="exact"/>
              <w:ind w:left="3" w:right="3"/>
              <w:rPr>
                <w:sz w:val="24"/>
                <w:szCs w:val="24"/>
              </w:rPr>
            </w:pPr>
            <w:r>
              <w:rPr>
                <w:sz w:val="24"/>
                <w:szCs w:val="24"/>
              </w:rPr>
              <w:t>0</w:t>
            </w:r>
            <w:r>
              <w:rPr>
                <w:spacing w:val="-1"/>
                <w:sz w:val="24"/>
                <w:szCs w:val="24"/>
              </w:rPr>
              <w:t xml:space="preserve"> </w:t>
            </w:r>
            <w:r>
              <w:rPr>
                <w:spacing w:val="-4"/>
                <w:sz w:val="24"/>
                <w:szCs w:val="24"/>
              </w:rPr>
              <w:t>(0%)</w:t>
            </w:r>
          </w:p>
        </w:tc>
        <w:tc>
          <w:tcPr>
            <w:tcW w:w="2028" w:type="dxa"/>
          </w:tcPr>
          <w:p w14:paraId="2C7BAB0D">
            <w:pPr>
              <w:pStyle w:val="11"/>
              <w:spacing w:line="306" w:lineRule="exact"/>
              <w:ind w:left="4" w:right="5"/>
              <w:rPr>
                <w:sz w:val="24"/>
                <w:szCs w:val="24"/>
              </w:rPr>
            </w:pPr>
            <w:r>
              <w:rPr>
                <w:sz w:val="24"/>
                <w:szCs w:val="24"/>
              </w:rPr>
              <w:t>3</w:t>
            </w:r>
            <w:r>
              <w:rPr>
                <w:spacing w:val="-1"/>
                <w:sz w:val="24"/>
                <w:szCs w:val="24"/>
              </w:rPr>
              <w:t xml:space="preserve"> </w:t>
            </w:r>
            <w:r>
              <w:rPr>
                <w:spacing w:val="-2"/>
                <w:sz w:val="24"/>
                <w:szCs w:val="24"/>
              </w:rPr>
              <w:t>(2,5%)</w:t>
            </w:r>
          </w:p>
        </w:tc>
        <w:tc>
          <w:tcPr>
            <w:tcW w:w="992" w:type="dxa"/>
          </w:tcPr>
          <w:p w14:paraId="1F5DCBDF">
            <w:pPr>
              <w:pStyle w:val="11"/>
              <w:spacing w:line="306" w:lineRule="exact"/>
              <w:ind w:left="8" w:right="9"/>
              <w:rPr>
                <w:sz w:val="24"/>
                <w:szCs w:val="24"/>
              </w:rPr>
            </w:pPr>
            <w:r>
              <w:rPr>
                <w:spacing w:val="-4"/>
                <w:sz w:val="24"/>
                <w:szCs w:val="24"/>
              </w:rPr>
              <w:t>0,267</w:t>
            </w:r>
          </w:p>
        </w:tc>
      </w:tr>
      <w:tr w14:paraId="54832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4521" w:type="dxa"/>
          </w:tcPr>
          <w:p w14:paraId="2792D930">
            <w:pPr>
              <w:pStyle w:val="11"/>
              <w:spacing w:line="301" w:lineRule="exact"/>
              <w:ind w:left="105"/>
              <w:jc w:val="left"/>
              <w:rPr>
                <w:sz w:val="24"/>
                <w:szCs w:val="24"/>
              </w:rPr>
            </w:pPr>
            <w:r>
              <w:rPr>
                <w:sz w:val="24"/>
                <w:szCs w:val="24"/>
              </w:rPr>
              <w:t>Раневая</w:t>
            </w:r>
            <w:r>
              <w:rPr>
                <w:spacing w:val="-6"/>
                <w:sz w:val="24"/>
                <w:szCs w:val="24"/>
              </w:rPr>
              <w:t xml:space="preserve"> </w:t>
            </w:r>
            <w:r>
              <w:rPr>
                <w:sz w:val="24"/>
                <w:szCs w:val="24"/>
              </w:rPr>
              <w:t>инфекция,</w:t>
            </w:r>
            <w:r>
              <w:rPr>
                <w:spacing w:val="-4"/>
                <w:sz w:val="24"/>
                <w:szCs w:val="24"/>
              </w:rPr>
              <w:t xml:space="preserve"> </w:t>
            </w:r>
            <w:r>
              <w:rPr>
                <w:sz w:val="24"/>
                <w:szCs w:val="24"/>
              </w:rPr>
              <w:t>n</w:t>
            </w:r>
            <w:r>
              <w:rPr>
                <w:spacing w:val="-11"/>
                <w:sz w:val="24"/>
                <w:szCs w:val="24"/>
              </w:rPr>
              <w:t xml:space="preserve"> </w:t>
            </w:r>
            <w:r>
              <w:rPr>
                <w:spacing w:val="-5"/>
                <w:sz w:val="24"/>
                <w:szCs w:val="24"/>
              </w:rPr>
              <w:t>(%)</w:t>
            </w:r>
          </w:p>
        </w:tc>
        <w:tc>
          <w:tcPr>
            <w:tcW w:w="2098" w:type="dxa"/>
          </w:tcPr>
          <w:p w14:paraId="47A2CFCB">
            <w:pPr>
              <w:pStyle w:val="11"/>
              <w:spacing w:line="301" w:lineRule="exact"/>
              <w:ind w:left="3" w:right="3"/>
              <w:rPr>
                <w:sz w:val="24"/>
                <w:szCs w:val="24"/>
              </w:rPr>
            </w:pPr>
            <w:r>
              <w:rPr>
                <w:sz w:val="24"/>
                <w:szCs w:val="24"/>
              </w:rPr>
              <w:t>3</w:t>
            </w:r>
            <w:r>
              <w:rPr>
                <w:spacing w:val="-1"/>
                <w:sz w:val="24"/>
                <w:szCs w:val="24"/>
              </w:rPr>
              <w:t xml:space="preserve"> </w:t>
            </w:r>
            <w:r>
              <w:rPr>
                <w:spacing w:val="-2"/>
                <w:sz w:val="24"/>
                <w:szCs w:val="24"/>
              </w:rPr>
              <w:t>(3,4%)</w:t>
            </w:r>
          </w:p>
        </w:tc>
        <w:tc>
          <w:tcPr>
            <w:tcW w:w="2028" w:type="dxa"/>
          </w:tcPr>
          <w:p w14:paraId="4C0A71EB">
            <w:pPr>
              <w:pStyle w:val="11"/>
              <w:spacing w:line="301" w:lineRule="exact"/>
              <w:ind w:left="4" w:right="5"/>
              <w:rPr>
                <w:sz w:val="24"/>
                <w:szCs w:val="24"/>
              </w:rPr>
            </w:pPr>
            <w:r>
              <w:rPr>
                <w:sz w:val="24"/>
                <w:szCs w:val="24"/>
              </w:rPr>
              <w:t>7</w:t>
            </w:r>
            <w:r>
              <w:rPr>
                <w:spacing w:val="-1"/>
                <w:sz w:val="24"/>
                <w:szCs w:val="24"/>
              </w:rPr>
              <w:t xml:space="preserve"> </w:t>
            </w:r>
            <w:r>
              <w:rPr>
                <w:spacing w:val="-2"/>
                <w:sz w:val="24"/>
                <w:szCs w:val="24"/>
              </w:rPr>
              <w:t>(5,7%)</w:t>
            </w:r>
          </w:p>
        </w:tc>
        <w:tc>
          <w:tcPr>
            <w:tcW w:w="992" w:type="dxa"/>
          </w:tcPr>
          <w:p w14:paraId="47C10FAD">
            <w:pPr>
              <w:pStyle w:val="11"/>
              <w:spacing w:line="301" w:lineRule="exact"/>
              <w:ind w:left="8" w:right="9"/>
              <w:rPr>
                <w:sz w:val="24"/>
                <w:szCs w:val="24"/>
              </w:rPr>
            </w:pPr>
            <w:r>
              <w:rPr>
                <w:spacing w:val="-4"/>
                <w:sz w:val="24"/>
                <w:szCs w:val="24"/>
              </w:rPr>
              <w:t>0,526</w:t>
            </w:r>
          </w:p>
        </w:tc>
      </w:tr>
      <w:tr w14:paraId="0A8F3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4521" w:type="dxa"/>
          </w:tcPr>
          <w:p w14:paraId="46B0E47C">
            <w:pPr>
              <w:pStyle w:val="11"/>
              <w:spacing w:line="302" w:lineRule="exact"/>
              <w:ind w:left="105"/>
              <w:jc w:val="left"/>
              <w:rPr>
                <w:sz w:val="24"/>
                <w:szCs w:val="24"/>
              </w:rPr>
            </w:pPr>
            <w:r>
              <w:rPr>
                <w:sz w:val="24"/>
                <w:szCs w:val="24"/>
              </w:rPr>
              <w:t>Релапаротомия,</w:t>
            </w:r>
            <w:r>
              <w:rPr>
                <w:spacing w:val="-5"/>
                <w:sz w:val="24"/>
                <w:szCs w:val="24"/>
              </w:rPr>
              <w:t xml:space="preserve"> </w:t>
            </w:r>
            <w:r>
              <w:rPr>
                <w:sz w:val="24"/>
                <w:szCs w:val="24"/>
              </w:rPr>
              <w:t>n</w:t>
            </w:r>
            <w:r>
              <w:rPr>
                <w:spacing w:val="-11"/>
                <w:sz w:val="24"/>
                <w:szCs w:val="24"/>
              </w:rPr>
              <w:t xml:space="preserve"> </w:t>
            </w:r>
            <w:r>
              <w:rPr>
                <w:spacing w:val="-5"/>
                <w:sz w:val="24"/>
                <w:szCs w:val="24"/>
              </w:rPr>
              <w:t>(%)</w:t>
            </w:r>
          </w:p>
        </w:tc>
        <w:tc>
          <w:tcPr>
            <w:tcW w:w="2098" w:type="dxa"/>
          </w:tcPr>
          <w:p w14:paraId="0B3A3B52">
            <w:pPr>
              <w:pStyle w:val="11"/>
              <w:spacing w:line="302" w:lineRule="exact"/>
              <w:ind w:left="3" w:right="3"/>
              <w:rPr>
                <w:sz w:val="24"/>
                <w:szCs w:val="24"/>
              </w:rPr>
            </w:pPr>
            <w:r>
              <w:rPr>
                <w:sz w:val="24"/>
                <w:szCs w:val="24"/>
              </w:rPr>
              <w:t>4</w:t>
            </w:r>
            <w:r>
              <w:rPr>
                <w:spacing w:val="-1"/>
                <w:sz w:val="24"/>
                <w:szCs w:val="24"/>
              </w:rPr>
              <w:t xml:space="preserve"> </w:t>
            </w:r>
            <w:r>
              <w:rPr>
                <w:spacing w:val="-2"/>
                <w:sz w:val="24"/>
                <w:szCs w:val="24"/>
              </w:rPr>
              <w:t>(4,6%)</w:t>
            </w:r>
          </w:p>
        </w:tc>
        <w:tc>
          <w:tcPr>
            <w:tcW w:w="2028" w:type="dxa"/>
          </w:tcPr>
          <w:p w14:paraId="54027D33">
            <w:pPr>
              <w:pStyle w:val="11"/>
              <w:spacing w:line="302" w:lineRule="exact"/>
              <w:ind w:left="4" w:right="5"/>
              <w:rPr>
                <w:sz w:val="24"/>
                <w:szCs w:val="24"/>
              </w:rPr>
            </w:pPr>
            <w:r>
              <w:rPr>
                <w:sz w:val="24"/>
                <w:szCs w:val="24"/>
              </w:rPr>
              <w:t>12</w:t>
            </w:r>
            <w:r>
              <w:rPr>
                <w:spacing w:val="-2"/>
                <w:sz w:val="24"/>
                <w:szCs w:val="24"/>
              </w:rPr>
              <w:t xml:space="preserve"> (10,0%)</w:t>
            </w:r>
          </w:p>
        </w:tc>
        <w:tc>
          <w:tcPr>
            <w:tcW w:w="992" w:type="dxa"/>
          </w:tcPr>
          <w:p w14:paraId="7E89E125">
            <w:pPr>
              <w:pStyle w:val="11"/>
              <w:spacing w:line="302" w:lineRule="exact"/>
              <w:ind w:left="8" w:right="9"/>
              <w:rPr>
                <w:sz w:val="24"/>
                <w:szCs w:val="24"/>
              </w:rPr>
            </w:pPr>
            <w:r>
              <w:rPr>
                <w:spacing w:val="-4"/>
                <w:sz w:val="24"/>
                <w:szCs w:val="24"/>
              </w:rPr>
              <w:t>0,193</w:t>
            </w:r>
          </w:p>
        </w:tc>
      </w:tr>
      <w:tr w14:paraId="4E038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4521" w:type="dxa"/>
          </w:tcPr>
          <w:p w14:paraId="343946D4">
            <w:pPr>
              <w:pStyle w:val="11"/>
              <w:spacing w:line="315" w:lineRule="exact"/>
              <w:ind w:left="105"/>
              <w:jc w:val="left"/>
              <w:rPr>
                <w:sz w:val="24"/>
                <w:szCs w:val="24"/>
              </w:rPr>
            </w:pPr>
            <w:r>
              <w:rPr>
                <w:sz w:val="24"/>
                <w:szCs w:val="24"/>
              </w:rPr>
              <w:t>Госпитальная</w:t>
            </w:r>
            <w:r>
              <w:rPr>
                <w:spacing w:val="-18"/>
                <w:sz w:val="24"/>
                <w:szCs w:val="24"/>
              </w:rPr>
              <w:t xml:space="preserve"> </w:t>
            </w:r>
            <w:r>
              <w:rPr>
                <w:spacing w:val="-2"/>
                <w:sz w:val="24"/>
                <w:szCs w:val="24"/>
              </w:rPr>
              <w:t>летальность</w:t>
            </w:r>
          </w:p>
        </w:tc>
        <w:tc>
          <w:tcPr>
            <w:tcW w:w="2098" w:type="dxa"/>
          </w:tcPr>
          <w:p w14:paraId="145F0F7B">
            <w:pPr>
              <w:pStyle w:val="11"/>
              <w:spacing w:line="315" w:lineRule="exact"/>
              <w:ind w:left="3" w:right="3"/>
              <w:rPr>
                <w:sz w:val="24"/>
                <w:szCs w:val="24"/>
              </w:rPr>
            </w:pPr>
            <w:r>
              <w:rPr>
                <w:sz w:val="24"/>
                <w:szCs w:val="24"/>
              </w:rPr>
              <w:t>3</w:t>
            </w:r>
            <w:r>
              <w:rPr>
                <w:spacing w:val="-1"/>
                <w:sz w:val="24"/>
                <w:szCs w:val="24"/>
              </w:rPr>
              <w:t xml:space="preserve"> </w:t>
            </w:r>
            <w:r>
              <w:rPr>
                <w:spacing w:val="-2"/>
                <w:sz w:val="24"/>
                <w:szCs w:val="24"/>
              </w:rPr>
              <w:t>(3,4%)</w:t>
            </w:r>
          </w:p>
        </w:tc>
        <w:tc>
          <w:tcPr>
            <w:tcW w:w="2028" w:type="dxa"/>
          </w:tcPr>
          <w:p w14:paraId="1DE19AB5">
            <w:pPr>
              <w:pStyle w:val="11"/>
              <w:spacing w:line="315" w:lineRule="exact"/>
              <w:ind w:left="4" w:right="5"/>
              <w:rPr>
                <w:sz w:val="24"/>
                <w:szCs w:val="24"/>
              </w:rPr>
            </w:pPr>
            <w:r>
              <w:rPr>
                <w:sz w:val="24"/>
                <w:szCs w:val="24"/>
              </w:rPr>
              <w:t>14</w:t>
            </w:r>
            <w:r>
              <w:rPr>
                <w:spacing w:val="-2"/>
                <w:sz w:val="24"/>
                <w:szCs w:val="24"/>
              </w:rPr>
              <w:t xml:space="preserve"> (11,6%)</w:t>
            </w:r>
          </w:p>
        </w:tc>
        <w:tc>
          <w:tcPr>
            <w:tcW w:w="992" w:type="dxa"/>
          </w:tcPr>
          <w:p w14:paraId="72F8CDFE">
            <w:pPr>
              <w:pStyle w:val="11"/>
              <w:spacing w:line="315" w:lineRule="exact"/>
              <w:ind w:left="8" w:right="4"/>
              <w:rPr>
                <w:sz w:val="24"/>
                <w:szCs w:val="24"/>
              </w:rPr>
            </w:pPr>
            <w:r>
              <w:rPr>
                <w:spacing w:val="-2"/>
                <w:sz w:val="24"/>
                <w:szCs w:val="24"/>
              </w:rPr>
              <w:t>0,034</w:t>
            </w:r>
            <w:r>
              <w:rPr>
                <w:spacing w:val="-2"/>
                <w:sz w:val="24"/>
                <w:szCs w:val="24"/>
                <w:vertAlign w:val="superscript"/>
              </w:rPr>
              <w:t>*</w:t>
            </w:r>
          </w:p>
        </w:tc>
      </w:tr>
      <w:tr w14:paraId="3ADE7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521" w:type="dxa"/>
          </w:tcPr>
          <w:p w14:paraId="78F75C7A">
            <w:pPr>
              <w:pStyle w:val="11"/>
              <w:spacing w:line="315" w:lineRule="exact"/>
              <w:ind w:left="105"/>
              <w:jc w:val="left"/>
              <w:rPr>
                <w:sz w:val="24"/>
                <w:szCs w:val="24"/>
              </w:rPr>
            </w:pPr>
            <w:r>
              <w:rPr>
                <w:sz w:val="24"/>
                <w:szCs w:val="24"/>
              </w:rPr>
              <w:t>Длительность</w:t>
            </w:r>
            <w:r>
              <w:rPr>
                <w:spacing w:val="-16"/>
                <w:sz w:val="24"/>
                <w:szCs w:val="24"/>
              </w:rPr>
              <w:t xml:space="preserve"> </w:t>
            </w:r>
            <w:r>
              <w:rPr>
                <w:spacing w:val="-2"/>
                <w:sz w:val="24"/>
                <w:szCs w:val="24"/>
              </w:rPr>
              <w:t>госпитализации,</w:t>
            </w:r>
          </w:p>
          <w:p w14:paraId="44A3B559">
            <w:pPr>
              <w:pStyle w:val="11"/>
              <w:ind w:left="105"/>
              <w:jc w:val="left"/>
              <w:rPr>
                <w:sz w:val="24"/>
                <w:szCs w:val="24"/>
              </w:rPr>
            </w:pPr>
            <w:r>
              <w:rPr>
                <w:sz w:val="24"/>
                <w:szCs w:val="24"/>
              </w:rPr>
              <w:t>дни,</w:t>
            </w:r>
            <w:r>
              <w:rPr>
                <w:spacing w:val="-1"/>
                <w:sz w:val="24"/>
                <w:szCs w:val="24"/>
              </w:rPr>
              <w:t xml:space="preserve"> </w:t>
            </w:r>
            <w:r>
              <w:rPr>
                <w:sz w:val="24"/>
                <w:szCs w:val="24"/>
              </w:rPr>
              <w:t>Me</w:t>
            </w:r>
            <w:r>
              <w:rPr>
                <w:spacing w:val="-2"/>
                <w:sz w:val="24"/>
                <w:szCs w:val="24"/>
              </w:rPr>
              <w:t xml:space="preserve"> </w:t>
            </w:r>
            <w:r>
              <w:rPr>
                <w:sz w:val="24"/>
                <w:szCs w:val="24"/>
              </w:rPr>
              <w:t>[Q1;</w:t>
            </w:r>
            <w:r>
              <w:rPr>
                <w:spacing w:val="-3"/>
                <w:sz w:val="24"/>
                <w:szCs w:val="24"/>
              </w:rPr>
              <w:t xml:space="preserve"> </w:t>
            </w:r>
            <w:r>
              <w:rPr>
                <w:spacing w:val="-5"/>
                <w:sz w:val="24"/>
                <w:szCs w:val="24"/>
              </w:rPr>
              <w:t>Q3]</w:t>
            </w:r>
          </w:p>
        </w:tc>
        <w:tc>
          <w:tcPr>
            <w:tcW w:w="2098" w:type="dxa"/>
          </w:tcPr>
          <w:p w14:paraId="5770E914">
            <w:pPr>
              <w:pStyle w:val="11"/>
              <w:spacing w:line="315" w:lineRule="exact"/>
              <w:ind w:left="4" w:right="1"/>
              <w:rPr>
                <w:sz w:val="24"/>
                <w:szCs w:val="24"/>
              </w:rPr>
            </w:pPr>
            <w:r>
              <w:rPr>
                <w:sz w:val="24"/>
                <w:szCs w:val="24"/>
              </w:rPr>
              <w:t>18,0</w:t>
            </w:r>
            <w:r>
              <w:rPr>
                <w:spacing w:val="-4"/>
                <w:sz w:val="24"/>
                <w:szCs w:val="24"/>
              </w:rPr>
              <w:t xml:space="preserve"> </w:t>
            </w:r>
            <w:r>
              <w:rPr>
                <w:sz w:val="24"/>
                <w:szCs w:val="24"/>
              </w:rPr>
              <w:t>[14,0;</w:t>
            </w:r>
            <w:r>
              <w:rPr>
                <w:spacing w:val="-4"/>
                <w:sz w:val="24"/>
                <w:szCs w:val="24"/>
              </w:rPr>
              <w:t xml:space="preserve"> </w:t>
            </w:r>
            <w:r>
              <w:rPr>
                <w:spacing w:val="-2"/>
                <w:sz w:val="24"/>
                <w:szCs w:val="24"/>
              </w:rPr>
              <w:t>22,5]</w:t>
            </w:r>
          </w:p>
        </w:tc>
        <w:tc>
          <w:tcPr>
            <w:tcW w:w="2028" w:type="dxa"/>
          </w:tcPr>
          <w:p w14:paraId="21AA84A0">
            <w:pPr>
              <w:pStyle w:val="11"/>
              <w:spacing w:line="315" w:lineRule="exact"/>
              <w:ind w:left="4" w:right="5"/>
              <w:rPr>
                <w:sz w:val="24"/>
                <w:szCs w:val="24"/>
              </w:rPr>
            </w:pPr>
            <w:r>
              <w:rPr>
                <w:sz w:val="24"/>
                <w:szCs w:val="24"/>
              </w:rPr>
              <w:t>17,0</w:t>
            </w:r>
            <w:r>
              <w:rPr>
                <w:spacing w:val="-4"/>
                <w:sz w:val="24"/>
                <w:szCs w:val="24"/>
              </w:rPr>
              <w:t xml:space="preserve"> </w:t>
            </w:r>
            <w:r>
              <w:rPr>
                <w:sz w:val="24"/>
                <w:szCs w:val="24"/>
              </w:rPr>
              <w:t>[14,0;</w:t>
            </w:r>
            <w:r>
              <w:rPr>
                <w:spacing w:val="-4"/>
                <w:sz w:val="24"/>
                <w:szCs w:val="24"/>
              </w:rPr>
              <w:t xml:space="preserve"> </w:t>
            </w:r>
            <w:r>
              <w:rPr>
                <w:spacing w:val="-2"/>
                <w:sz w:val="24"/>
                <w:szCs w:val="24"/>
              </w:rPr>
              <w:t>24,0]</w:t>
            </w:r>
          </w:p>
        </w:tc>
        <w:tc>
          <w:tcPr>
            <w:tcW w:w="992" w:type="dxa"/>
          </w:tcPr>
          <w:p w14:paraId="25AEB83B">
            <w:pPr>
              <w:pStyle w:val="11"/>
              <w:spacing w:line="315" w:lineRule="exact"/>
              <w:ind w:left="8" w:right="9"/>
              <w:rPr>
                <w:sz w:val="24"/>
                <w:szCs w:val="24"/>
              </w:rPr>
            </w:pPr>
            <w:r>
              <w:rPr>
                <w:spacing w:val="-4"/>
                <w:sz w:val="24"/>
                <w:szCs w:val="24"/>
              </w:rPr>
              <w:t>0,611</w:t>
            </w:r>
          </w:p>
        </w:tc>
      </w:tr>
      <w:tr w14:paraId="58039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639" w:type="dxa"/>
            <w:gridSpan w:val="4"/>
          </w:tcPr>
          <w:p w14:paraId="68E944DC">
            <w:pPr>
              <w:pStyle w:val="11"/>
              <w:spacing w:line="271" w:lineRule="exact"/>
              <w:ind w:firstLine="604"/>
              <w:jc w:val="both"/>
              <w:rPr>
                <w:sz w:val="24"/>
                <w:szCs w:val="24"/>
              </w:rPr>
            </w:pPr>
            <w:r>
              <w:rPr>
                <w:sz w:val="24"/>
                <w:szCs w:val="24"/>
              </w:rPr>
              <w:t xml:space="preserve"> Примечание: Категориальные</w:t>
            </w:r>
            <w:r>
              <w:rPr>
                <w:spacing w:val="6"/>
                <w:sz w:val="24"/>
                <w:szCs w:val="24"/>
              </w:rPr>
              <w:t xml:space="preserve"> </w:t>
            </w:r>
            <w:r>
              <w:rPr>
                <w:sz w:val="24"/>
                <w:szCs w:val="24"/>
              </w:rPr>
              <w:t>данные</w:t>
            </w:r>
            <w:r>
              <w:rPr>
                <w:spacing w:val="3"/>
                <w:sz w:val="24"/>
                <w:szCs w:val="24"/>
              </w:rPr>
              <w:t xml:space="preserve"> </w:t>
            </w:r>
            <w:r>
              <w:rPr>
                <w:sz w:val="24"/>
                <w:szCs w:val="24"/>
              </w:rPr>
              <w:t>представлены</w:t>
            </w:r>
            <w:r>
              <w:rPr>
                <w:spacing w:val="10"/>
                <w:sz w:val="24"/>
                <w:szCs w:val="24"/>
              </w:rPr>
              <w:t xml:space="preserve"> </w:t>
            </w:r>
            <w:r>
              <w:rPr>
                <w:sz w:val="24"/>
                <w:szCs w:val="24"/>
              </w:rPr>
              <w:t>как</w:t>
            </w:r>
            <w:r>
              <w:rPr>
                <w:spacing w:val="7"/>
                <w:sz w:val="24"/>
                <w:szCs w:val="24"/>
              </w:rPr>
              <w:t xml:space="preserve"> </w:t>
            </w:r>
            <w:r>
              <w:rPr>
                <w:sz w:val="24"/>
                <w:szCs w:val="24"/>
              </w:rPr>
              <w:t>абсолютные</w:t>
            </w:r>
            <w:r>
              <w:rPr>
                <w:spacing w:val="6"/>
                <w:sz w:val="24"/>
                <w:szCs w:val="24"/>
              </w:rPr>
              <w:t xml:space="preserve"> </w:t>
            </w:r>
            <w:r>
              <w:rPr>
                <w:sz w:val="24"/>
                <w:szCs w:val="24"/>
              </w:rPr>
              <w:t>значения</w:t>
            </w:r>
            <w:r>
              <w:rPr>
                <w:spacing w:val="3"/>
                <w:sz w:val="24"/>
                <w:szCs w:val="24"/>
              </w:rPr>
              <w:t xml:space="preserve"> </w:t>
            </w:r>
            <w:r>
              <w:rPr>
                <w:sz w:val="24"/>
                <w:szCs w:val="24"/>
              </w:rPr>
              <w:t>и</w:t>
            </w:r>
            <w:r>
              <w:rPr>
                <w:spacing w:val="9"/>
                <w:sz w:val="24"/>
                <w:szCs w:val="24"/>
              </w:rPr>
              <w:t xml:space="preserve"> </w:t>
            </w:r>
            <w:r>
              <w:rPr>
                <w:sz w:val="24"/>
                <w:szCs w:val="24"/>
              </w:rPr>
              <w:t>проценты</w:t>
            </w:r>
            <w:r>
              <w:rPr>
                <w:spacing w:val="20"/>
                <w:sz w:val="24"/>
                <w:szCs w:val="24"/>
              </w:rPr>
              <w:t xml:space="preserve"> </w:t>
            </w:r>
            <w:r>
              <w:rPr>
                <w:sz w:val="24"/>
                <w:szCs w:val="24"/>
              </w:rPr>
              <w:t>—</w:t>
            </w:r>
            <w:r>
              <w:rPr>
                <w:spacing w:val="4"/>
                <w:sz w:val="24"/>
                <w:szCs w:val="24"/>
              </w:rPr>
              <w:t xml:space="preserve"> </w:t>
            </w:r>
            <w:r>
              <w:rPr>
                <w:sz w:val="24"/>
                <w:szCs w:val="24"/>
              </w:rPr>
              <w:t>n</w:t>
            </w:r>
            <w:r>
              <w:rPr>
                <w:spacing w:val="3"/>
                <w:sz w:val="24"/>
                <w:szCs w:val="24"/>
              </w:rPr>
              <w:t xml:space="preserve"> </w:t>
            </w:r>
            <w:r>
              <w:rPr>
                <w:sz w:val="24"/>
                <w:szCs w:val="24"/>
              </w:rPr>
              <w:t>(%).*</w:t>
            </w:r>
            <w:r>
              <w:rPr>
                <w:spacing w:val="8"/>
                <w:sz w:val="24"/>
                <w:szCs w:val="24"/>
              </w:rPr>
              <w:t xml:space="preserve"> </w:t>
            </w:r>
            <w:r>
              <w:rPr>
                <w:spacing w:val="-10"/>
                <w:sz w:val="24"/>
                <w:szCs w:val="24"/>
              </w:rPr>
              <w:t>p</w:t>
            </w:r>
            <w:r>
              <w:rPr>
                <w:spacing w:val="-10"/>
                <w:sz w:val="24"/>
                <w:szCs w:val="24"/>
                <w:lang w:val="kk-KZ"/>
              </w:rPr>
              <w:t xml:space="preserve"> </w:t>
            </w:r>
            <w:r>
              <w:rPr>
                <w:sz w:val="24"/>
                <w:szCs w:val="24"/>
              </w:rPr>
              <w:t>&lt; 0,05, ** p &lt; 0,01, *** p &lt; 0,001. Для сравнения категориальных переменных применён точный критерий Фишера. Для сравнения количественных переменных использован U- критерий</w:t>
            </w:r>
            <w:r>
              <w:rPr>
                <w:spacing w:val="24"/>
                <w:sz w:val="24"/>
                <w:szCs w:val="24"/>
              </w:rPr>
              <w:t xml:space="preserve"> </w:t>
            </w:r>
            <w:r>
              <w:rPr>
                <w:sz w:val="24"/>
                <w:szCs w:val="24"/>
              </w:rPr>
              <w:t>Манна—Уитни. Для сравнения распределения</w:t>
            </w:r>
            <w:r>
              <w:rPr>
                <w:spacing w:val="22"/>
                <w:sz w:val="24"/>
                <w:szCs w:val="24"/>
              </w:rPr>
              <w:t xml:space="preserve"> </w:t>
            </w:r>
            <w:r>
              <w:rPr>
                <w:sz w:val="24"/>
                <w:szCs w:val="24"/>
              </w:rPr>
              <w:t>ПС по</w:t>
            </w:r>
            <w:r>
              <w:rPr>
                <w:spacing w:val="26"/>
                <w:sz w:val="24"/>
                <w:szCs w:val="24"/>
              </w:rPr>
              <w:t xml:space="preserve"> </w:t>
            </w:r>
            <w:r>
              <w:rPr>
                <w:sz w:val="24"/>
                <w:szCs w:val="24"/>
              </w:rPr>
              <w:t>степеням (A/B/C)</w:t>
            </w:r>
            <w:r>
              <w:rPr>
                <w:spacing w:val="23"/>
                <w:sz w:val="24"/>
                <w:szCs w:val="24"/>
              </w:rPr>
              <w:t xml:space="preserve"> </w:t>
            </w:r>
            <w:r>
              <w:rPr>
                <w:sz w:val="24"/>
                <w:szCs w:val="24"/>
              </w:rPr>
              <w:t>между</w:t>
            </w:r>
            <w:r>
              <w:rPr>
                <w:sz w:val="24"/>
                <w:szCs w:val="24"/>
                <w:lang w:val="kk-KZ"/>
              </w:rPr>
              <w:t xml:space="preserve"> </w:t>
            </w:r>
            <w:r>
              <w:rPr>
                <w:sz w:val="24"/>
                <w:szCs w:val="24"/>
              </w:rPr>
              <w:t>группами</w:t>
            </w:r>
            <w:r>
              <w:rPr>
                <w:spacing w:val="-3"/>
                <w:sz w:val="24"/>
                <w:szCs w:val="24"/>
              </w:rPr>
              <w:t xml:space="preserve"> </w:t>
            </w:r>
            <w:r>
              <w:rPr>
                <w:sz w:val="24"/>
                <w:szCs w:val="24"/>
              </w:rPr>
              <w:t>использован</w:t>
            </w:r>
            <w:r>
              <w:rPr>
                <w:spacing w:val="-4"/>
                <w:sz w:val="24"/>
                <w:szCs w:val="24"/>
              </w:rPr>
              <w:t xml:space="preserve"> </w:t>
            </w:r>
            <w:r>
              <w:rPr>
                <w:sz w:val="24"/>
                <w:szCs w:val="24"/>
              </w:rPr>
              <w:t>χ²-критерий</w:t>
            </w:r>
            <w:r>
              <w:rPr>
                <w:spacing w:val="-7"/>
                <w:sz w:val="24"/>
                <w:szCs w:val="24"/>
              </w:rPr>
              <w:t xml:space="preserve"> </w:t>
            </w:r>
            <w:r>
              <w:rPr>
                <w:spacing w:val="-2"/>
                <w:sz w:val="24"/>
                <w:szCs w:val="24"/>
              </w:rPr>
              <w:t>Пирсона.</w:t>
            </w:r>
          </w:p>
        </w:tc>
      </w:tr>
    </w:tbl>
    <w:p w14:paraId="1CAA9EEF">
      <w:pPr>
        <w:pStyle w:val="7"/>
        <w:spacing w:before="10"/>
        <w:ind w:left="0" w:firstLine="0"/>
        <w:jc w:val="left"/>
      </w:pPr>
    </w:p>
    <w:p w14:paraId="589FF3D1">
      <w:pPr>
        <w:pStyle w:val="7"/>
        <w:ind w:left="0" w:right="3" w:firstLine="709"/>
      </w:pPr>
      <w:r>
        <w:t>В таблице 15 представлены послеоперационные осложнения, стратифицированные по структуре ПЖ (мягкая и плотная ПЖ) у пациентов, перенесших ГПДР за период 2016-2022 гг. Анализ частоты послеоперационных осложнений в зависимости от консистенции ПЖ показал выраженные различия в структуре и тяжести ПС. В группе пациентов с плотной железой ПС встречались преимущественно в виде степеней A</w:t>
      </w:r>
      <w:r>
        <w:rPr>
          <w:spacing w:val="-1"/>
        </w:rPr>
        <w:t xml:space="preserve"> </w:t>
      </w:r>
      <w:r>
        <w:t>и B — у</w:t>
      </w:r>
      <w:r>
        <w:rPr>
          <w:spacing w:val="-2"/>
        </w:rPr>
        <w:t xml:space="preserve"> </w:t>
      </w:r>
      <w:r>
        <w:t>10 (11,5%) и 5 (5,7%) больных</w:t>
      </w:r>
      <w:r>
        <w:rPr>
          <w:spacing w:val="-12"/>
        </w:rPr>
        <w:t xml:space="preserve"> </w:t>
      </w:r>
      <w:r>
        <w:t>соответственно,</w:t>
      </w:r>
      <w:r>
        <w:rPr>
          <w:spacing w:val="-5"/>
        </w:rPr>
        <w:t xml:space="preserve"> </w:t>
      </w:r>
      <w:r>
        <w:t>при</w:t>
      </w:r>
      <w:r>
        <w:rPr>
          <w:spacing w:val="-8"/>
        </w:rPr>
        <w:t xml:space="preserve"> </w:t>
      </w:r>
      <w:r>
        <w:t>отсутствии</w:t>
      </w:r>
      <w:r>
        <w:rPr>
          <w:spacing w:val="-4"/>
        </w:rPr>
        <w:t xml:space="preserve"> </w:t>
      </w:r>
      <w:r>
        <w:t>случаев</w:t>
      </w:r>
      <w:r>
        <w:rPr>
          <w:spacing w:val="-5"/>
        </w:rPr>
        <w:t xml:space="preserve"> </w:t>
      </w:r>
      <w:r>
        <w:t>ПС</w:t>
      </w:r>
      <w:r>
        <w:rPr>
          <w:spacing w:val="-6"/>
        </w:rPr>
        <w:t xml:space="preserve"> </w:t>
      </w:r>
      <w:r>
        <w:t>степени</w:t>
      </w:r>
      <w:r>
        <w:rPr>
          <w:spacing w:val="-8"/>
        </w:rPr>
        <w:t xml:space="preserve"> </w:t>
      </w:r>
      <w:r>
        <w:t>C.</w:t>
      </w:r>
      <w:r>
        <w:rPr>
          <w:spacing w:val="-5"/>
        </w:rPr>
        <w:t xml:space="preserve"> </w:t>
      </w:r>
      <w:r>
        <w:t>В</w:t>
      </w:r>
      <w:r>
        <w:rPr>
          <w:spacing w:val="-6"/>
        </w:rPr>
        <w:t xml:space="preserve"> </w:t>
      </w:r>
      <w:r>
        <w:t>то</w:t>
      </w:r>
      <w:r>
        <w:rPr>
          <w:spacing w:val="-7"/>
        </w:rPr>
        <w:t xml:space="preserve"> </w:t>
      </w:r>
      <w:r>
        <w:t>же</w:t>
      </w:r>
      <w:r>
        <w:rPr>
          <w:spacing w:val="-7"/>
        </w:rPr>
        <w:t xml:space="preserve"> </w:t>
      </w:r>
      <w:r>
        <w:t>время</w:t>
      </w:r>
      <w:r>
        <w:rPr>
          <w:spacing w:val="-2"/>
        </w:rPr>
        <w:t xml:space="preserve"> </w:t>
      </w:r>
      <w:r>
        <w:t>у пациентов с мягкой ПЖ частота ПС степени A составила 25 (20,7%), степень B</w:t>
      </w:r>
    </w:p>
    <w:p w14:paraId="0B596D39">
      <w:pPr>
        <w:pStyle w:val="7"/>
        <w:spacing w:before="3"/>
        <w:ind w:left="0" w:right="3" w:firstLine="0"/>
      </w:pPr>
      <w:r>
        <w:t>—</w:t>
      </w:r>
      <w:r>
        <w:rPr>
          <w:spacing w:val="-18"/>
        </w:rPr>
        <w:t xml:space="preserve"> </w:t>
      </w:r>
      <w:r>
        <w:t>36</w:t>
      </w:r>
      <w:r>
        <w:rPr>
          <w:spacing w:val="-17"/>
        </w:rPr>
        <w:t xml:space="preserve"> </w:t>
      </w:r>
      <w:r>
        <w:t>(29,8%),</w:t>
      </w:r>
      <w:r>
        <w:rPr>
          <w:spacing w:val="-18"/>
        </w:rPr>
        <w:t xml:space="preserve"> </w:t>
      </w:r>
      <w:r>
        <w:t>а</w:t>
      </w:r>
      <w:r>
        <w:rPr>
          <w:spacing w:val="-17"/>
        </w:rPr>
        <w:t xml:space="preserve"> </w:t>
      </w:r>
      <w:r>
        <w:t>степень</w:t>
      </w:r>
      <w:r>
        <w:rPr>
          <w:spacing w:val="-18"/>
        </w:rPr>
        <w:t xml:space="preserve"> </w:t>
      </w:r>
      <w:r>
        <w:t>C</w:t>
      </w:r>
      <w:r>
        <w:rPr>
          <w:spacing w:val="-17"/>
        </w:rPr>
        <w:t xml:space="preserve"> </w:t>
      </w:r>
      <w:r>
        <w:t>—</w:t>
      </w:r>
      <w:r>
        <w:rPr>
          <w:spacing w:val="-18"/>
        </w:rPr>
        <w:t xml:space="preserve"> </w:t>
      </w:r>
      <w:r>
        <w:t>11</w:t>
      </w:r>
      <w:r>
        <w:rPr>
          <w:spacing w:val="-17"/>
        </w:rPr>
        <w:t xml:space="preserve"> </w:t>
      </w:r>
      <w:r>
        <w:t>(9,1%).</w:t>
      </w:r>
      <w:r>
        <w:rPr>
          <w:spacing w:val="-18"/>
        </w:rPr>
        <w:t xml:space="preserve"> </w:t>
      </w:r>
      <w:r>
        <w:t>Общая</w:t>
      </w:r>
      <w:r>
        <w:rPr>
          <w:spacing w:val="-17"/>
        </w:rPr>
        <w:t xml:space="preserve"> </w:t>
      </w:r>
      <w:r>
        <w:t>структура</w:t>
      </w:r>
      <w:r>
        <w:rPr>
          <w:spacing w:val="-18"/>
        </w:rPr>
        <w:t xml:space="preserve"> </w:t>
      </w:r>
      <w:r>
        <w:t>распределения</w:t>
      </w:r>
      <w:r>
        <w:rPr>
          <w:spacing w:val="-17"/>
        </w:rPr>
        <w:t xml:space="preserve"> </w:t>
      </w:r>
      <w:r>
        <w:t>степеней ПС продемонстрировало высокую статистическую значимость различий (p&lt;0,001), при этом в группе мягкой ПЖ отмечалось смещение в сторону более тяжёлых</w:t>
      </w:r>
      <w:r>
        <w:rPr>
          <w:spacing w:val="-5"/>
        </w:rPr>
        <w:t xml:space="preserve"> </w:t>
      </w:r>
      <w:r>
        <w:t>форм ПС. Особое клиническое значение имеет</w:t>
      </w:r>
      <w:r>
        <w:rPr>
          <w:spacing w:val="-2"/>
        </w:rPr>
        <w:t xml:space="preserve"> </w:t>
      </w:r>
      <w:r>
        <w:t>показатель</w:t>
      </w:r>
      <w:r>
        <w:rPr>
          <w:spacing w:val="-2"/>
        </w:rPr>
        <w:t xml:space="preserve"> </w:t>
      </w:r>
      <w:r>
        <w:t>частоты КЗ- ПС.</w:t>
      </w:r>
      <w:r>
        <w:rPr>
          <w:spacing w:val="-12"/>
        </w:rPr>
        <w:t xml:space="preserve"> </w:t>
      </w:r>
      <w:r>
        <w:t>В</w:t>
      </w:r>
      <w:r>
        <w:rPr>
          <w:spacing w:val="-18"/>
        </w:rPr>
        <w:t xml:space="preserve"> </w:t>
      </w:r>
      <w:r>
        <w:t>группе</w:t>
      </w:r>
      <w:r>
        <w:rPr>
          <w:spacing w:val="-14"/>
        </w:rPr>
        <w:t xml:space="preserve"> </w:t>
      </w:r>
      <w:r>
        <w:t>плотной</w:t>
      </w:r>
      <w:r>
        <w:rPr>
          <w:spacing w:val="-11"/>
        </w:rPr>
        <w:t xml:space="preserve"> </w:t>
      </w:r>
      <w:r>
        <w:t>ПЖ</w:t>
      </w:r>
      <w:r>
        <w:rPr>
          <w:spacing w:val="-11"/>
        </w:rPr>
        <w:t xml:space="preserve"> </w:t>
      </w:r>
      <w:r>
        <w:t>их</w:t>
      </w:r>
      <w:r>
        <w:rPr>
          <w:spacing w:val="-18"/>
        </w:rPr>
        <w:t xml:space="preserve"> </w:t>
      </w:r>
      <w:r>
        <w:t>доля</w:t>
      </w:r>
      <w:r>
        <w:rPr>
          <w:spacing w:val="-13"/>
        </w:rPr>
        <w:t xml:space="preserve"> </w:t>
      </w:r>
      <w:r>
        <w:t>составила</w:t>
      </w:r>
      <w:r>
        <w:rPr>
          <w:spacing w:val="-15"/>
        </w:rPr>
        <w:t xml:space="preserve"> </w:t>
      </w:r>
      <w:r>
        <w:t>5</w:t>
      </w:r>
      <w:r>
        <w:rPr>
          <w:spacing w:val="-16"/>
        </w:rPr>
        <w:t xml:space="preserve"> </w:t>
      </w:r>
      <w:r>
        <w:t>(5,7%)</w:t>
      </w:r>
      <w:r>
        <w:rPr>
          <w:spacing w:val="-17"/>
        </w:rPr>
        <w:t xml:space="preserve"> </w:t>
      </w:r>
      <w:r>
        <w:t>случаев,</w:t>
      </w:r>
      <w:r>
        <w:rPr>
          <w:spacing w:val="-14"/>
        </w:rPr>
        <w:t xml:space="preserve"> </w:t>
      </w:r>
      <w:r>
        <w:t>тогда</w:t>
      </w:r>
      <w:r>
        <w:rPr>
          <w:spacing w:val="-15"/>
        </w:rPr>
        <w:t xml:space="preserve"> </w:t>
      </w:r>
      <w:r>
        <w:t>как</w:t>
      </w:r>
      <w:r>
        <w:rPr>
          <w:spacing w:val="-17"/>
        </w:rPr>
        <w:t xml:space="preserve"> </w:t>
      </w:r>
      <w:r>
        <w:t>в</w:t>
      </w:r>
      <w:r>
        <w:rPr>
          <w:spacing w:val="-18"/>
        </w:rPr>
        <w:t xml:space="preserve"> </w:t>
      </w:r>
      <w:r>
        <w:t>группе мягкой ПЖ — 47 (38,8%), что продемонстрировало высокую статистическую значимость различий (p&lt;0,001). Таким образом, мягкая консистенция ПЖ является независимым маркером существенно более высокого риска развития свищей, требующих активного лечебного вмешательства и продлённого послеоперационного наблюдения.</w:t>
      </w:r>
    </w:p>
    <w:p w14:paraId="00BFE473">
      <w:pPr>
        <w:pStyle w:val="7"/>
        <w:spacing w:before="2"/>
        <w:ind w:left="0" w:right="3" w:firstLine="709"/>
      </w:pPr>
      <w:r>
        <w:t>Примечательно, что в группе мягкой ПЖ также чаще регистрировалось кровотечение, связанное с ПС — 11 (9,1%) случаев против полного отсутствия данного осложнения в группе плотной консистенции (p=0,003), что подчёркивает</w:t>
      </w:r>
      <w:r>
        <w:rPr>
          <w:spacing w:val="-5"/>
        </w:rPr>
        <w:t xml:space="preserve"> </w:t>
      </w:r>
      <w:r>
        <w:t>более</w:t>
      </w:r>
      <w:r>
        <w:rPr>
          <w:spacing w:val="-3"/>
        </w:rPr>
        <w:t xml:space="preserve"> </w:t>
      </w:r>
      <w:r>
        <w:t>агрессивное</w:t>
      </w:r>
      <w:r>
        <w:rPr>
          <w:spacing w:val="-3"/>
        </w:rPr>
        <w:t xml:space="preserve"> </w:t>
      </w:r>
      <w:r>
        <w:t>и</w:t>
      </w:r>
      <w:r>
        <w:rPr>
          <w:spacing w:val="-4"/>
        </w:rPr>
        <w:t xml:space="preserve"> </w:t>
      </w:r>
      <w:r>
        <w:t>осложнённое</w:t>
      </w:r>
      <w:r>
        <w:rPr>
          <w:spacing w:val="-2"/>
        </w:rPr>
        <w:t xml:space="preserve"> </w:t>
      </w:r>
      <w:r>
        <w:t>течение ПС у</w:t>
      </w:r>
      <w:r>
        <w:rPr>
          <w:spacing w:val="-8"/>
        </w:rPr>
        <w:t xml:space="preserve"> </w:t>
      </w:r>
      <w:r>
        <w:t>данной</w:t>
      </w:r>
      <w:r>
        <w:rPr>
          <w:spacing w:val="-4"/>
        </w:rPr>
        <w:t xml:space="preserve"> </w:t>
      </w:r>
      <w:r>
        <w:t>категории больных. Частота изолированного послеоперационного кровотечения не различалась</w:t>
      </w:r>
      <w:r>
        <w:rPr>
          <w:spacing w:val="-18"/>
        </w:rPr>
        <w:t xml:space="preserve"> </w:t>
      </w:r>
      <w:r>
        <w:t>статистически</w:t>
      </w:r>
      <w:r>
        <w:rPr>
          <w:spacing w:val="-17"/>
        </w:rPr>
        <w:t xml:space="preserve"> </w:t>
      </w:r>
      <w:r>
        <w:t>значимо:</w:t>
      </w:r>
      <w:r>
        <w:rPr>
          <w:spacing w:val="-18"/>
        </w:rPr>
        <w:t xml:space="preserve"> </w:t>
      </w:r>
      <w:r>
        <w:t>4</w:t>
      </w:r>
      <w:r>
        <w:rPr>
          <w:spacing w:val="-17"/>
        </w:rPr>
        <w:t xml:space="preserve"> </w:t>
      </w:r>
      <w:r>
        <w:t>(4,6%)</w:t>
      </w:r>
      <w:r>
        <w:rPr>
          <w:spacing w:val="-18"/>
        </w:rPr>
        <w:t xml:space="preserve"> </w:t>
      </w:r>
      <w:r>
        <w:t>против</w:t>
      </w:r>
      <w:r>
        <w:rPr>
          <w:spacing w:val="-17"/>
        </w:rPr>
        <w:t xml:space="preserve"> </w:t>
      </w:r>
      <w:r>
        <w:t>11</w:t>
      </w:r>
      <w:r>
        <w:rPr>
          <w:spacing w:val="-18"/>
        </w:rPr>
        <w:t xml:space="preserve"> </w:t>
      </w:r>
      <w:r>
        <w:t>(9,1%)</w:t>
      </w:r>
      <w:r>
        <w:rPr>
          <w:spacing w:val="-17"/>
        </w:rPr>
        <w:t xml:space="preserve"> </w:t>
      </w:r>
      <w:r>
        <w:t>(p</w:t>
      </w:r>
      <w:r>
        <w:rPr>
          <w:spacing w:val="-18"/>
        </w:rPr>
        <w:t xml:space="preserve"> </w:t>
      </w:r>
      <w:r>
        <w:t>=</w:t>
      </w:r>
      <w:r>
        <w:rPr>
          <w:spacing w:val="-17"/>
        </w:rPr>
        <w:t xml:space="preserve"> </w:t>
      </w:r>
      <w:r>
        <w:t>0,282),</w:t>
      </w:r>
      <w:r>
        <w:rPr>
          <w:spacing w:val="-18"/>
        </w:rPr>
        <w:t xml:space="preserve"> </w:t>
      </w:r>
      <w:r>
        <w:t>однако прослеживалась тенденция к более высокой его частоте при мягкой ПЖ.</w:t>
      </w:r>
    </w:p>
    <w:p w14:paraId="5CABC0DB">
      <w:pPr>
        <w:pStyle w:val="7"/>
        <w:spacing w:line="320" w:lineRule="exact"/>
        <w:ind w:left="0" w:firstLine="991"/>
      </w:pPr>
      <w:r>
        <w:t>Показатели</w:t>
      </w:r>
      <w:r>
        <w:rPr>
          <w:spacing w:val="47"/>
        </w:rPr>
        <w:t xml:space="preserve">  </w:t>
      </w:r>
      <w:r>
        <w:t>других</w:t>
      </w:r>
      <w:r>
        <w:rPr>
          <w:spacing w:val="46"/>
        </w:rPr>
        <w:t xml:space="preserve">  </w:t>
      </w:r>
      <w:r>
        <w:t>осложнений</w:t>
      </w:r>
      <w:r>
        <w:rPr>
          <w:spacing w:val="48"/>
        </w:rPr>
        <w:t xml:space="preserve">  </w:t>
      </w:r>
      <w:r>
        <w:t>(гастростаз</w:t>
      </w:r>
      <w:r>
        <w:rPr>
          <w:spacing w:val="52"/>
        </w:rPr>
        <w:t xml:space="preserve">  </w:t>
      </w:r>
      <w:r>
        <w:t>—</w:t>
      </w:r>
      <w:r>
        <w:rPr>
          <w:spacing w:val="48"/>
        </w:rPr>
        <w:t xml:space="preserve">  </w:t>
      </w:r>
      <w:r>
        <w:t>5,7%</w:t>
      </w:r>
      <w:r>
        <w:rPr>
          <w:spacing w:val="47"/>
        </w:rPr>
        <w:t xml:space="preserve">  </w:t>
      </w:r>
      <w:r>
        <w:t>против</w:t>
      </w:r>
      <w:r>
        <w:rPr>
          <w:spacing w:val="50"/>
        </w:rPr>
        <w:t xml:space="preserve">  </w:t>
      </w:r>
      <w:r>
        <w:rPr>
          <w:spacing w:val="-2"/>
        </w:rPr>
        <w:t>3,3%;</w:t>
      </w:r>
      <w:r>
        <w:t xml:space="preserve"> билиарный свищ — 0% против 2,5%; раневая инфекция — 3,4% против 5,7%; релапаротомия — 4,6% против 10,0%) статистически значимо не различались между группами (p &gt;0,05), что, вероятно, связано с малым абсолютным числом событий и ограниченной мощностью выборки для редких осложнений.</w:t>
      </w:r>
    </w:p>
    <w:p w14:paraId="44126A6D">
      <w:pPr>
        <w:pStyle w:val="7"/>
        <w:spacing w:before="4"/>
        <w:ind w:left="0" w:right="3"/>
      </w:pPr>
      <w:r>
        <w:t>В то же время госпитальная летальность оказалась статистически выше у пациентов</w:t>
      </w:r>
      <w:r>
        <w:rPr>
          <w:spacing w:val="7"/>
        </w:rPr>
        <w:t xml:space="preserve"> </w:t>
      </w:r>
      <w:r>
        <w:t>с</w:t>
      </w:r>
      <w:r>
        <w:rPr>
          <w:spacing w:val="9"/>
        </w:rPr>
        <w:t xml:space="preserve"> </w:t>
      </w:r>
      <w:r>
        <w:t>мягкой</w:t>
      </w:r>
      <w:r>
        <w:rPr>
          <w:spacing w:val="9"/>
        </w:rPr>
        <w:t xml:space="preserve"> </w:t>
      </w:r>
      <w:r>
        <w:t>ПЖ</w:t>
      </w:r>
      <w:r>
        <w:rPr>
          <w:spacing w:val="13"/>
        </w:rPr>
        <w:t xml:space="preserve"> </w:t>
      </w:r>
      <w:r>
        <w:t>—</w:t>
      </w:r>
      <w:r>
        <w:rPr>
          <w:spacing w:val="9"/>
        </w:rPr>
        <w:t xml:space="preserve"> </w:t>
      </w:r>
      <w:r>
        <w:t>14</w:t>
      </w:r>
      <w:r>
        <w:rPr>
          <w:spacing w:val="5"/>
        </w:rPr>
        <w:t xml:space="preserve"> </w:t>
      </w:r>
      <w:r>
        <w:t>(11,6%)</w:t>
      </w:r>
      <w:r>
        <w:rPr>
          <w:spacing w:val="7"/>
        </w:rPr>
        <w:t xml:space="preserve"> </w:t>
      </w:r>
      <w:r>
        <w:t>против</w:t>
      </w:r>
      <w:r>
        <w:rPr>
          <w:spacing w:val="8"/>
        </w:rPr>
        <w:t xml:space="preserve"> </w:t>
      </w:r>
      <w:r>
        <w:t>3</w:t>
      </w:r>
      <w:r>
        <w:rPr>
          <w:spacing w:val="9"/>
        </w:rPr>
        <w:t xml:space="preserve"> </w:t>
      </w:r>
      <w:r>
        <w:t>(3,4%)</w:t>
      </w:r>
      <w:r>
        <w:rPr>
          <w:spacing w:val="7"/>
        </w:rPr>
        <w:t xml:space="preserve"> </w:t>
      </w:r>
      <w:r>
        <w:t>случаев</w:t>
      </w:r>
      <w:r>
        <w:rPr>
          <w:spacing w:val="8"/>
        </w:rPr>
        <w:t xml:space="preserve"> </w:t>
      </w:r>
      <w:r>
        <w:t>(p</w:t>
      </w:r>
      <w:r>
        <w:rPr>
          <w:spacing w:val="9"/>
        </w:rPr>
        <w:t xml:space="preserve"> </w:t>
      </w:r>
      <w:r>
        <w:t>=</w:t>
      </w:r>
      <w:r>
        <w:rPr>
          <w:spacing w:val="10"/>
        </w:rPr>
        <w:t xml:space="preserve"> </w:t>
      </w:r>
      <w:r>
        <w:t>0,034).</w:t>
      </w:r>
      <w:r>
        <w:rPr>
          <w:spacing w:val="12"/>
        </w:rPr>
        <w:t xml:space="preserve"> </w:t>
      </w:r>
      <w:r>
        <w:rPr>
          <w:spacing w:val="-5"/>
        </w:rPr>
        <w:t>При</w:t>
      </w:r>
      <w:r>
        <w:t xml:space="preserve"> сопоставимой</w:t>
      </w:r>
      <w:r>
        <w:rPr>
          <w:spacing w:val="-4"/>
        </w:rPr>
        <w:t xml:space="preserve"> </w:t>
      </w:r>
      <w:r>
        <w:t>длительности</w:t>
      </w:r>
      <w:r>
        <w:rPr>
          <w:spacing w:val="-4"/>
        </w:rPr>
        <w:t xml:space="preserve"> </w:t>
      </w:r>
      <w:r>
        <w:t>госпитализации</w:t>
      </w:r>
      <w:r>
        <w:rPr>
          <w:spacing w:val="-4"/>
        </w:rPr>
        <w:t xml:space="preserve"> </w:t>
      </w:r>
      <w:r>
        <w:t>(17,0</w:t>
      </w:r>
      <w:r>
        <w:rPr>
          <w:spacing w:val="-4"/>
        </w:rPr>
        <w:t xml:space="preserve"> </w:t>
      </w:r>
      <w:r>
        <w:t>[14,0–24,0]</w:t>
      </w:r>
      <w:r>
        <w:rPr>
          <w:spacing w:val="-5"/>
        </w:rPr>
        <w:t xml:space="preserve"> </w:t>
      </w:r>
      <w:r>
        <w:t>против</w:t>
      </w:r>
      <w:r>
        <w:rPr>
          <w:spacing w:val="-6"/>
        </w:rPr>
        <w:t xml:space="preserve"> </w:t>
      </w:r>
      <w:r>
        <w:t>18,0</w:t>
      </w:r>
      <w:r>
        <w:rPr>
          <w:spacing w:val="-4"/>
        </w:rPr>
        <w:t xml:space="preserve"> </w:t>
      </w:r>
      <w:r>
        <w:t>[14,0– 22,5] дней; p=0,611) данный факт указывает на более тяжёлое течение панкреатических осложнений и высокую клиническую значимость фактора мягкой консистенции ПЖ.</w:t>
      </w:r>
    </w:p>
    <w:p w14:paraId="1189A6E0">
      <w:pPr>
        <w:pStyle w:val="7"/>
        <w:spacing w:before="108"/>
        <w:ind w:left="0" w:firstLine="0"/>
        <w:jc w:val="left"/>
        <w:rPr>
          <w:sz w:val="20"/>
        </w:rPr>
      </w:pPr>
      <w:r>
        <w:rPr>
          <w:sz w:val="20"/>
          <w:lang w:eastAsia="ru-RU"/>
        </w:rPr>
        <w:drawing>
          <wp:anchor distT="0" distB="0" distL="0" distR="0" simplePos="0" relativeHeight="251677696" behindDoc="1" locked="0" layoutInCell="1" allowOverlap="1">
            <wp:simplePos x="0" y="0"/>
            <wp:positionH relativeFrom="page">
              <wp:posOffset>958215</wp:posOffset>
            </wp:positionH>
            <wp:positionV relativeFrom="paragraph">
              <wp:posOffset>229870</wp:posOffset>
            </wp:positionV>
            <wp:extent cx="6245225" cy="3690620"/>
            <wp:effectExtent l="0" t="0" r="0" b="0"/>
            <wp:wrapTopAndBottom/>
            <wp:docPr id="165" name="Image 165" descr="C:\Users\03xo-ord3-2025\Downloads\output (3).png"/>
            <wp:cNvGraphicFramePr/>
            <a:graphic xmlns:a="http://schemas.openxmlformats.org/drawingml/2006/main">
              <a:graphicData uri="http://schemas.openxmlformats.org/drawingml/2006/picture">
                <pic:pic xmlns:pic="http://schemas.openxmlformats.org/drawingml/2006/picture">
                  <pic:nvPicPr>
                    <pic:cNvPr id="165" name="Image 165" descr="C:\Users\03xo-ord3-2025\Downloads\output (3).png"/>
                    <pic:cNvPicPr/>
                  </pic:nvPicPr>
                  <pic:blipFill>
                    <a:blip r:embed="rId41" cstate="print"/>
                    <a:stretch>
                      <a:fillRect/>
                    </a:stretch>
                  </pic:blipFill>
                  <pic:spPr>
                    <a:xfrm>
                      <a:off x="0" y="0"/>
                      <a:ext cx="6245144" cy="3690366"/>
                    </a:xfrm>
                    <a:prstGeom prst="rect">
                      <a:avLst/>
                    </a:prstGeom>
                  </pic:spPr>
                </pic:pic>
              </a:graphicData>
            </a:graphic>
          </wp:anchor>
        </w:drawing>
      </w:r>
    </w:p>
    <w:p w14:paraId="68D39998">
      <w:pPr>
        <w:pStyle w:val="7"/>
        <w:spacing w:before="32"/>
        <w:ind w:left="0" w:firstLine="0"/>
        <w:jc w:val="left"/>
      </w:pPr>
    </w:p>
    <w:p w14:paraId="18B83B3B">
      <w:pPr>
        <w:pStyle w:val="7"/>
        <w:spacing w:line="242" w:lineRule="auto"/>
        <w:ind w:left="0" w:firstLine="438"/>
      </w:pPr>
      <w:r>
        <w:t>Рисунок</w:t>
      </w:r>
      <w:r>
        <w:rPr>
          <w:spacing w:val="-6"/>
        </w:rPr>
        <w:t xml:space="preserve"> </w:t>
      </w:r>
      <w:r>
        <w:t>14</w:t>
      </w:r>
      <w:r>
        <w:rPr>
          <w:spacing w:val="-4"/>
        </w:rPr>
        <w:t xml:space="preserve"> </w:t>
      </w:r>
      <w:r>
        <w:t>-</w:t>
      </w:r>
      <w:r>
        <w:rPr>
          <w:spacing w:val="-7"/>
        </w:rPr>
        <w:t xml:space="preserve"> </w:t>
      </w:r>
      <w:r>
        <w:t>Характеристика</w:t>
      </w:r>
      <w:r>
        <w:rPr>
          <w:spacing w:val="-5"/>
        </w:rPr>
        <w:t xml:space="preserve"> </w:t>
      </w:r>
      <w:r>
        <w:t>послеоперационных</w:t>
      </w:r>
      <w:r>
        <w:rPr>
          <w:spacing w:val="-9"/>
        </w:rPr>
        <w:t xml:space="preserve"> </w:t>
      </w:r>
      <w:r>
        <w:t>осложнений у</w:t>
      </w:r>
      <w:r>
        <w:rPr>
          <w:spacing w:val="-9"/>
        </w:rPr>
        <w:t xml:space="preserve"> </w:t>
      </w:r>
      <w:r>
        <w:t>пациентов, перенесших ГПДР, в зависимости от консистенции ПЖ (2016-2022 гг.)</w:t>
      </w:r>
    </w:p>
    <w:p w14:paraId="6EC50632">
      <w:pPr>
        <w:pStyle w:val="7"/>
        <w:spacing w:before="320"/>
        <w:ind w:left="0" w:right="3" w:firstLine="709"/>
      </w:pPr>
      <w:r>
        <w:t>В совокупности полученные данные демонстрируют, что мягкая ПЖ ассоциирована с достоверно более высокой частотой КЗ-ПС и осложнённых форм несостоятельности анастомоза, а также с увеличением госпитальной летальности,</w:t>
      </w:r>
      <w:r>
        <w:rPr>
          <w:spacing w:val="-4"/>
        </w:rPr>
        <w:t xml:space="preserve"> </w:t>
      </w:r>
      <w:r>
        <w:t>что</w:t>
      </w:r>
      <w:r>
        <w:rPr>
          <w:spacing w:val="-1"/>
        </w:rPr>
        <w:t xml:space="preserve"> </w:t>
      </w:r>
      <w:r>
        <w:t>подтверждает</w:t>
      </w:r>
      <w:r>
        <w:rPr>
          <w:spacing w:val="-7"/>
        </w:rPr>
        <w:t xml:space="preserve"> </w:t>
      </w:r>
      <w:r>
        <w:t>необходимость</w:t>
      </w:r>
      <w:r>
        <w:rPr>
          <w:spacing w:val="-8"/>
        </w:rPr>
        <w:t xml:space="preserve"> </w:t>
      </w:r>
      <w:r>
        <w:t>разработки</w:t>
      </w:r>
      <w:r>
        <w:rPr>
          <w:spacing w:val="-6"/>
        </w:rPr>
        <w:t xml:space="preserve"> </w:t>
      </w:r>
      <w:r>
        <w:t>специализированных профилактических и реконструктивных подходов именно для данной группы высокого риска.</w:t>
      </w:r>
    </w:p>
    <w:p w14:paraId="178B9C1C">
      <w:pPr>
        <w:pStyle w:val="7"/>
        <w:spacing w:before="320"/>
        <w:ind w:left="0" w:right="3" w:firstLine="0"/>
      </w:pPr>
      <w:r>
        <w:t>Таблица 16 - Сравнительная характеристика послеоперационных результатов у пациентов, перенесших ГПДР, в зависимости от диаметра ПП (2016-2022 гг.)</w:t>
      </w:r>
    </w:p>
    <w:p w14:paraId="61F0A008">
      <w:pPr>
        <w:pStyle w:val="7"/>
        <w:spacing w:before="160"/>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5"/>
        <w:gridCol w:w="1984"/>
        <w:gridCol w:w="1985"/>
        <w:gridCol w:w="1275"/>
      </w:tblGrid>
      <w:tr w14:paraId="258EE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vMerge w:val="restart"/>
          </w:tcPr>
          <w:p w14:paraId="67384625">
            <w:pPr>
              <w:pStyle w:val="11"/>
              <w:spacing w:line="301" w:lineRule="exact"/>
              <w:ind w:left="14" w:right="11"/>
              <w:rPr>
                <w:sz w:val="24"/>
                <w:szCs w:val="24"/>
              </w:rPr>
            </w:pPr>
            <w:r>
              <w:rPr>
                <w:spacing w:val="-2"/>
                <w:sz w:val="24"/>
                <w:szCs w:val="24"/>
              </w:rPr>
              <w:t>Показатели</w:t>
            </w:r>
          </w:p>
        </w:tc>
        <w:tc>
          <w:tcPr>
            <w:tcW w:w="1984" w:type="dxa"/>
          </w:tcPr>
          <w:p w14:paraId="74E7E137">
            <w:pPr>
              <w:pStyle w:val="11"/>
              <w:spacing w:line="301" w:lineRule="exact"/>
              <w:ind w:left="590"/>
              <w:jc w:val="left"/>
              <w:rPr>
                <w:sz w:val="24"/>
                <w:szCs w:val="24"/>
              </w:rPr>
            </w:pPr>
            <w:r>
              <w:rPr>
                <w:sz w:val="24"/>
                <w:szCs w:val="24"/>
              </w:rPr>
              <w:t>≤5</w:t>
            </w:r>
            <w:r>
              <w:rPr>
                <w:spacing w:val="-1"/>
                <w:sz w:val="24"/>
                <w:szCs w:val="24"/>
              </w:rPr>
              <w:t xml:space="preserve"> </w:t>
            </w:r>
            <w:r>
              <w:rPr>
                <w:spacing w:val="-5"/>
                <w:sz w:val="24"/>
                <w:szCs w:val="24"/>
              </w:rPr>
              <w:t>мм</w:t>
            </w:r>
          </w:p>
        </w:tc>
        <w:tc>
          <w:tcPr>
            <w:tcW w:w="1985" w:type="dxa"/>
          </w:tcPr>
          <w:p w14:paraId="7EB7EAC5">
            <w:pPr>
              <w:pStyle w:val="11"/>
              <w:spacing w:line="301" w:lineRule="exact"/>
              <w:ind w:left="625"/>
              <w:jc w:val="left"/>
              <w:rPr>
                <w:sz w:val="24"/>
                <w:szCs w:val="24"/>
              </w:rPr>
            </w:pPr>
            <w:r>
              <w:rPr>
                <w:sz w:val="24"/>
                <w:szCs w:val="24"/>
              </w:rPr>
              <w:t>&gt;5</w:t>
            </w:r>
            <w:r>
              <w:rPr>
                <w:spacing w:val="-1"/>
                <w:sz w:val="24"/>
                <w:szCs w:val="24"/>
              </w:rPr>
              <w:t xml:space="preserve"> </w:t>
            </w:r>
            <w:r>
              <w:rPr>
                <w:spacing w:val="-5"/>
                <w:sz w:val="24"/>
                <w:szCs w:val="24"/>
              </w:rPr>
              <w:t>мм</w:t>
            </w:r>
          </w:p>
        </w:tc>
        <w:tc>
          <w:tcPr>
            <w:tcW w:w="1275" w:type="dxa"/>
          </w:tcPr>
          <w:p w14:paraId="70B68811">
            <w:pPr>
              <w:pStyle w:val="11"/>
              <w:spacing w:line="301" w:lineRule="exact"/>
              <w:ind w:left="226"/>
              <w:jc w:val="left"/>
              <w:rPr>
                <w:sz w:val="24"/>
                <w:szCs w:val="24"/>
              </w:rPr>
            </w:pPr>
            <w:r>
              <w:rPr>
                <w:spacing w:val="-2"/>
                <w:sz w:val="24"/>
                <w:szCs w:val="24"/>
              </w:rPr>
              <w:t>P-value</w:t>
            </w:r>
          </w:p>
        </w:tc>
      </w:tr>
      <w:tr w14:paraId="19364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vMerge w:val="continue"/>
          </w:tcPr>
          <w:p w14:paraId="75791F0E">
            <w:pPr>
              <w:pStyle w:val="11"/>
              <w:spacing w:line="240" w:lineRule="auto"/>
              <w:jc w:val="left"/>
              <w:rPr>
                <w:sz w:val="24"/>
                <w:szCs w:val="24"/>
              </w:rPr>
            </w:pPr>
          </w:p>
        </w:tc>
        <w:tc>
          <w:tcPr>
            <w:tcW w:w="1984" w:type="dxa"/>
          </w:tcPr>
          <w:p w14:paraId="42A95505">
            <w:pPr>
              <w:pStyle w:val="11"/>
              <w:spacing w:line="301" w:lineRule="exact"/>
              <w:ind w:left="11"/>
              <w:rPr>
                <w:sz w:val="24"/>
                <w:szCs w:val="24"/>
              </w:rPr>
            </w:pPr>
            <w:r>
              <w:rPr>
                <w:spacing w:val="-2"/>
                <w:sz w:val="24"/>
                <w:szCs w:val="24"/>
              </w:rPr>
              <w:t>(n=148)</w:t>
            </w:r>
          </w:p>
        </w:tc>
        <w:tc>
          <w:tcPr>
            <w:tcW w:w="1985" w:type="dxa"/>
          </w:tcPr>
          <w:p w14:paraId="752F813F">
            <w:pPr>
              <w:pStyle w:val="11"/>
              <w:spacing w:line="301" w:lineRule="exact"/>
              <w:ind w:left="17" w:right="10"/>
              <w:rPr>
                <w:sz w:val="24"/>
                <w:szCs w:val="24"/>
              </w:rPr>
            </w:pPr>
            <w:r>
              <w:rPr>
                <w:spacing w:val="-2"/>
                <w:sz w:val="24"/>
                <w:szCs w:val="24"/>
              </w:rPr>
              <w:t>(n=60)</w:t>
            </w:r>
          </w:p>
        </w:tc>
        <w:tc>
          <w:tcPr>
            <w:tcW w:w="1275" w:type="dxa"/>
          </w:tcPr>
          <w:p w14:paraId="3A7E4553">
            <w:pPr>
              <w:pStyle w:val="11"/>
              <w:spacing w:line="240" w:lineRule="auto"/>
              <w:jc w:val="left"/>
              <w:rPr>
                <w:sz w:val="24"/>
                <w:szCs w:val="24"/>
              </w:rPr>
            </w:pPr>
          </w:p>
        </w:tc>
      </w:tr>
      <w:tr w14:paraId="6231F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4395" w:type="dxa"/>
          </w:tcPr>
          <w:p w14:paraId="52A73277">
            <w:pPr>
              <w:pStyle w:val="11"/>
              <w:spacing w:line="315" w:lineRule="exact"/>
              <w:ind w:left="110"/>
              <w:jc w:val="left"/>
              <w:rPr>
                <w:sz w:val="24"/>
                <w:szCs w:val="24"/>
              </w:rPr>
            </w:pPr>
            <w:r>
              <w:rPr>
                <w:sz w:val="24"/>
                <w:szCs w:val="24"/>
              </w:rPr>
              <w:t>Панкреатические</w:t>
            </w:r>
            <w:r>
              <w:rPr>
                <w:spacing w:val="-8"/>
                <w:sz w:val="24"/>
                <w:szCs w:val="24"/>
              </w:rPr>
              <w:t xml:space="preserve"> </w:t>
            </w:r>
            <w:r>
              <w:rPr>
                <w:sz w:val="24"/>
                <w:szCs w:val="24"/>
              </w:rPr>
              <w:t>свищи,</w:t>
            </w:r>
            <w:r>
              <w:rPr>
                <w:spacing w:val="-7"/>
                <w:sz w:val="24"/>
                <w:szCs w:val="24"/>
              </w:rPr>
              <w:t xml:space="preserve"> </w:t>
            </w:r>
            <w:r>
              <w:rPr>
                <w:sz w:val="24"/>
                <w:szCs w:val="24"/>
              </w:rPr>
              <w:t>n</w:t>
            </w:r>
            <w:r>
              <w:rPr>
                <w:spacing w:val="-12"/>
                <w:sz w:val="24"/>
                <w:szCs w:val="24"/>
              </w:rPr>
              <w:t xml:space="preserve"> </w:t>
            </w:r>
            <w:r>
              <w:rPr>
                <w:spacing w:val="-4"/>
                <w:sz w:val="24"/>
                <w:szCs w:val="24"/>
              </w:rPr>
              <w:t>(%):</w:t>
            </w:r>
          </w:p>
          <w:p w14:paraId="7347E61B">
            <w:pPr>
              <w:pStyle w:val="11"/>
              <w:spacing w:line="240" w:lineRule="auto"/>
              <w:ind w:left="1791"/>
              <w:jc w:val="left"/>
              <w:rPr>
                <w:sz w:val="24"/>
                <w:szCs w:val="24"/>
              </w:rPr>
            </w:pPr>
            <w:r>
              <w:rPr>
                <w:sz w:val="24"/>
                <w:szCs w:val="24"/>
              </w:rPr>
              <w:t>Степень</w:t>
            </w:r>
            <w:r>
              <w:rPr>
                <w:spacing w:val="-8"/>
                <w:sz w:val="24"/>
                <w:szCs w:val="24"/>
              </w:rPr>
              <w:t xml:space="preserve"> </w:t>
            </w:r>
            <w:r>
              <w:rPr>
                <w:spacing w:val="-10"/>
                <w:sz w:val="24"/>
                <w:szCs w:val="24"/>
              </w:rPr>
              <w:t>A</w:t>
            </w:r>
          </w:p>
          <w:p w14:paraId="285382B6">
            <w:pPr>
              <w:pStyle w:val="11"/>
              <w:spacing w:line="322" w:lineRule="exact"/>
              <w:ind w:left="1791" w:right="1411"/>
              <w:jc w:val="left"/>
              <w:rPr>
                <w:sz w:val="24"/>
                <w:szCs w:val="24"/>
              </w:rPr>
            </w:pPr>
            <w:r>
              <w:rPr>
                <w:sz w:val="24"/>
                <w:szCs w:val="24"/>
              </w:rPr>
              <w:t>Степень</w:t>
            </w:r>
            <w:r>
              <w:rPr>
                <w:spacing w:val="-18"/>
                <w:sz w:val="24"/>
                <w:szCs w:val="24"/>
              </w:rPr>
              <w:t xml:space="preserve"> </w:t>
            </w:r>
            <w:r>
              <w:rPr>
                <w:sz w:val="24"/>
                <w:szCs w:val="24"/>
              </w:rPr>
              <w:t>B Степень</w:t>
            </w:r>
            <w:r>
              <w:rPr>
                <w:spacing w:val="-13"/>
                <w:sz w:val="24"/>
                <w:szCs w:val="24"/>
              </w:rPr>
              <w:t xml:space="preserve"> </w:t>
            </w:r>
            <w:r>
              <w:rPr>
                <w:spacing w:val="-10"/>
                <w:sz w:val="24"/>
                <w:szCs w:val="24"/>
              </w:rPr>
              <w:t>C</w:t>
            </w:r>
          </w:p>
        </w:tc>
        <w:tc>
          <w:tcPr>
            <w:tcW w:w="1984" w:type="dxa"/>
          </w:tcPr>
          <w:p w14:paraId="26CA3EFC">
            <w:pPr>
              <w:pStyle w:val="11"/>
              <w:spacing w:before="314" w:line="240" w:lineRule="auto"/>
              <w:ind w:left="321"/>
              <w:jc w:val="left"/>
              <w:rPr>
                <w:sz w:val="24"/>
                <w:szCs w:val="24"/>
              </w:rPr>
            </w:pPr>
            <w:r>
              <w:rPr>
                <w:sz w:val="24"/>
                <w:szCs w:val="24"/>
              </w:rPr>
              <w:t>31</w:t>
            </w:r>
            <w:r>
              <w:rPr>
                <w:spacing w:val="-1"/>
                <w:sz w:val="24"/>
                <w:szCs w:val="24"/>
              </w:rPr>
              <w:t xml:space="preserve"> </w:t>
            </w:r>
            <w:r>
              <w:rPr>
                <w:spacing w:val="-2"/>
                <w:sz w:val="24"/>
                <w:szCs w:val="24"/>
              </w:rPr>
              <w:t>(20,9%)</w:t>
            </w:r>
          </w:p>
          <w:p w14:paraId="37DF0C3C">
            <w:pPr>
              <w:pStyle w:val="11"/>
              <w:spacing w:line="322" w:lineRule="exact"/>
              <w:ind w:left="321"/>
              <w:jc w:val="left"/>
              <w:rPr>
                <w:sz w:val="24"/>
                <w:szCs w:val="24"/>
              </w:rPr>
            </w:pPr>
            <w:r>
              <w:rPr>
                <w:sz w:val="24"/>
                <w:szCs w:val="24"/>
              </w:rPr>
              <w:t>39</w:t>
            </w:r>
            <w:r>
              <w:rPr>
                <w:spacing w:val="-2"/>
                <w:sz w:val="24"/>
                <w:szCs w:val="24"/>
              </w:rPr>
              <w:t xml:space="preserve"> (26,3%)</w:t>
            </w:r>
          </w:p>
          <w:p w14:paraId="02E5269A">
            <w:pPr>
              <w:pStyle w:val="11"/>
              <w:ind w:left="388"/>
              <w:jc w:val="left"/>
              <w:rPr>
                <w:sz w:val="24"/>
                <w:szCs w:val="24"/>
              </w:rPr>
            </w:pPr>
            <w:r>
              <w:rPr>
                <w:sz w:val="24"/>
                <w:szCs w:val="24"/>
              </w:rPr>
              <w:t>11</w:t>
            </w:r>
            <w:r>
              <w:rPr>
                <w:spacing w:val="-2"/>
                <w:sz w:val="24"/>
                <w:szCs w:val="24"/>
              </w:rPr>
              <w:t xml:space="preserve"> (7,4%)</w:t>
            </w:r>
          </w:p>
        </w:tc>
        <w:tc>
          <w:tcPr>
            <w:tcW w:w="1985" w:type="dxa"/>
          </w:tcPr>
          <w:p w14:paraId="2C069C64">
            <w:pPr>
              <w:pStyle w:val="11"/>
              <w:spacing w:before="314" w:line="240" w:lineRule="auto"/>
              <w:ind w:left="495"/>
              <w:jc w:val="left"/>
              <w:rPr>
                <w:sz w:val="24"/>
                <w:szCs w:val="24"/>
              </w:rPr>
            </w:pPr>
            <w:r>
              <w:rPr>
                <w:sz w:val="24"/>
                <w:szCs w:val="24"/>
              </w:rPr>
              <w:t>4</w:t>
            </w:r>
            <w:r>
              <w:rPr>
                <w:spacing w:val="-1"/>
                <w:sz w:val="24"/>
                <w:szCs w:val="24"/>
              </w:rPr>
              <w:t xml:space="preserve"> </w:t>
            </w:r>
            <w:r>
              <w:rPr>
                <w:spacing w:val="-2"/>
                <w:sz w:val="24"/>
                <w:szCs w:val="24"/>
              </w:rPr>
              <w:t>(6,7%)</w:t>
            </w:r>
          </w:p>
          <w:p w14:paraId="14AA75E2">
            <w:pPr>
              <w:pStyle w:val="11"/>
              <w:spacing w:line="322" w:lineRule="exact"/>
              <w:ind w:left="495"/>
              <w:jc w:val="left"/>
              <w:rPr>
                <w:sz w:val="24"/>
                <w:szCs w:val="24"/>
              </w:rPr>
            </w:pPr>
            <w:r>
              <w:rPr>
                <w:sz w:val="24"/>
                <w:szCs w:val="24"/>
              </w:rPr>
              <w:t>2</w:t>
            </w:r>
            <w:r>
              <w:rPr>
                <w:spacing w:val="-1"/>
                <w:sz w:val="24"/>
                <w:szCs w:val="24"/>
              </w:rPr>
              <w:t xml:space="preserve"> </w:t>
            </w:r>
            <w:r>
              <w:rPr>
                <w:spacing w:val="-2"/>
                <w:sz w:val="24"/>
                <w:szCs w:val="24"/>
              </w:rPr>
              <w:t>(3,4%)</w:t>
            </w:r>
          </w:p>
          <w:p w14:paraId="6A792981">
            <w:pPr>
              <w:pStyle w:val="11"/>
              <w:ind w:left="601"/>
              <w:jc w:val="left"/>
              <w:rPr>
                <w:sz w:val="24"/>
                <w:szCs w:val="24"/>
              </w:rPr>
            </w:pPr>
            <w:r>
              <w:rPr>
                <w:sz w:val="24"/>
                <w:szCs w:val="24"/>
              </w:rPr>
              <w:t>0</w:t>
            </w:r>
            <w:r>
              <w:rPr>
                <w:spacing w:val="-1"/>
                <w:sz w:val="24"/>
                <w:szCs w:val="24"/>
              </w:rPr>
              <w:t xml:space="preserve"> </w:t>
            </w:r>
            <w:r>
              <w:rPr>
                <w:spacing w:val="-4"/>
                <w:sz w:val="24"/>
                <w:szCs w:val="24"/>
              </w:rPr>
              <w:t>(0%)</w:t>
            </w:r>
          </w:p>
        </w:tc>
        <w:tc>
          <w:tcPr>
            <w:tcW w:w="1275" w:type="dxa"/>
          </w:tcPr>
          <w:p w14:paraId="453A21DD">
            <w:pPr>
              <w:pStyle w:val="11"/>
              <w:spacing w:line="315" w:lineRule="exact"/>
              <w:ind w:left="21"/>
              <w:rPr>
                <w:sz w:val="24"/>
                <w:szCs w:val="24"/>
              </w:rPr>
            </w:pPr>
            <w:r>
              <w:rPr>
                <w:spacing w:val="-2"/>
                <w:sz w:val="24"/>
                <w:szCs w:val="24"/>
              </w:rPr>
              <w:t>&lt;0,001</w:t>
            </w:r>
            <w:r>
              <w:rPr>
                <w:spacing w:val="-2"/>
                <w:sz w:val="24"/>
                <w:szCs w:val="24"/>
                <w:vertAlign w:val="superscript"/>
              </w:rPr>
              <w:t>***</w:t>
            </w:r>
          </w:p>
        </w:tc>
      </w:tr>
      <w:tr w14:paraId="29D71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0C5B01A4">
            <w:pPr>
              <w:pStyle w:val="11"/>
              <w:spacing w:line="301" w:lineRule="exact"/>
              <w:ind w:left="110"/>
              <w:jc w:val="left"/>
              <w:rPr>
                <w:sz w:val="24"/>
                <w:szCs w:val="24"/>
              </w:rPr>
            </w:pPr>
            <w:r>
              <w:rPr>
                <w:sz w:val="24"/>
                <w:szCs w:val="24"/>
              </w:rPr>
              <w:t>КЗ-ПС</w:t>
            </w:r>
            <w:r>
              <w:rPr>
                <w:spacing w:val="-5"/>
                <w:sz w:val="24"/>
                <w:szCs w:val="24"/>
              </w:rPr>
              <w:t xml:space="preserve"> </w:t>
            </w:r>
            <w:r>
              <w:rPr>
                <w:sz w:val="24"/>
                <w:szCs w:val="24"/>
              </w:rPr>
              <w:t>(B/C),</w:t>
            </w:r>
            <w:r>
              <w:rPr>
                <w:spacing w:val="-2"/>
                <w:sz w:val="24"/>
                <w:szCs w:val="24"/>
              </w:rPr>
              <w:t xml:space="preserve"> </w:t>
            </w:r>
            <w:r>
              <w:rPr>
                <w:sz w:val="24"/>
                <w:szCs w:val="24"/>
              </w:rPr>
              <w:t>n</w:t>
            </w:r>
            <w:r>
              <w:rPr>
                <w:spacing w:val="-9"/>
                <w:sz w:val="24"/>
                <w:szCs w:val="24"/>
              </w:rPr>
              <w:t xml:space="preserve"> </w:t>
            </w:r>
            <w:r>
              <w:rPr>
                <w:spacing w:val="-5"/>
                <w:sz w:val="24"/>
                <w:szCs w:val="24"/>
              </w:rPr>
              <w:t>(%)</w:t>
            </w:r>
          </w:p>
        </w:tc>
        <w:tc>
          <w:tcPr>
            <w:tcW w:w="1984" w:type="dxa"/>
          </w:tcPr>
          <w:p w14:paraId="1A5AB06B">
            <w:pPr>
              <w:pStyle w:val="11"/>
              <w:spacing w:line="301" w:lineRule="exact"/>
              <w:ind w:left="11"/>
              <w:rPr>
                <w:sz w:val="24"/>
                <w:szCs w:val="24"/>
              </w:rPr>
            </w:pPr>
            <w:r>
              <w:rPr>
                <w:sz w:val="24"/>
                <w:szCs w:val="24"/>
              </w:rPr>
              <w:t>50</w:t>
            </w:r>
            <w:r>
              <w:rPr>
                <w:spacing w:val="-2"/>
                <w:sz w:val="24"/>
                <w:szCs w:val="24"/>
              </w:rPr>
              <w:t xml:space="preserve"> (33,7%)</w:t>
            </w:r>
          </w:p>
        </w:tc>
        <w:tc>
          <w:tcPr>
            <w:tcW w:w="1985" w:type="dxa"/>
          </w:tcPr>
          <w:p w14:paraId="242EC96C">
            <w:pPr>
              <w:pStyle w:val="11"/>
              <w:spacing w:line="301" w:lineRule="exact"/>
              <w:ind w:left="17" w:right="5"/>
              <w:rPr>
                <w:sz w:val="24"/>
                <w:szCs w:val="24"/>
              </w:rPr>
            </w:pPr>
            <w:r>
              <w:rPr>
                <w:sz w:val="24"/>
                <w:szCs w:val="24"/>
              </w:rPr>
              <w:t>2</w:t>
            </w:r>
            <w:r>
              <w:rPr>
                <w:spacing w:val="-1"/>
                <w:sz w:val="24"/>
                <w:szCs w:val="24"/>
              </w:rPr>
              <w:t xml:space="preserve"> </w:t>
            </w:r>
            <w:r>
              <w:rPr>
                <w:spacing w:val="-2"/>
                <w:sz w:val="24"/>
                <w:szCs w:val="24"/>
              </w:rPr>
              <w:t>(3,4%)</w:t>
            </w:r>
          </w:p>
        </w:tc>
        <w:tc>
          <w:tcPr>
            <w:tcW w:w="1275" w:type="dxa"/>
          </w:tcPr>
          <w:p w14:paraId="31F1F1D4">
            <w:pPr>
              <w:pStyle w:val="11"/>
              <w:spacing w:line="301" w:lineRule="exact"/>
              <w:ind w:left="21"/>
              <w:rPr>
                <w:sz w:val="24"/>
                <w:szCs w:val="24"/>
              </w:rPr>
            </w:pPr>
            <w:r>
              <w:rPr>
                <w:spacing w:val="-2"/>
                <w:sz w:val="24"/>
                <w:szCs w:val="24"/>
              </w:rPr>
              <w:t>&lt;0,001</w:t>
            </w:r>
            <w:r>
              <w:rPr>
                <w:spacing w:val="-2"/>
                <w:sz w:val="24"/>
                <w:szCs w:val="24"/>
                <w:vertAlign w:val="superscript"/>
              </w:rPr>
              <w:t>***</w:t>
            </w:r>
          </w:p>
        </w:tc>
      </w:tr>
      <w:tr w14:paraId="6A35D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3AC0B003">
            <w:pPr>
              <w:pStyle w:val="11"/>
              <w:spacing w:line="301" w:lineRule="exact"/>
              <w:ind w:left="110"/>
              <w:jc w:val="left"/>
              <w:rPr>
                <w:sz w:val="24"/>
                <w:szCs w:val="24"/>
              </w:rPr>
            </w:pPr>
            <w:r>
              <w:rPr>
                <w:sz w:val="24"/>
                <w:szCs w:val="24"/>
              </w:rPr>
              <w:t>Кровотечение,</w:t>
            </w:r>
            <w:r>
              <w:rPr>
                <w:spacing w:val="-6"/>
                <w:sz w:val="24"/>
                <w:szCs w:val="24"/>
              </w:rPr>
              <w:t xml:space="preserve"> </w:t>
            </w:r>
            <w:r>
              <w:rPr>
                <w:sz w:val="24"/>
                <w:szCs w:val="24"/>
              </w:rPr>
              <w:t>n</w:t>
            </w:r>
            <w:r>
              <w:rPr>
                <w:spacing w:val="-11"/>
                <w:sz w:val="24"/>
                <w:szCs w:val="24"/>
              </w:rPr>
              <w:t xml:space="preserve"> </w:t>
            </w:r>
            <w:r>
              <w:rPr>
                <w:spacing w:val="-5"/>
                <w:sz w:val="24"/>
                <w:szCs w:val="24"/>
              </w:rPr>
              <w:t>(%)</w:t>
            </w:r>
          </w:p>
        </w:tc>
        <w:tc>
          <w:tcPr>
            <w:tcW w:w="1984" w:type="dxa"/>
          </w:tcPr>
          <w:p w14:paraId="0D2D3D88">
            <w:pPr>
              <w:pStyle w:val="11"/>
              <w:spacing w:line="301" w:lineRule="exact"/>
              <w:ind w:left="11"/>
              <w:rPr>
                <w:sz w:val="24"/>
                <w:szCs w:val="24"/>
              </w:rPr>
            </w:pPr>
            <w:r>
              <w:rPr>
                <w:sz w:val="24"/>
                <w:szCs w:val="24"/>
              </w:rPr>
              <w:t>5</w:t>
            </w:r>
            <w:r>
              <w:rPr>
                <w:spacing w:val="-1"/>
                <w:sz w:val="24"/>
                <w:szCs w:val="24"/>
              </w:rPr>
              <w:t xml:space="preserve"> </w:t>
            </w:r>
            <w:r>
              <w:rPr>
                <w:spacing w:val="-2"/>
                <w:sz w:val="24"/>
                <w:szCs w:val="24"/>
              </w:rPr>
              <w:t>(3,3%)</w:t>
            </w:r>
          </w:p>
        </w:tc>
        <w:tc>
          <w:tcPr>
            <w:tcW w:w="1985" w:type="dxa"/>
          </w:tcPr>
          <w:p w14:paraId="1B9E471A">
            <w:pPr>
              <w:pStyle w:val="11"/>
              <w:spacing w:line="301" w:lineRule="exact"/>
              <w:ind w:left="17" w:right="5"/>
              <w:rPr>
                <w:sz w:val="24"/>
                <w:szCs w:val="24"/>
              </w:rPr>
            </w:pPr>
            <w:r>
              <w:rPr>
                <w:sz w:val="24"/>
                <w:szCs w:val="24"/>
              </w:rPr>
              <w:t>1</w:t>
            </w:r>
            <w:r>
              <w:rPr>
                <w:spacing w:val="-1"/>
                <w:sz w:val="24"/>
                <w:szCs w:val="24"/>
              </w:rPr>
              <w:t xml:space="preserve"> </w:t>
            </w:r>
            <w:r>
              <w:rPr>
                <w:spacing w:val="-2"/>
                <w:sz w:val="24"/>
                <w:szCs w:val="24"/>
              </w:rPr>
              <w:t>(1,7%)</w:t>
            </w:r>
          </w:p>
        </w:tc>
        <w:tc>
          <w:tcPr>
            <w:tcW w:w="1275" w:type="dxa"/>
          </w:tcPr>
          <w:p w14:paraId="221A68DE">
            <w:pPr>
              <w:pStyle w:val="11"/>
              <w:spacing w:line="301" w:lineRule="exact"/>
              <w:ind w:left="21" w:right="10"/>
              <w:rPr>
                <w:sz w:val="24"/>
                <w:szCs w:val="24"/>
              </w:rPr>
            </w:pPr>
            <w:r>
              <w:rPr>
                <w:spacing w:val="-4"/>
                <w:sz w:val="24"/>
                <w:szCs w:val="24"/>
              </w:rPr>
              <w:t>1,000</w:t>
            </w:r>
          </w:p>
        </w:tc>
      </w:tr>
      <w:tr w14:paraId="268C1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395" w:type="dxa"/>
          </w:tcPr>
          <w:p w14:paraId="2F8D89F5">
            <w:pPr>
              <w:pStyle w:val="11"/>
              <w:spacing w:line="322" w:lineRule="exact"/>
              <w:ind w:left="110" w:right="635"/>
              <w:jc w:val="left"/>
              <w:rPr>
                <w:sz w:val="24"/>
                <w:szCs w:val="24"/>
              </w:rPr>
            </w:pPr>
            <w:r>
              <w:rPr>
                <w:sz w:val="24"/>
                <w:szCs w:val="24"/>
              </w:rPr>
              <w:t>Кровотечение</w:t>
            </w:r>
            <w:r>
              <w:rPr>
                <w:spacing w:val="-18"/>
                <w:sz w:val="24"/>
                <w:szCs w:val="24"/>
              </w:rPr>
              <w:t xml:space="preserve"> </w:t>
            </w:r>
            <w:r>
              <w:rPr>
                <w:sz w:val="24"/>
                <w:szCs w:val="24"/>
              </w:rPr>
              <w:t>связанное</w:t>
            </w:r>
            <w:r>
              <w:rPr>
                <w:spacing w:val="-17"/>
                <w:sz w:val="24"/>
                <w:szCs w:val="24"/>
              </w:rPr>
              <w:t xml:space="preserve"> </w:t>
            </w:r>
            <w:r>
              <w:rPr>
                <w:sz w:val="24"/>
                <w:szCs w:val="24"/>
              </w:rPr>
              <w:t>со свищем, n (%)</w:t>
            </w:r>
          </w:p>
        </w:tc>
        <w:tc>
          <w:tcPr>
            <w:tcW w:w="1984" w:type="dxa"/>
          </w:tcPr>
          <w:p w14:paraId="63F23C97">
            <w:pPr>
              <w:pStyle w:val="11"/>
              <w:spacing w:line="320" w:lineRule="exact"/>
              <w:ind w:left="11" w:right="5"/>
              <w:rPr>
                <w:sz w:val="24"/>
                <w:szCs w:val="24"/>
              </w:rPr>
            </w:pPr>
            <w:r>
              <w:rPr>
                <w:sz w:val="24"/>
                <w:szCs w:val="24"/>
              </w:rPr>
              <w:t>11</w:t>
            </w:r>
            <w:r>
              <w:rPr>
                <w:spacing w:val="-2"/>
                <w:sz w:val="24"/>
                <w:szCs w:val="24"/>
              </w:rPr>
              <w:t xml:space="preserve"> (7,4%)</w:t>
            </w:r>
          </w:p>
        </w:tc>
        <w:tc>
          <w:tcPr>
            <w:tcW w:w="1985" w:type="dxa"/>
          </w:tcPr>
          <w:p w14:paraId="5F0B5CB9">
            <w:pPr>
              <w:pStyle w:val="11"/>
              <w:spacing w:line="320" w:lineRule="exact"/>
              <w:ind w:left="17" w:right="4"/>
              <w:rPr>
                <w:sz w:val="24"/>
                <w:szCs w:val="24"/>
              </w:rPr>
            </w:pPr>
            <w:r>
              <w:rPr>
                <w:sz w:val="24"/>
                <w:szCs w:val="24"/>
              </w:rPr>
              <w:t>0</w:t>
            </w:r>
            <w:r>
              <w:rPr>
                <w:spacing w:val="-1"/>
                <w:sz w:val="24"/>
                <w:szCs w:val="24"/>
              </w:rPr>
              <w:t xml:space="preserve"> </w:t>
            </w:r>
            <w:r>
              <w:rPr>
                <w:spacing w:val="-4"/>
                <w:sz w:val="24"/>
                <w:szCs w:val="24"/>
              </w:rPr>
              <w:t>(0%)</w:t>
            </w:r>
          </w:p>
        </w:tc>
        <w:tc>
          <w:tcPr>
            <w:tcW w:w="1275" w:type="dxa"/>
          </w:tcPr>
          <w:p w14:paraId="51F10650">
            <w:pPr>
              <w:pStyle w:val="11"/>
              <w:spacing w:line="320" w:lineRule="exact"/>
              <w:ind w:left="21" w:right="5"/>
              <w:rPr>
                <w:sz w:val="24"/>
                <w:szCs w:val="24"/>
              </w:rPr>
            </w:pPr>
            <w:r>
              <w:rPr>
                <w:spacing w:val="-2"/>
                <w:sz w:val="24"/>
                <w:szCs w:val="24"/>
              </w:rPr>
              <w:t>0,032</w:t>
            </w:r>
            <w:r>
              <w:rPr>
                <w:spacing w:val="-2"/>
                <w:sz w:val="24"/>
                <w:szCs w:val="24"/>
                <w:vertAlign w:val="superscript"/>
              </w:rPr>
              <w:t>*</w:t>
            </w:r>
          </w:p>
        </w:tc>
      </w:tr>
      <w:tr w14:paraId="2FAE7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66FAC8B0">
            <w:pPr>
              <w:pStyle w:val="11"/>
              <w:spacing w:line="301" w:lineRule="exact"/>
              <w:ind w:left="110"/>
              <w:jc w:val="left"/>
              <w:rPr>
                <w:sz w:val="24"/>
                <w:szCs w:val="24"/>
              </w:rPr>
            </w:pPr>
            <w:r>
              <w:rPr>
                <w:sz w:val="24"/>
                <w:szCs w:val="24"/>
              </w:rPr>
              <w:t>Гастростаз,</w:t>
            </w:r>
            <w:r>
              <w:rPr>
                <w:spacing w:val="-4"/>
                <w:sz w:val="24"/>
                <w:szCs w:val="24"/>
              </w:rPr>
              <w:t xml:space="preserve"> </w:t>
            </w:r>
            <w:r>
              <w:rPr>
                <w:sz w:val="24"/>
                <w:szCs w:val="24"/>
              </w:rPr>
              <w:t>n</w:t>
            </w:r>
            <w:r>
              <w:rPr>
                <w:spacing w:val="-11"/>
                <w:sz w:val="24"/>
                <w:szCs w:val="24"/>
              </w:rPr>
              <w:t xml:space="preserve"> </w:t>
            </w:r>
            <w:r>
              <w:rPr>
                <w:spacing w:val="-5"/>
                <w:sz w:val="24"/>
                <w:szCs w:val="24"/>
              </w:rPr>
              <w:t>(%)</w:t>
            </w:r>
          </w:p>
        </w:tc>
        <w:tc>
          <w:tcPr>
            <w:tcW w:w="1984" w:type="dxa"/>
          </w:tcPr>
          <w:p w14:paraId="3DF1FA81">
            <w:pPr>
              <w:pStyle w:val="11"/>
              <w:spacing w:line="301" w:lineRule="exact"/>
              <w:ind w:left="11"/>
              <w:rPr>
                <w:sz w:val="24"/>
                <w:szCs w:val="24"/>
              </w:rPr>
            </w:pPr>
            <w:r>
              <w:rPr>
                <w:sz w:val="24"/>
                <w:szCs w:val="24"/>
              </w:rPr>
              <w:t xml:space="preserve">7 </w:t>
            </w:r>
            <w:r>
              <w:rPr>
                <w:spacing w:val="-2"/>
                <w:sz w:val="24"/>
                <w:szCs w:val="24"/>
              </w:rPr>
              <w:t>(4,7%)</w:t>
            </w:r>
          </w:p>
        </w:tc>
        <w:tc>
          <w:tcPr>
            <w:tcW w:w="1985" w:type="dxa"/>
          </w:tcPr>
          <w:p w14:paraId="0723F64B">
            <w:pPr>
              <w:pStyle w:val="11"/>
              <w:spacing w:line="301" w:lineRule="exact"/>
              <w:ind w:left="17" w:right="5"/>
              <w:rPr>
                <w:sz w:val="24"/>
                <w:szCs w:val="24"/>
              </w:rPr>
            </w:pPr>
            <w:r>
              <w:rPr>
                <w:sz w:val="24"/>
                <w:szCs w:val="24"/>
              </w:rPr>
              <w:t>2</w:t>
            </w:r>
            <w:r>
              <w:rPr>
                <w:spacing w:val="-1"/>
                <w:sz w:val="24"/>
                <w:szCs w:val="24"/>
              </w:rPr>
              <w:t xml:space="preserve"> </w:t>
            </w:r>
            <w:r>
              <w:rPr>
                <w:spacing w:val="-2"/>
                <w:sz w:val="24"/>
                <w:szCs w:val="24"/>
              </w:rPr>
              <w:t>(3,4%)</w:t>
            </w:r>
          </w:p>
        </w:tc>
        <w:tc>
          <w:tcPr>
            <w:tcW w:w="1275" w:type="dxa"/>
          </w:tcPr>
          <w:p w14:paraId="09AC3D0B">
            <w:pPr>
              <w:pStyle w:val="11"/>
              <w:spacing w:line="301" w:lineRule="exact"/>
              <w:ind w:left="21" w:right="10"/>
              <w:rPr>
                <w:sz w:val="24"/>
                <w:szCs w:val="24"/>
              </w:rPr>
            </w:pPr>
            <w:r>
              <w:rPr>
                <w:spacing w:val="-4"/>
                <w:sz w:val="24"/>
                <w:szCs w:val="24"/>
              </w:rPr>
              <w:t>1,000</w:t>
            </w:r>
          </w:p>
        </w:tc>
      </w:tr>
      <w:tr w14:paraId="7898E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545A52EE">
            <w:pPr>
              <w:pStyle w:val="11"/>
              <w:spacing w:line="301" w:lineRule="exact"/>
              <w:ind w:left="110"/>
              <w:jc w:val="left"/>
              <w:rPr>
                <w:sz w:val="24"/>
                <w:szCs w:val="24"/>
              </w:rPr>
            </w:pPr>
            <w:r>
              <w:rPr>
                <w:sz w:val="24"/>
                <w:szCs w:val="24"/>
              </w:rPr>
              <w:t>Билиарный</w:t>
            </w:r>
            <w:r>
              <w:rPr>
                <w:spacing w:val="-6"/>
                <w:sz w:val="24"/>
                <w:szCs w:val="24"/>
              </w:rPr>
              <w:t xml:space="preserve"> </w:t>
            </w:r>
            <w:r>
              <w:rPr>
                <w:sz w:val="24"/>
                <w:szCs w:val="24"/>
              </w:rPr>
              <w:t>свищ,</w:t>
            </w:r>
            <w:r>
              <w:rPr>
                <w:spacing w:val="-2"/>
                <w:sz w:val="24"/>
                <w:szCs w:val="24"/>
              </w:rPr>
              <w:t xml:space="preserve"> </w:t>
            </w:r>
            <w:r>
              <w:rPr>
                <w:sz w:val="24"/>
                <w:szCs w:val="24"/>
              </w:rPr>
              <w:t>n</w:t>
            </w:r>
            <w:r>
              <w:rPr>
                <w:spacing w:val="-9"/>
                <w:sz w:val="24"/>
                <w:szCs w:val="24"/>
              </w:rPr>
              <w:t xml:space="preserve"> </w:t>
            </w:r>
            <w:r>
              <w:rPr>
                <w:spacing w:val="-5"/>
                <w:sz w:val="24"/>
                <w:szCs w:val="24"/>
              </w:rPr>
              <w:t>(%)</w:t>
            </w:r>
          </w:p>
        </w:tc>
        <w:tc>
          <w:tcPr>
            <w:tcW w:w="1984" w:type="dxa"/>
          </w:tcPr>
          <w:p w14:paraId="282C5D5D">
            <w:pPr>
              <w:pStyle w:val="11"/>
              <w:spacing w:line="301" w:lineRule="exact"/>
              <w:ind w:left="11"/>
              <w:rPr>
                <w:sz w:val="24"/>
                <w:szCs w:val="24"/>
              </w:rPr>
            </w:pPr>
            <w:r>
              <w:rPr>
                <w:sz w:val="24"/>
                <w:szCs w:val="24"/>
              </w:rPr>
              <w:t>3</w:t>
            </w:r>
            <w:r>
              <w:rPr>
                <w:spacing w:val="-1"/>
                <w:sz w:val="24"/>
                <w:szCs w:val="24"/>
              </w:rPr>
              <w:t xml:space="preserve"> </w:t>
            </w:r>
            <w:r>
              <w:rPr>
                <w:spacing w:val="-2"/>
                <w:sz w:val="24"/>
                <w:szCs w:val="24"/>
              </w:rPr>
              <w:t>(2,0%)</w:t>
            </w:r>
          </w:p>
        </w:tc>
        <w:tc>
          <w:tcPr>
            <w:tcW w:w="1985" w:type="dxa"/>
          </w:tcPr>
          <w:p w14:paraId="490677A6">
            <w:pPr>
              <w:pStyle w:val="11"/>
              <w:spacing w:line="301" w:lineRule="exact"/>
              <w:ind w:left="17" w:right="4"/>
              <w:rPr>
                <w:sz w:val="24"/>
                <w:szCs w:val="24"/>
              </w:rPr>
            </w:pPr>
            <w:r>
              <w:rPr>
                <w:sz w:val="24"/>
                <w:szCs w:val="24"/>
              </w:rPr>
              <w:t>0</w:t>
            </w:r>
            <w:r>
              <w:rPr>
                <w:spacing w:val="-1"/>
                <w:sz w:val="24"/>
                <w:szCs w:val="24"/>
              </w:rPr>
              <w:t xml:space="preserve"> </w:t>
            </w:r>
            <w:r>
              <w:rPr>
                <w:spacing w:val="-4"/>
                <w:sz w:val="24"/>
                <w:szCs w:val="24"/>
              </w:rPr>
              <w:t>(0%)</w:t>
            </w:r>
          </w:p>
        </w:tc>
        <w:tc>
          <w:tcPr>
            <w:tcW w:w="1275" w:type="dxa"/>
          </w:tcPr>
          <w:p w14:paraId="1829045B">
            <w:pPr>
              <w:pStyle w:val="11"/>
              <w:spacing w:line="301" w:lineRule="exact"/>
              <w:ind w:left="21" w:right="10"/>
              <w:rPr>
                <w:sz w:val="24"/>
                <w:szCs w:val="24"/>
              </w:rPr>
            </w:pPr>
            <w:r>
              <w:rPr>
                <w:spacing w:val="-4"/>
                <w:sz w:val="24"/>
                <w:szCs w:val="24"/>
              </w:rPr>
              <w:t>0,553</w:t>
            </w:r>
          </w:p>
        </w:tc>
      </w:tr>
      <w:tr w14:paraId="40AE6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1C6A4FBB">
            <w:pPr>
              <w:pStyle w:val="11"/>
              <w:spacing w:line="301" w:lineRule="exact"/>
              <w:ind w:left="110"/>
              <w:jc w:val="left"/>
              <w:rPr>
                <w:sz w:val="24"/>
                <w:szCs w:val="24"/>
              </w:rPr>
            </w:pPr>
            <w:r>
              <w:rPr>
                <w:sz w:val="24"/>
                <w:szCs w:val="24"/>
              </w:rPr>
              <w:t>Раневая</w:t>
            </w:r>
            <w:r>
              <w:rPr>
                <w:spacing w:val="-6"/>
                <w:sz w:val="24"/>
                <w:szCs w:val="24"/>
              </w:rPr>
              <w:t xml:space="preserve"> </w:t>
            </w:r>
            <w:r>
              <w:rPr>
                <w:sz w:val="24"/>
                <w:szCs w:val="24"/>
              </w:rPr>
              <w:t>инфекция,</w:t>
            </w:r>
            <w:r>
              <w:rPr>
                <w:spacing w:val="-4"/>
                <w:sz w:val="24"/>
                <w:szCs w:val="24"/>
              </w:rPr>
              <w:t xml:space="preserve"> </w:t>
            </w:r>
            <w:r>
              <w:rPr>
                <w:sz w:val="24"/>
                <w:szCs w:val="24"/>
              </w:rPr>
              <w:t>n</w:t>
            </w:r>
            <w:r>
              <w:rPr>
                <w:spacing w:val="-11"/>
                <w:sz w:val="24"/>
                <w:szCs w:val="24"/>
              </w:rPr>
              <w:t xml:space="preserve"> </w:t>
            </w:r>
            <w:r>
              <w:rPr>
                <w:spacing w:val="-5"/>
                <w:sz w:val="24"/>
                <w:szCs w:val="24"/>
              </w:rPr>
              <w:t>(%)</w:t>
            </w:r>
          </w:p>
        </w:tc>
        <w:tc>
          <w:tcPr>
            <w:tcW w:w="1984" w:type="dxa"/>
          </w:tcPr>
          <w:p w14:paraId="3581867C">
            <w:pPr>
              <w:pStyle w:val="11"/>
              <w:spacing w:line="301" w:lineRule="exact"/>
              <w:ind w:left="11" w:right="5"/>
              <w:rPr>
                <w:sz w:val="24"/>
                <w:szCs w:val="24"/>
              </w:rPr>
            </w:pPr>
            <w:r>
              <w:rPr>
                <w:sz w:val="24"/>
                <w:szCs w:val="24"/>
              </w:rPr>
              <w:t>10</w:t>
            </w:r>
            <w:r>
              <w:rPr>
                <w:spacing w:val="-2"/>
                <w:sz w:val="24"/>
                <w:szCs w:val="24"/>
              </w:rPr>
              <w:t xml:space="preserve"> (6,7%)</w:t>
            </w:r>
          </w:p>
        </w:tc>
        <w:tc>
          <w:tcPr>
            <w:tcW w:w="1985" w:type="dxa"/>
          </w:tcPr>
          <w:p w14:paraId="45111CD0">
            <w:pPr>
              <w:pStyle w:val="11"/>
              <w:spacing w:line="301" w:lineRule="exact"/>
              <w:ind w:left="17" w:right="4"/>
              <w:rPr>
                <w:sz w:val="24"/>
                <w:szCs w:val="24"/>
              </w:rPr>
            </w:pPr>
            <w:r>
              <w:rPr>
                <w:sz w:val="24"/>
                <w:szCs w:val="24"/>
              </w:rPr>
              <w:t>0</w:t>
            </w:r>
            <w:r>
              <w:rPr>
                <w:spacing w:val="-1"/>
                <w:sz w:val="24"/>
                <w:szCs w:val="24"/>
              </w:rPr>
              <w:t xml:space="preserve"> </w:t>
            </w:r>
            <w:r>
              <w:rPr>
                <w:spacing w:val="-4"/>
                <w:sz w:val="24"/>
                <w:szCs w:val="24"/>
              </w:rPr>
              <w:t>(0%)</w:t>
            </w:r>
          </w:p>
        </w:tc>
        <w:tc>
          <w:tcPr>
            <w:tcW w:w="1275" w:type="dxa"/>
          </w:tcPr>
          <w:p w14:paraId="3C8B2244">
            <w:pPr>
              <w:pStyle w:val="11"/>
              <w:spacing w:line="301" w:lineRule="exact"/>
              <w:ind w:left="21" w:right="5"/>
              <w:rPr>
                <w:sz w:val="24"/>
                <w:szCs w:val="24"/>
              </w:rPr>
            </w:pPr>
            <w:r>
              <w:rPr>
                <w:spacing w:val="-2"/>
                <w:sz w:val="24"/>
                <w:szCs w:val="24"/>
              </w:rPr>
              <w:t>0,044</w:t>
            </w:r>
            <w:r>
              <w:rPr>
                <w:spacing w:val="-2"/>
                <w:sz w:val="24"/>
                <w:szCs w:val="24"/>
                <w:vertAlign w:val="superscript"/>
              </w:rPr>
              <w:t>*</w:t>
            </w:r>
          </w:p>
        </w:tc>
      </w:tr>
      <w:tr w14:paraId="2A3EBF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7DE0D3D4">
            <w:pPr>
              <w:pStyle w:val="11"/>
              <w:spacing w:line="302" w:lineRule="exact"/>
              <w:ind w:left="110"/>
              <w:jc w:val="left"/>
              <w:rPr>
                <w:sz w:val="24"/>
                <w:szCs w:val="24"/>
              </w:rPr>
            </w:pPr>
            <w:r>
              <w:rPr>
                <w:sz w:val="24"/>
                <w:szCs w:val="24"/>
              </w:rPr>
              <w:t>Релапаротомия,</w:t>
            </w:r>
            <w:r>
              <w:rPr>
                <w:spacing w:val="-5"/>
                <w:sz w:val="24"/>
                <w:szCs w:val="24"/>
              </w:rPr>
              <w:t xml:space="preserve"> </w:t>
            </w:r>
            <w:r>
              <w:rPr>
                <w:sz w:val="24"/>
                <w:szCs w:val="24"/>
              </w:rPr>
              <w:t>n</w:t>
            </w:r>
            <w:r>
              <w:rPr>
                <w:spacing w:val="-10"/>
                <w:sz w:val="24"/>
                <w:szCs w:val="24"/>
              </w:rPr>
              <w:t xml:space="preserve"> </w:t>
            </w:r>
            <w:r>
              <w:rPr>
                <w:spacing w:val="-5"/>
                <w:sz w:val="24"/>
                <w:szCs w:val="24"/>
              </w:rPr>
              <w:t>(%)</w:t>
            </w:r>
          </w:p>
        </w:tc>
        <w:tc>
          <w:tcPr>
            <w:tcW w:w="1984" w:type="dxa"/>
          </w:tcPr>
          <w:p w14:paraId="352B61A7">
            <w:pPr>
              <w:pStyle w:val="11"/>
              <w:spacing w:line="302" w:lineRule="exact"/>
              <w:ind w:left="11" w:right="5"/>
              <w:rPr>
                <w:sz w:val="24"/>
                <w:szCs w:val="24"/>
              </w:rPr>
            </w:pPr>
            <w:r>
              <w:rPr>
                <w:sz w:val="24"/>
                <w:szCs w:val="24"/>
              </w:rPr>
              <w:t>14</w:t>
            </w:r>
            <w:r>
              <w:rPr>
                <w:spacing w:val="-2"/>
                <w:sz w:val="24"/>
                <w:szCs w:val="24"/>
              </w:rPr>
              <w:t xml:space="preserve"> (9,4%)</w:t>
            </w:r>
          </w:p>
        </w:tc>
        <w:tc>
          <w:tcPr>
            <w:tcW w:w="1985" w:type="dxa"/>
          </w:tcPr>
          <w:p w14:paraId="5C4E2466">
            <w:pPr>
              <w:pStyle w:val="11"/>
              <w:spacing w:line="302" w:lineRule="exact"/>
              <w:ind w:left="17" w:right="5"/>
              <w:rPr>
                <w:sz w:val="24"/>
                <w:szCs w:val="24"/>
              </w:rPr>
            </w:pPr>
            <w:r>
              <w:rPr>
                <w:sz w:val="24"/>
                <w:szCs w:val="24"/>
              </w:rPr>
              <w:t>2</w:t>
            </w:r>
            <w:r>
              <w:rPr>
                <w:spacing w:val="-1"/>
                <w:sz w:val="24"/>
                <w:szCs w:val="24"/>
              </w:rPr>
              <w:t xml:space="preserve"> </w:t>
            </w:r>
            <w:r>
              <w:rPr>
                <w:spacing w:val="-2"/>
                <w:sz w:val="24"/>
                <w:szCs w:val="24"/>
              </w:rPr>
              <w:t>(3,4%)</w:t>
            </w:r>
          </w:p>
        </w:tc>
        <w:tc>
          <w:tcPr>
            <w:tcW w:w="1275" w:type="dxa"/>
          </w:tcPr>
          <w:p w14:paraId="3CD74A00">
            <w:pPr>
              <w:pStyle w:val="11"/>
              <w:spacing w:line="302" w:lineRule="exact"/>
              <w:ind w:left="21" w:right="10"/>
              <w:rPr>
                <w:sz w:val="24"/>
                <w:szCs w:val="24"/>
              </w:rPr>
            </w:pPr>
            <w:r>
              <w:rPr>
                <w:spacing w:val="-4"/>
                <w:sz w:val="24"/>
                <w:szCs w:val="24"/>
              </w:rPr>
              <w:t>0,145</w:t>
            </w:r>
          </w:p>
        </w:tc>
      </w:tr>
      <w:tr w14:paraId="141B9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445431CB">
            <w:pPr>
              <w:pStyle w:val="11"/>
              <w:spacing w:line="301" w:lineRule="exact"/>
              <w:ind w:left="110"/>
              <w:jc w:val="left"/>
              <w:rPr>
                <w:sz w:val="24"/>
                <w:szCs w:val="24"/>
              </w:rPr>
            </w:pPr>
            <w:r>
              <w:rPr>
                <w:sz w:val="24"/>
                <w:szCs w:val="24"/>
              </w:rPr>
              <w:t>Госпитальная</w:t>
            </w:r>
            <w:r>
              <w:rPr>
                <w:spacing w:val="-8"/>
                <w:sz w:val="24"/>
                <w:szCs w:val="24"/>
              </w:rPr>
              <w:t xml:space="preserve"> </w:t>
            </w:r>
            <w:r>
              <w:rPr>
                <w:sz w:val="24"/>
                <w:szCs w:val="24"/>
              </w:rPr>
              <w:t>летальность,</w:t>
            </w:r>
            <w:r>
              <w:rPr>
                <w:spacing w:val="-4"/>
                <w:sz w:val="24"/>
                <w:szCs w:val="24"/>
              </w:rPr>
              <w:t xml:space="preserve"> </w:t>
            </w:r>
            <w:r>
              <w:rPr>
                <w:sz w:val="24"/>
                <w:szCs w:val="24"/>
              </w:rPr>
              <w:t>n</w:t>
            </w:r>
            <w:r>
              <w:rPr>
                <w:spacing w:val="-12"/>
                <w:sz w:val="24"/>
                <w:szCs w:val="24"/>
              </w:rPr>
              <w:t xml:space="preserve"> </w:t>
            </w:r>
            <w:r>
              <w:rPr>
                <w:spacing w:val="-5"/>
                <w:sz w:val="24"/>
                <w:szCs w:val="24"/>
              </w:rPr>
              <w:t>(%)</w:t>
            </w:r>
          </w:p>
        </w:tc>
        <w:tc>
          <w:tcPr>
            <w:tcW w:w="1984" w:type="dxa"/>
          </w:tcPr>
          <w:p w14:paraId="6D0719C7">
            <w:pPr>
              <w:pStyle w:val="11"/>
              <w:spacing w:line="301" w:lineRule="exact"/>
              <w:ind w:left="11"/>
              <w:rPr>
                <w:sz w:val="24"/>
                <w:szCs w:val="24"/>
              </w:rPr>
            </w:pPr>
            <w:r>
              <w:rPr>
                <w:sz w:val="24"/>
                <w:szCs w:val="24"/>
              </w:rPr>
              <w:t>16</w:t>
            </w:r>
            <w:r>
              <w:rPr>
                <w:spacing w:val="-2"/>
                <w:sz w:val="24"/>
                <w:szCs w:val="24"/>
              </w:rPr>
              <w:t xml:space="preserve"> (10,8%)</w:t>
            </w:r>
          </w:p>
        </w:tc>
        <w:tc>
          <w:tcPr>
            <w:tcW w:w="1985" w:type="dxa"/>
          </w:tcPr>
          <w:p w14:paraId="4474C9C0">
            <w:pPr>
              <w:pStyle w:val="11"/>
              <w:spacing w:line="301" w:lineRule="exact"/>
              <w:ind w:left="17" w:right="5"/>
              <w:rPr>
                <w:sz w:val="24"/>
                <w:szCs w:val="24"/>
              </w:rPr>
            </w:pPr>
            <w:r>
              <w:rPr>
                <w:sz w:val="24"/>
                <w:szCs w:val="24"/>
              </w:rPr>
              <w:t>1</w:t>
            </w:r>
            <w:r>
              <w:rPr>
                <w:spacing w:val="-1"/>
                <w:sz w:val="24"/>
                <w:szCs w:val="24"/>
              </w:rPr>
              <w:t xml:space="preserve"> </w:t>
            </w:r>
            <w:r>
              <w:rPr>
                <w:spacing w:val="-2"/>
                <w:sz w:val="24"/>
                <w:szCs w:val="24"/>
              </w:rPr>
              <w:t>(1,7%)</w:t>
            </w:r>
          </w:p>
        </w:tc>
        <w:tc>
          <w:tcPr>
            <w:tcW w:w="1275" w:type="dxa"/>
          </w:tcPr>
          <w:p w14:paraId="4F6C984D">
            <w:pPr>
              <w:pStyle w:val="11"/>
              <w:spacing w:line="301" w:lineRule="exact"/>
              <w:ind w:left="21" w:right="5"/>
              <w:rPr>
                <w:sz w:val="24"/>
                <w:szCs w:val="24"/>
              </w:rPr>
            </w:pPr>
            <w:r>
              <w:rPr>
                <w:spacing w:val="-2"/>
                <w:sz w:val="24"/>
                <w:szCs w:val="24"/>
              </w:rPr>
              <w:t>0,033</w:t>
            </w:r>
            <w:r>
              <w:rPr>
                <w:spacing w:val="-2"/>
                <w:sz w:val="24"/>
                <w:szCs w:val="24"/>
                <w:vertAlign w:val="superscript"/>
              </w:rPr>
              <w:t>*</w:t>
            </w:r>
          </w:p>
        </w:tc>
      </w:tr>
      <w:tr w14:paraId="33C42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395" w:type="dxa"/>
          </w:tcPr>
          <w:p w14:paraId="02326C5E">
            <w:pPr>
              <w:pStyle w:val="11"/>
              <w:spacing w:line="322" w:lineRule="exact"/>
              <w:ind w:left="110" w:right="635"/>
              <w:jc w:val="left"/>
              <w:rPr>
                <w:sz w:val="24"/>
                <w:szCs w:val="24"/>
              </w:rPr>
            </w:pPr>
            <w:r>
              <w:rPr>
                <w:sz w:val="24"/>
                <w:szCs w:val="24"/>
              </w:rPr>
              <w:t>Длительность</w:t>
            </w:r>
            <w:r>
              <w:rPr>
                <w:spacing w:val="-18"/>
                <w:sz w:val="24"/>
                <w:szCs w:val="24"/>
              </w:rPr>
              <w:t xml:space="preserve"> </w:t>
            </w:r>
            <w:r>
              <w:rPr>
                <w:sz w:val="24"/>
                <w:szCs w:val="24"/>
              </w:rPr>
              <w:t>госпитализации, дни, Me [Q1; Q3]</w:t>
            </w:r>
          </w:p>
        </w:tc>
        <w:tc>
          <w:tcPr>
            <w:tcW w:w="1984" w:type="dxa"/>
          </w:tcPr>
          <w:p w14:paraId="6374094B">
            <w:pPr>
              <w:pStyle w:val="11"/>
              <w:spacing w:line="320" w:lineRule="exact"/>
              <w:ind w:left="11" w:right="4"/>
              <w:rPr>
                <w:sz w:val="24"/>
                <w:szCs w:val="24"/>
              </w:rPr>
            </w:pPr>
            <w:r>
              <w:rPr>
                <w:sz w:val="24"/>
                <w:szCs w:val="24"/>
              </w:rPr>
              <w:t>20,0</w:t>
            </w:r>
            <w:r>
              <w:rPr>
                <w:spacing w:val="-3"/>
                <w:sz w:val="24"/>
                <w:szCs w:val="24"/>
              </w:rPr>
              <w:t xml:space="preserve"> </w:t>
            </w:r>
            <w:r>
              <w:rPr>
                <w:sz w:val="24"/>
                <w:szCs w:val="24"/>
              </w:rPr>
              <w:t>[14;</w:t>
            </w:r>
            <w:r>
              <w:rPr>
                <w:spacing w:val="-4"/>
                <w:sz w:val="24"/>
                <w:szCs w:val="24"/>
              </w:rPr>
              <w:t xml:space="preserve"> </w:t>
            </w:r>
            <w:r>
              <w:rPr>
                <w:spacing w:val="-5"/>
                <w:sz w:val="24"/>
                <w:szCs w:val="24"/>
              </w:rPr>
              <w:t>24]</w:t>
            </w:r>
          </w:p>
        </w:tc>
        <w:tc>
          <w:tcPr>
            <w:tcW w:w="1985" w:type="dxa"/>
          </w:tcPr>
          <w:p w14:paraId="75957676">
            <w:pPr>
              <w:pStyle w:val="11"/>
              <w:spacing w:line="320" w:lineRule="exact"/>
              <w:ind w:left="17"/>
              <w:rPr>
                <w:sz w:val="24"/>
                <w:szCs w:val="24"/>
              </w:rPr>
            </w:pPr>
            <w:r>
              <w:rPr>
                <w:sz w:val="24"/>
                <w:szCs w:val="24"/>
              </w:rPr>
              <w:t>18,0</w:t>
            </w:r>
            <w:r>
              <w:rPr>
                <w:spacing w:val="-3"/>
                <w:sz w:val="24"/>
                <w:szCs w:val="24"/>
              </w:rPr>
              <w:t xml:space="preserve"> </w:t>
            </w:r>
            <w:r>
              <w:rPr>
                <w:sz w:val="24"/>
                <w:szCs w:val="24"/>
              </w:rPr>
              <w:t>[13,8;</w:t>
            </w:r>
            <w:r>
              <w:rPr>
                <w:spacing w:val="-4"/>
                <w:sz w:val="24"/>
                <w:szCs w:val="24"/>
              </w:rPr>
              <w:t xml:space="preserve"> </w:t>
            </w:r>
            <w:r>
              <w:rPr>
                <w:spacing w:val="-5"/>
                <w:sz w:val="24"/>
                <w:szCs w:val="24"/>
              </w:rPr>
              <w:t>22]</w:t>
            </w:r>
          </w:p>
        </w:tc>
        <w:tc>
          <w:tcPr>
            <w:tcW w:w="1275" w:type="dxa"/>
          </w:tcPr>
          <w:p w14:paraId="01EE7326">
            <w:pPr>
              <w:pStyle w:val="11"/>
              <w:spacing w:line="320" w:lineRule="exact"/>
              <w:ind w:left="21" w:right="10"/>
              <w:rPr>
                <w:sz w:val="24"/>
                <w:szCs w:val="24"/>
              </w:rPr>
            </w:pPr>
            <w:r>
              <w:rPr>
                <w:spacing w:val="-4"/>
                <w:sz w:val="24"/>
                <w:szCs w:val="24"/>
              </w:rPr>
              <w:t>0,284</w:t>
            </w:r>
          </w:p>
        </w:tc>
      </w:tr>
      <w:tr w14:paraId="55042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9639" w:type="dxa"/>
            <w:gridSpan w:val="4"/>
          </w:tcPr>
          <w:p w14:paraId="078D5BB7">
            <w:pPr>
              <w:pStyle w:val="11"/>
              <w:spacing w:line="240" w:lineRule="auto"/>
              <w:ind w:left="110" w:right="89" w:firstLine="580"/>
              <w:jc w:val="both"/>
              <w:rPr>
                <w:sz w:val="24"/>
                <w:szCs w:val="24"/>
              </w:rPr>
            </w:pPr>
            <w:r>
              <w:rPr>
                <w:sz w:val="24"/>
                <w:szCs w:val="24"/>
              </w:rPr>
              <w:t>Примечание :Категориальные</w:t>
            </w:r>
            <w:r>
              <w:rPr>
                <w:spacing w:val="-2"/>
                <w:sz w:val="24"/>
                <w:szCs w:val="24"/>
              </w:rPr>
              <w:t xml:space="preserve"> </w:t>
            </w:r>
            <w:r>
              <w:rPr>
                <w:sz w:val="24"/>
                <w:szCs w:val="24"/>
              </w:rPr>
              <w:t>данные</w:t>
            </w:r>
            <w:r>
              <w:rPr>
                <w:spacing w:val="-2"/>
                <w:sz w:val="24"/>
                <w:szCs w:val="24"/>
              </w:rPr>
              <w:t xml:space="preserve"> </w:t>
            </w:r>
            <w:r>
              <w:rPr>
                <w:sz w:val="24"/>
                <w:szCs w:val="24"/>
              </w:rPr>
              <w:t>представлены как</w:t>
            </w:r>
            <w:r>
              <w:rPr>
                <w:spacing w:val="-3"/>
                <w:sz w:val="24"/>
                <w:szCs w:val="24"/>
              </w:rPr>
              <w:t xml:space="preserve"> </w:t>
            </w:r>
            <w:r>
              <w:rPr>
                <w:sz w:val="24"/>
                <w:szCs w:val="24"/>
              </w:rPr>
              <w:t>абсолютные</w:t>
            </w:r>
            <w:r>
              <w:rPr>
                <w:spacing w:val="-2"/>
                <w:sz w:val="24"/>
                <w:szCs w:val="24"/>
              </w:rPr>
              <w:t xml:space="preserve"> </w:t>
            </w:r>
            <w:r>
              <w:rPr>
                <w:sz w:val="24"/>
                <w:szCs w:val="24"/>
              </w:rPr>
              <w:t>значения</w:t>
            </w:r>
            <w:r>
              <w:rPr>
                <w:spacing w:val="-1"/>
                <w:sz w:val="24"/>
                <w:szCs w:val="24"/>
              </w:rPr>
              <w:t xml:space="preserve"> </w:t>
            </w:r>
            <w:r>
              <w:rPr>
                <w:sz w:val="24"/>
                <w:szCs w:val="24"/>
              </w:rPr>
              <w:t>и</w:t>
            </w:r>
            <w:r>
              <w:rPr>
                <w:spacing w:val="-5"/>
                <w:sz w:val="24"/>
                <w:szCs w:val="24"/>
              </w:rPr>
              <w:t xml:space="preserve"> </w:t>
            </w:r>
            <w:r>
              <w:rPr>
                <w:sz w:val="24"/>
                <w:szCs w:val="24"/>
              </w:rPr>
              <w:t>проценты —</w:t>
            </w:r>
            <w:r>
              <w:rPr>
                <w:spacing w:val="-1"/>
                <w:sz w:val="24"/>
                <w:szCs w:val="24"/>
              </w:rPr>
              <w:t xml:space="preserve"> </w:t>
            </w:r>
            <w:r>
              <w:rPr>
                <w:sz w:val="24"/>
                <w:szCs w:val="24"/>
              </w:rPr>
              <w:t>n</w:t>
            </w:r>
            <w:r>
              <w:rPr>
                <w:spacing w:val="-6"/>
                <w:sz w:val="24"/>
                <w:szCs w:val="24"/>
              </w:rPr>
              <w:t xml:space="preserve"> </w:t>
            </w:r>
            <w:r>
              <w:rPr>
                <w:sz w:val="24"/>
                <w:szCs w:val="24"/>
              </w:rPr>
              <w:t>(%).*</w:t>
            </w:r>
            <w:r>
              <w:rPr>
                <w:spacing w:val="-1"/>
                <w:sz w:val="24"/>
                <w:szCs w:val="24"/>
              </w:rPr>
              <w:t xml:space="preserve"> </w:t>
            </w:r>
            <w:r>
              <w:rPr>
                <w:sz w:val="24"/>
                <w:szCs w:val="24"/>
              </w:rPr>
              <w:t>p</w:t>
            </w:r>
            <w:r>
              <w:rPr>
                <w:spacing w:val="-1"/>
                <w:sz w:val="24"/>
                <w:szCs w:val="24"/>
              </w:rPr>
              <w:t xml:space="preserve"> </w:t>
            </w:r>
            <w:r>
              <w:rPr>
                <w:sz w:val="24"/>
                <w:szCs w:val="24"/>
              </w:rPr>
              <w:t>&lt; 0,05, ** p &lt; 0,01, *** p &lt; 0,001. Для сравнения категориальных переменных применён точный критерий Фишера. Для сравнения количественных переменных использован U- критерий</w:t>
            </w:r>
            <w:r>
              <w:rPr>
                <w:spacing w:val="36"/>
                <w:sz w:val="24"/>
                <w:szCs w:val="24"/>
              </w:rPr>
              <w:t xml:space="preserve"> </w:t>
            </w:r>
            <w:r>
              <w:rPr>
                <w:sz w:val="24"/>
                <w:szCs w:val="24"/>
              </w:rPr>
              <w:t>Манна—Уитни.</w:t>
            </w:r>
            <w:r>
              <w:rPr>
                <w:spacing w:val="33"/>
                <w:sz w:val="24"/>
                <w:szCs w:val="24"/>
              </w:rPr>
              <w:t xml:space="preserve"> </w:t>
            </w:r>
            <w:r>
              <w:rPr>
                <w:sz w:val="24"/>
                <w:szCs w:val="24"/>
              </w:rPr>
              <w:t>Для</w:t>
            </w:r>
            <w:r>
              <w:rPr>
                <w:spacing w:val="30"/>
                <w:sz w:val="24"/>
                <w:szCs w:val="24"/>
              </w:rPr>
              <w:t xml:space="preserve"> </w:t>
            </w:r>
            <w:r>
              <w:rPr>
                <w:sz w:val="24"/>
                <w:szCs w:val="24"/>
              </w:rPr>
              <w:t>сравнения</w:t>
            </w:r>
            <w:r>
              <w:rPr>
                <w:spacing w:val="30"/>
                <w:sz w:val="24"/>
                <w:szCs w:val="24"/>
              </w:rPr>
              <w:t xml:space="preserve"> </w:t>
            </w:r>
            <w:r>
              <w:rPr>
                <w:sz w:val="24"/>
                <w:szCs w:val="24"/>
              </w:rPr>
              <w:t>распределения</w:t>
            </w:r>
            <w:r>
              <w:rPr>
                <w:spacing w:val="35"/>
                <w:sz w:val="24"/>
                <w:szCs w:val="24"/>
              </w:rPr>
              <w:t xml:space="preserve"> </w:t>
            </w:r>
            <w:r>
              <w:rPr>
                <w:sz w:val="24"/>
                <w:szCs w:val="24"/>
              </w:rPr>
              <w:t>ПС</w:t>
            </w:r>
            <w:r>
              <w:rPr>
                <w:spacing w:val="33"/>
                <w:sz w:val="24"/>
                <w:szCs w:val="24"/>
              </w:rPr>
              <w:t xml:space="preserve"> </w:t>
            </w:r>
            <w:r>
              <w:rPr>
                <w:sz w:val="24"/>
                <w:szCs w:val="24"/>
              </w:rPr>
              <w:t>по</w:t>
            </w:r>
            <w:r>
              <w:rPr>
                <w:spacing w:val="35"/>
                <w:sz w:val="24"/>
                <w:szCs w:val="24"/>
              </w:rPr>
              <w:t xml:space="preserve"> </w:t>
            </w:r>
            <w:r>
              <w:rPr>
                <w:sz w:val="24"/>
                <w:szCs w:val="24"/>
              </w:rPr>
              <w:t>степеням</w:t>
            </w:r>
            <w:r>
              <w:rPr>
                <w:spacing w:val="27"/>
                <w:sz w:val="24"/>
                <w:szCs w:val="24"/>
              </w:rPr>
              <w:t xml:space="preserve"> </w:t>
            </w:r>
            <w:r>
              <w:rPr>
                <w:sz w:val="24"/>
                <w:szCs w:val="24"/>
              </w:rPr>
              <w:t>(A/B/C)</w:t>
            </w:r>
            <w:r>
              <w:rPr>
                <w:spacing w:val="37"/>
                <w:sz w:val="24"/>
                <w:szCs w:val="24"/>
              </w:rPr>
              <w:t xml:space="preserve"> </w:t>
            </w:r>
            <w:r>
              <w:rPr>
                <w:sz w:val="24"/>
                <w:szCs w:val="24"/>
              </w:rPr>
              <w:t>между группами</w:t>
            </w:r>
            <w:r>
              <w:rPr>
                <w:spacing w:val="-3"/>
                <w:sz w:val="24"/>
                <w:szCs w:val="24"/>
              </w:rPr>
              <w:t xml:space="preserve"> </w:t>
            </w:r>
            <w:r>
              <w:rPr>
                <w:sz w:val="24"/>
                <w:szCs w:val="24"/>
              </w:rPr>
              <w:t>использован</w:t>
            </w:r>
            <w:r>
              <w:rPr>
                <w:spacing w:val="-3"/>
                <w:sz w:val="24"/>
                <w:szCs w:val="24"/>
              </w:rPr>
              <w:t xml:space="preserve"> </w:t>
            </w:r>
            <w:r>
              <w:rPr>
                <w:sz w:val="24"/>
                <w:szCs w:val="24"/>
              </w:rPr>
              <w:t>χ²-критерий</w:t>
            </w:r>
            <w:r>
              <w:rPr>
                <w:spacing w:val="-7"/>
                <w:sz w:val="24"/>
                <w:szCs w:val="24"/>
              </w:rPr>
              <w:t xml:space="preserve"> </w:t>
            </w:r>
            <w:r>
              <w:rPr>
                <w:spacing w:val="-2"/>
                <w:sz w:val="24"/>
                <w:szCs w:val="24"/>
              </w:rPr>
              <w:t>Пирсона.</w:t>
            </w:r>
          </w:p>
        </w:tc>
      </w:tr>
    </w:tbl>
    <w:p w14:paraId="1B736B39">
      <w:pPr>
        <w:pStyle w:val="7"/>
        <w:spacing w:before="12"/>
        <w:ind w:left="0" w:firstLine="0"/>
        <w:jc w:val="left"/>
      </w:pPr>
    </w:p>
    <w:p w14:paraId="35E52CD8">
      <w:pPr>
        <w:pStyle w:val="7"/>
        <w:ind w:left="0" w:right="3" w:firstLine="709"/>
      </w:pPr>
      <w:r>
        <w:t>В таблице 16 представлены результаты анализа послеоперационных осложнений у пациентов в зависимости от диаметра ПП (2016-2022 гг.) Анализ частоты послеоперационных осложнений после ГПДР в зависимости от диаметра ПП</w:t>
      </w:r>
      <w:r>
        <w:rPr>
          <w:spacing w:val="-3"/>
        </w:rPr>
        <w:t xml:space="preserve"> </w:t>
      </w:r>
      <w:r>
        <w:t>показал, что у</w:t>
      </w:r>
      <w:r>
        <w:rPr>
          <w:spacing w:val="-4"/>
        </w:rPr>
        <w:t xml:space="preserve"> </w:t>
      </w:r>
      <w:r>
        <w:t>пациентов</w:t>
      </w:r>
      <w:r>
        <w:rPr>
          <w:spacing w:val="-1"/>
        </w:rPr>
        <w:t xml:space="preserve"> </w:t>
      </w:r>
      <w:r>
        <w:t>с диаметром ПП</w:t>
      </w:r>
      <w:r>
        <w:rPr>
          <w:spacing w:val="-3"/>
        </w:rPr>
        <w:t xml:space="preserve"> </w:t>
      </w:r>
      <w:r>
        <w:t>≤5 мм отмечается</w:t>
      </w:r>
      <w:r>
        <w:rPr>
          <w:spacing w:val="-2"/>
        </w:rPr>
        <w:t xml:space="preserve"> </w:t>
      </w:r>
      <w:r>
        <w:t>более неблагоприятный профиль исходов по сравнению с группой &gt;5 мм.</w:t>
      </w:r>
    </w:p>
    <w:p w14:paraId="33F62AB8">
      <w:pPr>
        <w:pStyle w:val="7"/>
        <w:spacing w:before="3"/>
        <w:ind w:left="0" w:right="3" w:firstLine="709"/>
      </w:pPr>
      <w:r>
        <w:t>Сравнительный анализ распределения степеней панкреатического свища (A/B/C) между группами выявил статистически значимые различия (p &lt;0,001), что свидетельствует о влиянии применяемой хирургической методики на структуру послеоперационных свищей. Также частота КЗ-ПС была достоверно выше</w:t>
      </w:r>
      <w:r>
        <w:rPr>
          <w:spacing w:val="-11"/>
        </w:rPr>
        <w:t xml:space="preserve"> </w:t>
      </w:r>
      <w:r>
        <w:t>у</w:t>
      </w:r>
      <w:r>
        <w:rPr>
          <w:spacing w:val="-16"/>
        </w:rPr>
        <w:t xml:space="preserve"> </w:t>
      </w:r>
      <w:r>
        <w:t>пациентов</w:t>
      </w:r>
      <w:r>
        <w:rPr>
          <w:spacing w:val="-14"/>
        </w:rPr>
        <w:t xml:space="preserve"> </w:t>
      </w:r>
      <w:r>
        <w:t>с</w:t>
      </w:r>
      <w:r>
        <w:rPr>
          <w:spacing w:val="-11"/>
        </w:rPr>
        <w:t xml:space="preserve"> </w:t>
      </w:r>
      <w:r>
        <w:t>диаметром</w:t>
      </w:r>
      <w:r>
        <w:rPr>
          <w:spacing w:val="-6"/>
        </w:rPr>
        <w:t xml:space="preserve"> </w:t>
      </w:r>
      <w:r>
        <w:t>ПП</w:t>
      </w:r>
      <w:r>
        <w:rPr>
          <w:spacing w:val="-15"/>
        </w:rPr>
        <w:t xml:space="preserve"> </w:t>
      </w:r>
      <w:r>
        <w:t>≤5</w:t>
      </w:r>
      <w:r>
        <w:rPr>
          <w:spacing w:val="-11"/>
        </w:rPr>
        <w:t xml:space="preserve"> </w:t>
      </w:r>
      <w:r>
        <w:t>мм</w:t>
      </w:r>
      <w:r>
        <w:rPr>
          <w:spacing w:val="-6"/>
        </w:rPr>
        <w:t xml:space="preserve"> </w:t>
      </w:r>
      <w:r>
        <w:t>—</w:t>
      </w:r>
      <w:r>
        <w:rPr>
          <w:spacing w:val="-12"/>
        </w:rPr>
        <w:t xml:space="preserve"> </w:t>
      </w:r>
      <w:r>
        <w:t>33,7%</w:t>
      </w:r>
      <w:r>
        <w:rPr>
          <w:spacing w:val="-14"/>
        </w:rPr>
        <w:t xml:space="preserve"> </w:t>
      </w:r>
      <w:r>
        <w:t>против</w:t>
      </w:r>
      <w:r>
        <w:rPr>
          <w:spacing w:val="-14"/>
        </w:rPr>
        <w:t xml:space="preserve"> </w:t>
      </w:r>
      <w:r>
        <w:t>3,4%</w:t>
      </w:r>
      <w:r>
        <w:rPr>
          <w:spacing w:val="-14"/>
        </w:rPr>
        <w:t xml:space="preserve"> </w:t>
      </w:r>
      <w:r>
        <w:t>при</w:t>
      </w:r>
      <w:r>
        <w:rPr>
          <w:spacing w:val="-12"/>
        </w:rPr>
        <w:t xml:space="preserve"> </w:t>
      </w:r>
      <w:r>
        <w:t>диаметре</w:t>
      </w:r>
      <w:r>
        <w:rPr>
          <w:spacing w:val="-11"/>
        </w:rPr>
        <w:t xml:space="preserve"> </w:t>
      </w:r>
      <w:r>
        <w:t>&gt;5 мм (p&lt;0,001; точный критерий Фишера), что свидетельствует о смещении профиля осложнений в сторону тяжёлых форм в группе узкого протока.</w:t>
      </w:r>
    </w:p>
    <w:p w14:paraId="05D19CEE">
      <w:pPr>
        <w:pStyle w:val="7"/>
        <w:ind w:left="0" w:right="3" w:firstLine="709"/>
      </w:pPr>
      <w:r>
        <w:t>Также в группе ≤5 мм чаще регистрировалось кровотечение, связанное со свищем (7,4% против 0%; p=0,032), тогда как различия по частоте послеоперационного кровотечения, гастростаза, билиарного свища, раневой инфекции и релапаротомии статистически значимыми не были (p&gt;0,05). Госпитальная летальность оказалась выше у пациентов с диаметром ПП ≤5 мм</w:t>
      </w:r>
    </w:p>
    <w:p w14:paraId="557DFFE5">
      <w:pPr>
        <w:pStyle w:val="7"/>
        <w:spacing w:before="2"/>
        <w:ind w:left="0" w:right="3" w:firstLine="0"/>
      </w:pPr>
      <w:r>
        <w:t>— 10,8% против 1,7% (p=0,033), что подчёркивает клиническую значимость данного фактора риска. Длительность госпитализации была статистически больше</w:t>
      </w:r>
      <w:r>
        <w:rPr>
          <w:spacing w:val="-13"/>
        </w:rPr>
        <w:t xml:space="preserve"> </w:t>
      </w:r>
      <w:r>
        <w:t>в</w:t>
      </w:r>
      <w:r>
        <w:rPr>
          <w:spacing w:val="-16"/>
        </w:rPr>
        <w:t xml:space="preserve"> </w:t>
      </w:r>
      <w:r>
        <w:t>группе</w:t>
      </w:r>
      <w:r>
        <w:rPr>
          <w:spacing w:val="-14"/>
        </w:rPr>
        <w:t xml:space="preserve"> </w:t>
      </w:r>
      <w:r>
        <w:t>≤5</w:t>
      </w:r>
      <w:r>
        <w:rPr>
          <w:spacing w:val="-13"/>
        </w:rPr>
        <w:t xml:space="preserve"> </w:t>
      </w:r>
      <w:r>
        <w:t>мм</w:t>
      </w:r>
      <w:r>
        <w:rPr>
          <w:spacing w:val="-12"/>
        </w:rPr>
        <w:t xml:space="preserve"> </w:t>
      </w:r>
      <w:r>
        <w:t>(20</w:t>
      </w:r>
      <w:r>
        <w:rPr>
          <w:spacing w:val="-18"/>
        </w:rPr>
        <w:t xml:space="preserve"> </w:t>
      </w:r>
      <w:r>
        <w:t>[14–24]</w:t>
      </w:r>
      <w:r>
        <w:rPr>
          <w:spacing w:val="-16"/>
        </w:rPr>
        <w:t xml:space="preserve"> </w:t>
      </w:r>
      <w:r>
        <w:t>против</w:t>
      </w:r>
      <w:r>
        <w:rPr>
          <w:spacing w:val="-15"/>
        </w:rPr>
        <w:t xml:space="preserve"> </w:t>
      </w:r>
      <w:r>
        <w:t>18</w:t>
      </w:r>
      <w:r>
        <w:rPr>
          <w:spacing w:val="-14"/>
        </w:rPr>
        <w:t xml:space="preserve"> </w:t>
      </w:r>
      <w:r>
        <w:t>[13,8–22]</w:t>
      </w:r>
      <w:r>
        <w:rPr>
          <w:spacing w:val="-15"/>
        </w:rPr>
        <w:t xml:space="preserve"> </w:t>
      </w:r>
      <w:r>
        <w:t>суток;</w:t>
      </w:r>
      <w:r>
        <w:rPr>
          <w:spacing w:val="-15"/>
        </w:rPr>
        <w:t xml:space="preserve"> </w:t>
      </w:r>
      <w:r>
        <w:t>p</w:t>
      </w:r>
      <w:r>
        <w:rPr>
          <w:spacing w:val="-14"/>
        </w:rPr>
        <w:t xml:space="preserve"> </w:t>
      </w:r>
      <w:r>
        <w:t>=</w:t>
      </w:r>
      <w:r>
        <w:rPr>
          <w:spacing w:val="-13"/>
        </w:rPr>
        <w:t xml:space="preserve"> </w:t>
      </w:r>
      <w:r>
        <w:t>0,284;</w:t>
      </w:r>
      <w:r>
        <w:rPr>
          <w:spacing w:val="-15"/>
        </w:rPr>
        <w:t xml:space="preserve"> </w:t>
      </w:r>
      <w:r>
        <w:rPr>
          <w:spacing w:val="-2"/>
        </w:rPr>
        <w:t>критерий</w:t>
      </w:r>
    </w:p>
    <w:p w14:paraId="5DCEDF30">
      <w:pPr>
        <w:pStyle w:val="7"/>
        <w:spacing w:before="67"/>
        <w:ind w:left="0" w:right="3" w:firstLine="0"/>
      </w:pPr>
      <w:r>
        <w:t xml:space="preserve">Манна—Уитни), что отражает более тяжёлое течение послеоперационного </w:t>
      </w:r>
      <w:r>
        <w:rPr>
          <w:spacing w:val="-2"/>
        </w:rPr>
        <w:t>периода.</w:t>
      </w:r>
    </w:p>
    <w:p w14:paraId="64551CF6">
      <w:pPr>
        <w:pStyle w:val="7"/>
        <w:spacing w:before="122"/>
        <w:ind w:left="0" w:firstLine="0"/>
        <w:jc w:val="left"/>
        <w:rPr>
          <w:sz w:val="20"/>
        </w:rPr>
      </w:pPr>
      <w:r>
        <w:rPr>
          <w:sz w:val="20"/>
          <w:lang w:eastAsia="ru-RU"/>
        </w:rPr>
        <w:drawing>
          <wp:anchor distT="0" distB="0" distL="0" distR="0" simplePos="0" relativeHeight="251678720" behindDoc="1" locked="0" layoutInCell="1" allowOverlap="1">
            <wp:simplePos x="0" y="0"/>
            <wp:positionH relativeFrom="page">
              <wp:posOffset>1132205</wp:posOffset>
            </wp:positionH>
            <wp:positionV relativeFrom="paragraph">
              <wp:posOffset>234315</wp:posOffset>
            </wp:positionV>
            <wp:extent cx="6078855" cy="5062855"/>
            <wp:effectExtent l="0" t="0" r="0" b="4445"/>
            <wp:wrapTopAndBottom/>
            <wp:docPr id="166" name="Image 166" descr="C:\Users\03xo-ord3-2025\Downloads\output (2).png"/>
            <wp:cNvGraphicFramePr/>
            <a:graphic xmlns:a="http://schemas.openxmlformats.org/drawingml/2006/main">
              <a:graphicData uri="http://schemas.openxmlformats.org/drawingml/2006/picture">
                <pic:pic xmlns:pic="http://schemas.openxmlformats.org/drawingml/2006/picture">
                  <pic:nvPicPr>
                    <pic:cNvPr id="166" name="Image 166" descr="C:\Users\03xo-ord3-2025\Downloads\output (2).png"/>
                    <pic:cNvPicPr/>
                  </pic:nvPicPr>
                  <pic:blipFill>
                    <a:blip r:embed="rId42" cstate="print"/>
                    <a:stretch>
                      <a:fillRect/>
                    </a:stretch>
                  </pic:blipFill>
                  <pic:spPr>
                    <a:xfrm>
                      <a:off x="0" y="0"/>
                      <a:ext cx="6078855" cy="5062855"/>
                    </a:xfrm>
                    <a:prstGeom prst="rect">
                      <a:avLst/>
                    </a:prstGeom>
                  </pic:spPr>
                </pic:pic>
              </a:graphicData>
            </a:graphic>
          </wp:anchor>
        </w:drawing>
      </w:r>
    </w:p>
    <w:p w14:paraId="3044F21E">
      <w:pPr>
        <w:pStyle w:val="7"/>
        <w:spacing w:before="129"/>
        <w:ind w:left="1298" w:hanging="731"/>
        <w:jc w:val="center"/>
      </w:pPr>
      <w:r>
        <w:t>Рисунок</w:t>
      </w:r>
      <w:r>
        <w:rPr>
          <w:spacing w:val="-7"/>
        </w:rPr>
        <w:t xml:space="preserve"> </w:t>
      </w:r>
      <w:r>
        <w:t>15</w:t>
      </w:r>
      <w:r>
        <w:rPr>
          <w:spacing w:val="-5"/>
        </w:rPr>
        <w:t xml:space="preserve"> </w:t>
      </w:r>
      <w:r>
        <w:t>-</w:t>
      </w:r>
      <w:r>
        <w:rPr>
          <w:spacing w:val="-7"/>
        </w:rPr>
        <w:t xml:space="preserve"> </w:t>
      </w:r>
      <w:r>
        <w:t>Характеристика</w:t>
      </w:r>
      <w:r>
        <w:rPr>
          <w:spacing w:val="-5"/>
        </w:rPr>
        <w:t xml:space="preserve"> </w:t>
      </w:r>
      <w:r>
        <w:t>послеоперационных</w:t>
      </w:r>
      <w:r>
        <w:rPr>
          <w:spacing w:val="-10"/>
        </w:rPr>
        <w:t xml:space="preserve"> </w:t>
      </w:r>
      <w:r>
        <w:t>осложнений</w:t>
      </w:r>
      <w:r>
        <w:rPr>
          <w:spacing w:val="-3"/>
        </w:rPr>
        <w:t xml:space="preserve"> </w:t>
      </w:r>
      <w:r>
        <w:t>у</w:t>
      </w:r>
      <w:r>
        <w:rPr>
          <w:spacing w:val="-10"/>
        </w:rPr>
        <w:t xml:space="preserve"> </w:t>
      </w:r>
      <w:r>
        <w:t>пациентов, перенесших ГПДР, в зависимости от диаметра ПП (2016-2022 гг.)</w:t>
      </w:r>
    </w:p>
    <w:p w14:paraId="60094030">
      <w:pPr>
        <w:pStyle w:val="7"/>
        <w:spacing w:before="321"/>
        <w:ind w:left="0" w:right="3" w:firstLine="709"/>
      </w:pPr>
      <w:r>
        <w:t>Полученные результаты позволяют рассматривать диаметр ПП ≤5 мм как маркер группы повышенного риска формирования КЗ-ПС и осложнённого течения послеоперационного периода, что обосновывает необходимость дифференцированного выбора реконструктивной тактики и усиленных профилактических мероприятий у данной категории пациентов.</w:t>
      </w:r>
    </w:p>
    <w:p w14:paraId="5DF062BA">
      <w:pPr>
        <w:pStyle w:val="7"/>
        <w:spacing w:before="3"/>
        <w:ind w:left="0" w:right="3" w:firstLine="709"/>
        <w:jc w:val="left"/>
      </w:pPr>
    </w:p>
    <w:p w14:paraId="391D176D">
      <w:pPr>
        <w:pStyle w:val="7"/>
        <w:ind w:left="0" w:right="3" w:firstLine="0"/>
        <w:rPr>
          <w:lang w:val="kk-KZ"/>
        </w:rPr>
      </w:pPr>
    </w:p>
    <w:p w14:paraId="6A086BFC">
      <w:pPr>
        <w:pStyle w:val="7"/>
        <w:ind w:left="0" w:right="3" w:firstLine="0"/>
      </w:pPr>
      <w:r>
        <w:t>Таблица 17 - Сравнительная характеристика послеоперационных результатов у пациентов с мягкой железой, перенесших ГПДР, в зависимости от типа ПЕА (2016-2022 гг.).</w:t>
      </w:r>
    </w:p>
    <w:p w14:paraId="60238A65">
      <w:pPr>
        <w:pStyle w:val="7"/>
        <w:spacing w:before="40"/>
        <w:ind w:left="0" w:firstLine="0"/>
        <w:jc w:val="left"/>
        <w:rPr>
          <w:sz w:val="20"/>
        </w:rPr>
      </w:pPr>
    </w:p>
    <w:p w14:paraId="4E813B74">
      <w:pPr>
        <w:pStyle w:val="7"/>
        <w:spacing w:before="40"/>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3"/>
        <w:gridCol w:w="1843"/>
        <w:gridCol w:w="2409"/>
        <w:gridCol w:w="1134"/>
      </w:tblGrid>
      <w:tr w14:paraId="1B0A3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4253" w:type="dxa"/>
          </w:tcPr>
          <w:p w14:paraId="4ED2A728">
            <w:pPr>
              <w:pStyle w:val="11"/>
              <w:spacing w:line="315" w:lineRule="exact"/>
              <w:rPr>
                <w:sz w:val="28"/>
              </w:rPr>
            </w:pPr>
            <w:r>
              <w:rPr>
                <w:spacing w:val="-2"/>
                <w:sz w:val="28"/>
              </w:rPr>
              <w:t>Показатель</w:t>
            </w:r>
          </w:p>
        </w:tc>
        <w:tc>
          <w:tcPr>
            <w:tcW w:w="1843" w:type="dxa"/>
          </w:tcPr>
          <w:p w14:paraId="02639775">
            <w:pPr>
              <w:pStyle w:val="11"/>
              <w:spacing w:line="315" w:lineRule="exact"/>
              <w:ind w:left="7" w:right="4"/>
              <w:rPr>
                <w:sz w:val="28"/>
              </w:rPr>
            </w:pPr>
            <w:r>
              <w:rPr>
                <w:spacing w:val="-2"/>
                <w:sz w:val="28"/>
              </w:rPr>
              <w:t>Стандартный</w:t>
            </w:r>
          </w:p>
          <w:p w14:paraId="41B60286">
            <w:pPr>
              <w:pStyle w:val="11"/>
              <w:spacing w:line="313" w:lineRule="exact"/>
              <w:ind w:left="7" w:right="2"/>
              <w:rPr>
                <w:sz w:val="28"/>
              </w:rPr>
            </w:pPr>
            <w:r>
              <w:rPr>
                <w:spacing w:val="-2"/>
                <w:sz w:val="28"/>
              </w:rPr>
              <w:t>(n=92)</w:t>
            </w:r>
          </w:p>
        </w:tc>
        <w:tc>
          <w:tcPr>
            <w:tcW w:w="2409" w:type="dxa"/>
          </w:tcPr>
          <w:p w14:paraId="7E8BB029">
            <w:pPr>
              <w:pStyle w:val="11"/>
              <w:spacing w:line="315" w:lineRule="exact"/>
              <w:ind w:left="1" w:right="1"/>
              <w:rPr>
                <w:sz w:val="28"/>
              </w:rPr>
            </w:pPr>
            <w:r>
              <w:rPr>
                <w:spacing w:val="-2"/>
                <w:sz w:val="28"/>
              </w:rPr>
              <w:t>Инвагинационный</w:t>
            </w:r>
          </w:p>
          <w:p w14:paraId="4FF211CD">
            <w:pPr>
              <w:pStyle w:val="11"/>
              <w:spacing w:line="313" w:lineRule="exact"/>
              <w:ind w:left="2" w:right="1"/>
              <w:rPr>
                <w:sz w:val="28"/>
              </w:rPr>
            </w:pPr>
            <w:r>
              <w:rPr>
                <w:spacing w:val="-2"/>
                <w:sz w:val="28"/>
              </w:rPr>
              <w:t>(n=29)</w:t>
            </w:r>
          </w:p>
        </w:tc>
        <w:tc>
          <w:tcPr>
            <w:tcW w:w="1134" w:type="dxa"/>
          </w:tcPr>
          <w:p w14:paraId="14A1B786">
            <w:pPr>
              <w:pStyle w:val="11"/>
              <w:spacing w:line="315" w:lineRule="exact"/>
              <w:ind w:left="47" w:right="47"/>
              <w:rPr>
                <w:sz w:val="28"/>
              </w:rPr>
            </w:pPr>
            <w:r>
              <w:rPr>
                <w:spacing w:val="-2"/>
                <w:sz w:val="28"/>
              </w:rPr>
              <w:t>P-value</w:t>
            </w:r>
          </w:p>
        </w:tc>
      </w:tr>
      <w:tr w14:paraId="0AC95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4253" w:type="dxa"/>
          </w:tcPr>
          <w:p w14:paraId="7326CE0E">
            <w:pPr>
              <w:pStyle w:val="11"/>
              <w:spacing w:line="315" w:lineRule="exact"/>
              <w:ind w:left="105"/>
              <w:jc w:val="both"/>
              <w:rPr>
                <w:sz w:val="28"/>
              </w:rPr>
            </w:pPr>
            <w:r>
              <w:rPr>
                <w:sz w:val="28"/>
              </w:rPr>
              <w:t>Панкреатические</w:t>
            </w:r>
            <w:r>
              <w:rPr>
                <w:spacing w:val="-8"/>
                <w:sz w:val="28"/>
              </w:rPr>
              <w:t xml:space="preserve"> </w:t>
            </w:r>
            <w:r>
              <w:rPr>
                <w:sz w:val="28"/>
              </w:rPr>
              <w:t>свищи,</w:t>
            </w:r>
            <w:r>
              <w:rPr>
                <w:spacing w:val="-7"/>
                <w:sz w:val="28"/>
              </w:rPr>
              <w:t xml:space="preserve"> </w:t>
            </w:r>
            <w:r>
              <w:rPr>
                <w:sz w:val="28"/>
              </w:rPr>
              <w:t>n</w:t>
            </w:r>
            <w:r>
              <w:rPr>
                <w:spacing w:val="-12"/>
                <w:sz w:val="28"/>
              </w:rPr>
              <w:t xml:space="preserve"> </w:t>
            </w:r>
            <w:r>
              <w:rPr>
                <w:spacing w:val="-4"/>
                <w:sz w:val="28"/>
              </w:rPr>
              <w:t>(%):</w:t>
            </w:r>
          </w:p>
          <w:p w14:paraId="32BBE313">
            <w:pPr>
              <w:pStyle w:val="11"/>
              <w:spacing w:line="322" w:lineRule="exact"/>
              <w:ind w:left="1786" w:right="1166"/>
              <w:jc w:val="both"/>
              <w:rPr>
                <w:sz w:val="28"/>
              </w:rPr>
            </w:pPr>
            <w:r>
              <w:rPr>
                <w:sz w:val="28"/>
              </w:rPr>
              <w:t>Степень</w:t>
            </w:r>
            <w:r>
              <w:rPr>
                <w:spacing w:val="-18"/>
                <w:sz w:val="28"/>
              </w:rPr>
              <w:t xml:space="preserve"> </w:t>
            </w:r>
            <w:r>
              <w:rPr>
                <w:sz w:val="28"/>
              </w:rPr>
              <w:t>A Степень</w:t>
            </w:r>
            <w:r>
              <w:rPr>
                <w:spacing w:val="-18"/>
                <w:sz w:val="28"/>
              </w:rPr>
              <w:t xml:space="preserve"> </w:t>
            </w:r>
            <w:r>
              <w:rPr>
                <w:sz w:val="28"/>
              </w:rPr>
              <w:t>B Степень</w:t>
            </w:r>
            <w:r>
              <w:rPr>
                <w:spacing w:val="-13"/>
                <w:sz w:val="28"/>
              </w:rPr>
              <w:t xml:space="preserve"> </w:t>
            </w:r>
            <w:r>
              <w:rPr>
                <w:spacing w:val="-10"/>
                <w:sz w:val="28"/>
              </w:rPr>
              <w:t>C</w:t>
            </w:r>
          </w:p>
        </w:tc>
        <w:tc>
          <w:tcPr>
            <w:tcW w:w="1843" w:type="dxa"/>
          </w:tcPr>
          <w:p w14:paraId="6D0330A2">
            <w:pPr>
              <w:pStyle w:val="11"/>
              <w:spacing w:before="314" w:line="322" w:lineRule="exact"/>
              <w:ind w:left="297"/>
              <w:jc w:val="left"/>
              <w:rPr>
                <w:sz w:val="28"/>
              </w:rPr>
            </w:pPr>
            <w:r>
              <w:rPr>
                <w:sz w:val="28"/>
              </w:rPr>
              <w:t>21</w:t>
            </w:r>
            <w:r>
              <w:rPr>
                <w:spacing w:val="-2"/>
                <w:sz w:val="28"/>
              </w:rPr>
              <w:t xml:space="preserve"> (22,8%)</w:t>
            </w:r>
          </w:p>
          <w:p w14:paraId="2E6DA3CC">
            <w:pPr>
              <w:pStyle w:val="11"/>
              <w:spacing w:line="322" w:lineRule="exact"/>
              <w:ind w:left="297"/>
              <w:jc w:val="left"/>
              <w:rPr>
                <w:sz w:val="28"/>
              </w:rPr>
            </w:pPr>
            <w:r>
              <w:rPr>
                <w:sz w:val="28"/>
              </w:rPr>
              <w:t>31</w:t>
            </w:r>
            <w:r>
              <w:rPr>
                <w:spacing w:val="-2"/>
                <w:sz w:val="28"/>
              </w:rPr>
              <w:t xml:space="preserve"> (33,7%)</w:t>
            </w:r>
          </w:p>
          <w:p w14:paraId="3F31A725">
            <w:pPr>
              <w:pStyle w:val="11"/>
              <w:ind w:left="436"/>
              <w:jc w:val="left"/>
              <w:rPr>
                <w:sz w:val="28"/>
              </w:rPr>
            </w:pPr>
            <w:r>
              <w:rPr>
                <w:sz w:val="28"/>
              </w:rPr>
              <w:t>6</w:t>
            </w:r>
            <w:r>
              <w:rPr>
                <w:spacing w:val="-1"/>
                <w:sz w:val="28"/>
              </w:rPr>
              <w:t xml:space="preserve"> </w:t>
            </w:r>
            <w:r>
              <w:rPr>
                <w:spacing w:val="-2"/>
                <w:sz w:val="28"/>
              </w:rPr>
              <w:t>(6,5%)</w:t>
            </w:r>
          </w:p>
        </w:tc>
        <w:tc>
          <w:tcPr>
            <w:tcW w:w="2409" w:type="dxa"/>
          </w:tcPr>
          <w:p w14:paraId="6EE60EB4">
            <w:pPr>
              <w:pStyle w:val="11"/>
              <w:spacing w:before="314" w:line="322" w:lineRule="exact"/>
              <w:ind w:left="667"/>
              <w:jc w:val="left"/>
              <w:rPr>
                <w:sz w:val="28"/>
              </w:rPr>
            </w:pPr>
            <w:r>
              <w:rPr>
                <w:sz w:val="28"/>
              </w:rPr>
              <w:t>4</w:t>
            </w:r>
            <w:r>
              <w:rPr>
                <w:spacing w:val="-1"/>
                <w:sz w:val="28"/>
              </w:rPr>
              <w:t xml:space="preserve"> </w:t>
            </w:r>
            <w:r>
              <w:rPr>
                <w:spacing w:val="-2"/>
                <w:sz w:val="28"/>
              </w:rPr>
              <w:t>(13,8%)</w:t>
            </w:r>
          </w:p>
          <w:p w14:paraId="0ACF0E8C">
            <w:pPr>
              <w:pStyle w:val="11"/>
              <w:spacing w:line="322" w:lineRule="exact"/>
              <w:ind w:left="667"/>
              <w:jc w:val="left"/>
              <w:rPr>
                <w:sz w:val="28"/>
              </w:rPr>
            </w:pPr>
            <w:r>
              <w:rPr>
                <w:sz w:val="28"/>
              </w:rPr>
              <w:t>5</w:t>
            </w:r>
            <w:r>
              <w:rPr>
                <w:spacing w:val="-1"/>
                <w:sz w:val="28"/>
              </w:rPr>
              <w:t xml:space="preserve"> </w:t>
            </w:r>
            <w:r>
              <w:rPr>
                <w:spacing w:val="-2"/>
                <w:sz w:val="28"/>
              </w:rPr>
              <w:t>(17,2%)</w:t>
            </w:r>
          </w:p>
          <w:p w14:paraId="446DCDC7">
            <w:pPr>
              <w:pStyle w:val="11"/>
              <w:ind w:left="667"/>
              <w:jc w:val="left"/>
              <w:rPr>
                <w:sz w:val="28"/>
              </w:rPr>
            </w:pPr>
            <w:r>
              <w:rPr>
                <w:sz w:val="28"/>
              </w:rPr>
              <w:t>5</w:t>
            </w:r>
            <w:r>
              <w:rPr>
                <w:spacing w:val="-1"/>
                <w:sz w:val="28"/>
              </w:rPr>
              <w:t xml:space="preserve"> </w:t>
            </w:r>
            <w:r>
              <w:rPr>
                <w:spacing w:val="-2"/>
                <w:sz w:val="28"/>
              </w:rPr>
              <w:t>(17,2%)</w:t>
            </w:r>
          </w:p>
        </w:tc>
        <w:tc>
          <w:tcPr>
            <w:tcW w:w="1134" w:type="dxa"/>
          </w:tcPr>
          <w:p w14:paraId="437C189E">
            <w:pPr>
              <w:pStyle w:val="11"/>
              <w:spacing w:line="315" w:lineRule="exact"/>
              <w:ind w:right="47"/>
              <w:rPr>
                <w:sz w:val="28"/>
              </w:rPr>
            </w:pPr>
            <w:r>
              <w:rPr>
                <w:spacing w:val="-4"/>
                <w:sz w:val="28"/>
              </w:rPr>
              <w:t>0,077</w:t>
            </w:r>
          </w:p>
        </w:tc>
      </w:tr>
      <w:tr w14:paraId="393EE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53" w:type="dxa"/>
          </w:tcPr>
          <w:p w14:paraId="6826BAD4">
            <w:pPr>
              <w:pStyle w:val="11"/>
              <w:spacing w:line="302" w:lineRule="exact"/>
              <w:ind w:left="105"/>
              <w:jc w:val="left"/>
              <w:rPr>
                <w:sz w:val="28"/>
              </w:rPr>
            </w:pPr>
            <w:r>
              <w:rPr>
                <w:sz w:val="28"/>
              </w:rPr>
              <w:t>КЗ-ПС</w:t>
            </w:r>
            <w:r>
              <w:rPr>
                <w:spacing w:val="-5"/>
                <w:sz w:val="28"/>
              </w:rPr>
              <w:t xml:space="preserve"> </w:t>
            </w:r>
            <w:r>
              <w:rPr>
                <w:sz w:val="28"/>
              </w:rPr>
              <w:t>(B/C),</w:t>
            </w:r>
            <w:r>
              <w:rPr>
                <w:spacing w:val="-2"/>
                <w:sz w:val="28"/>
              </w:rPr>
              <w:t xml:space="preserve"> </w:t>
            </w:r>
            <w:r>
              <w:rPr>
                <w:sz w:val="28"/>
              </w:rPr>
              <w:t>n</w:t>
            </w:r>
            <w:r>
              <w:rPr>
                <w:spacing w:val="-9"/>
                <w:sz w:val="28"/>
              </w:rPr>
              <w:t xml:space="preserve"> </w:t>
            </w:r>
            <w:r>
              <w:rPr>
                <w:spacing w:val="-5"/>
                <w:sz w:val="28"/>
              </w:rPr>
              <w:t>(%)</w:t>
            </w:r>
          </w:p>
        </w:tc>
        <w:tc>
          <w:tcPr>
            <w:tcW w:w="1843" w:type="dxa"/>
          </w:tcPr>
          <w:p w14:paraId="30DA3367">
            <w:pPr>
              <w:pStyle w:val="11"/>
              <w:spacing w:line="302" w:lineRule="exact"/>
              <w:ind w:left="7" w:right="6"/>
              <w:rPr>
                <w:sz w:val="28"/>
              </w:rPr>
            </w:pPr>
            <w:r>
              <w:rPr>
                <w:sz w:val="28"/>
              </w:rPr>
              <w:t>37</w:t>
            </w:r>
            <w:r>
              <w:rPr>
                <w:spacing w:val="-2"/>
                <w:sz w:val="28"/>
              </w:rPr>
              <w:t xml:space="preserve"> (40,2%)</w:t>
            </w:r>
          </w:p>
        </w:tc>
        <w:tc>
          <w:tcPr>
            <w:tcW w:w="2409" w:type="dxa"/>
          </w:tcPr>
          <w:p w14:paraId="3DF2CED5">
            <w:pPr>
              <w:pStyle w:val="11"/>
              <w:spacing w:line="302" w:lineRule="exact"/>
              <w:ind w:left="1" w:right="2"/>
              <w:rPr>
                <w:sz w:val="28"/>
              </w:rPr>
            </w:pPr>
            <w:r>
              <w:rPr>
                <w:sz w:val="28"/>
              </w:rPr>
              <w:t>10</w:t>
            </w:r>
            <w:r>
              <w:rPr>
                <w:spacing w:val="-2"/>
                <w:sz w:val="28"/>
              </w:rPr>
              <w:t xml:space="preserve"> (34,5%)</w:t>
            </w:r>
          </w:p>
        </w:tc>
        <w:tc>
          <w:tcPr>
            <w:tcW w:w="1134" w:type="dxa"/>
          </w:tcPr>
          <w:p w14:paraId="26F5A81C">
            <w:pPr>
              <w:pStyle w:val="11"/>
              <w:spacing w:line="302" w:lineRule="exact"/>
              <w:ind w:left="46" w:right="47"/>
              <w:rPr>
                <w:sz w:val="28"/>
              </w:rPr>
            </w:pPr>
            <w:r>
              <w:rPr>
                <w:spacing w:val="-4"/>
                <w:sz w:val="28"/>
              </w:rPr>
              <w:t>0,661</w:t>
            </w:r>
          </w:p>
        </w:tc>
      </w:tr>
      <w:tr w14:paraId="7DF5C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53" w:type="dxa"/>
            <w:tcBorders>
              <w:bottom w:val="single" w:color="auto" w:sz="4" w:space="0"/>
            </w:tcBorders>
          </w:tcPr>
          <w:p w14:paraId="3E5AE909">
            <w:pPr>
              <w:pStyle w:val="11"/>
              <w:spacing w:line="301" w:lineRule="exact"/>
              <w:ind w:left="105"/>
              <w:jc w:val="left"/>
              <w:rPr>
                <w:sz w:val="28"/>
              </w:rPr>
            </w:pPr>
            <w:r>
              <w:rPr>
                <w:sz w:val="28"/>
              </w:rPr>
              <w:t>Кровотечение,</w:t>
            </w:r>
            <w:r>
              <w:rPr>
                <w:spacing w:val="-6"/>
                <w:sz w:val="28"/>
              </w:rPr>
              <w:t xml:space="preserve"> </w:t>
            </w:r>
            <w:r>
              <w:rPr>
                <w:sz w:val="28"/>
              </w:rPr>
              <w:t>n</w:t>
            </w:r>
            <w:r>
              <w:rPr>
                <w:spacing w:val="-11"/>
                <w:sz w:val="28"/>
              </w:rPr>
              <w:t xml:space="preserve"> </w:t>
            </w:r>
            <w:r>
              <w:rPr>
                <w:spacing w:val="-5"/>
                <w:sz w:val="28"/>
              </w:rPr>
              <w:t>(%)</w:t>
            </w:r>
          </w:p>
        </w:tc>
        <w:tc>
          <w:tcPr>
            <w:tcW w:w="1843" w:type="dxa"/>
            <w:tcBorders>
              <w:bottom w:val="single" w:color="auto" w:sz="4" w:space="0"/>
            </w:tcBorders>
          </w:tcPr>
          <w:p w14:paraId="40AAE692">
            <w:pPr>
              <w:pStyle w:val="11"/>
              <w:spacing w:line="301" w:lineRule="exact"/>
              <w:ind w:left="7" w:right="6"/>
              <w:rPr>
                <w:sz w:val="28"/>
              </w:rPr>
            </w:pPr>
            <w:r>
              <w:rPr>
                <w:sz w:val="28"/>
              </w:rPr>
              <w:t>1</w:t>
            </w:r>
            <w:r>
              <w:rPr>
                <w:spacing w:val="-1"/>
                <w:sz w:val="28"/>
              </w:rPr>
              <w:t xml:space="preserve"> </w:t>
            </w:r>
            <w:r>
              <w:rPr>
                <w:spacing w:val="-2"/>
                <w:sz w:val="28"/>
              </w:rPr>
              <w:t>(1,1%)</w:t>
            </w:r>
          </w:p>
        </w:tc>
        <w:tc>
          <w:tcPr>
            <w:tcW w:w="2409" w:type="dxa"/>
            <w:tcBorders>
              <w:bottom w:val="single" w:color="auto" w:sz="4" w:space="0"/>
            </w:tcBorders>
          </w:tcPr>
          <w:p w14:paraId="775C42E1">
            <w:pPr>
              <w:pStyle w:val="11"/>
              <w:spacing w:line="301" w:lineRule="exact"/>
              <w:ind w:left="1" w:right="2"/>
              <w:rPr>
                <w:sz w:val="28"/>
              </w:rPr>
            </w:pPr>
            <w:r>
              <w:rPr>
                <w:sz w:val="28"/>
              </w:rPr>
              <w:t>1</w:t>
            </w:r>
            <w:r>
              <w:rPr>
                <w:spacing w:val="-1"/>
                <w:sz w:val="28"/>
              </w:rPr>
              <w:t xml:space="preserve"> </w:t>
            </w:r>
            <w:r>
              <w:rPr>
                <w:spacing w:val="-2"/>
                <w:sz w:val="28"/>
              </w:rPr>
              <w:t>(3,4%)</w:t>
            </w:r>
          </w:p>
        </w:tc>
        <w:tc>
          <w:tcPr>
            <w:tcW w:w="1134" w:type="dxa"/>
            <w:tcBorders>
              <w:bottom w:val="single" w:color="auto" w:sz="4" w:space="0"/>
            </w:tcBorders>
          </w:tcPr>
          <w:p w14:paraId="297EBBC2">
            <w:pPr>
              <w:pStyle w:val="11"/>
              <w:spacing w:line="301" w:lineRule="exact"/>
              <w:ind w:left="46" w:right="47"/>
              <w:rPr>
                <w:sz w:val="28"/>
              </w:rPr>
            </w:pPr>
            <w:r>
              <w:rPr>
                <w:spacing w:val="-4"/>
                <w:sz w:val="28"/>
              </w:rPr>
              <w:t>0,423</w:t>
            </w:r>
          </w:p>
        </w:tc>
      </w:tr>
      <w:tr w14:paraId="582ED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253" w:type="dxa"/>
            <w:tcBorders>
              <w:top w:val="single" w:color="auto" w:sz="4" w:space="0"/>
              <w:left w:val="single" w:color="auto" w:sz="4" w:space="0"/>
              <w:bottom w:val="single" w:color="000000" w:sz="4" w:space="0"/>
              <w:right w:val="single" w:color="auto" w:sz="4" w:space="0"/>
            </w:tcBorders>
          </w:tcPr>
          <w:p w14:paraId="598A1F83">
            <w:pPr>
              <w:pStyle w:val="11"/>
              <w:spacing w:line="315" w:lineRule="exact"/>
              <w:ind w:left="105"/>
              <w:jc w:val="left"/>
              <w:rPr>
                <w:sz w:val="28"/>
              </w:rPr>
            </w:pPr>
            <w:r>
              <w:rPr>
                <w:sz w:val="28"/>
              </w:rPr>
              <w:t>Кровотечение</w:t>
            </w:r>
            <w:r>
              <w:rPr>
                <w:spacing w:val="-13"/>
                <w:sz w:val="28"/>
              </w:rPr>
              <w:t xml:space="preserve"> </w:t>
            </w:r>
            <w:r>
              <w:rPr>
                <w:sz w:val="28"/>
              </w:rPr>
              <w:t>связанное</w:t>
            </w:r>
            <w:r>
              <w:rPr>
                <w:spacing w:val="-13"/>
                <w:sz w:val="28"/>
              </w:rPr>
              <w:t xml:space="preserve"> </w:t>
            </w:r>
            <w:r>
              <w:rPr>
                <w:spacing w:val="-5"/>
                <w:sz w:val="28"/>
              </w:rPr>
              <w:t>со</w:t>
            </w:r>
          </w:p>
          <w:p w14:paraId="22E7DBCE">
            <w:pPr>
              <w:pStyle w:val="11"/>
              <w:spacing w:line="313" w:lineRule="exact"/>
              <w:ind w:left="105"/>
              <w:jc w:val="left"/>
              <w:rPr>
                <w:sz w:val="28"/>
              </w:rPr>
            </w:pPr>
            <w:r>
              <w:rPr>
                <w:sz w:val="28"/>
              </w:rPr>
              <w:t>свищем,</w:t>
            </w:r>
            <w:r>
              <w:rPr>
                <w:spacing w:val="-2"/>
                <w:sz w:val="28"/>
              </w:rPr>
              <w:t xml:space="preserve"> </w:t>
            </w:r>
            <w:r>
              <w:rPr>
                <w:sz w:val="28"/>
              </w:rPr>
              <w:t>n</w:t>
            </w:r>
            <w:r>
              <w:rPr>
                <w:spacing w:val="-8"/>
                <w:sz w:val="28"/>
              </w:rPr>
              <w:t xml:space="preserve"> </w:t>
            </w:r>
            <w:r>
              <w:rPr>
                <w:spacing w:val="-5"/>
                <w:sz w:val="28"/>
              </w:rPr>
              <w:t>(%)</w:t>
            </w:r>
          </w:p>
        </w:tc>
        <w:tc>
          <w:tcPr>
            <w:tcW w:w="1843" w:type="dxa"/>
            <w:tcBorders>
              <w:top w:val="single" w:color="auto" w:sz="4" w:space="0"/>
              <w:left w:val="single" w:color="auto" w:sz="4" w:space="0"/>
              <w:bottom w:val="single" w:color="auto" w:sz="4" w:space="0"/>
              <w:right w:val="single" w:color="auto" w:sz="4" w:space="0"/>
            </w:tcBorders>
          </w:tcPr>
          <w:p w14:paraId="33E820F0">
            <w:pPr>
              <w:pStyle w:val="11"/>
              <w:spacing w:line="315" w:lineRule="exact"/>
              <w:ind w:left="7" w:right="6"/>
              <w:rPr>
                <w:sz w:val="28"/>
              </w:rPr>
            </w:pPr>
            <w:r>
              <w:rPr>
                <w:sz w:val="28"/>
              </w:rPr>
              <w:t>6</w:t>
            </w:r>
            <w:r>
              <w:rPr>
                <w:spacing w:val="-1"/>
                <w:sz w:val="28"/>
              </w:rPr>
              <w:t xml:space="preserve"> </w:t>
            </w:r>
            <w:r>
              <w:rPr>
                <w:spacing w:val="-2"/>
                <w:sz w:val="28"/>
              </w:rPr>
              <w:t>(6,5%)</w:t>
            </w:r>
          </w:p>
        </w:tc>
        <w:tc>
          <w:tcPr>
            <w:tcW w:w="2409" w:type="dxa"/>
            <w:tcBorders>
              <w:top w:val="single" w:color="auto" w:sz="4" w:space="0"/>
              <w:left w:val="single" w:color="auto" w:sz="4" w:space="0"/>
              <w:bottom w:val="single" w:color="auto" w:sz="4" w:space="0"/>
              <w:right w:val="single" w:color="auto" w:sz="4" w:space="0"/>
            </w:tcBorders>
          </w:tcPr>
          <w:p w14:paraId="6B446C61">
            <w:pPr>
              <w:pStyle w:val="11"/>
              <w:spacing w:line="315" w:lineRule="exact"/>
              <w:ind w:left="2" w:right="1"/>
              <w:rPr>
                <w:sz w:val="28"/>
              </w:rPr>
            </w:pPr>
            <w:r>
              <w:rPr>
                <w:sz w:val="28"/>
              </w:rPr>
              <w:t>5</w:t>
            </w:r>
            <w:r>
              <w:rPr>
                <w:spacing w:val="-1"/>
                <w:sz w:val="28"/>
              </w:rPr>
              <w:t xml:space="preserve"> </w:t>
            </w:r>
            <w:r>
              <w:rPr>
                <w:spacing w:val="-2"/>
                <w:sz w:val="28"/>
              </w:rPr>
              <w:t>(17,2%)</w:t>
            </w:r>
          </w:p>
        </w:tc>
        <w:tc>
          <w:tcPr>
            <w:tcW w:w="1134" w:type="dxa"/>
            <w:tcBorders>
              <w:top w:val="single" w:color="auto" w:sz="4" w:space="0"/>
              <w:left w:val="single" w:color="auto" w:sz="4" w:space="0"/>
              <w:bottom w:val="single" w:color="auto" w:sz="4" w:space="0"/>
              <w:right w:val="single" w:color="auto" w:sz="4" w:space="0"/>
            </w:tcBorders>
          </w:tcPr>
          <w:p w14:paraId="3AFEB33C">
            <w:pPr>
              <w:pStyle w:val="11"/>
              <w:spacing w:line="315" w:lineRule="exact"/>
              <w:ind w:left="46" w:right="47"/>
              <w:rPr>
                <w:sz w:val="28"/>
              </w:rPr>
            </w:pPr>
            <w:r>
              <w:rPr>
                <w:spacing w:val="-4"/>
                <w:sz w:val="28"/>
              </w:rPr>
              <w:t>0,131</w:t>
            </w:r>
          </w:p>
        </w:tc>
      </w:tr>
      <w:tr w14:paraId="3A22B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53" w:type="dxa"/>
          </w:tcPr>
          <w:p w14:paraId="171A7C2B">
            <w:pPr>
              <w:pStyle w:val="11"/>
              <w:spacing w:line="301" w:lineRule="exact"/>
              <w:ind w:left="105"/>
              <w:jc w:val="left"/>
              <w:rPr>
                <w:sz w:val="28"/>
              </w:rPr>
            </w:pPr>
            <w:r>
              <w:rPr>
                <w:sz w:val="28"/>
              </w:rPr>
              <w:t>Гастростаз,</w:t>
            </w:r>
            <w:r>
              <w:rPr>
                <w:spacing w:val="-5"/>
                <w:sz w:val="28"/>
              </w:rPr>
              <w:t xml:space="preserve"> </w:t>
            </w:r>
            <w:r>
              <w:rPr>
                <w:sz w:val="28"/>
              </w:rPr>
              <w:t>n</w:t>
            </w:r>
            <w:r>
              <w:rPr>
                <w:spacing w:val="-11"/>
                <w:sz w:val="28"/>
              </w:rPr>
              <w:t xml:space="preserve"> </w:t>
            </w:r>
            <w:r>
              <w:rPr>
                <w:spacing w:val="-5"/>
                <w:sz w:val="28"/>
              </w:rPr>
              <w:t>(%)</w:t>
            </w:r>
          </w:p>
        </w:tc>
        <w:tc>
          <w:tcPr>
            <w:tcW w:w="1843" w:type="dxa"/>
          </w:tcPr>
          <w:p w14:paraId="6E1A3D88">
            <w:pPr>
              <w:pStyle w:val="11"/>
              <w:spacing w:line="301" w:lineRule="exact"/>
              <w:ind w:left="7" w:right="6"/>
              <w:rPr>
                <w:sz w:val="28"/>
              </w:rPr>
            </w:pPr>
            <w:r>
              <w:rPr>
                <w:sz w:val="28"/>
              </w:rPr>
              <w:t>2</w:t>
            </w:r>
            <w:r>
              <w:rPr>
                <w:spacing w:val="-1"/>
                <w:sz w:val="28"/>
              </w:rPr>
              <w:t xml:space="preserve"> </w:t>
            </w:r>
            <w:r>
              <w:rPr>
                <w:spacing w:val="-2"/>
                <w:sz w:val="28"/>
              </w:rPr>
              <w:t>(2,1%)</w:t>
            </w:r>
          </w:p>
        </w:tc>
        <w:tc>
          <w:tcPr>
            <w:tcW w:w="2409" w:type="dxa"/>
          </w:tcPr>
          <w:p w14:paraId="7FB78848">
            <w:pPr>
              <w:pStyle w:val="11"/>
              <w:spacing w:line="301" w:lineRule="exact"/>
              <w:ind w:left="1" w:right="2"/>
              <w:rPr>
                <w:sz w:val="28"/>
              </w:rPr>
            </w:pPr>
            <w:r>
              <w:rPr>
                <w:sz w:val="28"/>
              </w:rPr>
              <w:t>2</w:t>
            </w:r>
            <w:r>
              <w:rPr>
                <w:spacing w:val="-1"/>
                <w:sz w:val="28"/>
              </w:rPr>
              <w:t xml:space="preserve"> </w:t>
            </w:r>
            <w:r>
              <w:rPr>
                <w:spacing w:val="-2"/>
                <w:sz w:val="28"/>
              </w:rPr>
              <w:t>(6,9%)</w:t>
            </w:r>
          </w:p>
        </w:tc>
        <w:tc>
          <w:tcPr>
            <w:tcW w:w="1134" w:type="dxa"/>
          </w:tcPr>
          <w:p w14:paraId="3EF4385A">
            <w:pPr>
              <w:pStyle w:val="11"/>
              <w:spacing w:line="301" w:lineRule="exact"/>
              <w:ind w:left="46" w:right="47"/>
              <w:rPr>
                <w:sz w:val="28"/>
              </w:rPr>
            </w:pPr>
            <w:r>
              <w:rPr>
                <w:spacing w:val="-4"/>
                <w:sz w:val="28"/>
              </w:rPr>
              <w:t>0,242</w:t>
            </w:r>
          </w:p>
        </w:tc>
      </w:tr>
      <w:tr w14:paraId="73450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4253" w:type="dxa"/>
          </w:tcPr>
          <w:p w14:paraId="6165FA3B">
            <w:pPr>
              <w:pStyle w:val="11"/>
              <w:spacing w:line="306" w:lineRule="exact"/>
              <w:ind w:left="105"/>
              <w:jc w:val="left"/>
              <w:rPr>
                <w:sz w:val="28"/>
              </w:rPr>
            </w:pPr>
            <w:r>
              <w:rPr>
                <w:sz w:val="28"/>
              </w:rPr>
              <w:t>Билиарный</w:t>
            </w:r>
            <w:r>
              <w:rPr>
                <w:spacing w:val="-6"/>
                <w:sz w:val="28"/>
              </w:rPr>
              <w:t xml:space="preserve"> </w:t>
            </w:r>
            <w:r>
              <w:rPr>
                <w:sz w:val="28"/>
              </w:rPr>
              <w:t>свищ,</w:t>
            </w:r>
            <w:r>
              <w:rPr>
                <w:spacing w:val="-2"/>
                <w:sz w:val="28"/>
              </w:rPr>
              <w:t xml:space="preserve"> </w:t>
            </w:r>
            <w:r>
              <w:rPr>
                <w:sz w:val="28"/>
              </w:rPr>
              <w:t>n</w:t>
            </w:r>
            <w:r>
              <w:rPr>
                <w:spacing w:val="-9"/>
                <w:sz w:val="28"/>
              </w:rPr>
              <w:t xml:space="preserve"> </w:t>
            </w:r>
            <w:r>
              <w:rPr>
                <w:spacing w:val="-5"/>
                <w:sz w:val="28"/>
              </w:rPr>
              <w:t>(%)</w:t>
            </w:r>
          </w:p>
        </w:tc>
        <w:tc>
          <w:tcPr>
            <w:tcW w:w="1843" w:type="dxa"/>
          </w:tcPr>
          <w:p w14:paraId="203D9183">
            <w:pPr>
              <w:pStyle w:val="11"/>
              <w:spacing w:line="306" w:lineRule="exact"/>
              <w:ind w:left="7" w:right="6"/>
              <w:rPr>
                <w:sz w:val="28"/>
              </w:rPr>
            </w:pPr>
            <w:r>
              <w:rPr>
                <w:sz w:val="28"/>
              </w:rPr>
              <w:t>3</w:t>
            </w:r>
            <w:r>
              <w:rPr>
                <w:spacing w:val="-1"/>
                <w:sz w:val="28"/>
              </w:rPr>
              <w:t xml:space="preserve"> </w:t>
            </w:r>
            <w:r>
              <w:rPr>
                <w:spacing w:val="-2"/>
                <w:sz w:val="28"/>
              </w:rPr>
              <w:t>(3,2%)</w:t>
            </w:r>
          </w:p>
        </w:tc>
        <w:tc>
          <w:tcPr>
            <w:tcW w:w="2409" w:type="dxa"/>
          </w:tcPr>
          <w:p w14:paraId="75040D87">
            <w:pPr>
              <w:pStyle w:val="11"/>
              <w:spacing w:line="306" w:lineRule="exact"/>
              <w:ind w:left="1" w:right="2"/>
              <w:rPr>
                <w:sz w:val="28"/>
              </w:rPr>
            </w:pPr>
            <w:r>
              <w:rPr>
                <w:sz w:val="28"/>
              </w:rPr>
              <w:t>0</w:t>
            </w:r>
            <w:r>
              <w:rPr>
                <w:spacing w:val="-1"/>
                <w:sz w:val="28"/>
              </w:rPr>
              <w:t xml:space="preserve"> </w:t>
            </w:r>
            <w:r>
              <w:rPr>
                <w:spacing w:val="-4"/>
                <w:sz w:val="28"/>
              </w:rPr>
              <w:t>(0%)</w:t>
            </w:r>
          </w:p>
        </w:tc>
        <w:tc>
          <w:tcPr>
            <w:tcW w:w="1134" w:type="dxa"/>
          </w:tcPr>
          <w:p w14:paraId="3787E410">
            <w:pPr>
              <w:pStyle w:val="11"/>
              <w:spacing w:line="306" w:lineRule="exact"/>
              <w:ind w:left="46" w:right="47"/>
              <w:rPr>
                <w:sz w:val="28"/>
              </w:rPr>
            </w:pPr>
            <w:r>
              <w:rPr>
                <w:spacing w:val="-4"/>
                <w:sz w:val="28"/>
              </w:rPr>
              <w:t>1,000</w:t>
            </w:r>
          </w:p>
        </w:tc>
      </w:tr>
      <w:tr w14:paraId="1CC4D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53" w:type="dxa"/>
          </w:tcPr>
          <w:p w14:paraId="39805CD4">
            <w:pPr>
              <w:pStyle w:val="11"/>
              <w:spacing w:line="301" w:lineRule="exact"/>
              <w:ind w:left="105"/>
              <w:jc w:val="left"/>
              <w:rPr>
                <w:sz w:val="28"/>
              </w:rPr>
            </w:pPr>
            <w:r>
              <w:rPr>
                <w:sz w:val="28"/>
              </w:rPr>
              <w:t>Раневая</w:t>
            </w:r>
            <w:r>
              <w:rPr>
                <w:spacing w:val="-6"/>
                <w:sz w:val="28"/>
              </w:rPr>
              <w:t xml:space="preserve"> </w:t>
            </w:r>
            <w:r>
              <w:rPr>
                <w:sz w:val="28"/>
              </w:rPr>
              <w:t>инфекция,</w:t>
            </w:r>
            <w:r>
              <w:rPr>
                <w:spacing w:val="-4"/>
                <w:sz w:val="28"/>
              </w:rPr>
              <w:t xml:space="preserve"> </w:t>
            </w:r>
            <w:r>
              <w:rPr>
                <w:sz w:val="28"/>
              </w:rPr>
              <w:t>n</w:t>
            </w:r>
            <w:r>
              <w:rPr>
                <w:spacing w:val="-11"/>
                <w:sz w:val="28"/>
              </w:rPr>
              <w:t xml:space="preserve"> </w:t>
            </w:r>
            <w:r>
              <w:rPr>
                <w:spacing w:val="-5"/>
                <w:sz w:val="28"/>
              </w:rPr>
              <w:t>(%)</w:t>
            </w:r>
          </w:p>
        </w:tc>
        <w:tc>
          <w:tcPr>
            <w:tcW w:w="1843" w:type="dxa"/>
          </w:tcPr>
          <w:p w14:paraId="0C75F714">
            <w:pPr>
              <w:pStyle w:val="11"/>
              <w:spacing w:line="301" w:lineRule="exact"/>
              <w:ind w:left="7" w:right="6"/>
              <w:rPr>
                <w:sz w:val="28"/>
              </w:rPr>
            </w:pPr>
            <w:r>
              <w:rPr>
                <w:sz w:val="28"/>
              </w:rPr>
              <w:t>5</w:t>
            </w:r>
            <w:r>
              <w:rPr>
                <w:spacing w:val="-1"/>
                <w:sz w:val="28"/>
              </w:rPr>
              <w:t xml:space="preserve"> </w:t>
            </w:r>
            <w:r>
              <w:rPr>
                <w:spacing w:val="-2"/>
                <w:sz w:val="28"/>
              </w:rPr>
              <w:t>(5,4%)</w:t>
            </w:r>
          </w:p>
        </w:tc>
        <w:tc>
          <w:tcPr>
            <w:tcW w:w="2409" w:type="dxa"/>
          </w:tcPr>
          <w:p w14:paraId="24946760">
            <w:pPr>
              <w:pStyle w:val="11"/>
              <w:spacing w:line="301" w:lineRule="exact"/>
              <w:ind w:left="1" w:right="2"/>
              <w:rPr>
                <w:sz w:val="28"/>
              </w:rPr>
            </w:pPr>
            <w:r>
              <w:rPr>
                <w:sz w:val="28"/>
              </w:rPr>
              <w:t>2</w:t>
            </w:r>
            <w:r>
              <w:rPr>
                <w:spacing w:val="-1"/>
                <w:sz w:val="28"/>
              </w:rPr>
              <w:t xml:space="preserve"> </w:t>
            </w:r>
            <w:r>
              <w:rPr>
                <w:spacing w:val="-2"/>
                <w:sz w:val="28"/>
              </w:rPr>
              <w:t>(6,9%)</w:t>
            </w:r>
          </w:p>
        </w:tc>
        <w:tc>
          <w:tcPr>
            <w:tcW w:w="1134" w:type="dxa"/>
          </w:tcPr>
          <w:p w14:paraId="6C4E8EB0">
            <w:pPr>
              <w:pStyle w:val="11"/>
              <w:spacing w:line="301" w:lineRule="exact"/>
              <w:ind w:left="46" w:right="47"/>
              <w:rPr>
                <w:sz w:val="28"/>
              </w:rPr>
            </w:pPr>
            <w:r>
              <w:rPr>
                <w:spacing w:val="-4"/>
                <w:sz w:val="28"/>
              </w:rPr>
              <w:t>0,672</w:t>
            </w:r>
          </w:p>
        </w:tc>
      </w:tr>
      <w:tr w14:paraId="08C66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53" w:type="dxa"/>
          </w:tcPr>
          <w:p w14:paraId="46132F13">
            <w:pPr>
              <w:pStyle w:val="11"/>
              <w:spacing w:line="302" w:lineRule="exact"/>
              <w:ind w:left="105"/>
              <w:jc w:val="left"/>
              <w:rPr>
                <w:sz w:val="28"/>
              </w:rPr>
            </w:pPr>
            <w:r>
              <w:rPr>
                <w:sz w:val="28"/>
              </w:rPr>
              <w:t>Релапаротомия,</w:t>
            </w:r>
            <w:r>
              <w:rPr>
                <w:spacing w:val="-5"/>
                <w:sz w:val="28"/>
              </w:rPr>
              <w:t xml:space="preserve"> </w:t>
            </w:r>
            <w:r>
              <w:rPr>
                <w:sz w:val="28"/>
              </w:rPr>
              <w:t>n</w:t>
            </w:r>
            <w:r>
              <w:rPr>
                <w:spacing w:val="-10"/>
                <w:sz w:val="28"/>
              </w:rPr>
              <w:t xml:space="preserve"> </w:t>
            </w:r>
            <w:r>
              <w:rPr>
                <w:spacing w:val="-5"/>
                <w:sz w:val="28"/>
              </w:rPr>
              <w:t>(%)</w:t>
            </w:r>
          </w:p>
        </w:tc>
        <w:tc>
          <w:tcPr>
            <w:tcW w:w="1843" w:type="dxa"/>
          </w:tcPr>
          <w:p w14:paraId="6901D673">
            <w:pPr>
              <w:pStyle w:val="11"/>
              <w:spacing w:line="302" w:lineRule="exact"/>
              <w:ind w:left="7" w:right="6"/>
              <w:rPr>
                <w:sz w:val="28"/>
              </w:rPr>
            </w:pPr>
            <w:r>
              <w:rPr>
                <w:sz w:val="28"/>
              </w:rPr>
              <w:t>7</w:t>
            </w:r>
            <w:r>
              <w:rPr>
                <w:spacing w:val="-1"/>
                <w:sz w:val="28"/>
              </w:rPr>
              <w:t xml:space="preserve"> </w:t>
            </w:r>
            <w:r>
              <w:rPr>
                <w:spacing w:val="-2"/>
                <w:sz w:val="28"/>
              </w:rPr>
              <w:t>(7,6%)</w:t>
            </w:r>
          </w:p>
        </w:tc>
        <w:tc>
          <w:tcPr>
            <w:tcW w:w="2409" w:type="dxa"/>
          </w:tcPr>
          <w:p w14:paraId="068CDEDC">
            <w:pPr>
              <w:pStyle w:val="11"/>
              <w:spacing w:line="302" w:lineRule="exact"/>
              <w:ind w:left="2" w:right="1"/>
              <w:rPr>
                <w:sz w:val="28"/>
              </w:rPr>
            </w:pPr>
            <w:r>
              <w:rPr>
                <w:sz w:val="28"/>
              </w:rPr>
              <w:t>5</w:t>
            </w:r>
            <w:r>
              <w:rPr>
                <w:spacing w:val="-1"/>
                <w:sz w:val="28"/>
              </w:rPr>
              <w:t xml:space="preserve"> </w:t>
            </w:r>
            <w:r>
              <w:rPr>
                <w:spacing w:val="-2"/>
                <w:sz w:val="28"/>
              </w:rPr>
              <w:t>(17,2%)</w:t>
            </w:r>
          </w:p>
        </w:tc>
        <w:tc>
          <w:tcPr>
            <w:tcW w:w="1134" w:type="dxa"/>
          </w:tcPr>
          <w:p w14:paraId="654E52AB">
            <w:pPr>
              <w:pStyle w:val="11"/>
              <w:spacing w:line="302" w:lineRule="exact"/>
              <w:ind w:left="46" w:right="47"/>
              <w:rPr>
                <w:sz w:val="28"/>
              </w:rPr>
            </w:pPr>
            <w:r>
              <w:rPr>
                <w:spacing w:val="-4"/>
                <w:sz w:val="28"/>
              </w:rPr>
              <w:t>0,157</w:t>
            </w:r>
          </w:p>
        </w:tc>
      </w:tr>
      <w:tr w14:paraId="70FA9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253" w:type="dxa"/>
          </w:tcPr>
          <w:p w14:paraId="3E31CC1A">
            <w:pPr>
              <w:pStyle w:val="11"/>
              <w:spacing w:line="301" w:lineRule="exact"/>
              <w:ind w:left="105"/>
              <w:jc w:val="left"/>
              <w:rPr>
                <w:sz w:val="28"/>
              </w:rPr>
            </w:pPr>
            <w:r>
              <w:rPr>
                <w:sz w:val="28"/>
              </w:rPr>
              <w:t>Госпитальная</w:t>
            </w:r>
            <w:r>
              <w:rPr>
                <w:spacing w:val="-8"/>
                <w:sz w:val="28"/>
              </w:rPr>
              <w:t xml:space="preserve"> </w:t>
            </w:r>
            <w:r>
              <w:rPr>
                <w:sz w:val="28"/>
              </w:rPr>
              <w:t>летальность,</w:t>
            </w:r>
            <w:r>
              <w:rPr>
                <w:spacing w:val="-4"/>
                <w:sz w:val="28"/>
              </w:rPr>
              <w:t xml:space="preserve"> </w:t>
            </w:r>
            <w:r>
              <w:rPr>
                <w:sz w:val="28"/>
              </w:rPr>
              <w:t>n</w:t>
            </w:r>
            <w:r>
              <w:rPr>
                <w:spacing w:val="-12"/>
                <w:sz w:val="28"/>
              </w:rPr>
              <w:t xml:space="preserve"> </w:t>
            </w:r>
            <w:r>
              <w:rPr>
                <w:spacing w:val="-5"/>
                <w:sz w:val="28"/>
              </w:rPr>
              <w:t>(%)</w:t>
            </w:r>
          </w:p>
        </w:tc>
        <w:tc>
          <w:tcPr>
            <w:tcW w:w="1843" w:type="dxa"/>
          </w:tcPr>
          <w:p w14:paraId="176FD60B">
            <w:pPr>
              <w:pStyle w:val="11"/>
              <w:spacing w:line="301" w:lineRule="exact"/>
              <w:ind w:left="7" w:right="6"/>
              <w:rPr>
                <w:sz w:val="28"/>
              </w:rPr>
            </w:pPr>
            <w:r>
              <w:rPr>
                <w:sz w:val="28"/>
              </w:rPr>
              <w:t>8</w:t>
            </w:r>
            <w:r>
              <w:rPr>
                <w:spacing w:val="-1"/>
                <w:sz w:val="28"/>
              </w:rPr>
              <w:t xml:space="preserve"> </w:t>
            </w:r>
            <w:r>
              <w:rPr>
                <w:spacing w:val="-2"/>
                <w:sz w:val="28"/>
              </w:rPr>
              <w:t>(8,7%)</w:t>
            </w:r>
          </w:p>
        </w:tc>
        <w:tc>
          <w:tcPr>
            <w:tcW w:w="2409" w:type="dxa"/>
          </w:tcPr>
          <w:p w14:paraId="38731A3F">
            <w:pPr>
              <w:pStyle w:val="11"/>
              <w:spacing w:line="301" w:lineRule="exact"/>
              <w:ind w:left="2" w:right="1"/>
              <w:rPr>
                <w:sz w:val="28"/>
              </w:rPr>
            </w:pPr>
            <w:r>
              <w:rPr>
                <w:sz w:val="28"/>
              </w:rPr>
              <w:t>6</w:t>
            </w:r>
            <w:r>
              <w:rPr>
                <w:spacing w:val="-1"/>
                <w:sz w:val="28"/>
              </w:rPr>
              <w:t xml:space="preserve"> </w:t>
            </w:r>
            <w:r>
              <w:rPr>
                <w:spacing w:val="-2"/>
                <w:sz w:val="28"/>
              </w:rPr>
              <w:t>(20,7%)</w:t>
            </w:r>
          </w:p>
        </w:tc>
        <w:tc>
          <w:tcPr>
            <w:tcW w:w="1134" w:type="dxa"/>
          </w:tcPr>
          <w:p w14:paraId="32C2A9D8">
            <w:pPr>
              <w:pStyle w:val="11"/>
              <w:spacing w:line="301" w:lineRule="exact"/>
              <w:ind w:left="46" w:right="47"/>
              <w:rPr>
                <w:sz w:val="28"/>
              </w:rPr>
            </w:pPr>
            <w:r>
              <w:rPr>
                <w:spacing w:val="-4"/>
                <w:sz w:val="28"/>
              </w:rPr>
              <w:t>0,098</w:t>
            </w:r>
          </w:p>
        </w:tc>
      </w:tr>
      <w:tr w14:paraId="6659A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253" w:type="dxa"/>
          </w:tcPr>
          <w:p w14:paraId="5985D077">
            <w:pPr>
              <w:pStyle w:val="11"/>
              <w:spacing w:line="315" w:lineRule="exact"/>
              <w:ind w:left="105"/>
              <w:jc w:val="left"/>
              <w:rPr>
                <w:sz w:val="28"/>
              </w:rPr>
            </w:pPr>
            <w:r>
              <w:rPr>
                <w:sz w:val="28"/>
              </w:rPr>
              <w:t>Длительность</w:t>
            </w:r>
            <w:r>
              <w:rPr>
                <w:spacing w:val="-16"/>
                <w:sz w:val="28"/>
              </w:rPr>
              <w:t xml:space="preserve"> </w:t>
            </w:r>
            <w:r>
              <w:rPr>
                <w:spacing w:val="-2"/>
                <w:sz w:val="28"/>
              </w:rPr>
              <w:t>госпитализации,</w:t>
            </w:r>
          </w:p>
          <w:p w14:paraId="7D9B4835">
            <w:pPr>
              <w:pStyle w:val="11"/>
              <w:ind w:left="105"/>
              <w:jc w:val="left"/>
              <w:rPr>
                <w:sz w:val="28"/>
              </w:rPr>
            </w:pPr>
            <w:r>
              <w:rPr>
                <w:sz w:val="28"/>
              </w:rPr>
              <w:t>дни,</w:t>
            </w:r>
            <w:r>
              <w:rPr>
                <w:spacing w:val="-1"/>
                <w:sz w:val="28"/>
              </w:rPr>
              <w:t xml:space="preserve"> </w:t>
            </w:r>
            <w:r>
              <w:rPr>
                <w:sz w:val="28"/>
              </w:rPr>
              <w:t>Me</w:t>
            </w:r>
            <w:r>
              <w:rPr>
                <w:spacing w:val="-2"/>
                <w:sz w:val="28"/>
              </w:rPr>
              <w:t xml:space="preserve"> </w:t>
            </w:r>
            <w:r>
              <w:rPr>
                <w:sz w:val="28"/>
              </w:rPr>
              <w:t>[Q1;</w:t>
            </w:r>
            <w:r>
              <w:rPr>
                <w:spacing w:val="-3"/>
                <w:sz w:val="28"/>
              </w:rPr>
              <w:t xml:space="preserve"> </w:t>
            </w:r>
            <w:r>
              <w:rPr>
                <w:spacing w:val="-5"/>
                <w:sz w:val="28"/>
              </w:rPr>
              <w:t>Q3]</w:t>
            </w:r>
          </w:p>
        </w:tc>
        <w:tc>
          <w:tcPr>
            <w:tcW w:w="1843" w:type="dxa"/>
          </w:tcPr>
          <w:p w14:paraId="492E176F">
            <w:pPr>
              <w:pStyle w:val="11"/>
              <w:spacing w:line="315" w:lineRule="exact"/>
              <w:ind w:left="7" w:right="2"/>
              <w:rPr>
                <w:sz w:val="28"/>
              </w:rPr>
            </w:pPr>
            <w:r>
              <w:rPr>
                <w:sz w:val="28"/>
              </w:rPr>
              <w:t>25,0</w:t>
            </w:r>
            <w:r>
              <w:rPr>
                <w:spacing w:val="-4"/>
                <w:sz w:val="28"/>
              </w:rPr>
              <w:t xml:space="preserve"> </w:t>
            </w:r>
            <w:r>
              <w:rPr>
                <w:sz w:val="28"/>
              </w:rPr>
              <w:t>[18;</w:t>
            </w:r>
            <w:r>
              <w:rPr>
                <w:spacing w:val="-4"/>
                <w:sz w:val="28"/>
              </w:rPr>
              <w:t xml:space="preserve"> </w:t>
            </w:r>
            <w:r>
              <w:rPr>
                <w:spacing w:val="-5"/>
                <w:sz w:val="28"/>
              </w:rPr>
              <w:t>33]</w:t>
            </w:r>
          </w:p>
        </w:tc>
        <w:tc>
          <w:tcPr>
            <w:tcW w:w="2409" w:type="dxa"/>
          </w:tcPr>
          <w:p w14:paraId="0845D2AC">
            <w:pPr>
              <w:pStyle w:val="11"/>
              <w:spacing w:line="315" w:lineRule="exact"/>
              <w:ind w:left="1" w:right="1"/>
              <w:rPr>
                <w:sz w:val="28"/>
              </w:rPr>
            </w:pPr>
            <w:r>
              <w:rPr>
                <w:sz w:val="28"/>
              </w:rPr>
              <w:t>25,0</w:t>
            </w:r>
            <w:r>
              <w:rPr>
                <w:spacing w:val="-4"/>
                <w:sz w:val="28"/>
              </w:rPr>
              <w:t xml:space="preserve"> </w:t>
            </w:r>
            <w:r>
              <w:rPr>
                <w:sz w:val="28"/>
              </w:rPr>
              <w:t>[18;</w:t>
            </w:r>
            <w:r>
              <w:rPr>
                <w:spacing w:val="-4"/>
                <w:sz w:val="28"/>
              </w:rPr>
              <w:t xml:space="preserve"> </w:t>
            </w:r>
            <w:r>
              <w:rPr>
                <w:spacing w:val="-5"/>
                <w:sz w:val="28"/>
              </w:rPr>
              <w:t>34]</w:t>
            </w:r>
          </w:p>
        </w:tc>
        <w:tc>
          <w:tcPr>
            <w:tcW w:w="1134" w:type="dxa"/>
          </w:tcPr>
          <w:p w14:paraId="79AFBFB0">
            <w:pPr>
              <w:pStyle w:val="11"/>
              <w:spacing w:line="315" w:lineRule="exact"/>
              <w:ind w:left="46" w:right="47"/>
              <w:rPr>
                <w:sz w:val="28"/>
              </w:rPr>
            </w:pPr>
            <w:r>
              <w:rPr>
                <w:spacing w:val="-4"/>
                <w:sz w:val="28"/>
              </w:rPr>
              <w:t>0,792</w:t>
            </w:r>
          </w:p>
        </w:tc>
      </w:tr>
      <w:tr w14:paraId="2EE1B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639" w:type="dxa"/>
            <w:gridSpan w:val="4"/>
          </w:tcPr>
          <w:p w14:paraId="195E7355">
            <w:pPr>
              <w:pStyle w:val="11"/>
              <w:spacing w:line="240" w:lineRule="auto"/>
              <w:ind w:left="105" w:right="59" w:firstLine="609"/>
              <w:jc w:val="left"/>
              <w:rPr>
                <w:sz w:val="24"/>
              </w:rPr>
            </w:pPr>
            <w:r>
              <w:rPr>
                <w:sz w:val="24"/>
              </w:rPr>
              <w:t>Примечание: тегориальные</w:t>
            </w:r>
            <w:r>
              <w:rPr>
                <w:spacing w:val="-2"/>
                <w:sz w:val="24"/>
              </w:rPr>
              <w:t xml:space="preserve"> </w:t>
            </w:r>
            <w:r>
              <w:rPr>
                <w:sz w:val="24"/>
              </w:rPr>
              <w:t>данные</w:t>
            </w:r>
            <w:r>
              <w:rPr>
                <w:spacing w:val="-7"/>
                <w:sz w:val="24"/>
              </w:rPr>
              <w:t xml:space="preserve"> </w:t>
            </w:r>
            <w:r>
              <w:rPr>
                <w:sz w:val="24"/>
              </w:rPr>
              <w:t>представлены</w:t>
            </w:r>
            <w:r>
              <w:rPr>
                <w:spacing w:val="-4"/>
                <w:sz w:val="24"/>
              </w:rPr>
              <w:t xml:space="preserve"> </w:t>
            </w:r>
            <w:r>
              <w:rPr>
                <w:sz w:val="24"/>
              </w:rPr>
              <w:t>как</w:t>
            </w:r>
            <w:r>
              <w:rPr>
                <w:spacing w:val="-3"/>
                <w:sz w:val="24"/>
              </w:rPr>
              <w:t xml:space="preserve"> </w:t>
            </w:r>
            <w:r>
              <w:rPr>
                <w:sz w:val="24"/>
              </w:rPr>
              <w:t>абсолютные</w:t>
            </w:r>
            <w:r>
              <w:rPr>
                <w:spacing w:val="-2"/>
                <w:sz w:val="24"/>
              </w:rPr>
              <w:t xml:space="preserve"> </w:t>
            </w:r>
            <w:r>
              <w:rPr>
                <w:sz w:val="24"/>
              </w:rPr>
              <w:t>значения</w:t>
            </w:r>
            <w:r>
              <w:rPr>
                <w:spacing w:val="-6"/>
                <w:sz w:val="24"/>
              </w:rPr>
              <w:t xml:space="preserve"> </w:t>
            </w:r>
            <w:r>
              <w:rPr>
                <w:sz w:val="24"/>
              </w:rPr>
              <w:t>и</w:t>
            </w:r>
            <w:r>
              <w:rPr>
                <w:spacing w:val="-5"/>
                <w:sz w:val="24"/>
              </w:rPr>
              <w:t xml:space="preserve"> </w:t>
            </w:r>
            <w:r>
              <w:rPr>
                <w:sz w:val="24"/>
              </w:rPr>
              <w:t>проценты —</w:t>
            </w:r>
            <w:r>
              <w:rPr>
                <w:spacing w:val="-6"/>
                <w:sz w:val="24"/>
              </w:rPr>
              <w:t xml:space="preserve"> </w:t>
            </w:r>
            <w:r>
              <w:rPr>
                <w:sz w:val="24"/>
              </w:rPr>
              <w:t>n</w:t>
            </w:r>
            <w:r>
              <w:rPr>
                <w:spacing w:val="-6"/>
                <w:sz w:val="24"/>
              </w:rPr>
              <w:t xml:space="preserve"> </w:t>
            </w:r>
            <w:r>
              <w:rPr>
                <w:sz w:val="24"/>
              </w:rPr>
              <w:t>(%).*</w:t>
            </w:r>
            <w:r>
              <w:rPr>
                <w:spacing w:val="-1"/>
                <w:sz w:val="24"/>
              </w:rPr>
              <w:t xml:space="preserve"> </w:t>
            </w:r>
            <w:r>
              <w:rPr>
                <w:sz w:val="24"/>
              </w:rPr>
              <w:t>p</w:t>
            </w:r>
            <w:r>
              <w:rPr>
                <w:spacing w:val="-6"/>
                <w:sz w:val="24"/>
              </w:rPr>
              <w:t xml:space="preserve"> </w:t>
            </w:r>
            <w:r>
              <w:rPr>
                <w:sz w:val="24"/>
              </w:rPr>
              <w:t>&lt; 0,05, ** p &lt; 0,01, *** p &lt; 0,001. Для сравнения категориальных переменных применён точный критерий Фишера. Для сравнения количественных переменных использован U-</w:t>
            </w:r>
          </w:p>
          <w:p w14:paraId="577B43B7">
            <w:pPr>
              <w:pStyle w:val="11"/>
              <w:spacing w:line="274" w:lineRule="exact"/>
              <w:ind w:left="105" w:right="59"/>
              <w:jc w:val="left"/>
              <w:rPr>
                <w:sz w:val="24"/>
              </w:rPr>
            </w:pPr>
            <w:r>
              <w:rPr>
                <w:sz w:val="24"/>
              </w:rPr>
              <w:t>критерий</w:t>
            </w:r>
            <w:r>
              <w:rPr>
                <w:spacing w:val="-3"/>
                <w:sz w:val="24"/>
              </w:rPr>
              <w:t xml:space="preserve"> </w:t>
            </w:r>
            <w:r>
              <w:rPr>
                <w:sz w:val="24"/>
              </w:rPr>
              <w:t>Манна—Уитни.</w:t>
            </w:r>
            <w:r>
              <w:rPr>
                <w:spacing w:val="-2"/>
                <w:sz w:val="24"/>
              </w:rPr>
              <w:t xml:space="preserve"> </w:t>
            </w:r>
            <w:r>
              <w:rPr>
                <w:sz w:val="24"/>
              </w:rPr>
              <w:t>Для</w:t>
            </w:r>
            <w:r>
              <w:rPr>
                <w:spacing w:val="-9"/>
                <w:sz w:val="24"/>
              </w:rPr>
              <w:t xml:space="preserve"> </w:t>
            </w:r>
            <w:r>
              <w:rPr>
                <w:sz w:val="24"/>
              </w:rPr>
              <w:t>сравнения</w:t>
            </w:r>
            <w:r>
              <w:rPr>
                <w:spacing w:val="-9"/>
                <w:sz w:val="24"/>
              </w:rPr>
              <w:t xml:space="preserve"> </w:t>
            </w:r>
            <w:r>
              <w:rPr>
                <w:sz w:val="24"/>
              </w:rPr>
              <w:t>распределения</w:t>
            </w:r>
            <w:r>
              <w:rPr>
                <w:spacing w:val="-4"/>
                <w:sz w:val="24"/>
              </w:rPr>
              <w:t xml:space="preserve"> </w:t>
            </w:r>
            <w:r>
              <w:rPr>
                <w:sz w:val="24"/>
              </w:rPr>
              <w:t>ПС</w:t>
            </w:r>
            <w:r>
              <w:rPr>
                <w:spacing w:val="-6"/>
                <w:sz w:val="24"/>
              </w:rPr>
              <w:t xml:space="preserve"> </w:t>
            </w:r>
            <w:r>
              <w:rPr>
                <w:sz w:val="24"/>
              </w:rPr>
              <w:t>по</w:t>
            </w:r>
            <w:r>
              <w:rPr>
                <w:spacing w:val="-4"/>
                <w:sz w:val="24"/>
              </w:rPr>
              <w:t xml:space="preserve"> </w:t>
            </w:r>
            <w:r>
              <w:rPr>
                <w:sz w:val="24"/>
              </w:rPr>
              <w:t>степеням</w:t>
            </w:r>
            <w:r>
              <w:rPr>
                <w:spacing w:val="-7"/>
                <w:sz w:val="24"/>
              </w:rPr>
              <w:t xml:space="preserve"> </w:t>
            </w:r>
            <w:r>
              <w:rPr>
                <w:sz w:val="24"/>
              </w:rPr>
              <w:t>(A/B/C)</w:t>
            </w:r>
            <w:r>
              <w:rPr>
                <w:spacing w:val="-3"/>
                <w:sz w:val="24"/>
              </w:rPr>
              <w:t xml:space="preserve"> </w:t>
            </w:r>
            <w:r>
              <w:rPr>
                <w:sz w:val="24"/>
              </w:rPr>
              <w:t>между группами использован χ²-критерий Пирсона.</w:t>
            </w:r>
          </w:p>
        </w:tc>
      </w:tr>
    </w:tbl>
    <w:p w14:paraId="24B87249">
      <w:pPr>
        <w:pStyle w:val="7"/>
        <w:spacing w:before="9"/>
        <w:ind w:left="0" w:firstLine="0"/>
        <w:jc w:val="left"/>
      </w:pPr>
    </w:p>
    <w:p w14:paraId="530519D5">
      <w:pPr>
        <w:pStyle w:val="7"/>
        <w:ind w:left="0" w:right="3" w:firstLine="709"/>
      </w:pPr>
      <w:r>
        <w:t>В таблице 17 представлена сравнительная характеристика послеоперационных осложнений у пациентов с мягкой ПЖ в зависимости от типа наложения ПЕА: стандартного и инвагинационного. Анализ охватывает период 2016–2022 гг.</w:t>
      </w:r>
    </w:p>
    <w:p w14:paraId="05BCECE1">
      <w:pPr>
        <w:pStyle w:val="7"/>
        <w:tabs>
          <w:tab w:val="left" w:pos="4111"/>
          <w:tab w:val="left" w:pos="4962"/>
        </w:tabs>
        <w:ind w:left="0" w:right="3" w:firstLine="709"/>
      </w:pPr>
      <w:r>
        <w:t>Общая</w:t>
      </w:r>
      <w:r>
        <w:rPr>
          <w:spacing w:val="-18"/>
        </w:rPr>
        <w:t xml:space="preserve"> </w:t>
      </w:r>
      <w:r>
        <w:t>частота</w:t>
      </w:r>
      <w:r>
        <w:rPr>
          <w:spacing w:val="-17"/>
        </w:rPr>
        <w:t xml:space="preserve"> </w:t>
      </w:r>
      <w:r>
        <w:t>послеоперационных</w:t>
      </w:r>
      <w:r>
        <w:rPr>
          <w:spacing w:val="-18"/>
        </w:rPr>
        <w:t xml:space="preserve"> </w:t>
      </w:r>
      <w:r>
        <w:t>осложнений</w:t>
      </w:r>
      <w:r>
        <w:rPr>
          <w:spacing w:val="-17"/>
        </w:rPr>
        <w:t xml:space="preserve"> </w:t>
      </w:r>
      <w:r>
        <w:t>была</w:t>
      </w:r>
      <w:r>
        <w:rPr>
          <w:spacing w:val="-18"/>
        </w:rPr>
        <w:t xml:space="preserve"> </w:t>
      </w:r>
      <w:r>
        <w:t>сопоставимой</w:t>
      </w:r>
      <w:r>
        <w:rPr>
          <w:spacing w:val="-17"/>
        </w:rPr>
        <w:t xml:space="preserve"> </w:t>
      </w:r>
      <w:r>
        <w:t>в</w:t>
      </w:r>
      <w:r>
        <w:rPr>
          <w:spacing w:val="-18"/>
        </w:rPr>
        <w:t xml:space="preserve"> </w:t>
      </w:r>
      <w:r>
        <w:t>обеих группах и составила 63,0% (58 из 92) при стандартном ПЕА и 58,6% (17 из 29) при</w:t>
      </w:r>
      <w:r>
        <w:rPr>
          <w:spacing w:val="-9"/>
        </w:rPr>
        <w:t xml:space="preserve"> </w:t>
      </w:r>
      <w:r>
        <w:t>инвагинационном</w:t>
      </w:r>
      <w:r>
        <w:rPr>
          <w:spacing w:val="-7"/>
        </w:rPr>
        <w:t xml:space="preserve"> </w:t>
      </w:r>
      <w:r>
        <w:t>ПЕА;</w:t>
      </w:r>
      <w:r>
        <w:rPr>
          <w:spacing w:val="-5"/>
        </w:rPr>
        <w:t xml:space="preserve"> </w:t>
      </w:r>
      <w:r>
        <w:t>статистически</w:t>
      </w:r>
      <w:r>
        <w:rPr>
          <w:spacing w:val="-8"/>
        </w:rPr>
        <w:t xml:space="preserve"> </w:t>
      </w:r>
      <w:r>
        <w:t>значимых</w:t>
      </w:r>
      <w:r>
        <w:rPr>
          <w:spacing w:val="-13"/>
        </w:rPr>
        <w:t xml:space="preserve"> </w:t>
      </w:r>
      <w:r>
        <w:t>различий</w:t>
      </w:r>
      <w:r>
        <w:rPr>
          <w:spacing w:val="-9"/>
        </w:rPr>
        <w:t xml:space="preserve"> </w:t>
      </w:r>
      <w:r>
        <w:t>не</w:t>
      </w:r>
      <w:r>
        <w:rPr>
          <w:spacing w:val="-8"/>
        </w:rPr>
        <w:t xml:space="preserve"> </w:t>
      </w:r>
      <w:r>
        <w:t>выявлено</w:t>
      </w:r>
      <w:r>
        <w:rPr>
          <w:spacing w:val="-8"/>
        </w:rPr>
        <w:t xml:space="preserve"> </w:t>
      </w:r>
      <w:r>
        <w:t>(p</w:t>
      </w:r>
      <w:r>
        <w:rPr>
          <w:spacing w:val="-8"/>
        </w:rPr>
        <w:t xml:space="preserve"> </w:t>
      </w:r>
      <w:r>
        <w:t xml:space="preserve">= </w:t>
      </w:r>
      <w:r>
        <w:rPr>
          <w:spacing w:val="-2"/>
        </w:rPr>
        <w:t>0,661).</w:t>
      </w:r>
    </w:p>
    <w:p w14:paraId="3BD827D0">
      <w:pPr>
        <w:pStyle w:val="7"/>
        <w:spacing w:before="3"/>
        <w:ind w:left="0" w:right="3" w:firstLine="709"/>
      </w:pPr>
      <w:r>
        <w:t>Частота ПС в целом также не достигала статистической значимости между группами (p=0,077). При этом в группе стандартного ПЕА преобладали ПС степени A и B (22,8% и 33,7% соответственно), тогда как в группе инвагинационного ПЕА</w:t>
      </w:r>
      <w:r>
        <w:rPr>
          <w:spacing w:val="-3"/>
        </w:rPr>
        <w:t xml:space="preserve"> </w:t>
      </w:r>
      <w:r>
        <w:t>отмечалась</w:t>
      </w:r>
      <w:r>
        <w:rPr>
          <w:spacing w:val="-1"/>
        </w:rPr>
        <w:t xml:space="preserve"> </w:t>
      </w:r>
      <w:r>
        <w:t>относительно большая доля КЗ-ПС степени C (17,2% против 6,5%). Однако различия по суммарной частоте КЗ-ПС между группами отсутствовали: 40,2% при стандартном ПЕА и 34,5% при инвагинационном (p=0,661).</w:t>
      </w:r>
    </w:p>
    <w:p w14:paraId="6E7C399D">
      <w:pPr>
        <w:pStyle w:val="7"/>
        <w:ind w:left="0" w:right="3" w:firstLine="709"/>
      </w:pPr>
      <w:r>
        <w:t>Частота послеоперационного кровотечения была низкой в обеих группах (1,1% и 3,4% соответственно) и не различалась статистически значимо (p = 0,423). Кровотечение, ассоциированное ПС, встречалось чаще при инвагинационном</w:t>
      </w:r>
      <w:r>
        <w:rPr>
          <w:spacing w:val="-4"/>
        </w:rPr>
        <w:t xml:space="preserve"> </w:t>
      </w:r>
      <w:r>
        <w:t>ПЕА</w:t>
      </w:r>
      <w:r>
        <w:rPr>
          <w:spacing w:val="-13"/>
        </w:rPr>
        <w:t xml:space="preserve"> </w:t>
      </w:r>
      <w:r>
        <w:t>(17,2%</w:t>
      </w:r>
      <w:r>
        <w:rPr>
          <w:spacing w:val="-10"/>
        </w:rPr>
        <w:t xml:space="preserve"> </w:t>
      </w:r>
      <w:r>
        <w:t>против</w:t>
      </w:r>
      <w:r>
        <w:rPr>
          <w:spacing w:val="-10"/>
        </w:rPr>
        <w:t xml:space="preserve"> </w:t>
      </w:r>
      <w:r>
        <w:t>6,5%),</w:t>
      </w:r>
      <w:r>
        <w:rPr>
          <w:spacing w:val="-7"/>
        </w:rPr>
        <w:t xml:space="preserve"> </w:t>
      </w:r>
      <w:r>
        <w:t>однако</w:t>
      </w:r>
      <w:r>
        <w:rPr>
          <w:spacing w:val="-9"/>
        </w:rPr>
        <w:t xml:space="preserve"> </w:t>
      </w:r>
      <w:r>
        <w:t>данная</w:t>
      </w:r>
      <w:r>
        <w:rPr>
          <w:spacing w:val="-8"/>
        </w:rPr>
        <w:t xml:space="preserve"> </w:t>
      </w:r>
      <w:r>
        <w:t>разница</w:t>
      </w:r>
      <w:r>
        <w:rPr>
          <w:spacing w:val="-9"/>
        </w:rPr>
        <w:t xml:space="preserve"> </w:t>
      </w:r>
      <w:r>
        <w:t>не</w:t>
      </w:r>
      <w:r>
        <w:rPr>
          <w:spacing w:val="-9"/>
        </w:rPr>
        <w:t xml:space="preserve"> </w:t>
      </w:r>
      <w:r>
        <w:t>достигла уровня статистической значимости (p = 0,131).</w:t>
      </w:r>
    </w:p>
    <w:p w14:paraId="2EBB412F">
      <w:pPr>
        <w:pStyle w:val="7"/>
        <w:spacing w:before="1"/>
        <w:ind w:left="0" w:right="3" w:firstLine="709"/>
      </w:pPr>
      <w:r>
        <w:t>Гастростаз регистрировался редко и без достоверных различий между группами (2,1% и 6,9%; p = 0,242). Билиарный свищ отмечен только в группе стандартного</w:t>
      </w:r>
      <w:r>
        <w:rPr>
          <w:spacing w:val="-1"/>
        </w:rPr>
        <w:t xml:space="preserve"> </w:t>
      </w:r>
      <w:r>
        <w:t>ПЕА</w:t>
      </w:r>
      <w:r>
        <w:rPr>
          <w:spacing w:val="-4"/>
        </w:rPr>
        <w:t xml:space="preserve"> </w:t>
      </w:r>
      <w:r>
        <w:t>(3,2%), при</w:t>
      </w:r>
      <w:r>
        <w:rPr>
          <w:spacing w:val="-1"/>
        </w:rPr>
        <w:t xml:space="preserve"> </w:t>
      </w:r>
      <w:r>
        <w:t>этом статистически</w:t>
      </w:r>
      <w:r>
        <w:rPr>
          <w:spacing w:val="-1"/>
        </w:rPr>
        <w:t xml:space="preserve"> </w:t>
      </w:r>
      <w:r>
        <w:t>значимых</w:t>
      </w:r>
      <w:r>
        <w:rPr>
          <w:spacing w:val="-5"/>
        </w:rPr>
        <w:t xml:space="preserve"> </w:t>
      </w:r>
      <w:r>
        <w:t>различий</w:t>
      </w:r>
      <w:r>
        <w:rPr>
          <w:spacing w:val="-1"/>
        </w:rPr>
        <w:t xml:space="preserve"> </w:t>
      </w:r>
      <w:r>
        <w:t>также не выявлено (p = 1,000). Частота раневой инфекции была сопоставимой в обеих группах (5,4% и 6,9%; p = 0,672).</w:t>
      </w:r>
    </w:p>
    <w:p w14:paraId="60C0795F">
      <w:pPr>
        <w:pStyle w:val="7"/>
        <w:ind w:left="0" w:right="3" w:firstLine="709"/>
      </w:pPr>
      <w:r>
        <w:t>Не выявлено статистически значимых различий и по частоте релапаротомий: 7,6% при стандартном ПЕА</w:t>
      </w:r>
      <w:r>
        <w:rPr>
          <w:spacing w:val="-2"/>
        </w:rPr>
        <w:t xml:space="preserve"> </w:t>
      </w:r>
      <w:r>
        <w:t>и 17,2% при инвагинационном (p = 0,157). Госпитальная летальность была выше в группе инвагинационного ПЕА (20,7% против 8,7%), однако различие носило характер статистической тенденции и не достигло достоверности (p = 0,098).</w:t>
      </w:r>
    </w:p>
    <w:p w14:paraId="52FD0E6C">
      <w:pPr>
        <w:pStyle w:val="7"/>
        <w:ind w:left="0" w:right="3" w:firstLine="709"/>
      </w:pPr>
      <w:r>
        <w:t>Медианная длительность госпитализации оказалась идентичной в обеих группах</w:t>
      </w:r>
      <w:r>
        <w:rPr>
          <w:spacing w:val="-2"/>
        </w:rPr>
        <w:t xml:space="preserve"> </w:t>
      </w:r>
      <w:r>
        <w:t>и составила 25,0 суток; межквартильный размах также был сопоставим</w:t>
      </w:r>
    </w:p>
    <w:p w14:paraId="511F2810">
      <w:pPr>
        <w:pStyle w:val="7"/>
        <w:spacing w:before="67"/>
        <w:ind w:left="0" w:right="3" w:firstLine="709"/>
      </w:pPr>
      <w:r>
        <w:t>(p = 0,792), что свидетельствует об отсутствии влияния типа ПЕА на продолжительность стационарного лечения.</w:t>
      </w:r>
    </w:p>
    <w:p w14:paraId="3350DE0E">
      <w:pPr>
        <w:pStyle w:val="7"/>
        <w:ind w:left="0" w:right="3" w:firstLine="709"/>
      </w:pPr>
      <w:r>
        <w:t>В анализируемой когорте пациентов с мягкой ПЖ тип наложения ПЕА (стандартный или инвагинационный) не оказывал статистически значимого влияния на частоту и структуру послеоперационных осложнений, включая КЗ- ПС, а также на длительность госпитализации.</w:t>
      </w:r>
    </w:p>
    <w:p w14:paraId="40639CAC">
      <w:pPr>
        <w:pStyle w:val="7"/>
        <w:spacing w:before="4"/>
        <w:ind w:left="0" w:right="3" w:firstLine="709"/>
      </w:pPr>
      <w:r>
        <w:t>Таким</w:t>
      </w:r>
      <w:r>
        <w:rPr>
          <w:spacing w:val="-18"/>
        </w:rPr>
        <w:t xml:space="preserve"> </w:t>
      </w:r>
      <w:r>
        <w:t>образом,</w:t>
      </w:r>
      <w:r>
        <w:rPr>
          <w:spacing w:val="-17"/>
        </w:rPr>
        <w:t xml:space="preserve"> </w:t>
      </w:r>
      <w:r>
        <w:t>результаты</w:t>
      </w:r>
      <w:r>
        <w:rPr>
          <w:spacing w:val="-18"/>
        </w:rPr>
        <w:t xml:space="preserve"> </w:t>
      </w:r>
      <w:r>
        <w:t>ретроспективного</w:t>
      </w:r>
      <w:r>
        <w:rPr>
          <w:spacing w:val="-17"/>
        </w:rPr>
        <w:t xml:space="preserve"> </w:t>
      </w:r>
      <w:r>
        <w:t>анализа</w:t>
      </w:r>
      <w:r>
        <w:rPr>
          <w:spacing w:val="-17"/>
        </w:rPr>
        <w:t xml:space="preserve"> </w:t>
      </w:r>
      <w:r>
        <w:t>свидетельствуют,</w:t>
      </w:r>
      <w:r>
        <w:rPr>
          <w:spacing w:val="-18"/>
        </w:rPr>
        <w:t xml:space="preserve"> </w:t>
      </w:r>
      <w:r>
        <w:t>что инвагинационный ПЕА не снижает риск формирования КЗ-ПС у пациентов с мягкой ПЖ и может быть ассоциирован с более тяжёлым течением послеоперационных осложнений. Это подчёркивает необходимость разработки и внедрения специальной, адаптированной техники ПЕА, ориентированной на условия мягкой ПЖ и маленького диаметра ПП, с целью снижения частоты тяжёлых форм ПС и связанных с ними осложнений.</w:t>
      </w:r>
    </w:p>
    <w:p w14:paraId="487E474E">
      <w:pPr>
        <w:pStyle w:val="7"/>
        <w:ind w:left="0" w:right="3" w:firstLine="709"/>
      </w:pPr>
      <w:r>
        <w:t>Резюмируя, ретроспективный анализ 208 пациентов, перенёсших ГПДР по поводу опухолей периампулярной зоны в Алматы в 2016–2022 гг., включал комплексную оценку клинико-демографических, лабораторных, интра- и послеоперационных показателей с последующей стратификацией по консистенции ПЖ и диаметру ПП. Когорта характеризовалась медианным возрастом 59 лет, преобладанием женщин, высокой частотой механической желтухи и доминированием опухолей ГПЖ и БДС. КЗ-ПС (B/C по ISGPS) развились у 25% пациентов, а госпитальная летальность составила 8,2% и преимущественно была связана с ПС-ассоциированными осложнениями.</w:t>
      </w:r>
    </w:p>
    <w:p w14:paraId="2F82467E">
      <w:pPr>
        <w:pStyle w:val="7"/>
        <w:ind w:left="0" w:right="3" w:firstLine="709"/>
      </w:pPr>
      <w:r>
        <w:t>Стратификация по консистенции ПЖ выявила принципиальные различия: при мягкой железе частота КЗ-ПС достигала 38,8% против 5,7% при плотной, регистрировались ПС-ассоциированные кровотечения и более высокая летальность. Аналогичные закономерности установлены для диаметра ПП: при</w:t>
      </w:r>
    </w:p>
    <w:p w14:paraId="33D70A5E">
      <w:pPr>
        <w:pStyle w:val="7"/>
        <w:ind w:left="0" w:right="3" w:firstLine="0"/>
      </w:pPr>
      <w:r>
        <w:t>≤5 мм частота КЗ-ПС составляла 33,7% против 3,4% при &gt;5 мм, с достоверно большей летальностью и частотой геморрагических осложнений. При этом различий по длительности операции, кровопотере и частоте сосудистых резекций</w:t>
      </w:r>
      <w:r>
        <w:rPr>
          <w:spacing w:val="-3"/>
        </w:rPr>
        <w:t xml:space="preserve"> </w:t>
      </w:r>
      <w:r>
        <w:t>не</w:t>
      </w:r>
      <w:r>
        <w:rPr>
          <w:spacing w:val="-2"/>
        </w:rPr>
        <w:t xml:space="preserve"> </w:t>
      </w:r>
      <w:r>
        <w:t>отмечено,</w:t>
      </w:r>
      <w:r>
        <w:rPr>
          <w:spacing w:val="-1"/>
        </w:rPr>
        <w:t xml:space="preserve"> </w:t>
      </w:r>
      <w:r>
        <w:t>что указывает</w:t>
      </w:r>
      <w:r>
        <w:rPr>
          <w:spacing w:val="-4"/>
        </w:rPr>
        <w:t xml:space="preserve"> </w:t>
      </w:r>
      <w:r>
        <w:t>на</w:t>
      </w:r>
      <w:r>
        <w:rPr>
          <w:spacing w:val="-2"/>
        </w:rPr>
        <w:t xml:space="preserve"> </w:t>
      </w:r>
      <w:r>
        <w:t>определяющую роль</w:t>
      </w:r>
      <w:r>
        <w:rPr>
          <w:spacing w:val="-4"/>
        </w:rPr>
        <w:t xml:space="preserve"> </w:t>
      </w:r>
      <w:r>
        <w:t>морфологических, а не технических факторов.</w:t>
      </w:r>
    </w:p>
    <w:p w14:paraId="5BB593A2">
      <w:pPr>
        <w:pStyle w:val="7"/>
        <w:spacing w:before="2"/>
        <w:ind w:left="0" w:right="3" w:firstLine="709"/>
      </w:pPr>
      <w:r>
        <w:t>Дополнительно показано, что у пациентов с мягкой ПЖ чаще встречался узкий проток и значительно выше была ААД в раннем послеоперационном периоде, что отражает выраженную ферментативную агрессию как патогенетическую основу несостоятельности анастомоза. Сравнение стандартного и инвагинационного ПЕА у данной категории не продемонстрировало снижения риска КЗ-ПС, что обосновало необходимость разработки адаптированной реконструктивной методики для пациентов группы высокого риска.</w:t>
      </w:r>
    </w:p>
    <w:p w14:paraId="5FEDA5BC">
      <w:pPr>
        <w:pStyle w:val="7"/>
        <w:spacing w:before="3"/>
        <w:ind w:left="0" w:firstLine="0"/>
        <w:jc w:val="left"/>
      </w:pPr>
    </w:p>
    <w:p w14:paraId="3AFC0F1D">
      <w:pPr>
        <w:pStyle w:val="3"/>
        <w:numPr>
          <w:ilvl w:val="1"/>
          <w:numId w:val="8"/>
        </w:numPr>
        <w:tabs>
          <w:tab w:val="left" w:pos="1416"/>
        </w:tabs>
        <w:ind w:left="0" w:right="3" w:firstLine="709"/>
      </w:pPr>
      <w:r>
        <w:t>Факторы, обусловливающие</w:t>
      </w:r>
      <w:r>
        <w:rPr>
          <w:spacing w:val="-4"/>
        </w:rPr>
        <w:t xml:space="preserve"> </w:t>
      </w:r>
      <w:r>
        <w:t>формирование</w:t>
      </w:r>
      <w:r>
        <w:rPr>
          <w:spacing w:val="-4"/>
        </w:rPr>
        <w:t xml:space="preserve"> </w:t>
      </w:r>
      <w:r>
        <w:t>клинически</w:t>
      </w:r>
      <w:r>
        <w:rPr>
          <w:spacing w:val="-7"/>
        </w:rPr>
        <w:t xml:space="preserve"> </w:t>
      </w:r>
      <w:r>
        <w:t>значимого панкреатического свища</w:t>
      </w:r>
    </w:p>
    <w:p w14:paraId="72DCA200">
      <w:pPr>
        <w:pStyle w:val="7"/>
        <w:ind w:left="0" w:right="3" w:firstLine="709"/>
      </w:pPr>
      <w:r>
        <w:t>С учётом ключевой роли КЗ-ПС в структуре послеоперационных осложнений и летальности после ГПДР, был выполнен комплексный анализ клинико-анатомических</w:t>
      </w:r>
      <w:r>
        <w:rPr>
          <w:spacing w:val="-1"/>
        </w:rPr>
        <w:t xml:space="preserve"> </w:t>
      </w:r>
      <w:r>
        <w:t>и функциональных</w:t>
      </w:r>
      <w:r>
        <w:rPr>
          <w:spacing w:val="-4"/>
        </w:rPr>
        <w:t xml:space="preserve"> </w:t>
      </w:r>
      <w:r>
        <w:t>факторов,</w:t>
      </w:r>
      <w:r>
        <w:rPr>
          <w:spacing w:val="1"/>
        </w:rPr>
        <w:t xml:space="preserve"> </w:t>
      </w:r>
      <w:r>
        <w:t xml:space="preserve">потенциально </w:t>
      </w:r>
      <w:r>
        <w:rPr>
          <w:spacing w:val="-2"/>
        </w:rPr>
        <w:t>влияющих</w:t>
      </w:r>
    </w:p>
    <w:p w14:paraId="153FCB5F">
      <w:pPr>
        <w:pStyle w:val="7"/>
        <w:spacing w:before="67"/>
        <w:ind w:left="0" w:right="3" w:firstLine="0"/>
      </w:pPr>
      <w:r>
        <w:t>на риск его формирования. Анализ проводился поэтапно и включал однофакторную сравнительную оценку предикторов КЗ-ПС, ROC-анализ количественных показателей риска, множественный логистический регрессионный анализ независимых факторов, а также изучение корреляционных взаимосвязей между анатомическими и функциональными параметрами ПЖ.</w:t>
      </w:r>
    </w:p>
    <w:p w14:paraId="4B69A83E">
      <w:pPr>
        <w:pStyle w:val="7"/>
        <w:spacing w:before="67"/>
        <w:ind w:left="0" w:right="3" w:firstLine="0"/>
      </w:pPr>
    </w:p>
    <w:p w14:paraId="2F683D39">
      <w:pPr>
        <w:pStyle w:val="10"/>
        <w:numPr>
          <w:ilvl w:val="2"/>
          <w:numId w:val="8"/>
        </w:numPr>
        <w:ind w:left="0" w:firstLine="709"/>
        <w:rPr>
          <w:sz w:val="28"/>
        </w:rPr>
      </w:pPr>
      <w:bookmarkStart w:id="23" w:name="3.3.1_Однофакторный_анализ_клинико-анато"/>
      <w:bookmarkEnd w:id="23"/>
      <w:r>
        <w:rPr>
          <w:spacing w:val="-2"/>
          <w:sz w:val="28"/>
        </w:rPr>
        <w:t>Однофакторный анализ</w:t>
      </w:r>
      <w:r>
        <w:rPr>
          <w:spacing w:val="1"/>
          <w:sz w:val="28"/>
        </w:rPr>
        <w:t xml:space="preserve"> </w:t>
      </w:r>
      <w:r>
        <w:rPr>
          <w:spacing w:val="-2"/>
          <w:sz w:val="28"/>
        </w:rPr>
        <w:t>клинико-анатомических</w:t>
      </w:r>
      <w:r>
        <w:rPr>
          <w:spacing w:val="1"/>
          <w:sz w:val="28"/>
        </w:rPr>
        <w:t xml:space="preserve"> </w:t>
      </w:r>
      <w:r>
        <w:rPr>
          <w:spacing w:val="-2"/>
          <w:sz w:val="28"/>
        </w:rPr>
        <w:t>предикторов</w:t>
      </w:r>
      <w:r>
        <w:rPr>
          <w:spacing w:val="-1"/>
          <w:sz w:val="28"/>
        </w:rPr>
        <w:t xml:space="preserve"> </w:t>
      </w:r>
      <w:r>
        <w:rPr>
          <w:spacing w:val="-5"/>
          <w:sz w:val="28"/>
        </w:rPr>
        <w:t xml:space="preserve">КЗ- </w:t>
      </w:r>
      <w:r>
        <w:rPr>
          <w:spacing w:val="-5"/>
          <w:sz w:val="28"/>
          <w:szCs w:val="28"/>
        </w:rPr>
        <w:t>ПС</w:t>
      </w:r>
    </w:p>
    <w:p w14:paraId="4D01805C">
      <w:pPr>
        <w:pStyle w:val="7"/>
        <w:ind w:left="1134" w:hanging="1134"/>
        <w:jc w:val="left"/>
      </w:pPr>
      <w:r>
        <w:t xml:space="preserve">         На</w:t>
      </w:r>
      <w:r>
        <w:rPr>
          <w:spacing w:val="74"/>
        </w:rPr>
        <w:t xml:space="preserve"> </w:t>
      </w:r>
      <w:r>
        <w:t>первом</w:t>
      </w:r>
      <w:r>
        <w:rPr>
          <w:spacing w:val="74"/>
        </w:rPr>
        <w:t xml:space="preserve"> </w:t>
      </w:r>
      <w:r>
        <w:t>этапе</w:t>
      </w:r>
      <w:r>
        <w:rPr>
          <w:spacing w:val="74"/>
        </w:rPr>
        <w:t xml:space="preserve"> </w:t>
      </w:r>
      <w:r>
        <w:t>исследования</w:t>
      </w:r>
      <w:r>
        <w:rPr>
          <w:spacing w:val="74"/>
        </w:rPr>
        <w:t xml:space="preserve"> </w:t>
      </w:r>
      <w:r>
        <w:t>был</w:t>
      </w:r>
      <w:r>
        <w:rPr>
          <w:spacing w:val="73"/>
        </w:rPr>
        <w:t xml:space="preserve"> </w:t>
      </w:r>
      <w:r>
        <w:t>проведён</w:t>
      </w:r>
      <w:r>
        <w:rPr>
          <w:spacing w:val="73"/>
        </w:rPr>
        <w:t xml:space="preserve"> </w:t>
      </w:r>
      <w:r>
        <w:t>однофакторный</w:t>
      </w:r>
      <w:r>
        <w:rPr>
          <w:spacing w:val="73"/>
        </w:rPr>
        <w:t xml:space="preserve"> </w:t>
      </w:r>
      <w:r>
        <w:t>анализ</w:t>
      </w:r>
      <w:r>
        <w:rPr>
          <w:spacing w:val="73"/>
        </w:rPr>
        <w:t xml:space="preserve"> </w:t>
      </w:r>
      <w:r>
        <w:rPr>
          <w:spacing w:val="-10"/>
        </w:rPr>
        <w:t>с</w:t>
      </w:r>
    </w:p>
    <w:p w14:paraId="4DA61C4B">
      <w:pPr>
        <w:pStyle w:val="7"/>
        <w:ind w:left="0" w:right="3" w:firstLine="0"/>
      </w:pPr>
      <w:r>
        <w:t xml:space="preserve">целью оценки влияния консистенции ПЖ и диаметра ПП на частоту формирования КЗ-ПС. Частота ПС классов B/C анализировалась в подгруппах пациентов с мягкой и плотной консистенцией ПЖ, а также при различной ширине ПП. Результаты однофакторного анализа использовались для предварительной идентификации потенциально значимых факторов риска и последующего включения их в ROC-анализ и многофакторную регрессионную </w:t>
      </w:r>
      <w:r>
        <w:rPr>
          <w:spacing w:val="-2"/>
        </w:rPr>
        <w:t>модель.</w:t>
      </w:r>
    </w:p>
    <w:p w14:paraId="78983F09">
      <w:pPr>
        <w:pStyle w:val="7"/>
        <w:ind w:left="0" w:right="3" w:firstLine="709"/>
      </w:pPr>
      <w:r>
        <w:t>Однофакторный анализ факторов риска КЗ-ПС был выполнен на ретроспективной когорте пациентов 2016–2022 гг., что позволило оценить влияние анатомо-тканевых и интраоперационных параметров в условиях стандартной хирургической тактики.</w:t>
      </w:r>
    </w:p>
    <w:p w14:paraId="03B73BA7">
      <w:pPr>
        <w:pStyle w:val="7"/>
        <w:ind w:left="0" w:right="3" w:firstLine="709"/>
      </w:pPr>
      <w:r>
        <w:t>На следующем этапе ключевые предикторы были подтверждены методом ROC-анализа и множественной логистической регрессии на объединённой выборке пациентов за период 2016–2025 гг., что обеспечило повышение статистической мощности исследования и позволило верифицировать независимые факторы риска КЗ-ПС.</w:t>
      </w:r>
    </w:p>
    <w:p w14:paraId="2778210E">
      <w:pPr>
        <w:pStyle w:val="7"/>
        <w:ind w:left="0" w:right="3" w:firstLine="709"/>
      </w:pPr>
      <w:r>
        <w:t>В</w:t>
      </w:r>
      <w:r>
        <w:rPr>
          <w:spacing w:val="-18"/>
        </w:rPr>
        <w:t xml:space="preserve"> </w:t>
      </w:r>
      <w:r>
        <w:t>однофакторный</w:t>
      </w:r>
      <w:r>
        <w:rPr>
          <w:spacing w:val="-17"/>
        </w:rPr>
        <w:t xml:space="preserve"> </w:t>
      </w:r>
      <w:r>
        <w:t>логистический</w:t>
      </w:r>
      <w:r>
        <w:rPr>
          <w:spacing w:val="-13"/>
        </w:rPr>
        <w:t xml:space="preserve"> </w:t>
      </w:r>
      <w:r>
        <w:t>регрессионный</w:t>
      </w:r>
      <w:r>
        <w:rPr>
          <w:spacing w:val="-15"/>
        </w:rPr>
        <w:t xml:space="preserve"> </w:t>
      </w:r>
      <w:r>
        <w:t>анализ</w:t>
      </w:r>
      <w:r>
        <w:rPr>
          <w:spacing w:val="-16"/>
        </w:rPr>
        <w:t xml:space="preserve"> </w:t>
      </w:r>
      <w:r>
        <w:t>был</w:t>
      </w:r>
      <w:r>
        <w:rPr>
          <w:spacing w:val="-16"/>
        </w:rPr>
        <w:t xml:space="preserve"> </w:t>
      </w:r>
      <w:r>
        <w:t>включён</w:t>
      </w:r>
      <w:r>
        <w:rPr>
          <w:spacing w:val="-16"/>
        </w:rPr>
        <w:t xml:space="preserve"> </w:t>
      </w:r>
      <w:r>
        <w:t>порог диаметра панкреатического протока ≤3,5 мм как оптимальный cut-off, определённый по ROC-анализу. Однофакторный анализ выявил достоверную ассоциацию формирования КЗ-ПС с мягкой консистенцией ПЖ и малым диаметром ПП (≤ 3,5 мм).</w:t>
      </w:r>
    </w:p>
    <w:p w14:paraId="6F737FBB">
      <w:pPr>
        <w:pStyle w:val="7"/>
        <w:spacing w:before="320"/>
        <w:ind w:left="0" w:right="3" w:firstLine="0"/>
      </w:pPr>
      <w:r>
        <w:t>Таблица 18 - Однофакторный логистический регрессионный анализ клинико- анатомических предикторов КЗ-ПС</w:t>
      </w:r>
    </w:p>
    <w:p w14:paraId="3CF81B6D">
      <w:pPr>
        <w:pStyle w:val="7"/>
        <w:spacing w:before="103"/>
        <w:ind w:left="0" w:firstLine="0"/>
        <w:jc w:val="left"/>
        <w:rPr>
          <w:sz w:val="20"/>
        </w:rPr>
      </w:pPr>
    </w:p>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03"/>
        <w:gridCol w:w="2094"/>
        <w:gridCol w:w="2060"/>
        <w:gridCol w:w="894"/>
        <w:gridCol w:w="1338"/>
        <w:gridCol w:w="850"/>
      </w:tblGrid>
      <w:tr w14:paraId="10947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403" w:type="dxa"/>
          </w:tcPr>
          <w:p w14:paraId="1540ED0E">
            <w:pPr>
              <w:pStyle w:val="11"/>
              <w:spacing w:before="151" w:line="240" w:lineRule="auto"/>
              <w:ind w:left="547"/>
              <w:jc w:val="left"/>
              <w:rPr>
                <w:sz w:val="28"/>
              </w:rPr>
            </w:pPr>
            <w:r>
              <w:rPr>
                <w:spacing w:val="-2"/>
                <w:sz w:val="28"/>
              </w:rPr>
              <w:t>Фактор</w:t>
            </w:r>
          </w:p>
        </w:tc>
        <w:tc>
          <w:tcPr>
            <w:tcW w:w="2094" w:type="dxa"/>
          </w:tcPr>
          <w:p w14:paraId="76D2FE5C">
            <w:pPr>
              <w:pStyle w:val="11"/>
              <w:spacing w:line="315" w:lineRule="exact"/>
              <w:ind w:left="5" w:right="3"/>
              <w:rPr>
                <w:sz w:val="28"/>
              </w:rPr>
            </w:pPr>
            <w:r>
              <w:rPr>
                <w:sz w:val="28"/>
              </w:rPr>
              <w:t>КЗ-</w:t>
            </w:r>
            <w:r>
              <w:rPr>
                <w:spacing w:val="-7"/>
                <w:sz w:val="28"/>
              </w:rPr>
              <w:t xml:space="preserve"> </w:t>
            </w:r>
            <w:r>
              <w:rPr>
                <w:sz w:val="28"/>
              </w:rPr>
              <w:t>ПС</w:t>
            </w:r>
            <w:r>
              <w:rPr>
                <w:spacing w:val="-1"/>
                <w:sz w:val="28"/>
              </w:rPr>
              <w:t xml:space="preserve"> </w:t>
            </w:r>
            <w:r>
              <w:rPr>
                <w:sz w:val="28"/>
              </w:rPr>
              <w:t>В/С</w:t>
            </w:r>
            <w:r>
              <w:rPr>
                <w:spacing w:val="-5"/>
                <w:sz w:val="28"/>
              </w:rPr>
              <w:t xml:space="preserve"> (+)</w:t>
            </w:r>
          </w:p>
          <w:p w14:paraId="17750C2E">
            <w:pPr>
              <w:pStyle w:val="11"/>
              <w:ind w:left="3" w:right="3"/>
              <w:rPr>
                <w:sz w:val="28"/>
              </w:rPr>
            </w:pPr>
            <w:r>
              <w:rPr>
                <w:sz w:val="28"/>
              </w:rPr>
              <w:t>n</w:t>
            </w:r>
            <w:r>
              <w:rPr>
                <w:spacing w:val="-5"/>
                <w:sz w:val="28"/>
              </w:rPr>
              <w:t xml:space="preserve"> </w:t>
            </w:r>
            <w:r>
              <w:rPr>
                <w:sz w:val="28"/>
              </w:rPr>
              <w:t xml:space="preserve">/ </w:t>
            </w:r>
            <w:r>
              <w:rPr>
                <w:spacing w:val="-10"/>
                <w:sz w:val="28"/>
              </w:rPr>
              <w:t>%</w:t>
            </w:r>
          </w:p>
        </w:tc>
        <w:tc>
          <w:tcPr>
            <w:tcW w:w="2060" w:type="dxa"/>
          </w:tcPr>
          <w:p w14:paraId="006104D3">
            <w:pPr>
              <w:pStyle w:val="11"/>
              <w:spacing w:line="315" w:lineRule="exact"/>
              <w:ind w:left="3" w:right="3"/>
              <w:rPr>
                <w:sz w:val="28"/>
              </w:rPr>
            </w:pPr>
            <w:r>
              <w:rPr>
                <w:sz w:val="28"/>
              </w:rPr>
              <w:t>КЗ-</w:t>
            </w:r>
            <w:r>
              <w:rPr>
                <w:spacing w:val="-7"/>
                <w:sz w:val="28"/>
              </w:rPr>
              <w:t xml:space="preserve"> </w:t>
            </w:r>
            <w:r>
              <w:rPr>
                <w:sz w:val="28"/>
              </w:rPr>
              <w:t>ПС</w:t>
            </w:r>
            <w:r>
              <w:rPr>
                <w:spacing w:val="-1"/>
                <w:sz w:val="28"/>
              </w:rPr>
              <w:t xml:space="preserve"> </w:t>
            </w:r>
            <w:r>
              <w:rPr>
                <w:sz w:val="28"/>
              </w:rPr>
              <w:t>В/С</w:t>
            </w:r>
            <w:r>
              <w:rPr>
                <w:spacing w:val="-5"/>
                <w:sz w:val="28"/>
              </w:rPr>
              <w:t xml:space="preserve"> (–)</w:t>
            </w:r>
          </w:p>
          <w:p w14:paraId="2502CA67">
            <w:pPr>
              <w:pStyle w:val="11"/>
              <w:ind w:right="3"/>
              <w:rPr>
                <w:sz w:val="28"/>
              </w:rPr>
            </w:pPr>
            <w:r>
              <w:rPr>
                <w:sz w:val="28"/>
              </w:rPr>
              <w:t>n</w:t>
            </w:r>
            <w:r>
              <w:rPr>
                <w:spacing w:val="-5"/>
                <w:sz w:val="28"/>
              </w:rPr>
              <w:t xml:space="preserve"> </w:t>
            </w:r>
            <w:r>
              <w:rPr>
                <w:sz w:val="28"/>
              </w:rPr>
              <w:t xml:space="preserve">/ </w:t>
            </w:r>
            <w:r>
              <w:rPr>
                <w:spacing w:val="-10"/>
                <w:sz w:val="28"/>
              </w:rPr>
              <w:t>%</w:t>
            </w:r>
          </w:p>
        </w:tc>
        <w:tc>
          <w:tcPr>
            <w:tcW w:w="894" w:type="dxa"/>
          </w:tcPr>
          <w:p w14:paraId="771B8A49">
            <w:pPr>
              <w:pStyle w:val="11"/>
              <w:spacing w:before="151" w:line="240" w:lineRule="auto"/>
              <w:ind w:left="1" w:right="1"/>
              <w:rPr>
                <w:sz w:val="28"/>
              </w:rPr>
            </w:pPr>
            <w:r>
              <w:rPr>
                <w:spacing w:val="-5"/>
                <w:sz w:val="28"/>
              </w:rPr>
              <w:t>OR</w:t>
            </w:r>
          </w:p>
        </w:tc>
        <w:tc>
          <w:tcPr>
            <w:tcW w:w="1338" w:type="dxa"/>
          </w:tcPr>
          <w:p w14:paraId="76951BEF">
            <w:pPr>
              <w:pStyle w:val="11"/>
              <w:spacing w:before="151" w:line="240" w:lineRule="auto"/>
              <w:ind w:left="300"/>
              <w:jc w:val="left"/>
              <w:rPr>
                <w:sz w:val="28"/>
              </w:rPr>
            </w:pPr>
            <w:r>
              <w:rPr>
                <w:sz w:val="28"/>
              </w:rPr>
              <w:t>95%</w:t>
            </w:r>
            <w:r>
              <w:rPr>
                <w:spacing w:val="-6"/>
                <w:sz w:val="28"/>
              </w:rPr>
              <w:t xml:space="preserve"> </w:t>
            </w:r>
            <w:r>
              <w:rPr>
                <w:spacing w:val="-5"/>
                <w:sz w:val="28"/>
              </w:rPr>
              <w:t>CI</w:t>
            </w:r>
          </w:p>
        </w:tc>
        <w:tc>
          <w:tcPr>
            <w:tcW w:w="850" w:type="dxa"/>
          </w:tcPr>
          <w:p w14:paraId="515DA51F">
            <w:pPr>
              <w:pStyle w:val="11"/>
              <w:spacing w:before="151" w:line="240" w:lineRule="auto"/>
              <w:ind w:left="2" w:right="3"/>
              <w:rPr>
                <w:sz w:val="28"/>
              </w:rPr>
            </w:pPr>
            <w:r>
              <w:rPr>
                <w:spacing w:val="-2"/>
                <w:sz w:val="28"/>
              </w:rPr>
              <w:t>P-value</w:t>
            </w:r>
          </w:p>
        </w:tc>
      </w:tr>
      <w:tr w14:paraId="2D980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2403" w:type="dxa"/>
          </w:tcPr>
          <w:p w14:paraId="2A6C5DCF">
            <w:pPr>
              <w:pStyle w:val="11"/>
              <w:spacing w:line="315" w:lineRule="exact"/>
              <w:ind w:left="4" w:right="2"/>
              <w:rPr>
                <w:sz w:val="28"/>
              </w:rPr>
            </w:pPr>
            <w:r>
              <w:rPr>
                <w:spacing w:val="-2"/>
                <w:sz w:val="28"/>
              </w:rPr>
              <w:t>Мягкая</w:t>
            </w:r>
          </w:p>
          <w:p w14:paraId="1A578B6B">
            <w:pPr>
              <w:pStyle w:val="11"/>
              <w:spacing w:line="322" w:lineRule="exact"/>
              <w:ind w:left="4"/>
              <w:rPr>
                <w:sz w:val="28"/>
              </w:rPr>
            </w:pPr>
            <w:r>
              <w:rPr>
                <w:spacing w:val="-2"/>
                <w:sz w:val="28"/>
              </w:rPr>
              <w:t xml:space="preserve">консистенция </w:t>
            </w:r>
            <w:r>
              <w:rPr>
                <w:spacing w:val="-6"/>
                <w:sz w:val="28"/>
              </w:rPr>
              <w:t>ПЖ</w:t>
            </w:r>
          </w:p>
        </w:tc>
        <w:tc>
          <w:tcPr>
            <w:tcW w:w="2094" w:type="dxa"/>
          </w:tcPr>
          <w:p w14:paraId="2B8C4AB5">
            <w:pPr>
              <w:pStyle w:val="11"/>
              <w:spacing w:before="314" w:line="240" w:lineRule="auto"/>
              <w:ind w:left="2" w:right="5"/>
              <w:rPr>
                <w:sz w:val="28"/>
              </w:rPr>
            </w:pPr>
            <w:r>
              <w:rPr>
                <w:sz w:val="28"/>
              </w:rPr>
              <w:t>46</w:t>
            </w:r>
            <w:r>
              <w:rPr>
                <w:spacing w:val="-2"/>
                <w:sz w:val="28"/>
              </w:rPr>
              <w:t xml:space="preserve"> (38,0%)</w:t>
            </w:r>
          </w:p>
        </w:tc>
        <w:tc>
          <w:tcPr>
            <w:tcW w:w="2060" w:type="dxa"/>
          </w:tcPr>
          <w:p w14:paraId="401ADC7E">
            <w:pPr>
              <w:pStyle w:val="11"/>
              <w:spacing w:before="314" w:line="240" w:lineRule="auto"/>
              <w:ind w:left="3" w:right="3"/>
              <w:rPr>
                <w:sz w:val="28"/>
              </w:rPr>
            </w:pPr>
            <w:r>
              <w:rPr>
                <w:sz w:val="28"/>
              </w:rPr>
              <w:t>75</w:t>
            </w:r>
            <w:r>
              <w:rPr>
                <w:spacing w:val="-2"/>
                <w:sz w:val="28"/>
              </w:rPr>
              <w:t xml:space="preserve"> (62,0%)</w:t>
            </w:r>
          </w:p>
        </w:tc>
        <w:tc>
          <w:tcPr>
            <w:tcW w:w="894" w:type="dxa"/>
          </w:tcPr>
          <w:p w14:paraId="6189A656">
            <w:pPr>
              <w:pStyle w:val="11"/>
              <w:spacing w:before="314" w:line="240" w:lineRule="auto"/>
              <w:ind w:right="1"/>
              <w:rPr>
                <w:sz w:val="28"/>
              </w:rPr>
            </w:pPr>
            <w:r>
              <w:rPr>
                <w:spacing w:val="-4"/>
                <w:sz w:val="28"/>
              </w:rPr>
              <w:t>7,01</w:t>
            </w:r>
          </w:p>
        </w:tc>
        <w:tc>
          <w:tcPr>
            <w:tcW w:w="1338" w:type="dxa"/>
          </w:tcPr>
          <w:p w14:paraId="78BF25E7">
            <w:pPr>
              <w:pStyle w:val="11"/>
              <w:spacing w:before="151" w:line="322" w:lineRule="exact"/>
              <w:ind w:left="420"/>
              <w:jc w:val="left"/>
              <w:rPr>
                <w:sz w:val="28"/>
              </w:rPr>
            </w:pPr>
            <w:r>
              <w:rPr>
                <w:spacing w:val="-4"/>
                <w:sz w:val="28"/>
              </w:rPr>
              <w:t>2,98–</w:t>
            </w:r>
          </w:p>
          <w:p w14:paraId="581E0800">
            <w:pPr>
              <w:pStyle w:val="11"/>
              <w:spacing w:line="240" w:lineRule="auto"/>
              <w:ind w:left="420"/>
              <w:jc w:val="left"/>
              <w:rPr>
                <w:sz w:val="28"/>
              </w:rPr>
            </w:pPr>
            <w:r>
              <w:rPr>
                <w:spacing w:val="-2"/>
                <w:sz w:val="28"/>
              </w:rPr>
              <w:t>16,44</w:t>
            </w:r>
          </w:p>
        </w:tc>
        <w:tc>
          <w:tcPr>
            <w:tcW w:w="850" w:type="dxa"/>
          </w:tcPr>
          <w:p w14:paraId="1325D639">
            <w:pPr>
              <w:pStyle w:val="11"/>
              <w:spacing w:before="314" w:line="240" w:lineRule="auto"/>
              <w:ind w:left="3" w:right="1"/>
              <w:rPr>
                <w:sz w:val="28"/>
              </w:rPr>
            </w:pPr>
            <w:r>
              <w:rPr>
                <w:spacing w:val="-2"/>
                <w:sz w:val="28"/>
              </w:rPr>
              <w:t>&lt;0,001</w:t>
            </w:r>
          </w:p>
        </w:tc>
      </w:tr>
      <w:tr w14:paraId="20ABE3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2403" w:type="dxa"/>
          </w:tcPr>
          <w:p w14:paraId="3BCEFBF2">
            <w:pPr>
              <w:pStyle w:val="11"/>
              <w:spacing w:before="103" w:line="240" w:lineRule="auto"/>
              <w:ind w:left="600" w:hanging="476"/>
              <w:jc w:val="left"/>
              <w:rPr>
                <w:sz w:val="28"/>
              </w:rPr>
            </w:pPr>
            <w:r>
              <w:rPr>
                <w:sz w:val="28"/>
              </w:rPr>
              <w:t>Диаметр</w:t>
            </w:r>
            <w:r>
              <w:rPr>
                <w:spacing w:val="-18"/>
                <w:sz w:val="28"/>
              </w:rPr>
              <w:t xml:space="preserve"> </w:t>
            </w:r>
            <w:r>
              <w:rPr>
                <w:sz w:val="28"/>
              </w:rPr>
              <w:t>ПП</w:t>
            </w:r>
            <w:r>
              <w:rPr>
                <w:spacing w:val="-17"/>
                <w:sz w:val="28"/>
              </w:rPr>
              <w:t xml:space="preserve"> </w:t>
            </w:r>
            <w:r>
              <w:rPr>
                <w:sz w:val="28"/>
              </w:rPr>
              <w:t>≤ 3,5 мм</w:t>
            </w:r>
          </w:p>
        </w:tc>
        <w:tc>
          <w:tcPr>
            <w:tcW w:w="2094" w:type="dxa"/>
          </w:tcPr>
          <w:p w14:paraId="0EA433F5">
            <w:pPr>
              <w:pStyle w:val="11"/>
              <w:spacing w:before="267" w:line="240" w:lineRule="auto"/>
              <w:ind w:left="2" w:right="5"/>
              <w:rPr>
                <w:sz w:val="28"/>
              </w:rPr>
            </w:pPr>
            <w:r>
              <w:rPr>
                <w:sz w:val="28"/>
              </w:rPr>
              <w:t>31</w:t>
            </w:r>
            <w:r>
              <w:rPr>
                <w:spacing w:val="-2"/>
                <w:sz w:val="28"/>
              </w:rPr>
              <w:t xml:space="preserve"> (50,8%)</w:t>
            </w:r>
          </w:p>
        </w:tc>
        <w:tc>
          <w:tcPr>
            <w:tcW w:w="2060" w:type="dxa"/>
          </w:tcPr>
          <w:p w14:paraId="4C69E497">
            <w:pPr>
              <w:pStyle w:val="11"/>
              <w:spacing w:before="267" w:line="240" w:lineRule="auto"/>
              <w:ind w:left="3" w:right="3"/>
              <w:rPr>
                <w:sz w:val="28"/>
              </w:rPr>
            </w:pPr>
            <w:r>
              <w:rPr>
                <w:sz w:val="28"/>
              </w:rPr>
              <w:t>30</w:t>
            </w:r>
            <w:r>
              <w:rPr>
                <w:spacing w:val="-2"/>
                <w:sz w:val="28"/>
              </w:rPr>
              <w:t xml:space="preserve"> (49,2%)</w:t>
            </w:r>
          </w:p>
        </w:tc>
        <w:tc>
          <w:tcPr>
            <w:tcW w:w="894" w:type="dxa"/>
          </w:tcPr>
          <w:p w14:paraId="1573639A">
            <w:pPr>
              <w:pStyle w:val="11"/>
              <w:spacing w:before="267" w:line="240" w:lineRule="auto"/>
              <w:ind w:right="1"/>
              <w:rPr>
                <w:sz w:val="28"/>
              </w:rPr>
            </w:pPr>
            <w:r>
              <w:rPr>
                <w:spacing w:val="-4"/>
                <w:sz w:val="28"/>
              </w:rPr>
              <w:t>5,87</w:t>
            </w:r>
          </w:p>
        </w:tc>
        <w:tc>
          <w:tcPr>
            <w:tcW w:w="1338" w:type="dxa"/>
          </w:tcPr>
          <w:p w14:paraId="06C0D042">
            <w:pPr>
              <w:pStyle w:val="11"/>
              <w:spacing w:before="103" w:line="322" w:lineRule="exact"/>
              <w:ind w:left="420"/>
              <w:jc w:val="left"/>
              <w:rPr>
                <w:sz w:val="28"/>
              </w:rPr>
            </w:pPr>
            <w:r>
              <w:rPr>
                <w:spacing w:val="-4"/>
                <w:sz w:val="28"/>
              </w:rPr>
              <w:t>2,99–</w:t>
            </w:r>
          </w:p>
          <w:p w14:paraId="2E022821">
            <w:pPr>
              <w:pStyle w:val="11"/>
              <w:spacing w:line="240" w:lineRule="auto"/>
              <w:ind w:left="420"/>
              <w:jc w:val="left"/>
              <w:rPr>
                <w:sz w:val="28"/>
              </w:rPr>
            </w:pPr>
            <w:r>
              <w:rPr>
                <w:spacing w:val="-2"/>
                <w:sz w:val="28"/>
              </w:rPr>
              <w:t>11,54</w:t>
            </w:r>
          </w:p>
        </w:tc>
        <w:tc>
          <w:tcPr>
            <w:tcW w:w="850" w:type="dxa"/>
          </w:tcPr>
          <w:p w14:paraId="23CA3DA7">
            <w:pPr>
              <w:pStyle w:val="11"/>
              <w:spacing w:before="267" w:line="240" w:lineRule="auto"/>
              <w:ind w:left="3" w:right="1"/>
              <w:rPr>
                <w:sz w:val="28"/>
              </w:rPr>
            </w:pPr>
            <w:r>
              <w:rPr>
                <w:spacing w:val="-2"/>
                <w:sz w:val="28"/>
              </w:rPr>
              <w:t>&lt;0,001</w:t>
            </w:r>
          </w:p>
        </w:tc>
      </w:tr>
      <w:tr w14:paraId="521DC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639" w:type="dxa"/>
            <w:gridSpan w:val="6"/>
          </w:tcPr>
          <w:p w14:paraId="7D5572B0">
            <w:pPr>
              <w:pStyle w:val="11"/>
              <w:tabs>
                <w:tab w:val="left" w:pos="3096"/>
                <w:tab w:val="left" w:pos="3324"/>
              </w:tabs>
              <w:spacing w:before="25" w:line="240" w:lineRule="auto"/>
              <w:ind w:left="110" w:firstLine="599"/>
              <w:jc w:val="left"/>
              <w:rPr>
                <w:sz w:val="24"/>
              </w:rPr>
            </w:pPr>
            <w:r>
              <w:rPr>
                <w:sz w:val="24"/>
              </w:rPr>
              <w:t>Примечание: OR</w:t>
            </w:r>
            <w:r>
              <w:rPr>
                <w:spacing w:val="-3"/>
                <w:sz w:val="24"/>
              </w:rPr>
              <w:t xml:space="preserve"> </w:t>
            </w:r>
            <w:r>
              <w:rPr>
                <w:sz w:val="24"/>
              </w:rPr>
              <w:t>—</w:t>
            </w:r>
            <w:r>
              <w:rPr>
                <w:spacing w:val="-6"/>
                <w:sz w:val="24"/>
              </w:rPr>
              <w:t xml:space="preserve"> </w:t>
            </w:r>
            <w:r>
              <w:rPr>
                <w:sz w:val="24"/>
              </w:rPr>
              <w:t>отношение</w:t>
            </w:r>
            <w:r>
              <w:rPr>
                <w:spacing w:val="-6"/>
                <w:sz w:val="24"/>
              </w:rPr>
              <w:t xml:space="preserve"> </w:t>
            </w:r>
            <w:r>
              <w:rPr>
                <w:sz w:val="24"/>
              </w:rPr>
              <w:t>шансов;</w:t>
            </w:r>
            <w:r>
              <w:rPr>
                <w:spacing w:val="-6"/>
                <w:sz w:val="24"/>
              </w:rPr>
              <w:t xml:space="preserve"> </w:t>
            </w:r>
            <w:r>
              <w:rPr>
                <w:sz w:val="24"/>
              </w:rPr>
              <w:t>CI</w:t>
            </w:r>
            <w:r>
              <w:rPr>
                <w:spacing w:val="4"/>
                <w:sz w:val="24"/>
              </w:rPr>
              <w:t xml:space="preserve"> </w:t>
            </w:r>
            <w:r>
              <w:rPr>
                <w:sz w:val="24"/>
              </w:rPr>
              <w:t>—</w:t>
            </w:r>
            <w:r>
              <w:rPr>
                <w:spacing w:val="-1"/>
                <w:sz w:val="24"/>
              </w:rPr>
              <w:t xml:space="preserve"> </w:t>
            </w:r>
            <w:r>
              <w:rPr>
                <w:sz w:val="24"/>
              </w:rPr>
              <w:t xml:space="preserve">доверительный интервал </w:t>
            </w:r>
            <w:r>
              <w:rPr>
                <w:spacing w:val="-4"/>
                <w:sz w:val="24"/>
              </w:rPr>
              <w:t>95%.</w:t>
            </w:r>
          </w:p>
        </w:tc>
      </w:tr>
    </w:tbl>
    <w:p w14:paraId="5AC4058D">
      <w:pPr>
        <w:pStyle w:val="7"/>
        <w:ind w:left="424" w:right="283"/>
      </w:pPr>
      <w:bookmarkStart w:id="24" w:name="По_данным_однофакторного_анализа_установ"/>
      <w:bookmarkEnd w:id="24"/>
    </w:p>
    <w:p w14:paraId="2D15E3F7">
      <w:pPr>
        <w:pStyle w:val="7"/>
        <w:spacing w:before="69"/>
        <w:ind w:left="0" w:right="3" w:firstLine="709"/>
      </w:pPr>
      <w:r>
        <w:t>По данным однофакторного анализа установлено, что частота формирования КЗ-ПС была достоверно выше у пациентов с мягкой консистенцией</w:t>
      </w:r>
      <w:r>
        <w:rPr>
          <w:spacing w:val="-8"/>
        </w:rPr>
        <w:t xml:space="preserve"> </w:t>
      </w:r>
      <w:r>
        <w:t>ПЖ</w:t>
      </w:r>
      <w:r>
        <w:rPr>
          <w:spacing w:val="-13"/>
        </w:rPr>
        <w:t xml:space="preserve"> </w:t>
      </w:r>
      <w:r>
        <w:t>по</w:t>
      </w:r>
      <w:r>
        <w:rPr>
          <w:spacing w:val="-13"/>
        </w:rPr>
        <w:t xml:space="preserve"> </w:t>
      </w:r>
      <w:r>
        <w:t>сравнению</w:t>
      </w:r>
      <w:r>
        <w:rPr>
          <w:spacing w:val="-15"/>
        </w:rPr>
        <w:t xml:space="preserve"> </w:t>
      </w:r>
      <w:r>
        <w:t>с</w:t>
      </w:r>
      <w:r>
        <w:rPr>
          <w:spacing w:val="-12"/>
        </w:rPr>
        <w:t xml:space="preserve"> </w:t>
      </w:r>
      <w:r>
        <w:t>группой</w:t>
      </w:r>
      <w:r>
        <w:rPr>
          <w:spacing w:val="-13"/>
        </w:rPr>
        <w:t xml:space="preserve"> </w:t>
      </w:r>
      <w:r>
        <w:t>с</w:t>
      </w:r>
      <w:r>
        <w:rPr>
          <w:spacing w:val="-12"/>
        </w:rPr>
        <w:t xml:space="preserve"> </w:t>
      </w:r>
      <w:r>
        <w:t>плотной</w:t>
      </w:r>
      <w:r>
        <w:rPr>
          <w:spacing w:val="-7"/>
        </w:rPr>
        <w:t xml:space="preserve"> </w:t>
      </w:r>
      <w:r>
        <w:t>паренхимой.</w:t>
      </w:r>
      <w:r>
        <w:rPr>
          <w:spacing w:val="-11"/>
        </w:rPr>
        <w:t xml:space="preserve"> </w:t>
      </w:r>
      <w:r>
        <w:t>В</w:t>
      </w:r>
      <w:r>
        <w:rPr>
          <w:spacing w:val="-16"/>
        </w:rPr>
        <w:t xml:space="preserve"> </w:t>
      </w:r>
      <w:r>
        <w:t>подгруппе с мягкой железой КЗ-ПС выявлен у 38,0% пациентов, тогда как в группе с плотной паренхимой данный показатель был существенно ниже; рассчитанное отношение шансов составило OR = 7,01 (95% CI 2,98–16,44; p &lt;0,001).</w:t>
      </w:r>
    </w:p>
    <w:p w14:paraId="3BD74A3B">
      <w:pPr>
        <w:pStyle w:val="7"/>
        <w:spacing w:before="3"/>
        <w:ind w:left="0" w:right="3" w:firstLine="709"/>
      </w:pPr>
      <w:bookmarkStart w:id="25" w:name="Аналогичная_закономерность_отмечена_в_от"/>
      <w:bookmarkEnd w:id="25"/>
      <w:r>
        <w:t>Аналогичная закономерность отмечена в отношении диаметра ПП. При пороговом значении ≤ 3,5 мм частота КЗ-ПС составила 50,8%, тогда как при диаметре</w:t>
      </w:r>
      <w:r>
        <w:rPr>
          <w:spacing w:val="-11"/>
        </w:rPr>
        <w:t xml:space="preserve"> </w:t>
      </w:r>
      <w:r>
        <w:t>&gt;</w:t>
      </w:r>
      <w:r>
        <w:rPr>
          <w:spacing w:val="-11"/>
        </w:rPr>
        <w:t xml:space="preserve"> </w:t>
      </w:r>
      <w:r>
        <w:t>3,5</w:t>
      </w:r>
      <w:r>
        <w:rPr>
          <w:spacing w:val="-12"/>
        </w:rPr>
        <w:t xml:space="preserve"> </w:t>
      </w:r>
      <w:r>
        <w:t>мм</w:t>
      </w:r>
      <w:r>
        <w:rPr>
          <w:spacing w:val="-11"/>
        </w:rPr>
        <w:t xml:space="preserve"> </w:t>
      </w:r>
      <w:r>
        <w:t>данный</w:t>
      </w:r>
      <w:r>
        <w:rPr>
          <w:spacing w:val="-12"/>
        </w:rPr>
        <w:t xml:space="preserve"> </w:t>
      </w:r>
      <w:r>
        <w:t>показатель</w:t>
      </w:r>
      <w:r>
        <w:rPr>
          <w:spacing w:val="-14"/>
        </w:rPr>
        <w:t xml:space="preserve"> </w:t>
      </w:r>
      <w:r>
        <w:t>был</w:t>
      </w:r>
      <w:r>
        <w:rPr>
          <w:spacing w:val="-12"/>
        </w:rPr>
        <w:t xml:space="preserve"> </w:t>
      </w:r>
      <w:r>
        <w:t>значительно</w:t>
      </w:r>
      <w:r>
        <w:rPr>
          <w:spacing w:val="-12"/>
        </w:rPr>
        <w:t xml:space="preserve"> </w:t>
      </w:r>
      <w:r>
        <w:t>ниже;</w:t>
      </w:r>
      <w:r>
        <w:rPr>
          <w:spacing w:val="-12"/>
        </w:rPr>
        <w:t xml:space="preserve"> </w:t>
      </w:r>
      <w:r>
        <w:t>отношение</w:t>
      </w:r>
      <w:r>
        <w:rPr>
          <w:spacing w:val="-12"/>
        </w:rPr>
        <w:t xml:space="preserve"> </w:t>
      </w:r>
      <w:r>
        <w:t>шансов составило OR = 5,87 (95% CI 2,99–11,54; p &lt; 0,001).</w:t>
      </w:r>
    </w:p>
    <w:p w14:paraId="4D47888F">
      <w:pPr>
        <w:pStyle w:val="7"/>
        <w:ind w:left="0" w:right="3" w:firstLine="709"/>
      </w:pPr>
      <w:bookmarkStart w:id="26" w:name="Таким_образом,_обе_переменные_—_мягкая_к"/>
      <w:bookmarkEnd w:id="26"/>
      <w:r>
        <w:t>Таким образом, обе переменные — мягкая консистенция ПЖ и малый диаметр ПП — продемонстрировали статистически значимую ассоциацию с развитием КЗ-ПС в однофакторном анализе.</w:t>
      </w:r>
    </w:p>
    <w:p w14:paraId="4C4EA898">
      <w:pPr>
        <w:pStyle w:val="7"/>
        <w:ind w:left="0" w:right="3" w:firstLine="709"/>
      </w:pPr>
    </w:p>
    <w:p w14:paraId="00A6B679">
      <w:pPr>
        <w:pStyle w:val="3"/>
        <w:numPr>
          <w:ilvl w:val="2"/>
          <w:numId w:val="8"/>
        </w:numPr>
        <w:tabs>
          <w:tab w:val="left" w:pos="1669"/>
        </w:tabs>
        <w:ind w:left="0" w:right="3" w:firstLine="709"/>
        <w:rPr>
          <w:b w:val="0"/>
        </w:rPr>
      </w:pPr>
      <w:bookmarkStart w:id="27" w:name="3.3.2_ROC-анализ_количественных_показате"/>
      <w:bookmarkEnd w:id="27"/>
      <w:r>
        <w:rPr>
          <w:b w:val="0"/>
        </w:rPr>
        <w:t>ROC-анализ</w:t>
      </w:r>
      <w:r>
        <w:rPr>
          <w:b w:val="0"/>
          <w:spacing w:val="40"/>
        </w:rPr>
        <w:t xml:space="preserve"> </w:t>
      </w:r>
      <w:r>
        <w:rPr>
          <w:b w:val="0"/>
        </w:rPr>
        <w:t>количественных</w:t>
      </w:r>
      <w:r>
        <w:rPr>
          <w:b w:val="0"/>
          <w:spacing w:val="38"/>
        </w:rPr>
        <w:t xml:space="preserve"> </w:t>
      </w:r>
      <w:r>
        <w:rPr>
          <w:b w:val="0"/>
        </w:rPr>
        <w:t>показателей</w:t>
      </w:r>
      <w:r>
        <w:rPr>
          <w:b w:val="0"/>
          <w:spacing w:val="40"/>
        </w:rPr>
        <w:t xml:space="preserve"> </w:t>
      </w:r>
      <w:r>
        <w:rPr>
          <w:b w:val="0"/>
        </w:rPr>
        <w:t>риска</w:t>
      </w:r>
      <w:r>
        <w:rPr>
          <w:b w:val="0"/>
          <w:spacing w:val="38"/>
        </w:rPr>
        <w:t xml:space="preserve"> </w:t>
      </w:r>
      <w:r>
        <w:rPr>
          <w:b w:val="0"/>
        </w:rPr>
        <w:t xml:space="preserve">формирования </w:t>
      </w:r>
      <w:r>
        <w:rPr>
          <w:b w:val="0"/>
          <w:spacing w:val="-2"/>
        </w:rPr>
        <w:t>КЗ-ПС</w:t>
      </w:r>
    </w:p>
    <w:p w14:paraId="16B2FEF9">
      <w:pPr>
        <w:pStyle w:val="7"/>
        <w:ind w:left="0" w:right="3" w:firstLine="709"/>
      </w:pPr>
      <w:r>
        <w:t>В</w:t>
      </w:r>
      <w:r>
        <w:rPr>
          <w:spacing w:val="-18"/>
        </w:rPr>
        <w:t xml:space="preserve"> </w:t>
      </w:r>
      <w:r>
        <w:t>связи</w:t>
      </w:r>
      <w:r>
        <w:rPr>
          <w:spacing w:val="-14"/>
        </w:rPr>
        <w:t xml:space="preserve"> </w:t>
      </w:r>
      <w:r>
        <w:t>с</w:t>
      </w:r>
      <w:r>
        <w:rPr>
          <w:spacing w:val="-13"/>
        </w:rPr>
        <w:t xml:space="preserve"> </w:t>
      </w:r>
      <w:r>
        <w:t>выявленной</w:t>
      </w:r>
      <w:r>
        <w:rPr>
          <w:spacing w:val="-14"/>
        </w:rPr>
        <w:t xml:space="preserve"> </w:t>
      </w:r>
      <w:r>
        <w:t>высокой</w:t>
      </w:r>
      <w:r>
        <w:rPr>
          <w:spacing w:val="-14"/>
        </w:rPr>
        <w:t xml:space="preserve"> </w:t>
      </w:r>
      <w:r>
        <w:t>частотой</w:t>
      </w:r>
      <w:r>
        <w:rPr>
          <w:spacing w:val="-14"/>
        </w:rPr>
        <w:t xml:space="preserve"> </w:t>
      </w:r>
      <w:r>
        <w:t>КЗ-ПС</w:t>
      </w:r>
      <w:r>
        <w:rPr>
          <w:spacing w:val="-13"/>
        </w:rPr>
        <w:t xml:space="preserve"> </w:t>
      </w:r>
      <w:r>
        <w:t>у</w:t>
      </w:r>
      <w:r>
        <w:rPr>
          <w:spacing w:val="-18"/>
        </w:rPr>
        <w:t xml:space="preserve"> </w:t>
      </w:r>
      <w:r>
        <w:t>пациентов</w:t>
      </w:r>
      <w:r>
        <w:rPr>
          <w:spacing w:val="-15"/>
        </w:rPr>
        <w:t xml:space="preserve"> </w:t>
      </w:r>
      <w:r>
        <w:t>с</w:t>
      </w:r>
      <w:r>
        <w:rPr>
          <w:spacing w:val="-13"/>
        </w:rPr>
        <w:t xml:space="preserve"> </w:t>
      </w:r>
      <w:r>
        <w:t>узким</w:t>
      </w:r>
      <w:r>
        <w:rPr>
          <w:spacing w:val="-13"/>
        </w:rPr>
        <w:t xml:space="preserve"> </w:t>
      </w:r>
      <w:r>
        <w:t>ПП</w:t>
      </w:r>
      <w:r>
        <w:rPr>
          <w:spacing w:val="-18"/>
        </w:rPr>
        <w:t xml:space="preserve"> </w:t>
      </w:r>
      <w:r>
        <w:t>был выполнен ROC-анализ с целью определения порогового (cut-off) значения диаметра</w:t>
      </w:r>
      <w:r>
        <w:rPr>
          <w:spacing w:val="-5"/>
        </w:rPr>
        <w:t xml:space="preserve"> </w:t>
      </w:r>
      <w:r>
        <w:t>протока,</w:t>
      </w:r>
      <w:r>
        <w:rPr>
          <w:spacing w:val="-3"/>
        </w:rPr>
        <w:t xml:space="preserve"> </w:t>
      </w:r>
      <w:r>
        <w:t>ассоциированного</w:t>
      </w:r>
      <w:r>
        <w:rPr>
          <w:spacing w:val="-6"/>
        </w:rPr>
        <w:t xml:space="preserve"> </w:t>
      </w:r>
      <w:r>
        <w:t>с</w:t>
      </w:r>
      <w:r>
        <w:rPr>
          <w:spacing w:val="-5"/>
        </w:rPr>
        <w:t xml:space="preserve"> </w:t>
      </w:r>
      <w:r>
        <w:t>повышенным</w:t>
      </w:r>
      <w:r>
        <w:rPr>
          <w:spacing w:val="-5"/>
        </w:rPr>
        <w:t xml:space="preserve"> </w:t>
      </w:r>
      <w:r>
        <w:t>риском</w:t>
      </w:r>
      <w:r>
        <w:rPr>
          <w:spacing w:val="-4"/>
        </w:rPr>
        <w:t xml:space="preserve"> </w:t>
      </w:r>
      <w:r>
        <w:t>формирования</w:t>
      </w:r>
      <w:r>
        <w:rPr>
          <w:spacing w:val="-1"/>
        </w:rPr>
        <w:t xml:space="preserve"> </w:t>
      </w:r>
      <w:r>
        <w:t>ПС. ROC-кривая позволила оценить диагностическую точность данного параметра как предиктора КЗ-ПС и определить оптимальное соотношение чувствительности и специфичности.</w:t>
      </w:r>
    </w:p>
    <w:p w14:paraId="6BEC6714">
      <w:pPr>
        <w:pStyle w:val="7"/>
        <w:ind w:left="0" w:right="3" w:firstLine="709"/>
      </w:pPr>
      <w:r>
        <w:t>Согласно результатам анализа, оптимальное пороговое значение диаметра ПП составило 3,5 мм</w:t>
      </w:r>
      <w:r>
        <w:rPr>
          <w:b/>
        </w:rPr>
        <w:t xml:space="preserve">, </w:t>
      </w:r>
      <w:r>
        <w:t>при котором отмечено наибольшее повышение риска формирования КЗ-ПС, что согласуется с клиническими наблюдениями и данными однофакторного анализа.</w:t>
      </w:r>
    </w:p>
    <w:p w14:paraId="673B60B0">
      <w:pPr>
        <w:pStyle w:val="7"/>
        <w:spacing w:before="8"/>
        <w:ind w:left="0" w:firstLine="0"/>
        <w:jc w:val="left"/>
        <w:rPr>
          <w:sz w:val="16"/>
        </w:rPr>
      </w:pPr>
      <w:r>
        <w:rPr>
          <w:sz w:val="16"/>
          <w:lang w:eastAsia="ru-RU"/>
        </w:rPr>
        <w:drawing>
          <wp:anchor distT="0" distB="0" distL="0" distR="0" simplePos="0" relativeHeight="251679744" behindDoc="1" locked="0" layoutInCell="1" allowOverlap="1">
            <wp:simplePos x="0" y="0"/>
            <wp:positionH relativeFrom="page">
              <wp:posOffset>2446020</wp:posOffset>
            </wp:positionH>
            <wp:positionV relativeFrom="paragraph">
              <wp:posOffset>140970</wp:posOffset>
            </wp:positionV>
            <wp:extent cx="3611880" cy="3177540"/>
            <wp:effectExtent l="0" t="0" r="7620" b="3810"/>
            <wp:wrapTopAndBottom/>
            <wp:docPr id="167" name="Image 167"/>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43" cstate="print"/>
                    <a:stretch>
                      <a:fillRect/>
                    </a:stretch>
                  </pic:blipFill>
                  <pic:spPr>
                    <a:xfrm>
                      <a:off x="0" y="0"/>
                      <a:ext cx="3611880" cy="3177540"/>
                    </a:xfrm>
                    <a:prstGeom prst="rect">
                      <a:avLst/>
                    </a:prstGeom>
                  </pic:spPr>
                </pic:pic>
              </a:graphicData>
            </a:graphic>
          </wp:anchor>
        </w:drawing>
      </w:r>
    </w:p>
    <w:p w14:paraId="6BF93041">
      <w:pPr>
        <w:pStyle w:val="7"/>
        <w:spacing w:before="121"/>
        <w:ind w:left="3191" w:right="579" w:hanging="1571"/>
        <w:jc w:val="left"/>
      </w:pPr>
    </w:p>
    <w:p w14:paraId="51BD122B">
      <w:pPr>
        <w:pStyle w:val="7"/>
        <w:spacing w:before="121"/>
        <w:ind w:left="3191" w:right="3" w:hanging="2057"/>
        <w:jc w:val="left"/>
      </w:pPr>
      <w:r>
        <w:t>Рисунок</w:t>
      </w:r>
      <w:r>
        <w:rPr>
          <w:spacing w:val="-8"/>
        </w:rPr>
        <w:t xml:space="preserve"> </w:t>
      </w:r>
      <w:r>
        <w:t>16</w:t>
      </w:r>
      <w:r>
        <w:rPr>
          <w:spacing w:val="-7"/>
        </w:rPr>
        <w:t xml:space="preserve"> </w:t>
      </w:r>
      <w:r>
        <w:t>-</w:t>
      </w:r>
      <w:r>
        <w:rPr>
          <w:spacing w:val="-8"/>
        </w:rPr>
        <w:t xml:space="preserve"> </w:t>
      </w:r>
      <w:r>
        <w:t>ROC-кривая</w:t>
      </w:r>
      <w:r>
        <w:rPr>
          <w:spacing w:val="-5"/>
        </w:rPr>
        <w:t xml:space="preserve"> </w:t>
      </w:r>
      <w:r>
        <w:t>прогностической</w:t>
      </w:r>
      <w:r>
        <w:rPr>
          <w:spacing w:val="-5"/>
        </w:rPr>
        <w:t xml:space="preserve"> </w:t>
      </w:r>
      <w:r>
        <w:t>значимости</w:t>
      </w:r>
      <w:r>
        <w:rPr>
          <w:spacing w:val="-8"/>
        </w:rPr>
        <w:t xml:space="preserve"> </w:t>
      </w:r>
      <w:r>
        <w:t>диаметра ПП для прогнозирования КЗ- ПС (B/C)</w:t>
      </w:r>
    </w:p>
    <w:p w14:paraId="5D6ECC78">
      <w:pPr>
        <w:pStyle w:val="7"/>
        <w:spacing w:before="121"/>
        <w:ind w:left="3191" w:right="3" w:hanging="2057"/>
        <w:jc w:val="left"/>
      </w:pPr>
    </w:p>
    <w:p w14:paraId="7EA6F10E">
      <w:pPr>
        <w:pStyle w:val="7"/>
        <w:spacing w:before="69"/>
        <w:ind w:left="0" w:right="3" w:firstLine="709"/>
      </w:pPr>
      <w:r>
        <w:t>Площадь</w:t>
      </w:r>
      <w:r>
        <w:rPr>
          <w:spacing w:val="-6"/>
        </w:rPr>
        <w:t xml:space="preserve"> </w:t>
      </w:r>
      <w:r>
        <w:t>под</w:t>
      </w:r>
      <w:r>
        <w:rPr>
          <w:spacing w:val="-10"/>
        </w:rPr>
        <w:t xml:space="preserve"> </w:t>
      </w:r>
      <w:r>
        <w:t>ROC-кривой,</w:t>
      </w:r>
      <w:r>
        <w:rPr>
          <w:spacing w:val="-3"/>
        </w:rPr>
        <w:t xml:space="preserve"> </w:t>
      </w:r>
      <w:r>
        <w:t>отражающей</w:t>
      </w:r>
      <w:r>
        <w:rPr>
          <w:spacing w:val="-4"/>
        </w:rPr>
        <w:t xml:space="preserve"> </w:t>
      </w:r>
      <w:r>
        <w:t>взаимосвязь</w:t>
      </w:r>
      <w:r>
        <w:rPr>
          <w:spacing w:val="-2"/>
        </w:rPr>
        <w:t xml:space="preserve"> </w:t>
      </w:r>
      <w:r>
        <w:t>между</w:t>
      </w:r>
      <w:r>
        <w:rPr>
          <w:spacing w:val="-12"/>
        </w:rPr>
        <w:t xml:space="preserve"> </w:t>
      </w:r>
      <w:r>
        <w:t>диаметром</w:t>
      </w:r>
      <w:r>
        <w:rPr>
          <w:spacing w:val="-7"/>
        </w:rPr>
        <w:t xml:space="preserve"> </w:t>
      </w:r>
      <w:r>
        <w:t xml:space="preserve">ПП и риском развития КЗ-ПС, составила 0,363 ± 0,031 с 95% доверительным интервалом: 0,302–0,424. Полученная модель была статистически значимой </w:t>
      </w:r>
      <w:r>
        <w:rPr>
          <w:spacing w:val="-2"/>
        </w:rPr>
        <w:t>(p&lt;0,001).</w:t>
      </w:r>
    </w:p>
    <w:p w14:paraId="657AA1A4">
      <w:pPr>
        <w:pStyle w:val="7"/>
        <w:spacing w:before="4"/>
        <w:ind w:left="0" w:right="3" w:firstLine="709"/>
      </w:pPr>
      <w:r>
        <w:t xml:space="preserve">Низкое значение AUC указывает на обратную направленность связи, при которой меньший диаметр ПП ассоциирован с более высоким риском формирования КЗ-ПС, что соответствует клиническим и регрессионным </w:t>
      </w:r>
      <w:r>
        <w:rPr>
          <w:spacing w:val="-2"/>
        </w:rPr>
        <w:t>данным.</w:t>
      </w:r>
    </w:p>
    <w:p w14:paraId="2C97FEA6">
      <w:pPr>
        <w:pStyle w:val="7"/>
        <w:spacing w:before="321"/>
        <w:ind w:left="0" w:right="3" w:firstLine="0"/>
        <w:jc w:val="left"/>
      </w:pPr>
      <w:r>
        <w:t>Таблица 19 - Показатели ROC-анализа диаметра ПП при прогнозировании КЗ- ПС (B/C)</w:t>
      </w:r>
    </w:p>
    <w:p w14:paraId="5E10F9A0">
      <w:pPr>
        <w:pStyle w:val="7"/>
        <w:spacing w:before="97"/>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77"/>
        <w:gridCol w:w="1686"/>
        <w:gridCol w:w="2266"/>
        <w:gridCol w:w="2195"/>
        <w:gridCol w:w="1915"/>
      </w:tblGrid>
      <w:tr w14:paraId="18F5F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9639" w:type="dxa"/>
            <w:gridSpan w:val="5"/>
          </w:tcPr>
          <w:p w14:paraId="4C45485D">
            <w:pPr>
              <w:pStyle w:val="11"/>
              <w:spacing w:before="12" w:line="240" w:lineRule="auto"/>
              <w:ind w:right="64"/>
              <w:rPr>
                <w:sz w:val="28"/>
              </w:rPr>
            </w:pPr>
            <w:r>
              <w:rPr>
                <w:sz w:val="28"/>
              </w:rPr>
              <w:t>Площадь</w:t>
            </w:r>
            <w:r>
              <w:rPr>
                <w:spacing w:val="-10"/>
                <w:sz w:val="28"/>
              </w:rPr>
              <w:t xml:space="preserve"> </w:t>
            </w:r>
            <w:r>
              <w:rPr>
                <w:sz w:val="28"/>
              </w:rPr>
              <w:t>под</w:t>
            </w:r>
            <w:r>
              <w:rPr>
                <w:spacing w:val="-6"/>
                <w:sz w:val="28"/>
              </w:rPr>
              <w:t xml:space="preserve"> </w:t>
            </w:r>
            <w:r>
              <w:rPr>
                <w:spacing w:val="-2"/>
                <w:sz w:val="28"/>
              </w:rPr>
              <w:t>кривой</w:t>
            </w:r>
          </w:p>
        </w:tc>
      </w:tr>
      <w:tr w14:paraId="11BB1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9639" w:type="dxa"/>
            <w:gridSpan w:val="5"/>
          </w:tcPr>
          <w:p w14:paraId="302EE2AF">
            <w:pPr>
              <w:pStyle w:val="11"/>
              <w:spacing w:before="147"/>
              <w:ind w:left="4"/>
              <w:jc w:val="left"/>
              <w:rPr>
                <w:sz w:val="28"/>
              </w:rPr>
            </w:pPr>
            <w:r>
              <w:rPr>
                <w:sz w:val="28"/>
              </w:rPr>
              <w:t>Переменные</w:t>
            </w:r>
            <w:r>
              <w:rPr>
                <w:spacing w:val="-10"/>
                <w:sz w:val="28"/>
              </w:rPr>
              <w:t xml:space="preserve"> </w:t>
            </w:r>
            <w:r>
              <w:rPr>
                <w:sz w:val="28"/>
              </w:rPr>
              <w:t>результата</w:t>
            </w:r>
            <w:r>
              <w:rPr>
                <w:spacing w:val="-10"/>
                <w:sz w:val="28"/>
              </w:rPr>
              <w:t xml:space="preserve"> </w:t>
            </w:r>
            <w:r>
              <w:rPr>
                <w:sz w:val="28"/>
              </w:rPr>
              <w:t>проверки:</w:t>
            </w:r>
            <w:r>
              <w:rPr>
                <w:spacing w:val="-15"/>
                <w:sz w:val="28"/>
              </w:rPr>
              <w:t xml:space="preserve"> </w:t>
            </w:r>
            <w:r>
              <w:rPr>
                <w:sz w:val="28"/>
              </w:rPr>
              <w:t>размер</w:t>
            </w:r>
            <w:r>
              <w:rPr>
                <w:spacing w:val="-11"/>
                <w:sz w:val="28"/>
              </w:rPr>
              <w:t xml:space="preserve"> </w:t>
            </w:r>
            <w:r>
              <w:rPr>
                <w:sz w:val="28"/>
              </w:rPr>
              <w:t>панкреатического</w:t>
            </w:r>
            <w:r>
              <w:rPr>
                <w:spacing w:val="-11"/>
                <w:sz w:val="28"/>
              </w:rPr>
              <w:t xml:space="preserve"> </w:t>
            </w:r>
            <w:r>
              <w:rPr>
                <w:sz w:val="28"/>
              </w:rPr>
              <w:t>протока,</w:t>
            </w:r>
            <w:r>
              <w:rPr>
                <w:spacing w:val="-8"/>
                <w:sz w:val="28"/>
              </w:rPr>
              <w:t xml:space="preserve"> </w:t>
            </w:r>
            <w:r>
              <w:rPr>
                <w:spacing w:val="-5"/>
                <w:sz w:val="28"/>
              </w:rPr>
              <w:t>мм</w:t>
            </w:r>
          </w:p>
        </w:tc>
      </w:tr>
      <w:tr w14:paraId="2F57B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577" w:type="dxa"/>
            <w:vMerge w:val="restart"/>
          </w:tcPr>
          <w:p w14:paraId="4D8CD721">
            <w:pPr>
              <w:pStyle w:val="11"/>
              <w:ind w:left="52"/>
              <w:rPr>
                <w:sz w:val="28"/>
              </w:rPr>
            </w:pPr>
            <w:r>
              <w:rPr>
                <w:spacing w:val="-2"/>
                <w:sz w:val="28"/>
              </w:rPr>
              <w:t>Область</w:t>
            </w:r>
          </w:p>
        </w:tc>
        <w:tc>
          <w:tcPr>
            <w:tcW w:w="1686" w:type="dxa"/>
            <w:vMerge w:val="restart"/>
          </w:tcPr>
          <w:p w14:paraId="5F25E161">
            <w:pPr>
              <w:pStyle w:val="11"/>
              <w:spacing w:line="322" w:lineRule="exact"/>
              <w:ind w:left="316" w:right="112" w:hanging="265"/>
              <w:rPr>
                <w:sz w:val="28"/>
              </w:rPr>
            </w:pPr>
            <w:r>
              <w:rPr>
                <w:spacing w:val="-2"/>
                <w:sz w:val="28"/>
              </w:rPr>
              <w:t>Стандартная ошибка</w:t>
            </w:r>
            <w:r>
              <w:rPr>
                <w:spacing w:val="-2"/>
                <w:sz w:val="28"/>
                <w:vertAlign w:val="superscript"/>
              </w:rPr>
              <w:t>a</w:t>
            </w:r>
          </w:p>
        </w:tc>
        <w:tc>
          <w:tcPr>
            <w:tcW w:w="2266" w:type="dxa"/>
            <w:vMerge w:val="restart"/>
          </w:tcPr>
          <w:p w14:paraId="135DE519">
            <w:pPr>
              <w:pStyle w:val="11"/>
              <w:spacing w:line="322" w:lineRule="exact"/>
              <w:ind w:left="819" w:hanging="773"/>
              <w:rPr>
                <w:sz w:val="28"/>
              </w:rPr>
            </w:pPr>
            <w:r>
              <w:rPr>
                <w:spacing w:val="-2"/>
                <w:sz w:val="28"/>
              </w:rPr>
              <w:t>Асимптотическая знч.</w:t>
            </w:r>
            <w:r>
              <w:rPr>
                <w:spacing w:val="-2"/>
                <w:sz w:val="28"/>
                <w:vertAlign w:val="superscript"/>
              </w:rPr>
              <w:t>b</w:t>
            </w:r>
          </w:p>
        </w:tc>
        <w:tc>
          <w:tcPr>
            <w:tcW w:w="4110" w:type="dxa"/>
            <w:gridSpan w:val="2"/>
          </w:tcPr>
          <w:p w14:paraId="142AB984">
            <w:pPr>
              <w:pStyle w:val="11"/>
              <w:spacing w:line="315" w:lineRule="exact"/>
              <w:rPr>
                <w:sz w:val="28"/>
              </w:rPr>
            </w:pPr>
            <w:r>
              <w:rPr>
                <w:spacing w:val="-2"/>
                <w:sz w:val="28"/>
              </w:rPr>
              <w:t>Асимптотический</w:t>
            </w:r>
            <w:r>
              <w:rPr>
                <w:spacing w:val="9"/>
                <w:sz w:val="28"/>
              </w:rPr>
              <w:t xml:space="preserve"> </w:t>
            </w:r>
            <w:r>
              <w:rPr>
                <w:spacing w:val="-5"/>
                <w:sz w:val="28"/>
              </w:rPr>
              <w:t>95%</w:t>
            </w:r>
          </w:p>
          <w:p w14:paraId="461BB0BB">
            <w:pPr>
              <w:pStyle w:val="11"/>
              <w:rPr>
                <w:sz w:val="28"/>
              </w:rPr>
            </w:pPr>
            <w:r>
              <w:rPr>
                <w:spacing w:val="-2"/>
                <w:sz w:val="28"/>
              </w:rPr>
              <w:t>доверительный</w:t>
            </w:r>
            <w:r>
              <w:rPr>
                <w:spacing w:val="4"/>
                <w:sz w:val="28"/>
              </w:rPr>
              <w:t xml:space="preserve"> </w:t>
            </w:r>
            <w:r>
              <w:rPr>
                <w:spacing w:val="-2"/>
                <w:sz w:val="28"/>
              </w:rPr>
              <w:t>интервал</w:t>
            </w:r>
          </w:p>
        </w:tc>
      </w:tr>
      <w:tr w14:paraId="152CB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577" w:type="dxa"/>
            <w:vMerge w:val="continue"/>
            <w:tcBorders>
              <w:top w:val="nil"/>
            </w:tcBorders>
          </w:tcPr>
          <w:p w14:paraId="53FEF0CE">
            <w:pPr>
              <w:jc w:val="center"/>
              <w:rPr>
                <w:sz w:val="2"/>
                <w:szCs w:val="2"/>
              </w:rPr>
            </w:pPr>
          </w:p>
        </w:tc>
        <w:tc>
          <w:tcPr>
            <w:tcW w:w="1686" w:type="dxa"/>
            <w:vMerge w:val="continue"/>
            <w:tcBorders>
              <w:top w:val="nil"/>
            </w:tcBorders>
          </w:tcPr>
          <w:p w14:paraId="7668DE8F">
            <w:pPr>
              <w:jc w:val="center"/>
              <w:rPr>
                <w:sz w:val="2"/>
                <w:szCs w:val="2"/>
              </w:rPr>
            </w:pPr>
          </w:p>
        </w:tc>
        <w:tc>
          <w:tcPr>
            <w:tcW w:w="2266" w:type="dxa"/>
            <w:vMerge w:val="continue"/>
            <w:tcBorders>
              <w:top w:val="nil"/>
            </w:tcBorders>
          </w:tcPr>
          <w:p w14:paraId="302EF7FB">
            <w:pPr>
              <w:jc w:val="center"/>
              <w:rPr>
                <w:sz w:val="2"/>
                <w:szCs w:val="2"/>
              </w:rPr>
            </w:pPr>
          </w:p>
        </w:tc>
        <w:tc>
          <w:tcPr>
            <w:tcW w:w="2195" w:type="dxa"/>
          </w:tcPr>
          <w:p w14:paraId="14EC1E8B">
            <w:pPr>
              <w:pStyle w:val="11"/>
              <w:spacing w:before="50"/>
              <w:ind w:left="80"/>
              <w:rPr>
                <w:sz w:val="28"/>
              </w:rPr>
            </w:pPr>
            <w:r>
              <w:rPr>
                <w:sz w:val="28"/>
              </w:rPr>
              <w:t>Нижняя</w:t>
            </w:r>
            <w:r>
              <w:rPr>
                <w:spacing w:val="-8"/>
                <w:sz w:val="28"/>
              </w:rPr>
              <w:t xml:space="preserve"> </w:t>
            </w:r>
            <w:r>
              <w:rPr>
                <w:spacing w:val="-2"/>
                <w:sz w:val="28"/>
              </w:rPr>
              <w:t>граница</w:t>
            </w:r>
          </w:p>
        </w:tc>
        <w:tc>
          <w:tcPr>
            <w:tcW w:w="1915" w:type="dxa"/>
          </w:tcPr>
          <w:p w14:paraId="415C837A">
            <w:pPr>
              <w:pStyle w:val="11"/>
              <w:spacing w:before="50"/>
              <w:ind w:left="142"/>
              <w:rPr>
                <w:sz w:val="28"/>
              </w:rPr>
            </w:pPr>
            <w:r>
              <w:rPr>
                <w:sz w:val="28"/>
              </w:rPr>
              <w:t>Верхняя</w:t>
            </w:r>
            <w:r>
              <w:rPr>
                <w:spacing w:val="-11"/>
                <w:sz w:val="28"/>
              </w:rPr>
              <w:t xml:space="preserve"> </w:t>
            </w:r>
            <w:r>
              <w:rPr>
                <w:spacing w:val="-2"/>
                <w:sz w:val="28"/>
              </w:rPr>
              <w:t>граница</w:t>
            </w:r>
          </w:p>
        </w:tc>
      </w:tr>
      <w:tr w14:paraId="43D43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577" w:type="dxa"/>
          </w:tcPr>
          <w:p w14:paraId="6F4F70FF">
            <w:pPr>
              <w:pStyle w:val="11"/>
              <w:spacing w:line="315" w:lineRule="exact"/>
              <w:ind w:left="595"/>
              <w:rPr>
                <w:sz w:val="28"/>
              </w:rPr>
            </w:pPr>
            <w:r>
              <w:rPr>
                <w:spacing w:val="-4"/>
                <w:sz w:val="28"/>
              </w:rPr>
              <w:t>,363</w:t>
            </w:r>
          </w:p>
        </w:tc>
        <w:tc>
          <w:tcPr>
            <w:tcW w:w="1686" w:type="dxa"/>
          </w:tcPr>
          <w:p w14:paraId="55AED3A8">
            <w:pPr>
              <w:pStyle w:val="11"/>
              <w:spacing w:line="315" w:lineRule="exact"/>
              <w:ind w:right="56"/>
              <w:rPr>
                <w:sz w:val="28"/>
              </w:rPr>
            </w:pPr>
            <w:r>
              <w:rPr>
                <w:spacing w:val="-4"/>
                <w:sz w:val="28"/>
              </w:rPr>
              <w:t>,031</w:t>
            </w:r>
          </w:p>
        </w:tc>
        <w:tc>
          <w:tcPr>
            <w:tcW w:w="2266" w:type="dxa"/>
          </w:tcPr>
          <w:p w14:paraId="2EFAB8F6">
            <w:pPr>
              <w:pStyle w:val="11"/>
              <w:spacing w:line="315" w:lineRule="exact"/>
              <w:ind w:right="51"/>
              <w:rPr>
                <w:sz w:val="28"/>
              </w:rPr>
            </w:pPr>
            <w:r>
              <w:rPr>
                <w:spacing w:val="-4"/>
                <w:sz w:val="28"/>
              </w:rPr>
              <w:t>,000</w:t>
            </w:r>
          </w:p>
        </w:tc>
        <w:tc>
          <w:tcPr>
            <w:tcW w:w="2195" w:type="dxa"/>
          </w:tcPr>
          <w:p w14:paraId="6396828B">
            <w:pPr>
              <w:pStyle w:val="11"/>
              <w:spacing w:line="315" w:lineRule="exact"/>
              <w:ind w:right="51"/>
              <w:rPr>
                <w:sz w:val="28"/>
              </w:rPr>
            </w:pPr>
            <w:r>
              <w:rPr>
                <w:spacing w:val="-4"/>
                <w:sz w:val="28"/>
              </w:rPr>
              <w:t>,302</w:t>
            </w:r>
          </w:p>
        </w:tc>
        <w:tc>
          <w:tcPr>
            <w:tcW w:w="1915" w:type="dxa"/>
          </w:tcPr>
          <w:p w14:paraId="201AEBC9">
            <w:pPr>
              <w:pStyle w:val="11"/>
              <w:spacing w:line="315" w:lineRule="exact"/>
              <w:ind w:right="52"/>
              <w:rPr>
                <w:sz w:val="28"/>
              </w:rPr>
            </w:pPr>
            <w:r>
              <w:rPr>
                <w:spacing w:val="-4"/>
                <w:sz w:val="28"/>
              </w:rPr>
              <w:t>,424</w:t>
            </w:r>
          </w:p>
        </w:tc>
      </w:tr>
    </w:tbl>
    <w:p w14:paraId="3F4D7D5E">
      <w:pPr>
        <w:pStyle w:val="7"/>
        <w:spacing w:before="317"/>
        <w:ind w:left="0" w:right="3" w:firstLine="709"/>
      </w:pPr>
      <w:r>
        <w:t>Оптимальное пороговое значение диаметра ПП (cut-off), определённое по ROC-анализу, составило 3,5 мм. При диаметре ПП ≤ 3,5 мм прогнозировался высокий риск развития КЗ-ПС.</w:t>
      </w:r>
    </w:p>
    <w:p w14:paraId="1ACF5E9C">
      <w:pPr>
        <w:pStyle w:val="7"/>
        <w:spacing w:before="321"/>
        <w:ind w:left="0" w:right="3" w:firstLine="0"/>
        <w:jc w:val="left"/>
      </w:pPr>
      <w:r>
        <w:t>Таблица 20 - Координаты ROC-кривой диаметра ПП при прогнозировании КЗ- ПС (B/C)</w:t>
      </w:r>
    </w:p>
    <w:p w14:paraId="206D49E3">
      <w:pPr>
        <w:pStyle w:val="7"/>
        <w:spacing w:before="98"/>
        <w:ind w:left="0" w:firstLine="0"/>
        <w:jc w:val="left"/>
        <w:rPr>
          <w:sz w:val="20"/>
        </w:rPr>
      </w:pPr>
    </w:p>
    <w:tbl>
      <w:tblPr>
        <w:tblStyle w:val="5"/>
        <w:tblW w:w="949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86"/>
        <w:gridCol w:w="3118"/>
        <w:gridCol w:w="2694"/>
      </w:tblGrid>
      <w:tr w14:paraId="05A21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498" w:type="dxa"/>
            <w:gridSpan w:val="3"/>
          </w:tcPr>
          <w:p w14:paraId="1BB83A52">
            <w:pPr>
              <w:pStyle w:val="11"/>
              <w:spacing w:line="301" w:lineRule="exact"/>
              <w:ind w:left="5" w:right="2"/>
              <w:rPr>
                <w:sz w:val="28"/>
              </w:rPr>
            </w:pPr>
            <w:r>
              <w:rPr>
                <w:sz w:val="28"/>
              </w:rPr>
              <w:t>Координаты</w:t>
            </w:r>
            <w:r>
              <w:rPr>
                <w:spacing w:val="-13"/>
                <w:sz w:val="28"/>
              </w:rPr>
              <w:t xml:space="preserve"> </w:t>
            </w:r>
            <w:r>
              <w:rPr>
                <w:spacing w:val="-2"/>
                <w:sz w:val="28"/>
              </w:rPr>
              <w:t>кривой</w:t>
            </w:r>
          </w:p>
        </w:tc>
      </w:tr>
      <w:tr w14:paraId="6396B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498" w:type="dxa"/>
            <w:gridSpan w:val="3"/>
          </w:tcPr>
          <w:p w14:paraId="37A8D8ED">
            <w:pPr>
              <w:pStyle w:val="11"/>
              <w:spacing w:line="306" w:lineRule="exact"/>
              <w:ind w:left="5"/>
              <w:rPr>
                <w:sz w:val="28"/>
              </w:rPr>
            </w:pPr>
            <w:r>
              <w:rPr>
                <w:sz w:val="28"/>
              </w:rPr>
              <w:t>Переменные</w:t>
            </w:r>
            <w:r>
              <w:rPr>
                <w:spacing w:val="-9"/>
                <w:sz w:val="28"/>
              </w:rPr>
              <w:t xml:space="preserve"> </w:t>
            </w:r>
            <w:r>
              <w:rPr>
                <w:sz w:val="28"/>
              </w:rPr>
              <w:t>результата</w:t>
            </w:r>
            <w:r>
              <w:rPr>
                <w:spacing w:val="-8"/>
                <w:sz w:val="28"/>
              </w:rPr>
              <w:t xml:space="preserve"> </w:t>
            </w:r>
            <w:r>
              <w:rPr>
                <w:sz w:val="28"/>
              </w:rPr>
              <w:t>проверки:</w:t>
            </w:r>
            <w:r>
              <w:rPr>
                <w:spacing w:val="-14"/>
                <w:sz w:val="28"/>
              </w:rPr>
              <w:t xml:space="preserve"> </w:t>
            </w:r>
            <w:r>
              <w:rPr>
                <w:sz w:val="28"/>
              </w:rPr>
              <w:t>размер</w:t>
            </w:r>
            <w:r>
              <w:rPr>
                <w:spacing w:val="-9"/>
                <w:sz w:val="28"/>
              </w:rPr>
              <w:t xml:space="preserve"> </w:t>
            </w:r>
            <w:r>
              <w:rPr>
                <w:sz w:val="28"/>
              </w:rPr>
              <w:t>ПП,</w:t>
            </w:r>
            <w:r>
              <w:rPr>
                <w:spacing w:val="-7"/>
                <w:sz w:val="28"/>
              </w:rPr>
              <w:t xml:space="preserve"> </w:t>
            </w:r>
            <w:r>
              <w:rPr>
                <w:spacing w:val="-5"/>
                <w:sz w:val="28"/>
              </w:rPr>
              <w:t>мм</w:t>
            </w:r>
          </w:p>
        </w:tc>
      </w:tr>
      <w:tr w14:paraId="5A6A0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686" w:type="dxa"/>
          </w:tcPr>
          <w:p w14:paraId="28E5948A">
            <w:pPr>
              <w:pStyle w:val="11"/>
              <w:spacing w:line="315" w:lineRule="exact"/>
              <w:ind w:left="13" w:right="8"/>
              <w:rPr>
                <w:sz w:val="28"/>
              </w:rPr>
            </w:pPr>
            <w:r>
              <w:rPr>
                <w:sz w:val="28"/>
              </w:rPr>
              <w:t>Верно,</w:t>
            </w:r>
            <w:r>
              <w:rPr>
                <w:spacing w:val="-7"/>
                <w:sz w:val="28"/>
              </w:rPr>
              <w:t xml:space="preserve"> </w:t>
            </w:r>
            <w:r>
              <w:rPr>
                <w:sz w:val="28"/>
              </w:rPr>
              <w:t>если</w:t>
            </w:r>
            <w:r>
              <w:rPr>
                <w:spacing w:val="-8"/>
                <w:sz w:val="28"/>
              </w:rPr>
              <w:t xml:space="preserve"> </w:t>
            </w:r>
            <w:r>
              <w:rPr>
                <w:sz w:val="28"/>
              </w:rPr>
              <w:t>больше</w:t>
            </w:r>
            <w:r>
              <w:rPr>
                <w:spacing w:val="-8"/>
                <w:sz w:val="28"/>
              </w:rPr>
              <w:t xml:space="preserve"> </w:t>
            </w:r>
            <w:r>
              <w:rPr>
                <w:spacing w:val="-5"/>
                <w:sz w:val="28"/>
              </w:rPr>
              <w:t>или</w:t>
            </w:r>
          </w:p>
          <w:p w14:paraId="0A803665">
            <w:pPr>
              <w:pStyle w:val="11"/>
              <w:ind w:left="13" w:right="5"/>
              <w:rPr>
                <w:sz w:val="28"/>
              </w:rPr>
            </w:pPr>
            <w:r>
              <w:rPr>
                <w:spacing w:val="-2"/>
                <w:sz w:val="28"/>
              </w:rPr>
              <w:t>равно</w:t>
            </w:r>
            <w:r>
              <w:rPr>
                <w:spacing w:val="-2"/>
                <w:sz w:val="28"/>
                <w:vertAlign w:val="superscript"/>
              </w:rPr>
              <w:t>a</w:t>
            </w:r>
          </w:p>
        </w:tc>
        <w:tc>
          <w:tcPr>
            <w:tcW w:w="3118" w:type="dxa"/>
          </w:tcPr>
          <w:p w14:paraId="73B3865F">
            <w:pPr>
              <w:pStyle w:val="11"/>
              <w:spacing w:before="314"/>
              <w:ind w:left="4" w:right="4"/>
              <w:rPr>
                <w:sz w:val="28"/>
              </w:rPr>
            </w:pPr>
            <w:r>
              <w:rPr>
                <w:spacing w:val="-2"/>
                <w:sz w:val="28"/>
              </w:rPr>
              <w:t>Чувствительность</w:t>
            </w:r>
          </w:p>
        </w:tc>
        <w:tc>
          <w:tcPr>
            <w:tcW w:w="2694" w:type="dxa"/>
          </w:tcPr>
          <w:p w14:paraId="4936E7DE">
            <w:pPr>
              <w:pStyle w:val="11"/>
              <w:spacing w:before="314"/>
              <w:ind w:left="9" w:right="9"/>
              <w:rPr>
                <w:sz w:val="28"/>
              </w:rPr>
            </w:pPr>
            <w:r>
              <w:rPr>
                <w:sz w:val="28"/>
              </w:rPr>
              <w:t>1 -</w:t>
            </w:r>
            <w:r>
              <w:rPr>
                <w:spacing w:val="-1"/>
                <w:sz w:val="28"/>
              </w:rPr>
              <w:t xml:space="preserve"> </w:t>
            </w:r>
            <w:r>
              <w:rPr>
                <w:spacing w:val="-2"/>
                <w:sz w:val="28"/>
              </w:rPr>
              <w:t>Специфичность</w:t>
            </w:r>
          </w:p>
        </w:tc>
      </w:tr>
      <w:tr w14:paraId="40668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30541996">
            <w:pPr>
              <w:pStyle w:val="11"/>
              <w:spacing w:line="301" w:lineRule="exact"/>
              <w:ind w:left="13" w:right="4"/>
              <w:rPr>
                <w:sz w:val="28"/>
              </w:rPr>
            </w:pPr>
            <w:r>
              <w:rPr>
                <w:spacing w:val="-4"/>
                <w:sz w:val="28"/>
              </w:rPr>
              <w:t>-,800</w:t>
            </w:r>
          </w:p>
        </w:tc>
        <w:tc>
          <w:tcPr>
            <w:tcW w:w="3118" w:type="dxa"/>
          </w:tcPr>
          <w:p w14:paraId="25664B5D">
            <w:pPr>
              <w:pStyle w:val="11"/>
              <w:spacing w:line="301" w:lineRule="exact"/>
              <w:ind w:left="4" w:right="4"/>
              <w:rPr>
                <w:sz w:val="28"/>
              </w:rPr>
            </w:pPr>
            <w:r>
              <w:rPr>
                <w:spacing w:val="-4"/>
                <w:sz w:val="28"/>
              </w:rPr>
              <w:t>1,000</w:t>
            </w:r>
          </w:p>
        </w:tc>
        <w:tc>
          <w:tcPr>
            <w:tcW w:w="2694" w:type="dxa"/>
          </w:tcPr>
          <w:p w14:paraId="6065E748">
            <w:pPr>
              <w:pStyle w:val="11"/>
              <w:spacing w:line="301" w:lineRule="exact"/>
              <w:ind w:left="9" w:right="5"/>
              <w:rPr>
                <w:sz w:val="28"/>
              </w:rPr>
            </w:pPr>
            <w:r>
              <w:rPr>
                <w:spacing w:val="-4"/>
                <w:sz w:val="28"/>
              </w:rPr>
              <w:t>1,000</w:t>
            </w:r>
          </w:p>
        </w:tc>
      </w:tr>
      <w:tr w14:paraId="2D2523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39496128">
            <w:pPr>
              <w:pStyle w:val="11"/>
              <w:spacing w:line="301" w:lineRule="exact"/>
              <w:ind w:left="13"/>
              <w:rPr>
                <w:sz w:val="28"/>
              </w:rPr>
            </w:pPr>
            <w:r>
              <w:rPr>
                <w:spacing w:val="-4"/>
                <w:sz w:val="28"/>
              </w:rPr>
              <w:t>,250</w:t>
            </w:r>
          </w:p>
        </w:tc>
        <w:tc>
          <w:tcPr>
            <w:tcW w:w="3118" w:type="dxa"/>
          </w:tcPr>
          <w:p w14:paraId="4F20FC7E">
            <w:pPr>
              <w:pStyle w:val="11"/>
              <w:spacing w:line="301" w:lineRule="exact"/>
              <w:ind w:left="4"/>
              <w:rPr>
                <w:sz w:val="28"/>
              </w:rPr>
            </w:pPr>
            <w:r>
              <w:rPr>
                <w:spacing w:val="-4"/>
                <w:sz w:val="28"/>
              </w:rPr>
              <w:t>,973</w:t>
            </w:r>
          </w:p>
        </w:tc>
        <w:tc>
          <w:tcPr>
            <w:tcW w:w="2694" w:type="dxa"/>
          </w:tcPr>
          <w:p w14:paraId="3F835A1F">
            <w:pPr>
              <w:pStyle w:val="11"/>
              <w:spacing w:line="301" w:lineRule="exact"/>
              <w:ind w:left="9"/>
              <w:rPr>
                <w:sz w:val="28"/>
              </w:rPr>
            </w:pPr>
            <w:r>
              <w:rPr>
                <w:spacing w:val="-4"/>
                <w:sz w:val="28"/>
              </w:rPr>
              <w:t>,986</w:t>
            </w:r>
          </w:p>
        </w:tc>
      </w:tr>
      <w:tr w14:paraId="76DD1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04D9DB24">
            <w:pPr>
              <w:pStyle w:val="11"/>
              <w:spacing w:line="301" w:lineRule="exact"/>
              <w:ind w:left="13"/>
              <w:rPr>
                <w:sz w:val="28"/>
              </w:rPr>
            </w:pPr>
            <w:r>
              <w:rPr>
                <w:spacing w:val="-4"/>
                <w:sz w:val="28"/>
              </w:rPr>
              <w:t>,350</w:t>
            </w:r>
          </w:p>
        </w:tc>
        <w:tc>
          <w:tcPr>
            <w:tcW w:w="3118" w:type="dxa"/>
          </w:tcPr>
          <w:p w14:paraId="34B8ABC0">
            <w:pPr>
              <w:pStyle w:val="11"/>
              <w:spacing w:line="301" w:lineRule="exact"/>
              <w:ind w:left="4"/>
              <w:rPr>
                <w:sz w:val="28"/>
              </w:rPr>
            </w:pPr>
            <w:r>
              <w:rPr>
                <w:spacing w:val="-4"/>
                <w:sz w:val="28"/>
              </w:rPr>
              <w:t>,964</w:t>
            </w:r>
          </w:p>
        </w:tc>
        <w:tc>
          <w:tcPr>
            <w:tcW w:w="2694" w:type="dxa"/>
          </w:tcPr>
          <w:p w14:paraId="2BA1BD04">
            <w:pPr>
              <w:pStyle w:val="11"/>
              <w:spacing w:line="301" w:lineRule="exact"/>
              <w:ind w:left="9"/>
              <w:rPr>
                <w:sz w:val="28"/>
              </w:rPr>
            </w:pPr>
            <w:r>
              <w:rPr>
                <w:spacing w:val="-4"/>
                <w:sz w:val="28"/>
              </w:rPr>
              <w:t>,981</w:t>
            </w:r>
          </w:p>
        </w:tc>
      </w:tr>
      <w:tr w14:paraId="7B4EC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1B6AFCBB">
            <w:pPr>
              <w:pStyle w:val="11"/>
              <w:spacing w:line="302" w:lineRule="exact"/>
              <w:ind w:left="13"/>
              <w:rPr>
                <w:sz w:val="28"/>
              </w:rPr>
            </w:pPr>
            <w:r>
              <w:rPr>
                <w:spacing w:val="-4"/>
                <w:sz w:val="28"/>
              </w:rPr>
              <w:t>,450</w:t>
            </w:r>
          </w:p>
        </w:tc>
        <w:tc>
          <w:tcPr>
            <w:tcW w:w="3118" w:type="dxa"/>
          </w:tcPr>
          <w:p w14:paraId="726E584A">
            <w:pPr>
              <w:pStyle w:val="11"/>
              <w:spacing w:line="302" w:lineRule="exact"/>
              <w:ind w:left="4"/>
              <w:rPr>
                <w:sz w:val="28"/>
              </w:rPr>
            </w:pPr>
            <w:r>
              <w:rPr>
                <w:spacing w:val="-4"/>
                <w:sz w:val="28"/>
              </w:rPr>
              <w:t>,891</w:t>
            </w:r>
          </w:p>
        </w:tc>
        <w:tc>
          <w:tcPr>
            <w:tcW w:w="2694" w:type="dxa"/>
          </w:tcPr>
          <w:p w14:paraId="0E3DFE3B">
            <w:pPr>
              <w:pStyle w:val="11"/>
              <w:spacing w:line="302" w:lineRule="exact"/>
              <w:ind w:left="9"/>
              <w:rPr>
                <w:sz w:val="28"/>
              </w:rPr>
            </w:pPr>
            <w:r>
              <w:rPr>
                <w:spacing w:val="-4"/>
                <w:sz w:val="28"/>
              </w:rPr>
              <w:t>,952</w:t>
            </w:r>
          </w:p>
        </w:tc>
      </w:tr>
      <w:tr w14:paraId="3EC5C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3686" w:type="dxa"/>
          </w:tcPr>
          <w:p w14:paraId="193E517E">
            <w:pPr>
              <w:pStyle w:val="11"/>
              <w:spacing w:line="306" w:lineRule="exact"/>
              <w:ind w:left="13"/>
              <w:rPr>
                <w:sz w:val="28"/>
              </w:rPr>
            </w:pPr>
            <w:r>
              <w:rPr>
                <w:spacing w:val="-4"/>
                <w:sz w:val="28"/>
              </w:rPr>
              <w:t>,550</w:t>
            </w:r>
          </w:p>
        </w:tc>
        <w:tc>
          <w:tcPr>
            <w:tcW w:w="3118" w:type="dxa"/>
          </w:tcPr>
          <w:p w14:paraId="06C90D58">
            <w:pPr>
              <w:pStyle w:val="11"/>
              <w:spacing w:line="306" w:lineRule="exact"/>
              <w:ind w:left="4"/>
              <w:rPr>
                <w:sz w:val="28"/>
              </w:rPr>
            </w:pPr>
            <w:r>
              <w:rPr>
                <w:spacing w:val="-4"/>
                <w:sz w:val="28"/>
              </w:rPr>
              <w:t>,864</w:t>
            </w:r>
          </w:p>
        </w:tc>
        <w:tc>
          <w:tcPr>
            <w:tcW w:w="2694" w:type="dxa"/>
          </w:tcPr>
          <w:p w14:paraId="6A118FC8">
            <w:pPr>
              <w:pStyle w:val="11"/>
              <w:spacing w:line="306" w:lineRule="exact"/>
              <w:ind w:left="9"/>
              <w:rPr>
                <w:sz w:val="28"/>
              </w:rPr>
            </w:pPr>
            <w:r>
              <w:rPr>
                <w:spacing w:val="-4"/>
                <w:sz w:val="28"/>
              </w:rPr>
              <w:t>,909</w:t>
            </w:r>
          </w:p>
        </w:tc>
      </w:tr>
      <w:tr w14:paraId="7A875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44BAA4DC">
            <w:pPr>
              <w:pStyle w:val="11"/>
              <w:spacing w:line="301" w:lineRule="exact"/>
              <w:ind w:left="13"/>
              <w:rPr>
                <w:sz w:val="28"/>
              </w:rPr>
            </w:pPr>
            <w:r>
              <w:rPr>
                <w:spacing w:val="-4"/>
                <w:sz w:val="28"/>
              </w:rPr>
              <w:t>,650</w:t>
            </w:r>
          </w:p>
        </w:tc>
        <w:tc>
          <w:tcPr>
            <w:tcW w:w="3118" w:type="dxa"/>
          </w:tcPr>
          <w:p w14:paraId="4753678F">
            <w:pPr>
              <w:pStyle w:val="11"/>
              <w:spacing w:line="301" w:lineRule="exact"/>
              <w:ind w:left="4"/>
              <w:rPr>
                <w:sz w:val="28"/>
              </w:rPr>
            </w:pPr>
            <w:r>
              <w:rPr>
                <w:spacing w:val="-4"/>
                <w:sz w:val="28"/>
              </w:rPr>
              <w:t>,855</w:t>
            </w:r>
          </w:p>
        </w:tc>
        <w:tc>
          <w:tcPr>
            <w:tcW w:w="2694" w:type="dxa"/>
          </w:tcPr>
          <w:p w14:paraId="65B8B868">
            <w:pPr>
              <w:pStyle w:val="11"/>
              <w:spacing w:line="301" w:lineRule="exact"/>
              <w:ind w:left="9"/>
              <w:rPr>
                <w:sz w:val="28"/>
              </w:rPr>
            </w:pPr>
            <w:r>
              <w:rPr>
                <w:spacing w:val="-4"/>
                <w:sz w:val="28"/>
              </w:rPr>
              <w:t>,876</w:t>
            </w:r>
          </w:p>
        </w:tc>
      </w:tr>
      <w:tr w14:paraId="31E76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352F1547">
            <w:pPr>
              <w:pStyle w:val="11"/>
              <w:spacing w:line="301" w:lineRule="exact"/>
              <w:ind w:left="13"/>
              <w:rPr>
                <w:sz w:val="28"/>
              </w:rPr>
            </w:pPr>
            <w:r>
              <w:rPr>
                <w:spacing w:val="-4"/>
                <w:sz w:val="28"/>
              </w:rPr>
              <w:t>,750</w:t>
            </w:r>
          </w:p>
        </w:tc>
        <w:tc>
          <w:tcPr>
            <w:tcW w:w="3118" w:type="dxa"/>
          </w:tcPr>
          <w:p w14:paraId="6A5008C0">
            <w:pPr>
              <w:pStyle w:val="11"/>
              <w:spacing w:line="301" w:lineRule="exact"/>
              <w:ind w:left="4"/>
              <w:rPr>
                <w:sz w:val="28"/>
              </w:rPr>
            </w:pPr>
            <w:r>
              <w:rPr>
                <w:spacing w:val="-4"/>
                <w:sz w:val="28"/>
              </w:rPr>
              <w:t>,855</w:t>
            </w:r>
          </w:p>
        </w:tc>
        <w:tc>
          <w:tcPr>
            <w:tcW w:w="2694" w:type="dxa"/>
          </w:tcPr>
          <w:p w14:paraId="1B6CA44A">
            <w:pPr>
              <w:pStyle w:val="11"/>
              <w:spacing w:line="301" w:lineRule="exact"/>
              <w:ind w:left="9"/>
              <w:rPr>
                <w:sz w:val="28"/>
              </w:rPr>
            </w:pPr>
            <w:r>
              <w:rPr>
                <w:spacing w:val="-4"/>
                <w:sz w:val="28"/>
              </w:rPr>
              <w:t>,856</w:t>
            </w:r>
          </w:p>
        </w:tc>
      </w:tr>
      <w:tr w14:paraId="45087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1626E98F">
            <w:pPr>
              <w:pStyle w:val="11"/>
              <w:spacing w:line="301" w:lineRule="exact"/>
              <w:ind w:left="13"/>
              <w:rPr>
                <w:sz w:val="28"/>
              </w:rPr>
            </w:pPr>
            <w:r>
              <w:rPr>
                <w:spacing w:val="-4"/>
                <w:sz w:val="28"/>
              </w:rPr>
              <w:t>,850</w:t>
            </w:r>
          </w:p>
        </w:tc>
        <w:tc>
          <w:tcPr>
            <w:tcW w:w="3118" w:type="dxa"/>
          </w:tcPr>
          <w:p w14:paraId="6DDAD735">
            <w:pPr>
              <w:pStyle w:val="11"/>
              <w:spacing w:line="301" w:lineRule="exact"/>
              <w:ind w:left="4"/>
              <w:rPr>
                <w:sz w:val="28"/>
              </w:rPr>
            </w:pPr>
            <w:r>
              <w:rPr>
                <w:spacing w:val="-4"/>
                <w:sz w:val="28"/>
              </w:rPr>
              <w:t>,845</w:t>
            </w:r>
          </w:p>
        </w:tc>
        <w:tc>
          <w:tcPr>
            <w:tcW w:w="2694" w:type="dxa"/>
          </w:tcPr>
          <w:p w14:paraId="7F7EF84C">
            <w:pPr>
              <w:pStyle w:val="11"/>
              <w:spacing w:line="301" w:lineRule="exact"/>
              <w:ind w:left="9"/>
              <w:rPr>
                <w:sz w:val="28"/>
              </w:rPr>
            </w:pPr>
            <w:r>
              <w:rPr>
                <w:spacing w:val="-4"/>
                <w:sz w:val="28"/>
              </w:rPr>
              <w:t>,842</w:t>
            </w:r>
          </w:p>
        </w:tc>
      </w:tr>
      <w:tr w14:paraId="5CC5D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711B30F6">
            <w:pPr>
              <w:pStyle w:val="11"/>
              <w:spacing w:line="302" w:lineRule="exact"/>
              <w:ind w:left="13"/>
              <w:rPr>
                <w:sz w:val="28"/>
              </w:rPr>
            </w:pPr>
            <w:r>
              <w:rPr>
                <w:spacing w:val="-4"/>
                <w:sz w:val="28"/>
              </w:rPr>
              <w:t>,950</w:t>
            </w:r>
          </w:p>
        </w:tc>
        <w:tc>
          <w:tcPr>
            <w:tcW w:w="3118" w:type="dxa"/>
          </w:tcPr>
          <w:p w14:paraId="3B324EFE">
            <w:pPr>
              <w:pStyle w:val="11"/>
              <w:spacing w:line="302" w:lineRule="exact"/>
              <w:ind w:left="4"/>
              <w:rPr>
                <w:sz w:val="28"/>
              </w:rPr>
            </w:pPr>
            <w:r>
              <w:rPr>
                <w:spacing w:val="-4"/>
                <w:sz w:val="28"/>
              </w:rPr>
              <w:t>,836</w:t>
            </w:r>
          </w:p>
        </w:tc>
        <w:tc>
          <w:tcPr>
            <w:tcW w:w="2694" w:type="dxa"/>
          </w:tcPr>
          <w:p w14:paraId="140D4968">
            <w:pPr>
              <w:pStyle w:val="11"/>
              <w:spacing w:line="302" w:lineRule="exact"/>
              <w:ind w:left="9"/>
              <w:rPr>
                <w:sz w:val="28"/>
              </w:rPr>
            </w:pPr>
            <w:r>
              <w:rPr>
                <w:spacing w:val="-4"/>
                <w:sz w:val="28"/>
              </w:rPr>
              <w:t>,823</w:t>
            </w:r>
          </w:p>
        </w:tc>
      </w:tr>
      <w:tr w14:paraId="2AF40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2D4F9716">
            <w:pPr>
              <w:pStyle w:val="11"/>
              <w:spacing w:line="301" w:lineRule="exact"/>
              <w:ind w:left="13" w:right="5"/>
              <w:rPr>
                <w:sz w:val="28"/>
              </w:rPr>
            </w:pPr>
            <w:r>
              <w:rPr>
                <w:spacing w:val="-4"/>
                <w:sz w:val="28"/>
              </w:rPr>
              <w:t>1,100</w:t>
            </w:r>
          </w:p>
        </w:tc>
        <w:tc>
          <w:tcPr>
            <w:tcW w:w="3118" w:type="dxa"/>
          </w:tcPr>
          <w:p w14:paraId="6163FD4F">
            <w:pPr>
              <w:pStyle w:val="11"/>
              <w:spacing w:line="301" w:lineRule="exact"/>
              <w:ind w:left="4"/>
              <w:rPr>
                <w:sz w:val="28"/>
              </w:rPr>
            </w:pPr>
            <w:r>
              <w:rPr>
                <w:spacing w:val="-4"/>
                <w:sz w:val="28"/>
              </w:rPr>
              <w:t>,800</w:t>
            </w:r>
          </w:p>
        </w:tc>
        <w:tc>
          <w:tcPr>
            <w:tcW w:w="2694" w:type="dxa"/>
          </w:tcPr>
          <w:p w14:paraId="53F9A321">
            <w:pPr>
              <w:pStyle w:val="11"/>
              <w:spacing w:line="301" w:lineRule="exact"/>
              <w:ind w:left="9"/>
              <w:rPr>
                <w:sz w:val="28"/>
              </w:rPr>
            </w:pPr>
            <w:r>
              <w:rPr>
                <w:spacing w:val="-4"/>
                <w:sz w:val="28"/>
              </w:rPr>
              <w:t>,804</w:t>
            </w:r>
          </w:p>
        </w:tc>
      </w:tr>
      <w:tr w14:paraId="011DE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3686" w:type="dxa"/>
          </w:tcPr>
          <w:p w14:paraId="6E53EE3A">
            <w:pPr>
              <w:pStyle w:val="11"/>
              <w:spacing w:line="306" w:lineRule="exact"/>
              <w:ind w:left="13" w:right="5"/>
              <w:rPr>
                <w:sz w:val="28"/>
              </w:rPr>
            </w:pPr>
            <w:r>
              <w:rPr>
                <w:spacing w:val="-4"/>
                <w:sz w:val="28"/>
              </w:rPr>
              <w:t>1,600</w:t>
            </w:r>
          </w:p>
        </w:tc>
        <w:tc>
          <w:tcPr>
            <w:tcW w:w="3118" w:type="dxa"/>
          </w:tcPr>
          <w:p w14:paraId="24E72540">
            <w:pPr>
              <w:pStyle w:val="11"/>
              <w:spacing w:line="306" w:lineRule="exact"/>
              <w:ind w:left="4"/>
              <w:rPr>
                <w:sz w:val="28"/>
              </w:rPr>
            </w:pPr>
            <w:r>
              <w:rPr>
                <w:spacing w:val="-4"/>
                <w:sz w:val="28"/>
              </w:rPr>
              <w:t>,791</w:t>
            </w:r>
          </w:p>
        </w:tc>
        <w:tc>
          <w:tcPr>
            <w:tcW w:w="2694" w:type="dxa"/>
          </w:tcPr>
          <w:p w14:paraId="528CDD98">
            <w:pPr>
              <w:pStyle w:val="11"/>
              <w:spacing w:line="306" w:lineRule="exact"/>
              <w:ind w:left="9"/>
              <w:rPr>
                <w:sz w:val="28"/>
              </w:rPr>
            </w:pPr>
            <w:r>
              <w:rPr>
                <w:spacing w:val="-4"/>
                <w:sz w:val="28"/>
              </w:rPr>
              <w:t>,804</w:t>
            </w:r>
          </w:p>
        </w:tc>
      </w:tr>
      <w:tr w14:paraId="4C372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73053A7D">
            <w:pPr>
              <w:pStyle w:val="11"/>
              <w:spacing w:line="301" w:lineRule="exact"/>
              <w:ind w:left="13" w:right="5"/>
              <w:rPr>
                <w:sz w:val="28"/>
              </w:rPr>
            </w:pPr>
            <w:r>
              <w:rPr>
                <w:spacing w:val="-4"/>
                <w:sz w:val="28"/>
              </w:rPr>
              <w:t>2,500</w:t>
            </w:r>
          </w:p>
        </w:tc>
        <w:tc>
          <w:tcPr>
            <w:tcW w:w="3118" w:type="dxa"/>
          </w:tcPr>
          <w:p w14:paraId="2AA1D1E3">
            <w:pPr>
              <w:pStyle w:val="11"/>
              <w:spacing w:line="301" w:lineRule="exact"/>
              <w:ind w:left="4"/>
              <w:rPr>
                <w:sz w:val="28"/>
              </w:rPr>
            </w:pPr>
            <w:r>
              <w:rPr>
                <w:spacing w:val="-4"/>
                <w:sz w:val="28"/>
              </w:rPr>
              <w:t>,645</w:t>
            </w:r>
          </w:p>
        </w:tc>
        <w:tc>
          <w:tcPr>
            <w:tcW w:w="2694" w:type="dxa"/>
          </w:tcPr>
          <w:p w14:paraId="1CFDB5E0">
            <w:pPr>
              <w:pStyle w:val="11"/>
              <w:spacing w:line="301" w:lineRule="exact"/>
              <w:ind w:left="9"/>
              <w:rPr>
                <w:sz w:val="28"/>
              </w:rPr>
            </w:pPr>
            <w:r>
              <w:rPr>
                <w:spacing w:val="-4"/>
                <w:sz w:val="28"/>
              </w:rPr>
              <w:t>,718</w:t>
            </w:r>
          </w:p>
        </w:tc>
      </w:tr>
      <w:tr w14:paraId="30697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7AB97662">
            <w:pPr>
              <w:pStyle w:val="11"/>
              <w:spacing w:line="301" w:lineRule="exact"/>
              <w:ind w:left="13" w:right="5"/>
              <w:rPr>
                <w:sz w:val="28"/>
              </w:rPr>
            </w:pPr>
            <w:r>
              <w:rPr>
                <w:spacing w:val="-4"/>
                <w:sz w:val="28"/>
              </w:rPr>
              <w:t>3,500</w:t>
            </w:r>
          </w:p>
        </w:tc>
        <w:tc>
          <w:tcPr>
            <w:tcW w:w="3118" w:type="dxa"/>
          </w:tcPr>
          <w:p w14:paraId="37FF8A22">
            <w:pPr>
              <w:pStyle w:val="11"/>
              <w:spacing w:line="301" w:lineRule="exact"/>
              <w:ind w:left="4"/>
              <w:rPr>
                <w:sz w:val="28"/>
              </w:rPr>
            </w:pPr>
            <w:r>
              <w:rPr>
                <w:spacing w:val="-4"/>
                <w:sz w:val="28"/>
              </w:rPr>
              <w:t>,445</w:t>
            </w:r>
          </w:p>
        </w:tc>
        <w:tc>
          <w:tcPr>
            <w:tcW w:w="2694" w:type="dxa"/>
          </w:tcPr>
          <w:p w14:paraId="61630FFE">
            <w:pPr>
              <w:pStyle w:val="11"/>
              <w:spacing w:line="301" w:lineRule="exact"/>
              <w:ind w:left="9"/>
              <w:rPr>
                <w:sz w:val="28"/>
              </w:rPr>
            </w:pPr>
            <w:r>
              <w:rPr>
                <w:spacing w:val="-4"/>
                <w:sz w:val="28"/>
              </w:rPr>
              <w:t>,651</w:t>
            </w:r>
          </w:p>
        </w:tc>
      </w:tr>
      <w:tr w14:paraId="1CD8F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3686" w:type="dxa"/>
          </w:tcPr>
          <w:p w14:paraId="58AF6A78">
            <w:pPr>
              <w:pStyle w:val="11"/>
              <w:spacing w:line="306" w:lineRule="exact"/>
              <w:ind w:left="13" w:right="5"/>
              <w:rPr>
                <w:sz w:val="28"/>
              </w:rPr>
            </w:pPr>
            <w:r>
              <w:rPr>
                <w:spacing w:val="-4"/>
                <w:sz w:val="28"/>
              </w:rPr>
              <w:t>4,500</w:t>
            </w:r>
          </w:p>
        </w:tc>
        <w:tc>
          <w:tcPr>
            <w:tcW w:w="3118" w:type="dxa"/>
          </w:tcPr>
          <w:p w14:paraId="5C945D33">
            <w:pPr>
              <w:pStyle w:val="11"/>
              <w:spacing w:line="306" w:lineRule="exact"/>
              <w:ind w:left="4"/>
              <w:rPr>
                <w:sz w:val="28"/>
              </w:rPr>
            </w:pPr>
            <w:r>
              <w:rPr>
                <w:spacing w:val="-4"/>
                <w:sz w:val="28"/>
              </w:rPr>
              <w:t>,291</w:t>
            </w:r>
          </w:p>
        </w:tc>
        <w:tc>
          <w:tcPr>
            <w:tcW w:w="2694" w:type="dxa"/>
          </w:tcPr>
          <w:p w14:paraId="42C8650A">
            <w:pPr>
              <w:pStyle w:val="11"/>
              <w:spacing w:line="306" w:lineRule="exact"/>
              <w:ind w:left="9"/>
              <w:rPr>
                <w:sz w:val="28"/>
              </w:rPr>
            </w:pPr>
            <w:r>
              <w:rPr>
                <w:spacing w:val="-4"/>
                <w:sz w:val="28"/>
              </w:rPr>
              <w:t>,550</w:t>
            </w:r>
          </w:p>
        </w:tc>
      </w:tr>
      <w:tr w14:paraId="23428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4BD2C861">
            <w:pPr>
              <w:pStyle w:val="11"/>
              <w:spacing w:line="301" w:lineRule="exact"/>
              <w:ind w:left="13" w:right="5"/>
              <w:rPr>
                <w:sz w:val="28"/>
              </w:rPr>
            </w:pPr>
            <w:r>
              <w:rPr>
                <w:spacing w:val="-4"/>
                <w:sz w:val="28"/>
              </w:rPr>
              <w:t>5,500</w:t>
            </w:r>
          </w:p>
        </w:tc>
        <w:tc>
          <w:tcPr>
            <w:tcW w:w="3118" w:type="dxa"/>
          </w:tcPr>
          <w:p w14:paraId="705E20BB">
            <w:pPr>
              <w:pStyle w:val="11"/>
              <w:spacing w:line="301" w:lineRule="exact"/>
              <w:ind w:left="4"/>
              <w:rPr>
                <w:sz w:val="28"/>
              </w:rPr>
            </w:pPr>
            <w:r>
              <w:rPr>
                <w:spacing w:val="-4"/>
                <w:sz w:val="28"/>
              </w:rPr>
              <w:t>,164</w:t>
            </w:r>
          </w:p>
        </w:tc>
        <w:tc>
          <w:tcPr>
            <w:tcW w:w="2694" w:type="dxa"/>
          </w:tcPr>
          <w:p w14:paraId="661A8A8F">
            <w:pPr>
              <w:pStyle w:val="11"/>
              <w:spacing w:line="301" w:lineRule="exact"/>
              <w:ind w:left="9"/>
              <w:rPr>
                <w:sz w:val="28"/>
              </w:rPr>
            </w:pPr>
            <w:r>
              <w:rPr>
                <w:spacing w:val="-4"/>
                <w:sz w:val="28"/>
              </w:rPr>
              <w:t>,435</w:t>
            </w:r>
          </w:p>
        </w:tc>
      </w:tr>
      <w:tr w14:paraId="38742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4B507D76">
            <w:pPr>
              <w:pStyle w:val="11"/>
              <w:spacing w:line="302" w:lineRule="exact"/>
              <w:ind w:left="13" w:right="5"/>
              <w:rPr>
                <w:sz w:val="28"/>
              </w:rPr>
            </w:pPr>
            <w:r>
              <w:rPr>
                <w:spacing w:val="-4"/>
                <w:sz w:val="28"/>
              </w:rPr>
              <w:t>6,500</w:t>
            </w:r>
          </w:p>
        </w:tc>
        <w:tc>
          <w:tcPr>
            <w:tcW w:w="3118" w:type="dxa"/>
          </w:tcPr>
          <w:p w14:paraId="69E9F18E">
            <w:pPr>
              <w:pStyle w:val="11"/>
              <w:spacing w:line="302" w:lineRule="exact"/>
              <w:ind w:left="4"/>
              <w:rPr>
                <w:sz w:val="28"/>
              </w:rPr>
            </w:pPr>
            <w:r>
              <w:rPr>
                <w:spacing w:val="-4"/>
                <w:sz w:val="28"/>
              </w:rPr>
              <w:t>,118</w:t>
            </w:r>
          </w:p>
        </w:tc>
        <w:tc>
          <w:tcPr>
            <w:tcW w:w="2694" w:type="dxa"/>
          </w:tcPr>
          <w:p w14:paraId="4EE4BEAF">
            <w:pPr>
              <w:pStyle w:val="11"/>
              <w:spacing w:line="302" w:lineRule="exact"/>
              <w:ind w:left="9"/>
              <w:rPr>
                <w:sz w:val="28"/>
              </w:rPr>
            </w:pPr>
            <w:r>
              <w:rPr>
                <w:spacing w:val="-4"/>
                <w:sz w:val="28"/>
              </w:rPr>
              <w:t>,321</w:t>
            </w:r>
          </w:p>
        </w:tc>
      </w:tr>
      <w:tr w14:paraId="70EE3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5A2ABBBA">
            <w:pPr>
              <w:pStyle w:val="11"/>
              <w:spacing w:line="301" w:lineRule="exact"/>
              <w:ind w:left="13" w:right="5"/>
              <w:rPr>
                <w:sz w:val="28"/>
              </w:rPr>
            </w:pPr>
            <w:r>
              <w:rPr>
                <w:spacing w:val="-4"/>
                <w:sz w:val="28"/>
              </w:rPr>
              <w:t>7,500</w:t>
            </w:r>
          </w:p>
        </w:tc>
        <w:tc>
          <w:tcPr>
            <w:tcW w:w="3118" w:type="dxa"/>
          </w:tcPr>
          <w:p w14:paraId="3470C7BB">
            <w:pPr>
              <w:pStyle w:val="11"/>
              <w:spacing w:line="301" w:lineRule="exact"/>
              <w:ind w:left="4"/>
              <w:rPr>
                <w:sz w:val="28"/>
              </w:rPr>
            </w:pPr>
            <w:r>
              <w:rPr>
                <w:spacing w:val="-4"/>
                <w:sz w:val="28"/>
              </w:rPr>
              <w:t>,036</w:t>
            </w:r>
          </w:p>
        </w:tc>
        <w:tc>
          <w:tcPr>
            <w:tcW w:w="2694" w:type="dxa"/>
          </w:tcPr>
          <w:p w14:paraId="65AB1FC2">
            <w:pPr>
              <w:pStyle w:val="11"/>
              <w:spacing w:line="301" w:lineRule="exact"/>
              <w:ind w:left="9"/>
              <w:rPr>
                <w:sz w:val="28"/>
              </w:rPr>
            </w:pPr>
            <w:r>
              <w:rPr>
                <w:spacing w:val="-4"/>
                <w:sz w:val="28"/>
              </w:rPr>
              <w:t>,206</w:t>
            </w:r>
          </w:p>
        </w:tc>
      </w:tr>
      <w:tr w14:paraId="52A73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7D188267">
            <w:pPr>
              <w:pStyle w:val="11"/>
              <w:spacing w:line="301" w:lineRule="exact"/>
              <w:ind w:left="13" w:right="5"/>
              <w:rPr>
                <w:sz w:val="28"/>
              </w:rPr>
            </w:pPr>
            <w:r>
              <w:rPr>
                <w:spacing w:val="-4"/>
                <w:sz w:val="28"/>
              </w:rPr>
              <w:t>8,500</w:t>
            </w:r>
          </w:p>
        </w:tc>
        <w:tc>
          <w:tcPr>
            <w:tcW w:w="3118" w:type="dxa"/>
          </w:tcPr>
          <w:p w14:paraId="304FB3D0">
            <w:pPr>
              <w:pStyle w:val="11"/>
              <w:spacing w:line="301" w:lineRule="exact"/>
              <w:ind w:left="4"/>
              <w:rPr>
                <w:sz w:val="28"/>
              </w:rPr>
            </w:pPr>
            <w:r>
              <w:rPr>
                <w:spacing w:val="-4"/>
                <w:sz w:val="28"/>
              </w:rPr>
              <w:t>,018</w:t>
            </w:r>
          </w:p>
        </w:tc>
        <w:tc>
          <w:tcPr>
            <w:tcW w:w="2694" w:type="dxa"/>
          </w:tcPr>
          <w:p w14:paraId="7CB1F8EB">
            <w:pPr>
              <w:pStyle w:val="11"/>
              <w:spacing w:line="301" w:lineRule="exact"/>
              <w:ind w:left="9"/>
              <w:rPr>
                <w:sz w:val="28"/>
              </w:rPr>
            </w:pPr>
            <w:r>
              <w:rPr>
                <w:spacing w:val="-4"/>
                <w:sz w:val="28"/>
              </w:rPr>
              <w:t>,100</w:t>
            </w:r>
          </w:p>
        </w:tc>
      </w:tr>
      <w:tr w14:paraId="23118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751DC952">
            <w:pPr>
              <w:pStyle w:val="11"/>
              <w:spacing w:line="301" w:lineRule="exact"/>
              <w:ind w:left="13" w:right="5"/>
              <w:rPr>
                <w:sz w:val="28"/>
              </w:rPr>
            </w:pPr>
            <w:r>
              <w:rPr>
                <w:spacing w:val="-4"/>
                <w:sz w:val="28"/>
              </w:rPr>
              <w:t>9,500</w:t>
            </w:r>
          </w:p>
        </w:tc>
        <w:tc>
          <w:tcPr>
            <w:tcW w:w="3118" w:type="dxa"/>
          </w:tcPr>
          <w:p w14:paraId="12C13CA3">
            <w:pPr>
              <w:pStyle w:val="11"/>
              <w:spacing w:line="301" w:lineRule="exact"/>
              <w:ind w:left="4"/>
              <w:rPr>
                <w:sz w:val="28"/>
              </w:rPr>
            </w:pPr>
            <w:r>
              <w:rPr>
                <w:spacing w:val="-4"/>
                <w:sz w:val="28"/>
              </w:rPr>
              <w:t>,018</w:t>
            </w:r>
          </w:p>
        </w:tc>
        <w:tc>
          <w:tcPr>
            <w:tcW w:w="2694" w:type="dxa"/>
          </w:tcPr>
          <w:p w14:paraId="1A3FF7C8">
            <w:pPr>
              <w:pStyle w:val="11"/>
              <w:spacing w:line="301" w:lineRule="exact"/>
              <w:ind w:left="9"/>
              <w:rPr>
                <w:sz w:val="28"/>
              </w:rPr>
            </w:pPr>
            <w:r>
              <w:rPr>
                <w:spacing w:val="-4"/>
                <w:sz w:val="28"/>
              </w:rPr>
              <w:t>,077</w:t>
            </w:r>
          </w:p>
        </w:tc>
      </w:tr>
      <w:tr w14:paraId="48C8B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3686" w:type="dxa"/>
          </w:tcPr>
          <w:p w14:paraId="718848A9">
            <w:pPr>
              <w:pStyle w:val="11"/>
              <w:spacing w:line="306" w:lineRule="exact"/>
              <w:ind w:left="13"/>
              <w:rPr>
                <w:sz w:val="28"/>
              </w:rPr>
            </w:pPr>
            <w:r>
              <w:rPr>
                <w:spacing w:val="-2"/>
                <w:sz w:val="28"/>
              </w:rPr>
              <w:t>12,500</w:t>
            </w:r>
          </w:p>
        </w:tc>
        <w:tc>
          <w:tcPr>
            <w:tcW w:w="3118" w:type="dxa"/>
          </w:tcPr>
          <w:p w14:paraId="14588112">
            <w:pPr>
              <w:pStyle w:val="11"/>
              <w:spacing w:line="306" w:lineRule="exact"/>
              <w:ind w:left="4"/>
              <w:rPr>
                <w:sz w:val="28"/>
              </w:rPr>
            </w:pPr>
            <w:r>
              <w:rPr>
                <w:spacing w:val="-4"/>
                <w:sz w:val="28"/>
              </w:rPr>
              <w:t>,009</w:t>
            </w:r>
          </w:p>
        </w:tc>
        <w:tc>
          <w:tcPr>
            <w:tcW w:w="2694" w:type="dxa"/>
          </w:tcPr>
          <w:p w14:paraId="225C44D1">
            <w:pPr>
              <w:pStyle w:val="11"/>
              <w:spacing w:line="306" w:lineRule="exact"/>
              <w:ind w:left="9"/>
              <w:rPr>
                <w:sz w:val="28"/>
              </w:rPr>
            </w:pPr>
            <w:r>
              <w:rPr>
                <w:spacing w:val="-4"/>
                <w:sz w:val="28"/>
              </w:rPr>
              <w:t>,024</w:t>
            </w:r>
          </w:p>
        </w:tc>
      </w:tr>
      <w:tr w14:paraId="484B3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86" w:type="dxa"/>
          </w:tcPr>
          <w:p w14:paraId="58550C64">
            <w:pPr>
              <w:pStyle w:val="11"/>
              <w:spacing w:line="301" w:lineRule="exact"/>
              <w:ind w:left="13"/>
              <w:rPr>
                <w:sz w:val="28"/>
              </w:rPr>
            </w:pPr>
            <w:r>
              <w:rPr>
                <w:spacing w:val="-2"/>
                <w:sz w:val="28"/>
              </w:rPr>
              <w:t>16,000</w:t>
            </w:r>
          </w:p>
        </w:tc>
        <w:tc>
          <w:tcPr>
            <w:tcW w:w="3118" w:type="dxa"/>
          </w:tcPr>
          <w:p w14:paraId="51C92F8B">
            <w:pPr>
              <w:pStyle w:val="11"/>
              <w:spacing w:line="301" w:lineRule="exact"/>
              <w:ind w:left="4"/>
              <w:rPr>
                <w:sz w:val="28"/>
              </w:rPr>
            </w:pPr>
            <w:r>
              <w:rPr>
                <w:spacing w:val="-4"/>
                <w:sz w:val="28"/>
              </w:rPr>
              <w:t>,000</w:t>
            </w:r>
          </w:p>
        </w:tc>
        <w:tc>
          <w:tcPr>
            <w:tcW w:w="2694" w:type="dxa"/>
          </w:tcPr>
          <w:p w14:paraId="2E31D1D2">
            <w:pPr>
              <w:pStyle w:val="11"/>
              <w:spacing w:line="301" w:lineRule="exact"/>
              <w:ind w:left="9"/>
              <w:rPr>
                <w:sz w:val="28"/>
              </w:rPr>
            </w:pPr>
            <w:r>
              <w:rPr>
                <w:spacing w:val="-4"/>
                <w:sz w:val="28"/>
              </w:rPr>
              <w:t>,000</w:t>
            </w:r>
          </w:p>
        </w:tc>
      </w:tr>
    </w:tbl>
    <w:p w14:paraId="084ED759">
      <w:pPr>
        <w:pStyle w:val="7"/>
        <w:spacing w:before="10"/>
        <w:ind w:left="0" w:firstLine="0"/>
        <w:jc w:val="left"/>
      </w:pPr>
    </w:p>
    <w:p w14:paraId="53A81EE3">
      <w:pPr>
        <w:pStyle w:val="7"/>
        <w:ind w:left="0" w:right="3" w:firstLine="709"/>
      </w:pPr>
      <w:r>
        <w:t xml:space="preserve">При указанном пороговом значении чувствительность метода составила 44,5%, а специфичность — 34,9%, что отражает высокую клиническую уязвимость пациентов с узким диаметром ПП, одновременно подчёркивая необходимость комплексной оценки хирургического риска с учётом других </w:t>
      </w:r>
      <w:r>
        <w:rPr>
          <w:spacing w:val="-2"/>
        </w:rPr>
        <w:t>факторов.</w:t>
      </w:r>
    </w:p>
    <w:p w14:paraId="73B5D516">
      <w:pPr>
        <w:pStyle w:val="7"/>
        <w:ind w:left="0" w:right="3" w:firstLine="709"/>
      </w:pPr>
      <w:r>
        <w:t>В</w:t>
      </w:r>
      <w:r>
        <w:rPr>
          <w:spacing w:val="-16"/>
        </w:rPr>
        <w:t xml:space="preserve"> </w:t>
      </w:r>
      <w:r>
        <w:t>качестве</w:t>
      </w:r>
      <w:r>
        <w:rPr>
          <w:spacing w:val="-12"/>
        </w:rPr>
        <w:t xml:space="preserve"> </w:t>
      </w:r>
      <w:r>
        <w:t>дополнительного</w:t>
      </w:r>
      <w:r>
        <w:rPr>
          <w:spacing w:val="-12"/>
        </w:rPr>
        <w:t xml:space="preserve"> </w:t>
      </w:r>
      <w:r>
        <w:t>постоперационного</w:t>
      </w:r>
      <w:r>
        <w:rPr>
          <w:spacing w:val="-12"/>
        </w:rPr>
        <w:t xml:space="preserve"> </w:t>
      </w:r>
      <w:r>
        <w:t>прогностического</w:t>
      </w:r>
      <w:r>
        <w:rPr>
          <w:spacing w:val="-12"/>
        </w:rPr>
        <w:t xml:space="preserve"> </w:t>
      </w:r>
      <w:r>
        <w:t>маркёра была проанализирована ААД на ранних сроках после операции. Проведённый ROC-анализ показателей амилазы позволил определить диагностически значимый порог, обеспечивающий прогнозирование формирования КЗ-ПС и необходимость интенсификации наблюдения и лечебных мероприятий.</w:t>
      </w:r>
    </w:p>
    <w:p w14:paraId="21BC990A">
      <w:pPr>
        <w:pStyle w:val="7"/>
        <w:spacing w:before="2"/>
        <w:ind w:left="0" w:right="3" w:firstLine="709"/>
      </w:pPr>
      <w:r>
        <w:t>Оценка</w:t>
      </w:r>
      <w:r>
        <w:rPr>
          <w:spacing w:val="-12"/>
        </w:rPr>
        <w:t xml:space="preserve"> </w:t>
      </w:r>
      <w:r>
        <w:t>чувствительности</w:t>
      </w:r>
      <w:r>
        <w:rPr>
          <w:spacing w:val="-13"/>
        </w:rPr>
        <w:t xml:space="preserve"> </w:t>
      </w:r>
      <w:r>
        <w:t>и</w:t>
      </w:r>
      <w:r>
        <w:rPr>
          <w:spacing w:val="-13"/>
        </w:rPr>
        <w:t xml:space="preserve"> </w:t>
      </w:r>
      <w:r>
        <w:t>специфичности</w:t>
      </w:r>
      <w:r>
        <w:rPr>
          <w:spacing w:val="-13"/>
        </w:rPr>
        <w:t xml:space="preserve"> </w:t>
      </w:r>
      <w:r>
        <w:t>различных</w:t>
      </w:r>
      <w:r>
        <w:rPr>
          <w:spacing w:val="-18"/>
        </w:rPr>
        <w:t xml:space="preserve"> </w:t>
      </w:r>
      <w:r>
        <w:t>пороговых</w:t>
      </w:r>
      <w:r>
        <w:rPr>
          <w:spacing w:val="-17"/>
        </w:rPr>
        <w:t xml:space="preserve"> </w:t>
      </w:r>
      <w:r>
        <w:t>значений ААД продемонстрировала её значимую роль как дополнительного предиктора риска, усиливающего прогностическую ценность анатомо-тканевых факторов при оценке вероятности развития КЗ-ПС.</w:t>
      </w:r>
    </w:p>
    <w:p w14:paraId="5B47EBC6">
      <w:pPr>
        <w:pStyle w:val="7"/>
        <w:spacing w:before="321"/>
        <w:ind w:left="0" w:firstLine="0"/>
        <w:jc w:val="left"/>
      </w:pPr>
      <w:r>
        <w:t>Таблица 21 - ROC-анализ ААД на 1,3,5 сутки после ГПДР для прогнозирования панкреатического свища</w:t>
      </w:r>
    </w:p>
    <w:p w14:paraId="712CEE48">
      <w:pPr>
        <w:pStyle w:val="7"/>
        <w:spacing w:before="97" w:after="1"/>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35"/>
        <w:gridCol w:w="1989"/>
        <w:gridCol w:w="2267"/>
        <w:gridCol w:w="1561"/>
        <w:gridCol w:w="987"/>
      </w:tblGrid>
      <w:tr w14:paraId="1F5A9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835" w:type="dxa"/>
          </w:tcPr>
          <w:p w14:paraId="63BE3AD0">
            <w:pPr>
              <w:pStyle w:val="11"/>
              <w:spacing w:before="108" w:line="240" w:lineRule="auto"/>
              <w:ind w:left="9"/>
              <w:rPr>
                <w:sz w:val="28"/>
              </w:rPr>
            </w:pPr>
            <w:r>
              <w:rPr>
                <w:spacing w:val="-2"/>
                <w:sz w:val="28"/>
              </w:rPr>
              <w:t>Сутки</w:t>
            </w:r>
          </w:p>
        </w:tc>
        <w:tc>
          <w:tcPr>
            <w:tcW w:w="1989" w:type="dxa"/>
          </w:tcPr>
          <w:p w14:paraId="13E324BE">
            <w:pPr>
              <w:pStyle w:val="11"/>
              <w:spacing w:before="108" w:line="240" w:lineRule="auto"/>
              <w:ind w:left="12" w:right="6"/>
              <w:rPr>
                <w:sz w:val="28"/>
              </w:rPr>
            </w:pPr>
            <w:r>
              <w:rPr>
                <w:spacing w:val="-5"/>
                <w:sz w:val="28"/>
              </w:rPr>
              <w:t>AUC</w:t>
            </w:r>
          </w:p>
        </w:tc>
        <w:tc>
          <w:tcPr>
            <w:tcW w:w="2267" w:type="dxa"/>
          </w:tcPr>
          <w:p w14:paraId="0C054513">
            <w:pPr>
              <w:pStyle w:val="11"/>
              <w:spacing w:before="108" w:line="240" w:lineRule="auto"/>
              <w:ind w:left="2"/>
              <w:rPr>
                <w:sz w:val="28"/>
              </w:rPr>
            </w:pPr>
            <w:r>
              <w:rPr>
                <w:sz w:val="28"/>
              </w:rPr>
              <w:t>Cut-off</w:t>
            </w:r>
            <w:r>
              <w:rPr>
                <w:spacing w:val="-9"/>
                <w:sz w:val="28"/>
              </w:rPr>
              <w:t xml:space="preserve"> </w:t>
            </w:r>
            <w:r>
              <w:rPr>
                <w:spacing w:val="-2"/>
                <w:sz w:val="28"/>
              </w:rPr>
              <w:t>(Ед/л)</w:t>
            </w:r>
          </w:p>
        </w:tc>
        <w:tc>
          <w:tcPr>
            <w:tcW w:w="1561" w:type="dxa"/>
          </w:tcPr>
          <w:p w14:paraId="41379849">
            <w:pPr>
              <w:pStyle w:val="11"/>
              <w:spacing w:before="108" w:line="240" w:lineRule="auto"/>
              <w:ind w:left="10"/>
              <w:rPr>
                <w:sz w:val="28"/>
              </w:rPr>
            </w:pPr>
            <w:r>
              <w:rPr>
                <w:sz w:val="28"/>
              </w:rPr>
              <w:t>Se,</w:t>
            </w:r>
            <w:r>
              <w:rPr>
                <w:spacing w:val="-2"/>
                <w:sz w:val="28"/>
              </w:rPr>
              <w:t xml:space="preserve"> </w:t>
            </w:r>
            <w:r>
              <w:rPr>
                <w:spacing w:val="-10"/>
                <w:sz w:val="28"/>
              </w:rPr>
              <w:t>%</w:t>
            </w:r>
          </w:p>
        </w:tc>
        <w:tc>
          <w:tcPr>
            <w:tcW w:w="987" w:type="dxa"/>
          </w:tcPr>
          <w:p w14:paraId="0CD9ECB5">
            <w:pPr>
              <w:pStyle w:val="11"/>
              <w:spacing w:before="108" w:line="240" w:lineRule="auto"/>
              <w:ind w:left="9"/>
              <w:rPr>
                <w:sz w:val="28"/>
              </w:rPr>
            </w:pPr>
            <w:r>
              <w:rPr>
                <w:sz w:val="28"/>
              </w:rPr>
              <w:t>Sp,</w:t>
            </w:r>
            <w:r>
              <w:rPr>
                <w:spacing w:val="-2"/>
                <w:sz w:val="28"/>
              </w:rPr>
              <w:t xml:space="preserve"> </w:t>
            </w:r>
            <w:r>
              <w:rPr>
                <w:spacing w:val="-10"/>
                <w:sz w:val="28"/>
              </w:rPr>
              <w:t>%</w:t>
            </w:r>
          </w:p>
        </w:tc>
      </w:tr>
      <w:tr w14:paraId="4D7026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2835" w:type="dxa"/>
          </w:tcPr>
          <w:p w14:paraId="71E4C8B4">
            <w:pPr>
              <w:pStyle w:val="11"/>
              <w:spacing w:before="31" w:line="240" w:lineRule="auto"/>
              <w:ind w:left="9" w:right="1"/>
              <w:rPr>
                <w:sz w:val="28"/>
              </w:rPr>
            </w:pPr>
            <w:r>
              <w:rPr>
                <w:sz w:val="28"/>
              </w:rPr>
              <w:t>1-е</w:t>
            </w:r>
            <w:r>
              <w:rPr>
                <w:spacing w:val="-4"/>
                <w:sz w:val="28"/>
              </w:rPr>
              <w:t xml:space="preserve"> </w:t>
            </w:r>
            <w:r>
              <w:rPr>
                <w:spacing w:val="-2"/>
                <w:sz w:val="28"/>
              </w:rPr>
              <w:t>сутки</w:t>
            </w:r>
          </w:p>
        </w:tc>
        <w:tc>
          <w:tcPr>
            <w:tcW w:w="1989" w:type="dxa"/>
          </w:tcPr>
          <w:p w14:paraId="70F49CCB">
            <w:pPr>
              <w:pStyle w:val="11"/>
              <w:spacing w:before="31" w:line="240" w:lineRule="auto"/>
              <w:ind w:left="12"/>
              <w:rPr>
                <w:sz w:val="28"/>
              </w:rPr>
            </w:pPr>
            <w:r>
              <w:rPr>
                <w:spacing w:val="-4"/>
                <w:sz w:val="28"/>
              </w:rPr>
              <w:t>0.823</w:t>
            </w:r>
          </w:p>
        </w:tc>
        <w:tc>
          <w:tcPr>
            <w:tcW w:w="2267" w:type="dxa"/>
          </w:tcPr>
          <w:p w14:paraId="73301E3D">
            <w:pPr>
              <w:pStyle w:val="11"/>
              <w:spacing w:before="31" w:line="240" w:lineRule="auto"/>
              <w:ind w:left="2" w:right="1"/>
              <w:rPr>
                <w:sz w:val="28"/>
              </w:rPr>
            </w:pPr>
            <w:r>
              <w:rPr>
                <w:spacing w:val="-5"/>
                <w:sz w:val="28"/>
              </w:rPr>
              <w:t>369</w:t>
            </w:r>
          </w:p>
        </w:tc>
        <w:tc>
          <w:tcPr>
            <w:tcW w:w="1561" w:type="dxa"/>
          </w:tcPr>
          <w:p w14:paraId="18050C2A">
            <w:pPr>
              <w:pStyle w:val="11"/>
              <w:spacing w:before="31" w:line="240" w:lineRule="auto"/>
              <w:ind w:left="10" w:right="1"/>
              <w:rPr>
                <w:sz w:val="28"/>
              </w:rPr>
            </w:pPr>
            <w:r>
              <w:rPr>
                <w:spacing w:val="-4"/>
                <w:sz w:val="28"/>
              </w:rPr>
              <w:t>73,6</w:t>
            </w:r>
          </w:p>
        </w:tc>
        <w:tc>
          <w:tcPr>
            <w:tcW w:w="987" w:type="dxa"/>
          </w:tcPr>
          <w:p w14:paraId="14B0606E">
            <w:pPr>
              <w:pStyle w:val="11"/>
              <w:spacing w:before="31" w:line="240" w:lineRule="auto"/>
              <w:ind w:left="9" w:right="3"/>
              <w:rPr>
                <w:sz w:val="28"/>
              </w:rPr>
            </w:pPr>
            <w:r>
              <w:rPr>
                <w:spacing w:val="-4"/>
                <w:sz w:val="28"/>
              </w:rPr>
              <w:t>81,7</w:t>
            </w:r>
          </w:p>
        </w:tc>
      </w:tr>
      <w:tr w14:paraId="3B0EF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35" w:type="dxa"/>
          </w:tcPr>
          <w:p w14:paraId="6274062C">
            <w:pPr>
              <w:pStyle w:val="11"/>
              <w:spacing w:before="40" w:line="240" w:lineRule="auto"/>
              <w:ind w:left="9" w:right="5"/>
              <w:rPr>
                <w:sz w:val="28"/>
              </w:rPr>
            </w:pPr>
            <w:r>
              <w:rPr>
                <w:sz w:val="28"/>
              </w:rPr>
              <w:t>3-и</w:t>
            </w:r>
            <w:r>
              <w:rPr>
                <w:spacing w:val="-5"/>
                <w:sz w:val="28"/>
              </w:rPr>
              <w:t xml:space="preserve"> </w:t>
            </w:r>
            <w:r>
              <w:rPr>
                <w:spacing w:val="-2"/>
                <w:sz w:val="28"/>
              </w:rPr>
              <w:t>сутки</w:t>
            </w:r>
          </w:p>
        </w:tc>
        <w:tc>
          <w:tcPr>
            <w:tcW w:w="1989" w:type="dxa"/>
          </w:tcPr>
          <w:p w14:paraId="181DB0AF">
            <w:pPr>
              <w:pStyle w:val="11"/>
              <w:spacing w:before="40" w:line="240" w:lineRule="auto"/>
              <w:ind w:left="12"/>
              <w:rPr>
                <w:sz w:val="28"/>
              </w:rPr>
            </w:pPr>
            <w:r>
              <w:rPr>
                <w:spacing w:val="-4"/>
                <w:sz w:val="28"/>
              </w:rPr>
              <w:t>0.829</w:t>
            </w:r>
          </w:p>
        </w:tc>
        <w:tc>
          <w:tcPr>
            <w:tcW w:w="2267" w:type="dxa"/>
          </w:tcPr>
          <w:p w14:paraId="460FF63A">
            <w:pPr>
              <w:pStyle w:val="11"/>
              <w:spacing w:before="40" w:line="240" w:lineRule="auto"/>
              <w:ind w:left="2" w:right="1"/>
              <w:rPr>
                <w:sz w:val="28"/>
              </w:rPr>
            </w:pPr>
            <w:r>
              <w:rPr>
                <w:spacing w:val="-5"/>
                <w:sz w:val="28"/>
              </w:rPr>
              <w:t>826</w:t>
            </w:r>
          </w:p>
        </w:tc>
        <w:tc>
          <w:tcPr>
            <w:tcW w:w="1561" w:type="dxa"/>
          </w:tcPr>
          <w:p w14:paraId="6D65E1F0">
            <w:pPr>
              <w:pStyle w:val="11"/>
              <w:spacing w:before="40" w:line="240" w:lineRule="auto"/>
              <w:ind w:left="10" w:right="1"/>
              <w:rPr>
                <w:sz w:val="28"/>
              </w:rPr>
            </w:pPr>
            <w:r>
              <w:rPr>
                <w:spacing w:val="-4"/>
                <w:sz w:val="28"/>
              </w:rPr>
              <w:t>69,8</w:t>
            </w:r>
          </w:p>
        </w:tc>
        <w:tc>
          <w:tcPr>
            <w:tcW w:w="987" w:type="dxa"/>
          </w:tcPr>
          <w:p w14:paraId="7899B057">
            <w:pPr>
              <w:pStyle w:val="11"/>
              <w:spacing w:before="40" w:line="240" w:lineRule="auto"/>
              <w:ind w:left="9" w:right="6"/>
              <w:rPr>
                <w:sz w:val="28"/>
              </w:rPr>
            </w:pPr>
            <w:r>
              <w:rPr>
                <w:spacing w:val="-4"/>
                <w:sz w:val="28"/>
              </w:rPr>
              <w:t>87,0</w:t>
            </w:r>
          </w:p>
        </w:tc>
      </w:tr>
      <w:tr w14:paraId="51635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2835" w:type="dxa"/>
          </w:tcPr>
          <w:p w14:paraId="48758D3D">
            <w:pPr>
              <w:pStyle w:val="11"/>
              <w:spacing w:before="40" w:line="240" w:lineRule="auto"/>
              <w:ind w:left="9" w:right="1"/>
              <w:rPr>
                <w:sz w:val="28"/>
              </w:rPr>
            </w:pPr>
            <w:r>
              <w:rPr>
                <w:sz w:val="28"/>
              </w:rPr>
              <w:t>5-е</w:t>
            </w:r>
            <w:r>
              <w:rPr>
                <w:spacing w:val="-4"/>
                <w:sz w:val="28"/>
              </w:rPr>
              <w:t xml:space="preserve"> </w:t>
            </w:r>
            <w:r>
              <w:rPr>
                <w:spacing w:val="-2"/>
                <w:sz w:val="28"/>
              </w:rPr>
              <w:t>сутки</w:t>
            </w:r>
          </w:p>
        </w:tc>
        <w:tc>
          <w:tcPr>
            <w:tcW w:w="1989" w:type="dxa"/>
          </w:tcPr>
          <w:p w14:paraId="60B8405D">
            <w:pPr>
              <w:pStyle w:val="11"/>
              <w:spacing w:before="40" w:line="240" w:lineRule="auto"/>
              <w:ind w:left="12"/>
              <w:rPr>
                <w:sz w:val="28"/>
              </w:rPr>
            </w:pPr>
            <w:r>
              <w:rPr>
                <w:spacing w:val="-4"/>
                <w:sz w:val="28"/>
              </w:rPr>
              <w:t>0.829</w:t>
            </w:r>
          </w:p>
        </w:tc>
        <w:tc>
          <w:tcPr>
            <w:tcW w:w="2267" w:type="dxa"/>
          </w:tcPr>
          <w:p w14:paraId="178A1C82">
            <w:pPr>
              <w:pStyle w:val="11"/>
              <w:spacing w:before="40" w:line="240" w:lineRule="auto"/>
              <w:ind w:left="2" w:right="1"/>
              <w:rPr>
                <w:sz w:val="28"/>
              </w:rPr>
            </w:pPr>
            <w:r>
              <w:rPr>
                <w:spacing w:val="-5"/>
                <w:sz w:val="28"/>
              </w:rPr>
              <w:t>351</w:t>
            </w:r>
          </w:p>
        </w:tc>
        <w:tc>
          <w:tcPr>
            <w:tcW w:w="1561" w:type="dxa"/>
          </w:tcPr>
          <w:p w14:paraId="28747035">
            <w:pPr>
              <w:pStyle w:val="11"/>
              <w:spacing w:before="40" w:line="240" w:lineRule="auto"/>
              <w:ind w:left="10" w:right="1"/>
              <w:rPr>
                <w:sz w:val="28"/>
              </w:rPr>
            </w:pPr>
            <w:r>
              <w:rPr>
                <w:spacing w:val="-4"/>
                <w:sz w:val="28"/>
              </w:rPr>
              <w:t>75,5</w:t>
            </w:r>
          </w:p>
        </w:tc>
        <w:tc>
          <w:tcPr>
            <w:tcW w:w="987" w:type="dxa"/>
          </w:tcPr>
          <w:p w14:paraId="160177F3">
            <w:pPr>
              <w:pStyle w:val="11"/>
              <w:spacing w:before="40" w:line="240" w:lineRule="auto"/>
              <w:ind w:left="9" w:right="6"/>
              <w:rPr>
                <w:sz w:val="28"/>
              </w:rPr>
            </w:pPr>
            <w:r>
              <w:rPr>
                <w:spacing w:val="-4"/>
                <w:sz w:val="28"/>
              </w:rPr>
              <w:t>80,1</w:t>
            </w:r>
          </w:p>
        </w:tc>
      </w:tr>
    </w:tbl>
    <w:p w14:paraId="6C398B4F">
      <w:pPr>
        <w:pStyle w:val="7"/>
        <w:spacing w:before="316"/>
        <w:ind w:left="0" w:right="3" w:firstLine="709"/>
      </w:pPr>
      <w:r>
        <w:t>Вычисление оптимальных пороговых значений (cut-off) проведено с использованием индекса Youden (Se + Sp − 1).</w:t>
      </w:r>
    </w:p>
    <w:p w14:paraId="76A23A8D">
      <w:pPr>
        <w:pStyle w:val="7"/>
        <w:ind w:left="0" w:right="3" w:firstLine="709"/>
      </w:pPr>
      <w:r>
        <w:t>ROC-анализ</w:t>
      </w:r>
      <w:r>
        <w:rPr>
          <w:spacing w:val="-2"/>
        </w:rPr>
        <w:t xml:space="preserve"> </w:t>
      </w:r>
      <w:r>
        <w:t>продемонстрировал</w:t>
      </w:r>
      <w:r>
        <w:rPr>
          <w:spacing w:val="-3"/>
        </w:rPr>
        <w:t xml:space="preserve"> </w:t>
      </w:r>
      <w:r>
        <w:t>высокую</w:t>
      </w:r>
      <w:r>
        <w:rPr>
          <w:spacing w:val="-5"/>
        </w:rPr>
        <w:t xml:space="preserve"> </w:t>
      </w:r>
      <w:r>
        <w:t>прогностическую</w:t>
      </w:r>
      <w:r>
        <w:rPr>
          <w:spacing w:val="-5"/>
        </w:rPr>
        <w:t xml:space="preserve"> </w:t>
      </w:r>
      <w:r>
        <w:t>ценность</w:t>
      </w:r>
      <w:r>
        <w:rPr>
          <w:spacing w:val="-5"/>
        </w:rPr>
        <w:t xml:space="preserve"> </w:t>
      </w:r>
      <w:r>
        <w:t>ААД для прогнозирования КЗ-ПС на 1-е, 3-и и 5-е послеоперационные сутки (AUC = 0,823; 0,829 и 0,829 соответственно).</w:t>
      </w:r>
    </w:p>
    <w:p w14:paraId="48AD1FF2">
      <w:pPr>
        <w:pStyle w:val="7"/>
        <w:ind w:left="0" w:right="3" w:firstLine="709"/>
      </w:pPr>
      <w:r>
        <w:t>Оптимальные пороговые значения, определённые по индексу</w:t>
      </w:r>
      <w:r>
        <w:rPr>
          <w:spacing w:val="-1"/>
        </w:rPr>
        <w:t xml:space="preserve"> </w:t>
      </w:r>
      <w:r>
        <w:t>Youden</w:t>
      </w:r>
      <w:r>
        <w:rPr>
          <w:spacing w:val="-1"/>
        </w:rPr>
        <w:t xml:space="preserve"> </w:t>
      </w:r>
      <w:r>
        <w:t>(Se + Sp − 1), составили:</w:t>
      </w:r>
    </w:p>
    <w:p w14:paraId="34AF4FF8">
      <w:pPr>
        <w:pStyle w:val="7"/>
        <w:spacing w:line="321" w:lineRule="exact"/>
        <w:ind w:left="0" w:right="3" w:firstLine="709"/>
      </w:pPr>
      <w:r>
        <w:t>369</w:t>
      </w:r>
      <w:r>
        <w:rPr>
          <w:spacing w:val="-8"/>
        </w:rPr>
        <w:t xml:space="preserve"> </w:t>
      </w:r>
      <w:r>
        <w:t>Ед/л</w:t>
      </w:r>
      <w:r>
        <w:rPr>
          <w:spacing w:val="-7"/>
        </w:rPr>
        <w:t xml:space="preserve"> </w:t>
      </w:r>
      <w:r>
        <w:t>на</w:t>
      </w:r>
      <w:r>
        <w:rPr>
          <w:spacing w:val="-6"/>
        </w:rPr>
        <w:t xml:space="preserve"> </w:t>
      </w:r>
      <w:r>
        <w:t>1-е</w:t>
      </w:r>
      <w:r>
        <w:rPr>
          <w:spacing w:val="-7"/>
        </w:rPr>
        <w:t xml:space="preserve"> </w:t>
      </w:r>
      <w:r>
        <w:t>сутки</w:t>
      </w:r>
      <w:r>
        <w:rPr>
          <w:spacing w:val="-7"/>
        </w:rPr>
        <w:t xml:space="preserve"> </w:t>
      </w:r>
      <w:r>
        <w:t>(чувствительность</w:t>
      </w:r>
      <w:r>
        <w:rPr>
          <w:spacing w:val="-9"/>
        </w:rPr>
        <w:t xml:space="preserve"> </w:t>
      </w:r>
      <w:r>
        <w:t>73,6</w:t>
      </w:r>
      <w:r>
        <w:rPr>
          <w:spacing w:val="-7"/>
        </w:rPr>
        <w:t xml:space="preserve"> </w:t>
      </w:r>
      <w:r>
        <w:t>%,</w:t>
      </w:r>
      <w:r>
        <w:rPr>
          <w:spacing w:val="-5"/>
        </w:rPr>
        <w:t xml:space="preserve"> </w:t>
      </w:r>
      <w:r>
        <w:t>специфичность</w:t>
      </w:r>
      <w:r>
        <w:rPr>
          <w:spacing w:val="-9"/>
        </w:rPr>
        <w:t xml:space="preserve"> </w:t>
      </w:r>
      <w:r>
        <w:t>81,7</w:t>
      </w:r>
      <w:r>
        <w:rPr>
          <w:spacing w:val="-7"/>
        </w:rPr>
        <w:t xml:space="preserve"> </w:t>
      </w:r>
      <w:r>
        <w:rPr>
          <w:spacing w:val="-5"/>
        </w:rPr>
        <w:t>%);</w:t>
      </w:r>
    </w:p>
    <w:p w14:paraId="449BBAC1">
      <w:pPr>
        <w:pStyle w:val="7"/>
        <w:spacing w:before="67"/>
        <w:ind w:left="0" w:right="3" w:firstLine="709"/>
        <w:jc w:val="left"/>
      </w:pPr>
      <w:r>
        <w:t>826 Ед/л на 3-и сутки (чувствительность 69,8 %, специфичность 87,0 %); 351</w:t>
      </w:r>
      <w:r>
        <w:rPr>
          <w:spacing w:val="-8"/>
        </w:rPr>
        <w:t xml:space="preserve"> </w:t>
      </w:r>
      <w:r>
        <w:t>Ед/л</w:t>
      </w:r>
      <w:r>
        <w:rPr>
          <w:spacing w:val="-7"/>
        </w:rPr>
        <w:t xml:space="preserve"> </w:t>
      </w:r>
      <w:r>
        <w:t>на</w:t>
      </w:r>
      <w:r>
        <w:rPr>
          <w:spacing w:val="-6"/>
        </w:rPr>
        <w:t xml:space="preserve"> </w:t>
      </w:r>
      <w:r>
        <w:t>5-е</w:t>
      </w:r>
      <w:r>
        <w:rPr>
          <w:spacing w:val="-6"/>
        </w:rPr>
        <w:t xml:space="preserve"> </w:t>
      </w:r>
      <w:r>
        <w:t>сутки</w:t>
      </w:r>
      <w:r>
        <w:rPr>
          <w:spacing w:val="-7"/>
        </w:rPr>
        <w:t xml:space="preserve"> </w:t>
      </w:r>
      <w:r>
        <w:t>(чувствительность</w:t>
      </w:r>
      <w:r>
        <w:rPr>
          <w:spacing w:val="-9"/>
        </w:rPr>
        <w:t xml:space="preserve"> </w:t>
      </w:r>
      <w:r>
        <w:t>75,5</w:t>
      </w:r>
      <w:r>
        <w:rPr>
          <w:spacing w:val="-7"/>
        </w:rPr>
        <w:t xml:space="preserve"> </w:t>
      </w:r>
      <w:r>
        <w:t>%,</w:t>
      </w:r>
      <w:r>
        <w:rPr>
          <w:spacing w:val="-4"/>
        </w:rPr>
        <w:t xml:space="preserve"> </w:t>
      </w:r>
      <w:r>
        <w:t>специфичность</w:t>
      </w:r>
      <w:r>
        <w:rPr>
          <w:spacing w:val="-9"/>
        </w:rPr>
        <w:t xml:space="preserve"> </w:t>
      </w:r>
      <w:r>
        <w:t>80,1</w:t>
      </w:r>
      <w:r>
        <w:rPr>
          <w:spacing w:val="-7"/>
        </w:rPr>
        <w:t xml:space="preserve"> </w:t>
      </w:r>
      <w:r>
        <w:rPr>
          <w:spacing w:val="-5"/>
        </w:rPr>
        <w:t>%).</w:t>
      </w:r>
    </w:p>
    <w:p w14:paraId="255859E7">
      <w:pPr>
        <w:pStyle w:val="7"/>
        <w:ind w:left="0" w:right="3" w:firstLine="709"/>
        <w:jc w:val="left"/>
      </w:pPr>
      <w:r>
        <w:t>Наибольшая</w:t>
      </w:r>
      <w:r>
        <w:rPr>
          <w:spacing w:val="-9"/>
        </w:rPr>
        <w:t xml:space="preserve"> </w:t>
      </w:r>
      <w:r>
        <w:t>чувствительность</w:t>
      </w:r>
      <w:r>
        <w:rPr>
          <w:spacing w:val="-12"/>
        </w:rPr>
        <w:t xml:space="preserve"> </w:t>
      </w:r>
      <w:r>
        <w:t>отмечена</w:t>
      </w:r>
      <w:r>
        <w:rPr>
          <w:spacing w:val="-5"/>
        </w:rPr>
        <w:t xml:space="preserve"> </w:t>
      </w:r>
      <w:r>
        <w:t>на</w:t>
      </w:r>
      <w:r>
        <w:rPr>
          <w:spacing w:val="-10"/>
        </w:rPr>
        <w:t xml:space="preserve"> </w:t>
      </w:r>
      <w:r>
        <w:t>5-е</w:t>
      </w:r>
      <w:r>
        <w:rPr>
          <w:spacing w:val="-10"/>
        </w:rPr>
        <w:t xml:space="preserve"> </w:t>
      </w:r>
      <w:r>
        <w:t>сутки</w:t>
      </w:r>
      <w:r>
        <w:rPr>
          <w:spacing w:val="-10"/>
        </w:rPr>
        <w:t xml:space="preserve"> </w:t>
      </w:r>
      <w:r>
        <w:t>после</w:t>
      </w:r>
      <w:r>
        <w:rPr>
          <w:spacing w:val="-9"/>
        </w:rPr>
        <w:t xml:space="preserve"> </w:t>
      </w:r>
      <w:r>
        <w:t>операции,</w:t>
      </w:r>
      <w:r>
        <w:rPr>
          <w:spacing w:val="-8"/>
        </w:rPr>
        <w:t xml:space="preserve"> </w:t>
      </w:r>
      <w:r>
        <w:t>тогда как максимальная специфичность наблюдалась на 1-е сутки.</w:t>
      </w:r>
    </w:p>
    <w:p w14:paraId="497DB9F3">
      <w:pPr>
        <w:pStyle w:val="7"/>
        <w:spacing w:before="123"/>
        <w:ind w:left="0" w:firstLine="0"/>
        <w:jc w:val="left"/>
        <w:rPr>
          <w:sz w:val="20"/>
        </w:rPr>
      </w:pPr>
      <w:r>
        <w:rPr>
          <w:sz w:val="20"/>
          <w:lang w:eastAsia="ru-RU"/>
        </w:rPr>
        <w:drawing>
          <wp:anchor distT="0" distB="0" distL="0" distR="0" simplePos="0" relativeHeight="251681792" behindDoc="1" locked="0" layoutInCell="1" allowOverlap="1">
            <wp:simplePos x="0" y="0"/>
            <wp:positionH relativeFrom="page">
              <wp:posOffset>2300605</wp:posOffset>
            </wp:positionH>
            <wp:positionV relativeFrom="paragraph">
              <wp:posOffset>239395</wp:posOffset>
            </wp:positionV>
            <wp:extent cx="3191510" cy="2922905"/>
            <wp:effectExtent l="0" t="0" r="0" b="0"/>
            <wp:wrapTopAndBottom/>
            <wp:docPr id="168" name="Image 168" descr="ROC_kryvye_AAD_1day_exact"/>
            <wp:cNvGraphicFramePr/>
            <a:graphic xmlns:a="http://schemas.openxmlformats.org/drawingml/2006/main">
              <a:graphicData uri="http://schemas.openxmlformats.org/drawingml/2006/picture">
                <pic:pic xmlns:pic="http://schemas.openxmlformats.org/drawingml/2006/picture">
                  <pic:nvPicPr>
                    <pic:cNvPr id="168" name="Image 168" descr="ROC_kryvye_AAD_1day_exact"/>
                    <pic:cNvPicPr/>
                  </pic:nvPicPr>
                  <pic:blipFill>
                    <a:blip r:embed="rId44" cstate="print"/>
                    <a:stretch>
                      <a:fillRect/>
                    </a:stretch>
                  </pic:blipFill>
                  <pic:spPr>
                    <a:xfrm>
                      <a:off x="0" y="0"/>
                      <a:ext cx="3191733" cy="2923222"/>
                    </a:xfrm>
                    <a:prstGeom prst="rect">
                      <a:avLst/>
                    </a:prstGeom>
                  </pic:spPr>
                </pic:pic>
              </a:graphicData>
            </a:graphic>
          </wp:anchor>
        </w:drawing>
      </w:r>
    </w:p>
    <w:p w14:paraId="7753809B">
      <w:pPr>
        <w:pStyle w:val="7"/>
        <w:spacing w:before="84"/>
        <w:ind w:left="0" w:firstLine="0"/>
        <w:jc w:val="left"/>
      </w:pPr>
    </w:p>
    <w:p w14:paraId="5979B8A3">
      <w:pPr>
        <w:pStyle w:val="7"/>
        <w:ind w:left="707" w:right="563" w:firstLine="0"/>
        <w:jc w:val="center"/>
      </w:pPr>
      <w:r>
        <w:t>Рисунок</w:t>
      </w:r>
      <w:r>
        <w:rPr>
          <w:spacing w:val="-6"/>
        </w:rPr>
        <w:t xml:space="preserve"> </w:t>
      </w:r>
      <w:r>
        <w:t>17</w:t>
      </w:r>
      <w:r>
        <w:rPr>
          <w:spacing w:val="-4"/>
        </w:rPr>
        <w:t xml:space="preserve"> </w:t>
      </w:r>
      <w:r>
        <w:t>-</w:t>
      </w:r>
      <w:r>
        <w:rPr>
          <w:spacing w:val="-6"/>
        </w:rPr>
        <w:t xml:space="preserve"> </w:t>
      </w:r>
      <w:r>
        <w:t>ROC-кривая ААД</w:t>
      </w:r>
      <w:r>
        <w:rPr>
          <w:spacing w:val="-3"/>
        </w:rPr>
        <w:t xml:space="preserve"> </w:t>
      </w:r>
      <w:r>
        <w:t>для</w:t>
      </w:r>
      <w:r>
        <w:rPr>
          <w:spacing w:val="-3"/>
        </w:rPr>
        <w:t xml:space="preserve"> </w:t>
      </w:r>
      <w:r>
        <w:t>прогнозирования</w:t>
      </w:r>
      <w:r>
        <w:rPr>
          <w:spacing w:val="-4"/>
        </w:rPr>
        <w:t xml:space="preserve"> </w:t>
      </w:r>
      <w:r>
        <w:t>ПС</w:t>
      </w:r>
      <w:r>
        <w:rPr>
          <w:spacing w:val="-4"/>
        </w:rPr>
        <w:t xml:space="preserve"> </w:t>
      </w:r>
      <w:r>
        <w:t>на</w:t>
      </w:r>
      <w:r>
        <w:rPr>
          <w:spacing w:val="-4"/>
        </w:rPr>
        <w:t xml:space="preserve"> </w:t>
      </w:r>
      <w:r>
        <w:t>1-е</w:t>
      </w:r>
      <w:r>
        <w:rPr>
          <w:spacing w:val="-4"/>
        </w:rPr>
        <w:t xml:space="preserve"> </w:t>
      </w:r>
      <w:r>
        <w:t>сутки</w:t>
      </w:r>
      <w:r>
        <w:rPr>
          <w:spacing w:val="-5"/>
        </w:rPr>
        <w:t xml:space="preserve"> </w:t>
      </w:r>
      <w:r>
        <w:t xml:space="preserve">после </w:t>
      </w:r>
      <w:r>
        <w:rPr>
          <w:spacing w:val="-2"/>
        </w:rPr>
        <w:t>операции</w:t>
      </w:r>
    </w:p>
    <w:p w14:paraId="2DAD28A5">
      <w:pPr>
        <w:pStyle w:val="7"/>
        <w:spacing w:before="128"/>
        <w:ind w:left="0" w:firstLine="0"/>
        <w:jc w:val="left"/>
        <w:rPr>
          <w:sz w:val="20"/>
        </w:rPr>
      </w:pPr>
      <w:r>
        <w:rPr>
          <w:sz w:val="20"/>
          <w:lang w:eastAsia="ru-RU"/>
        </w:rPr>
        <w:drawing>
          <wp:anchor distT="0" distB="0" distL="0" distR="0" simplePos="0" relativeHeight="251684864" behindDoc="1" locked="0" layoutInCell="1" allowOverlap="1">
            <wp:simplePos x="0" y="0"/>
            <wp:positionH relativeFrom="page">
              <wp:posOffset>2461260</wp:posOffset>
            </wp:positionH>
            <wp:positionV relativeFrom="paragraph">
              <wp:posOffset>240030</wp:posOffset>
            </wp:positionV>
            <wp:extent cx="3665220" cy="3131820"/>
            <wp:effectExtent l="0" t="0" r="0" b="0"/>
            <wp:wrapTopAndBottom/>
            <wp:docPr id="169" name="Image 169" descr="ROC_kryvye_AAD_3day_exact"/>
            <wp:cNvGraphicFramePr/>
            <a:graphic xmlns:a="http://schemas.openxmlformats.org/drawingml/2006/main">
              <a:graphicData uri="http://schemas.openxmlformats.org/drawingml/2006/picture">
                <pic:pic xmlns:pic="http://schemas.openxmlformats.org/drawingml/2006/picture">
                  <pic:nvPicPr>
                    <pic:cNvPr id="169" name="Image 169" descr="ROC_kryvye_AAD_3day_exact"/>
                    <pic:cNvPicPr/>
                  </pic:nvPicPr>
                  <pic:blipFill>
                    <a:blip r:embed="rId45" cstate="print"/>
                    <a:stretch>
                      <a:fillRect/>
                    </a:stretch>
                  </pic:blipFill>
                  <pic:spPr>
                    <a:xfrm>
                      <a:off x="0" y="0"/>
                      <a:ext cx="3665220" cy="3131820"/>
                    </a:xfrm>
                    <a:prstGeom prst="rect">
                      <a:avLst/>
                    </a:prstGeom>
                  </pic:spPr>
                </pic:pic>
              </a:graphicData>
            </a:graphic>
          </wp:anchor>
        </w:drawing>
      </w:r>
    </w:p>
    <w:p w14:paraId="66FD1D34">
      <w:pPr>
        <w:pStyle w:val="7"/>
        <w:spacing w:before="33"/>
        <w:ind w:left="0" w:firstLine="0"/>
        <w:jc w:val="left"/>
      </w:pPr>
    </w:p>
    <w:p w14:paraId="175636E0">
      <w:pPr>
        <w:pStyle w:val="7"/>
        <w:spacing w:before="1" w:line="322" w:lineRule="exact"/>
        <w:ind w:left="707" w:firstLine="0"/>
        <w:jc w:val="center"/>
      </w:pPr>
      <w:r>
        <w:t>Рисунок</w:t>
      </w:r>
      <w:r>
        <w:rPr>
          <w:spacing w:val="-9"/>
        </w:rPr>
        <w:t xml:space="preserve"> </w:t>
      </w:r>
      <w:r>
        <w:t>18</w:t>
      </w:r>
      <w:r>
        <w:rPr>
          <w:spacing w:val="-6"/>
        </w:rPr>
        <w:t xml:space="preserve"> </w:t>
      </w:r>
      <w:r>
        <w:t>-</w:t>
      </w:r>
      <w:r>
        <w:rPr>
          <w:spacing w:val="-8"/>
        </w:rPr>
        <w:t xml:space="preserve"> </w:t>
      </w:r>
      <w:r>
        <w:t>ROC-кривая</w:t>
      </w:r>
      <w:r>
        <w:rPr>
          <w:spacing w:val="-2"/>
        </w:rPr>
        <w:t xml:space="preserve"> </w:t>
      </w:r>
      <w:r>
        <w:t>ААД</w:t>
      </w:r>
      <w:r>
        <w:rPr>
          <w:spacing w:val="-6"/>
        </w:rPr>
        <w:t xml:space="preserve"> </w:t>
      </w:r>
      <w:r>
        <w:t>для</w:t>
      </w:r>
      <w:r>
        <w:rPr>
          <w:spacing w:val="-6"/>
        </w:rPr>
        <w:t xml:space="preserve"> </w:t>
      </w:r>
      <w:r>
        <w:t>прогнозирования</w:t>
      </w:r>
      <w:r>
        <w:rPr>
          <w:spacing w:val="-6"/>
        </w:rPr>
        <w:t xml:space="preserve"> </w:t>
      </w:r>
      <w:r>
        <w:t>ПС</w:t>
      </w:r>
      <w:r>
        <w:rPr>
          <w:spacing w:val="-7"/>
        </w:rPr>
        <w:t xml:space="preserve"> </w:t>
      </w:r>
      <w:r>
        <w:t>на</w:t>
      </w:r>
      <w:r>
        <w:rPr>
          <w:spacing w:val="-1"/>
        </w:rPr>
        <w:t xml:space="preserve"> </w:t>
      </w:r>
      <w:r>
        <w:t>3-и</w:t>
      </w:r>
      <w:r>
        <w:rPr>
          <w:spacing w:val="-7"/>
        </w:rPr>
        <w:t xml:space="preserve"> </w:t>
      </w:r>
      <w:r>
        <w:rPr>
          <w:spacing w:val="-2"/>
        </w:rPr>
        <w:t>сутки</w:t>
      </w:r>
    </w:p>
    <w:p w14:paraId="6183E0D3">
      <w:pPr>
        <w:pStyle w:val="7"/>
        <w:ind w:left="707" w:right="573" w:firstLine="0"/>
        <w:jc w:val="center"/>
        <w:rPr>
          <w:spacing w:val="-2"/>
        </w:rPr>
      </w:pPr>
      <w:r>
        <w:t>после</w:t>
      </w:r>
      <w:r>
        <w:rPr>
          <w:spacing w:val="-5"/>
        </w:rPr>
        <w:t xml:space="preserve"> </w:t>
      </w:r>
      <w:r>
        <w:rPr>
          <w:spacing w:val="-2"/>
        </w:rPr>
        <w:t>операции</w:t>
      </w:r>
    </w:p>
    <w:p w14:paraId="1B54FA5D">
      <w:pPr>
        <w:pStyle w:val="7"/>
        <w:ind w:left="707" w:right="573" w:firstLine="0"/>
        <w:jc w:val="center"/>
        <w:rPr>
          <w:spacing w:val="-2"/>
        </w:rPr>
      </w:pPr>
    </w:p>
    <w:p w14:paraId="261570FE">
      <w:pPr>
        <w:pStyle w:val="7"/>
        <w:ind w:left="707" w:right="573" w:firstLine="0"/>
        <w:jc w:val="center"/>
      </w:pPr>
    </w:p>
    <w:p w14:paraId="1F9C8463">
      <w:pPr>
        <w:pStyle w:val="7"/>
        <w:ind w:left="0" w:firstLine="0"/>
        <w:jc w:val="center"/>
        <w:rPr>
          <w:sz w:val="20"/>
        </w:rPr>
      </w:pPr>
      <w:r>
        <w:rPr>
          <w:sz w:val="20"/>
          <w:lang w:eastAsia="ru-RU"/>
        </w:rPr>
        <w:drawing>
          <wp:inline distT="0" distB="0" distL="0" distR="0">
            <wp:extent cx="3820160" cy="3384550"/>
            <wp:effectExtent l="0" t="0" r="8890" b="6350"/>
            <wp:docPr id="170" name="Image 170" descr="ROC_kryvye_AAD_5day_exact"/>
            <wp:cNvGraphicFramePr/>
            <a:graphic xmlns:a="http://schemas.openxmlformats.org/drawingml/2006/main">
              <a:graphicData uri="http://schemas.openxmlformats.org/drawingml/2006/picture">
                <pic:pic xmlns:pic="http://schemas.openxmlformats.org/drawingml/2006/picture">
                  <pic:nvPicPr>
                    <pic:cNvPr id="170" name="Image 170" descr="ROC_kryvye_AAD_5day_exact"/>
                    <pic:cNvPicPr/>
                  </pic:nvPicPr>
                  <pic:blipFill>
                    <a:blip r:embed="rId46" cstate="print"/>
                    <a:stretch>
                      <a:fillRect/>
                    </a:stretch>
                  </pic:blipFill>
                  <pic:spPr>
                    <a:xfrm>
                      <a:off x="0" y="0"/>
                      <a:ext cx="3824498" cy="3388312"/>
                    </a:xfrm>
                    <a:prstGeom prst="rect">
                      <a:avLst/>
                    </a:prstGeom>
                  </pic:spPr>
                </pic:pic>
              </a:graphicData>
            </a:graphic>
          </wp:inline>
        </w:drawing>
      </w:r>
    </w:p>
    <w:p w14:paraId="528F81B6">
      <w:pPr>
        <w:pStyle w:val="7"/>
        <w:spacing w:before="58"/>
        <w:ind w:left="0" w:firstLine="0"/>
        <w:jc w:val="left"/>
      </w:pPr>
    </w:p>
    <w:p w14:paraId="72170B5D">
      <w:pPr>
        <w:pStyle w:val="7"/>
        <w:spacing w:line="322" w:lineRule="exact"/>
        <w:ind w:left="706" w:firstLine="0"/>
        <w:jc w:val="center"/>
      </w:pPr>
      <w:r>
        <w:t>Рисунок</w:t>
      </w:r>
      <w:r>
        <w:rPr>
          <w:spacing w:val="-8"/>
        </w:rPr>
        <w:t xml:space="preserve"> </w:t>
      </w:r>
      <w:r>
        <w:t>19</w:t>
      </w:r>
      <w:r>
        <w:rPr>
          <w:spacing w:val="-7"/>
        </w:rPr>
        <w:t xml:space="preserve"> </w:t>
      </w:r>
      <w:r>
        <w:t>-</w:t>
      </w:r>
      <w:r>
        <w:rPr>
          <w:spacing w:val="-8"/>
        </w:rPr>
        <w:t xml:space="preserve"> </w:t>
      </w:r>
      <w:r>
        <w:t>ROC-кривая</w:t>
      </w:r>
      <w:r>
        <w:rPr>
          <w:spacing w:val="-1"/>
        </w:rPr>
        <w:t xml:space="preserve"> </w:t>
      </w:r>
      <w:r>
        <w:t>ААД</w:t>
      </w:r>
      <w:r>
        <w:rPr>
          <w:spacing w:val="-6"/>
        </w:rPr>
        <w:t xml:space="preserve"> </w:t>
      </w:r>
      <w:r>
        <w:t>для</w:t>
      </w:r>
      <w:r>
        <w:rPr>
          <w:spacing w:val="-2"/>
        </w:rPr>
        <w:t xml:space="preserve"> </w:t>
      </w:r>
      <w:r>
        <w:t>прогнозирования</w:t>
      </w:r>
      <w:r>
        <w:rPr>
          <w:spacing w:val="-7"/>
        </w:rPr>
        <w:t xml:space="preserve"> </w:t>
      </w:r>
      <w:r>
        <w:t>ПС</w:t>
      </w:r>
      <w:r>
        <w:rPr>
          <w:spacing w:val="-6"/>
        </w:rPr>
        <w:t xml:space="preserve"> </w:t>
      </w:r>
      <w:r>
        <w:t>на</w:t>
      </w:r>
      <w:r>
        <w:rPr>
          <w:spacing w:val="-6"/>
        </w:rPr>
        <w:t xml:space="preserve"> </w:t>
      </w:r>
      <w:r>
        <w:t>5-5</w:t>
      </w:r>
      <w:r>
        <w:rPr>
          <w:spacing w:val="-7"/>
        </w:rPr>
        <w:t xml:space="preserve"> </w:t>
      </w:r>
      <w:r>
        <w:rPr>
          <w:spacing w:val="-2"/>
        </w:rPr>
        <w:t>сутки</w:t>
      </w:r>
    </w:p>
    <w:p w14:paraId="791BD25D">
      <w:pPr>
        <w:pStyle w:val="7"/>
        <w:ind w:left="707" w:right="573" w:firstLine="0"/>
        <w:jc w:val="center"/>
      </w:pPr>
      <w:r>
        <w:t>после</w:t>
      </w:r>
      <w:r>
        <w:rPr>
          <w:spacing w:val="-5"/>
        </w:rPr>
        <w:t xml:space="preserve"> </w:t>
      </w:r>
      <w:r>
        <w:rPr>
          <w:spacing w:val="-2"/>
        </w:rPr>
        <w:t>операции</w:t>
      </w:r>
    </w:p>
    <w:p w14:paraId="3B62230F">
      <w:pPr>
        <w:pStyle w:val="7"/>
        <w:spacing w:before="72"/>
        <w:ind w:left="0" w:firstLine="0"/>
        <w:jc w:val="left"/>
        <w:rPr>
          <w:sz w:val="20"/>
        </w:rPr>
      </w:pPr>
      <w:r>
        <w:rPr>
          <w:sz w:val="20"/>
          <w:lang w:eastAsia="ru-RU"/>
        </w:rPr>
        <w:drawing>
          <wp:anchor distT="0" distB="0" distL="0" distR="0" simplePos="0" relativeHeight="251685888" behindDoc="1" locked="0" layoutInCell="1" allowOverlap="1">
            <wp:simplePos x="0" y="0"/>
            <wp:positionH relativeFrom="page">
              <wp:posOffset>2273300</wp:posOffset>
            </wp:positionH>
            <wp:positionV relativeFrom="paragraph">
              <wp:posOffset>207010</wp:posOffset>
            </wp:positionV>
            <wp:extent cx="4065270" cy="2736215"/>
            <wp:effectExtent l="0" t="0" r="0" b="3175"/>
            <wp:wrapTopAndBottom/>
            <wp:docPr id="171" name="Image 171" descr="AAD_1_3_5_sutki_boxplot"/>
            <wp:cNvGraphicFramePr/>
            <a:graphic xmlns:a="http://schemas.openxmlformats.org/drawingml/2006/main">
              <a:graphicData uri="http://schemas.openxmlformats.org/drawingml/2006/picture">
                <pic:pic xmlns:pic="http://schemas.openxmlformats.org/drawingml/2006/picture">
                  <pic:nvPicPr>
                    <pic:cNvPr id="171" name="Image 171" descr="AAD_1_3_5_sutki_boxplot"/>
                    <pic:cNvPicPr/>
                  </pic:nvPicPr>
                  <pic:blipFill>
                    <a:blip r:embed="rId47" cstate="print"/>
                    <a:stretch>
                      <a:fillRect/>
                    </a:stretch>
                  </pic:blipFill>
                  <pic:spPr>
                    <a:xfrm>
                      <a:off x="0" y="0"/>
                      <a:ext cx="4065270" cy="2736215"/>
                    </a:xfrm>
                    <a:prstGeom prst="rect">
                      <a:avLst/>
                    </a:prstGeom>
                  </pic:spPr>
                </pic:pic>
              </a:graphicData>
            </a:graphic>
          </wp:anchor>
        </w:drawing>
      </w:r>
    </w:p>
    <w:p w14:paraId="3EE7D83B">
      <w:pPr>
        <w:pStyle w:val="7"/>
        <w:spacing w:before="130" w:line="640" w:lineRule="atLeast"/>
        <w:ind w:left="0" w:firstLine="709"/>
      </w:pPr>
      <w:r>
        <w:t>Рисунок 20 - Распределение ААД на 1-е, 3-и и 5-е сутки после ГПДР Отмечается</w:t>
      </w:r>
      <w:r>
        <w:rPr>
          <w:spacing w:val="4"/>
        </w:rPr>
        <w:t xml:space="preserve"> </w:t>
      </w:r>
      <w:r>
        <w:t>значительная</w:t>
      </w:r>
      <w:r>
        <w:rPr>
          <w:spacing w:val="9"/>
        </w:rPr>
        <w:t xml:space="preserve"> </w:t>
      </w:r>
      <w:r>
        <w:t>вариабельность</w:t>
      </w:r>
      <w:r>
        <w:rPr>
          <w:spacing w:val="2"/>
        </w:rPr>
        <w:t xml:space="preserve"> </w:t>
      </w:r>
      <w:r>
        <w:t>показателя</w:t>
      </w:r>
      <w:r>
        <w:rPr>
          <w:spacing w:val="9"/>
        </w:rPr>
        <w:t xml:space="preserve"> </w:t>
      </w:r>
      <w:r>
        <w:t>ААД,</w:t>
      </w:r>
      <w:r>
        <w:rPr>
          <w:spacing w:val="5"/>
        </w:rPr>
        <w:t xml:space="preserve"> </w:t>
      </w:r>
      <w:r>
        <w:t>с</w:t>
      </w:r>
      <w:r>
        <w:rPr>
          <w:spacing w:val="4"/>
        </w:rPr>
        <w:t xml:space="preserve"> </w:t>
      </w:r>
      <w:r>
        <w:t>тенденцией</w:t>
      </w:r>
      <w:r>
        <w:rPr>
          <w:spacing w:val="8"/>
        </w:rPr>
        <w:t xml:space="preserve"> </w:t>
      </w:r>
      <w:r>
        <w:rPr>
          <w:spacing w:val="-10"/>
        </w:rPr>
        <w:t>к</w:t>
      </w:r>
    </w:p>
    <w:p w14:paraId="5F5F2AD8">
      <w:pPr>
        <w:pStyle w:val="7"/>
        <w:spacing w:before="4"/>
        <w:ind w:left="0" w:firstLine="0"/>
      </w:pPr>
      <w:r>
        <w:t>увеличению концентрации у части пациентов к 3-м и 5-м суткам, что отражает развитие КЗ-ПС в данной группе наблюдений.</w:t>
      </w:r>
    </w:p>
    <w:p w14:paraId="60FB9162">
      <w:pPr>
        <w:pStyle w:val="7"/>
        <w:spacing w:before="4"/>
        <w:ind w:left="0" w:firstLine="0"/>
      </w:pPr>
    </w:p>
    <w:p w14:paraId="2E05528A">
      <w:pPr>
        <w:pStyle w:val="3"/>
        <w:numPr>
          <w:ilvl w:val="2"/>
          <w:numId w:val="8"/>
        </w:numPr>
        <w:tabs>
          <w:tab w:val="left" w:pos="1560"/>
        </w:tabs>
        <w:ind w:left="0" w:right="292" w:firstLine="709"/>
        <w:rPr>
          <w:b w:val="0"/>
        </w:rPr>
      </w:pPr>
      <w:bookmarkStart w:id="28" w:name="3.3.3_Множественный_логистический_регрес"/>
      <w:bookmarkEnd w:id="28"/>
      <w:r>
        <w:rPr>
          <w:b w:val="0"/>
        </w:rPr>
        <w:t>Множественный логистический регрессионный анализ независимых предикторов КЗ-ПС</w:t>
      </w:r>
    </w:p>
    <w:p w14:paraId="1D3C4E3A">
      <w:pPr>
        <w:pStyle w:val="7"/>
        <w:ind w:left="0" w:right="3" w:firstLine="709"/>
      </w:pPr>
      <w:r>
        <w:t>Для определения независимых факторов риска формирования КЗ-ПС был выполнен множественный логистический регрессионный анализ. В модель включались</w:t>
      </w:r>
      <w:r>
        <w:rPr>
          <w:spacing w:val="80"/>
          <w:w w:val="150"/>
        </w:rPr>
        <w:t xml:space="preserve"> </w:t>
      </w:r>
      <w:r>
        <w:t>параметры,</w:t>
      </w:r>
      <w:r>
        <w:rPr>
          <w:spacing w:val="80"/>
          <w:w w:val="150"/>
        </w:rPr>
        <w:t xml:space="preserve"> </w:t>
      </w:r>
      <w:r>
        <w:t>показавшие</w:t>
      </w:r>
      <w:r>
        <w:rPr>
          <w:spacing w:val="80"/>
          <w:w w:val="150"/>
        </w:rPr>
        <w:t xml:space="preserve"> </w:t>
      </w:r>
      <w:r>
        <w:t>статистическую</w:t>
      </w:r>
      <w:r>
        <w:rPr>
          <w:spacing w:val="80"/>
          <w:w w:val="150"/>
        </w:rPr>
        <w:t xml:space="preserve"> </w:t>
      </w:r>
      <w:r>
        <w:t>значимость</w:t>
      </w:r>
      <w:r>
        <w:rPr>
          <w:spacing w:val="80"/>
          <w:w w:val="150"/>
        </w:rPr>
        <w:t xml:space="preserve"> </w:t>
      </w:r>
      <w:r>
        <w:t>на</w:t>
      </w:r>
      <w:r>
        <w:rPr>
          <w:spacing w:val="80"/>
          <w:w w:val="150"/>
        </w:rPr>
        <w:t xml:space="preserve"> </w:t>
      </w:r>
      <w:r>
        <w:t>этапе</w:t>
      </w:r>
    </w:p>
    <w:p w14:paraId="2D91D599">
      <w:pPr>
        <w:pStyle w:val="7"/>
        <w:spacing w:before="67"/>
        <w:ind w:left="0" w:right="3" w:firstLine="709"/>
      </w:pPr>
      <w:r>
        <w:t>однофакторного анализа, а также клинически значимые предикторы, включая консистенцию</w:t>
      </w:r>
      <w:r>
        <w:rPr>
          <w:spacing w:val="-3"/>
        </w:rPr>
        <w:t xml:space="preserve"> </w:t>
      </w:r>
      <w:r>
        <w:t>ПЖ,</w:t>
      </w:r>
      <w:r>
        <w:rPr>
          <w:spacing w:val="-3"/>
        </w:rPr>
        <w:t xml:space="preserve"> </w:t>
      </w:r>
      <w:r>
        <w:t>диаметр</w:t>
      </w:r>
      <w:r>
        <w:rPr>
          <w:spacing w:val="-6"/>
        </w:rPr>
        <w:t xml:space="preserve"> </w:t>
      </w:r>
      <w:r>
        <w:t>ПП</w:t>
      </w:r>
      <w:r>
        <w:rPr>
          <w:spacing w:val="-8"/>
        </w:rPr>
        <w:t xml:space="preserve"> </w:t>
      </w:r>
      <w:r>
        <w:t>(≤</w:t>
      </w:r>
      <w:r>
        <w:rPr>
          <w:spacing w:val="-5"/>
        </w:rPr>
        <w:t xml:space="preserve"> </w:t>
      </w:r>
      <w:r>
        <w:t>3,5</w:t>
      </w:r>
      <w:r>
        <w:rPr>
          <w:spacing w:val="-6"/>
        </w:rPr>
        <w:t xml:space="preserve"> </w:t>
      </w:r>
      <w:r>
        <w:t>мм),</w:t>
      </w:r>
      <w:r>
        <w:rPr>
          <w:spacing w:val="-3"/>
        </w:rPr>
        <w:t xml:space="preserve"> </w:t>
      </w:r>
      <w:r>
        <w:t>тип</w:t>
      </w:r>
      <w:r>
        <w:rPr>
          <w:spacing w:val="-6"/>
        </w:rPr>
        <w:t xml:space="preserve"> </w:t>
      </w:r>
      <w:r>
        <w:t>ПЕА,</w:t>
      </w:r>
      <w:r>
        <w:rPr>
          <w:spacing w:val="-3"/>
        </w:rPr>
        <w:t xml:space="preserve"> </w:t>
      </w:r>
      <w:r>
        <w:t>объём</w:t>
      </w:r>
      <w:r>
        <w:rPr>
          <w:spacing w:val="-4"/>
        </w:rPr>
        <w:t xml:space="preserve"> </w:t>
      </w:r>
      <w:r>
        <w:t>интраоперационной кровопотери, длительность операции и другие.</w:t>
      </w:r>
    </w:p>
    <w:p w14:paraId="4EBC0FD8">
      <w:pPr>
        <w:pStyle w:val="7"/>
        <w:ind w:left="0" w:right="3" w:firstLine="709"/>
      </w:pPr>
      <w:r>
        <w:t>Результаты</w:t>
      </w:r>
      <w:r>
        <w:rPr>
          <w:spacing w:val="-1"/>
        </w:rPr>
        <w:t xml:space="preserve"> </w:t>
      </w:r>
      <w:r>
        <w:t>регрессионной</w:t>
      </w:r>
      <w:r>
        <w:rPr>
          <w:spacing w:val="-1"/>
        </w:rPr>
        <w:t xml:space="preserve"> </w:t>
      </w:r>
      <w:r>
        <w:t>модели</w:t>
      </w:r>
      <w:r>
        <w:rPr>
          <w:spacing w:val="-1"/>
        </w:rPr>
        <w:t xml:space="preserve"> </w:t>
      </w:r>
      <w:r>
        <w:t>представлены</w:t>
      </w:r>
      <w:r>
        <w:rPr>
          <w:spacing w:val="-1"/>
        </w:rPr>
        <w:t xml:space="preserve"> </w:t>
      </w:r>
      <w:r>
        <w:t>в</w:t>
      </w:r>
      <w:r>
        <w:rPr>
          <w:spacing w:val="-3"/>
        </w:rPr>
        <w:t xml:space="preserve"> </w:t>
      </w:r>
      <w:r>
        <w:t xml:space="preserve">виде отношения шансов (OR) с 95 % доверительными интервалами и соответствующими p-значениями, что позволило количественно оценить вклад каждого фактора в риск развития КЗ-ПС и сформировать стратифицированный профиль неблагоприятных </w:t>
      </w:r>
      <w:r>
        <w:rPr>
          <w:spacing w:val="-2"/>
        </w:rPr>
        <w:t>предикторов.</w:t>
      </w:r>
    </w:p>
    <w:p w14:paraId="1FB8B354">
      <w:pPr>
        <w:pStyle w:val="7"/>
        <w:spacing w:before="3"/>
        <w:ind w:left="0" w:right="3" w:firstLine="709"/>
      </w:pPr>
      <w:r>
        <w:t>Множественный логистический регрессионный анализ выполнялся на объединённой выборке пациентов за период 2016–2025 гг., что обеспечило повышение статистической мощности модели и позволило верифицировать независимые предикторы КЗ-ПС с учётом возможного влияния смешивающих факторов и различий между когортами.</w:t>
      </w:r>
    </w:p>
    <w:p w14:paraId="1F617568">
      <w:pPr>
        <w:pStyle w:val="7"/>
        <w:spacing w:before="321"/>
        <w:ind w:left="0" w:right="3" w:firstLine="0"/>
        <w:rPr>
          <w:lang w:val="kk-KZ"/>
        </w:rPr>
      </w:pPr>
    </w:p>
    <w:p w14:paraId="0A412A55">
      <w:pPr>
        <w:pStyle w:val="7"/>
        <w:spacing w:before="321"/>
        <w:ind w:left="0" w:right="3" w:firstLine="0"/>
        <w:rPr>
          <w:lang w:val="kk-KZ"/>
        </w:rPr>
      </w:pPr>
    </w:p>
    <w:p w14:paraId="0BC45989">
      <w:pPr>
        <w:pStyle w:val="7"/>
        <w:spacing w:before="321"/>
        <w:ind w:left="0" w:right="3" w:firstLine="0"/>
      </w:pPr>
      <w:r>
        <w:t>Таблица 22 - Многофакторный логистический регрессионный анализ предикторов</w:t>
      </w:r>
      <w:r>
        <w:rPr>
          <w:spacing w:val="-1"/>
        </w:rPr>
        <w:t xml:space="preserve"> </w:t>
      </w:r>
      <w:r>
        <w:t>развития клинически значимого панкреатического свища (КЗ-ПС).</w:t>
      </w:r>
    </w:p>
    <w:p w14:paraId="06ABA335">
      <w:pPr>
        <w:pStyle w:val="7"/>
        <w:spacing w:before="102"/>
        <w:ind w:left="0" w:right="3" w:firstLine="709"/>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5"/>
        <w:gridCol w:w="1843"/>
        <w:gridCol w:w="1134"/>
        <w:gridCol w:w="1559"/>
        <w:gridCol w:w="850"/>
        <w:gridCol w:w="1134"/>
        <w:gridCol w:w="1134"/>
      </w:tblGrid>
      <w:tr w14:paraId="6CF01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3828" w:type="dxa"/>
            <w:gridSpan w:val="2"/>
            <w:vMerge w:val="restart"/>
          </w:tcPr>
          <w:p w14:paraId="01A0D1D8">
            <w:pPr>
              <w:pStyle w:val="11"/>
              <w:spacing w:before="180" w:line="240" w:lineRule="auto"/>
              <w:ind w:left="182"/>
              <w:jc w:val="left"/>
              <w:rPr>
                <w:sz w:val="28"/>
              </w:rPr>
            </w:pPr>
            <w:r>
              <w:rPr>
                <w:spacing w:val="-2"/>
                <w:sz w:val="28"/>
              </w:rPr>
              <w:t>Показатели</w:t>
            </w:r>
          </w:p>
        </w:tc>
        <w:tc>
          <w:tcPr>
            <w:tcW w:w="1134" w:type="dxa"/>
            <w:vMerge w:val="restart"/>
          </w:tcPr>
          <w:p w14:paraId="119EF7AE">
            <w:pPr>
              <w:pStyle w:val="11"/>
              <w:spacing w:before="179" w:line="240" w:lineRule="auto"/>
              <w:jc w:val="left"/>
              <w:rPr>
                <w:sz w:val="28"/>
              </w:rPr>
            </w:pPr>
          </w:p>
          <w:p w14:paraId="1A908822">
            <w:pPr>
              <w:pStyle w:val="11"/>
              <w:ind w:left="12" w:right="1"/>
              <w:rPr>
                <w:sz w:val="28"/>
              </w:rPr>
            </w:pPr>
            <w:r>
              <w:rPr>
                <w:spacing w:val="-10"/>
                <w:sz w:val="28"/>
              </w:rPr>
              <w:t>B</w:t>
            </w:r>
          </w:p>
        </w:tc>
        <w:tc>
          <w:tcPr>
            <w:tcW w:w="1559" w:type="dxa"/>
            <w:vMerge w:val="restart"/>
          </w:tcPr>
          <w:p w14:paraId="35C34EFD">
            <w:pPr>
              <w:pStyle w:val="11"/>
              <w:spacing w:before="166" w:line="322" w:lineRule="exact"/>
              <w:ind w:left="651" w:right="153" w:hanging="481"/>
              <w:jc w:val="left"/>
              <w:rPr>
                <w:sz w:val="28"/>
              </w:rPr>
            </w:pPr>
            <w:r>
              <w:rPr>
                <w:spacing w:val="-2"/>
                <w:sz w:val="28"/>
              </w:rPr>
              <w:t xml:space="preserve">Значение </w:t>
            </w:r>
            <w:r>
              <w:rPr>
                <w:spacing w:val="-10"/>
                <w:sz w:val="28"/>
              </w:rPr>
              <w:t>р</w:t>
            </w:r>
          </w:p>
        </w:tc>
        <w:tc>
          <w:tcPr>
            <w:tcW w:w="850" w:type="dxa"/>
            <w:vMerge w:val="restart"/>
          </w:tcPr>
          <w:p w14:paraId="20BA1ECF">
            <w:pPr>
              <w:pStyle w:val="11"/>
              <w:spacing w:before="179" w:line="240" w:lineRule="auto"/>
              <w:jc w:val="left"/>
              <w:rPr>
                <w:sz w:val="28"/>
              </w:rPr>
            </w:pPr>
          </w:p>
          <w:p w14:paraId="1F3CB3BB">
            <w:pPr>
              <w:pStyle w:val="11"/>
              <w:ind w:left="219"/>
              <w:jc w:val="left"/>
              <w:rPr>
                <w:sz w:val="28"/>
              </w:rPr>
            </w:pPr>
            <w:r>
              <w:rPr>
                <w:spacing w:val="-5"/>
                <w:sz w:val="28"/>
              </w:rPr>
              <w:t>ОШ</w:t>
            </w:r>
          </w:p>
        </w:tc>
        <w:tc>
          <w:tcPr>
            <w:tcW w:w="2268" w:type="dxa"/>
            <w:gridSpan w:val="2"/>
          </w:tcPr>
          <w:p w14:paraId="76C7E02D">
            <w:pPr>
              <w:pStyle w:val="11"/>
              <w:spacing w:before="132"/>
              <w:ind w:left="467"/>
              <w:jc w:val="left"/>
              <w:rPr>
                <w:sz w:val="28"/>
              </w:rPr>
            </w:pPr>
            <w:r>
              <w:rPr>
                <w:sz w:val="28"/>
              </w:rPr>
              <w:t>95%</w:t>
            </w:r>
            <w:r>
              <w:rPr>
                <w:spacing w:val="-5"/>
                <w:sz w:val="28"/>
              </w:rPr>
              <w:t xml:space="preserve"> </w:t>
            </w:r>
            <w:r>
              <w:rPr>
                <w:sz w:val="28"/>
              </w:rPr>
              <w:t>ДИ</w:t>
            </w:r>
            <w:r>
              <w:rPr>
                <w:spacing w:val="-7"/>
                <w:sz w:val="28"/>
              </w:rPr>
              <w:t xml:space="preserve"> </w:t>
            </w:r>
            <w:r>
              <w:rPr>
                <w:spacing w:val="-5"/>
                <w:sz w:val="28"/>
              </w:rPr>
              <w:t>ОШ</w:t>
            </w:r>
          </w:p>
        </w:tc>
      </w:tr>
      <w:tr w14:paraId="5FF0B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28" w:type="dxa"/>
            <w:gridSpan w:val="2"/>
            <w:vMerge w:val="continue"/>
            <w:tcBorders>
              <w:top w:val="nil"/>
            </w:tcBorders>
          </w:tcPr>
          <w:p w14:paraId="51AE861B">
            <w:pPr>
              <w:rPr>
                <w:sz w:val="2"/>
                <w:szCs w:val="2"/>
              </w:rPr>
            </w:pPr>
          </w:p>
        </w:tc>
        <w:tc>
          <w:tcPr>
            <w:tcW w:w="1134" w:type="dxa"/>
            <w:vMerge w:val="continue"/>
            <w:tcBorders>
              <w:top w:val="nil"/>
            </w:tcBorders>
          </w:tcPr>
          <w:p w14:paraId="2F5B9B71">
            <w:pPr>
              <w:rPr>
                <w:sz w:val="2"/>
                <w:szCs w:val="2"/>
              </w:rPr>
            </w:pPr>
          </w:p>
        </w:tc>
        <w:tc>
          <w:tcPr>
            <w:tcW w:w="1559" w:type="dxa"/>
            <w:vMerge w:val="continue"/>
            <w:tcBorders>
              <w:top w:val="nil"/>
            </w:tcBorders>
          </w:tcPr>
          <w:p w14:paraId="68670B86">
            <w:pPr>
              <w:rPr>
                <w:sz w:val="2"/>
                <w:szCs w:val="2"/>
              </w:rPr>
            </w:pPr>
          </w:p>
        </w:tc>
        <w:tc>
          <w:tcPr>
            <w:tcW w:w="850" w:type="dxa"/>
            <w:vMerge w:val="continue"/>
            <w:tcBorders>
              <w:top w:val="nil"/>
            </w:tcBorders>
          </w:tcPr>
          <w:p w14:paraId="54320CD6">
            <w:pPr>
              <w:rPr>
                <w:sz w:val="2"/>
                <w:szCs w:val="2"/>
              </w:rPr>
            </w:pPr>
          </w:p>
        </w:tc>
        <w:tc>
          <w:tcPr>
            <w:tcW w:w="1134" w:type="dxa"/>
          </w:tcPr>
          <w:p w14:paraId="1F2362EF">
            <w:pPr>
              <w:pStyle w:val="11"/>
              <w:spacing w:before="31"/>
              <w:ind w:left="5"/>
              <w:rPr>
                <w:sz w:val="28"/>
              </w:rPr>
            </w:pPr>
            <w:r>
              <w:rPr>
                <w:spacing w:val="-2"/>
                <w:sz w:val="28"/>
              </w:rPr>
              <w:t>Нижняя</w:t>
            </w:r>
          </w:p>
        </w:tc>
        <w:tc>
          <w:tcPr>
            <w:tcW w:w="1134" w:type="dxa"/>
          </w:tcPr>
          <w:p w14:paraId="2B972199">
            <w:pPr>
              <w:pStyle w:val="11"/>
              <w:spacing w:before="31"/>
              <w:ind w:right="9"/>
              <w:rPr>
                <w:sz w:val="28"/>
              </w:rPr>
            </w:pPr>
            <w:r>
              <w:rPr>
                <w:spacing w:val="-2"/>
                <w:sz w:val="28"/>
              </w:rPr>
              <w:t>Верхняя</w:t>
            </w:r>
          </w:p>
        </w:tc>
      </w:tr>
      <w:tr w14:paraId="65624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3828" w:type="dxa"/>
            <w:gridSpan w:val="2"/>
          </w:tcPr>
          <w:p w14:paraId="31676385">
            <w:pPr>
              <w:pStyle w:val="11"/>
              <w:spacing w:before="50"/>
              <w:ind w:left="110"/>
              <w:jc w:val="left"/>
              <w:rPr>
                <w:sz w:val="28"/>
              </w:rPr>
            </w:pPr>
            <w:r>
              <w:rPr>
                <w:spacing w:val="-5"/>
                <w:sz w:val="28"/>
              </w:rPr>
              <w:t>АЛТ</w:t>
            </w:r>
          </w:p>
        </w:tc>
        <w:tc>
          <w:tcPr>
            <w:tcW w:w="1134" w:type="dxa"/>
          </w:tcPr>
          <w:p w14:paraId="6661C406">
            <w:pPr>
              <w:pStyle w:val="11"/>
              <w:spacing w:before="22" w:line="240" w:lineRule="auto"/>
              <w:ind w:left="12" w:right="5"/>
              <w:rPr>
                <w:sz w:val="28"/>
              </w:rPr>
            </w:pPr>
            <w:r>
              <w:rPr>
                <w:spacing w:val="-4"/>
                <w:sz w:val="28"/>
              </w:rPr>
              <w:t>-0,003</w:t>
            </w:r>
          </w:p>
        </w:tc>
        <w:tc>
          <w:tcPr>
            <w:tcW w:w="1559" w:type="dxa"/>
          </w:tcPr>
          <w:p w14:paraId="4FAA0ACC">
            <w:pPr>
              <w:pStyle w:val="11"/>
              <w:spacing w:line="315" w:lineRule="exact"/>
              <w:ind w:left="11"/>
              <w:rPr>
                <w:sz w:val="28"/>
              </w:rPr>
            </w:pPr>
            <w:r>
              <w:rPr>
                <w:spacing w:val="-4"/>
                <w:sz w:val="28"/>
              </w:rPr>
              <w:t>0,153</w:t>
            </w:r>
          </w:p>
        </w:tc>
        <w:tc>
          <w:tcPr>
            <w:tcW w:w="850" w:type="dxa"/>
          </w:tcPr>
          <w:p w14:paraId="496D0E2C">
            <w:pPr>
              <w:pStyle w:val="11"/>
              <w:spacing w:line="315" w:lineRule="exact"/>
              <w:ind w:left="9"/>
              <w:rPr>
                <w:sz w:val="28"/>
              </w:rPr>
            </w:pPr>
            <w:r>
              <w:rPr>
                <w:spacing w:val="-4"/>
                <w:sz w:val="28"/>
              </w:rPr>
              <w:t>0,997</w:t>
            </w:r>
          </w:p>
        </w:tc>
        <w:tc>
          <w:tcPr>
            <w:tcW w:w="1134" w:type="dxa"/>
          </w:tcPr>
          <w:p w14:paraId="77C5948F">
            <w:pPr>
              <w:pStyle w:val="11"/>
              <w:spacing w:line="315" w:lineRule="exact"/>
              <w:ind w:left="5" w:right="3"/>
              <w:rPr>
                <w:sz w:val="28"/>
              </w:rPr>
            </w:pPr>
            <w:r>
              <w:rPr>
                <w:spacing w:val="-4"/>
                <w:sz w:val="28"/>
              </w:rPr>
              <w:t>0,994</w:t>
            </w:r>
          </w:p>
        </w:tc>
        <w:tc>
          <w:tcPr>
            <w:tcW w:w="1134" w:type="dxa"/>
          </w:tcPr>
          <w:p w14:paraId="71E12556">
            <w:pPr>
              <w:pStyle w:val="11"/>
              <w:spacing w:line="315" w:lineRule="exact"/>
              <w:ind w:left="9" w:right="9"/>
              <w:rPr>
                <w:sz w:val="28"/>
              </w:rPr>
            </w:pPr>
            <w:r>
              <w:rPr>
                <w:spacing w:val="-4"/>
                <w:sz w:val="28"/>
              </w:rPr>
              <w:t>1,001</w:t>
            </w:r>
          </w:p>
        </w:tc>
      </w:tr>
      <w:tr w14:paraId="6FDEC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3828" w:type="dxa"/>
            <w:gridSpan w:val="2"/>
          </w:tcPr>
          <w:p w14:paraId="06BBFD45">
            <w:pPr>
              <w:pStyle w:val="11"/>
              <w:spacing w:before="74"/>
              <w:ind w:left="110"/>
              <w:jc w:val="left"/>
              <w:rPr>
                <w:sz w:val="28"/>
              </w:rPr>
            </w:pPr>
            <w:r>
              <w:rPr>
                <w:sz w:val="28"/>
              </w:rPr>
              <w:t>Кровопотеря</w:t>
            </w:r>
            <w:r>
              <w:rPr>
                <w:spacing w:val="-14"/>
                <w:sz w:val="28"/>
              </w:rPr>
              <w:t xml:space="preserve"> </w:t>
            </w:r>
            <w:r>
              <w:rPr>
                <w:spacing w:val="-4"/>
                <w:sz w:val="28"/>
              </w:rPr>
              <w:t>(мл)</w:t>
            </w:r>
          </w:p>
        </w:tc>
        <w:tc>
          <w:tcPr>
            <w:tcW w:w="1134" w:type="dxa"/>
          </w:tcPr>
          <w:p w14:paraId="74EFFB8E">
            <w:pPr>
              <w:pStyle w:val="11"/>
              <w:spacing w:line="320" w:lineRule="exact"/>
              <w:ind w:left="12"/>
              <w:rPr>
                <w:sz w:val="28"/>
              </w:rPr>
            </w:pPr>
            <w:r>
              <w:rPr>
                <w:spacing w:val="-4"/>
                <w:sz w:val="28"/>
              </w:rPr>
              <w:t>0,000</w:t>
            </w:r>
          </w:p>
        </w:tc>
        <w:tc>
          <w:tcPr>
            <w:tcW w:w="1559" w:type="dxa"/>
          </w:tcPr>
          <w:p w14:paraId="35927F55">
            <w:pPr>
              <w:pStyle w:val="11"/>
              <w:spacing w:line="320" w:lineRule="exact"/>
              <w:ind w:left="11"/>
              <w:rPr>
                <w:sz w:val="28"/>
              </w:rPr>
            </w:pPr>
            <w:r>
              <w:rPr>
                <w:spacing w:val="-4"/>
                <w:sz w:val="28"/>
              </w:rPr>
              <w:t>0,770</w:t>
            </w:r>
          </w:p>
        </w:tc>
        <w:tc>
          <w:tcPr>
            <w:tcW w:w="850" w:type="dxa"/>
          </w:tcPr>
          <w:p w14:paraId="502BA663">
            <w:pPr>
              <w:pStyle w:val="11"/>
              <w:spacing w:line="320" w:lineRule="exact"/>
              <w:ind w:left="9"/>
              <w:rPr>
                <w:sz w:val="28"/>
              </w:rPr>
            </w:pPr>
            <w:r>
              <w:rPr>
                <w:spacing w:val="-4"/>
                <w:sz w:val="28"/>
              </w:rPr>
              <w:t>1,000</w:t>
            </w:r>
          </w:p>
        </w:tc>
        <w:tc>
          <w:tcPr>
            <w:tcW w:w="1134" w:type="dxa"/>
          </w:tcPr>
          <w:p w14:paraId="359AFAE2">
            <w:pPr>
              <w:pStyle w:val="11"/>
              <w:spacing w:line="320" w:lineRule="exact"/>
              <w:ind w:left="5" w:right="3"/>
              <w:rPr>
                <w:sz w:val="28"/>
              </w:rPr>
            </w:pPr>
            <w:r>
              <w:rPr>
                <w:spacing w:val="-4"/>
                <w:sz w:val="28"/>
              </w:rPr>
              <w:t>0,997</w:t>
            </w:r>
          </w:p>
        </w:tc>
        <w:tc>
          <w:tcPr>
            <w:tcW w:w="1134" w:type="dxa"/>
          </w:tcPr>
          <w:p w14:paraId="15977E8E">
            <w:pPr>
              <w:pStyle w:val="11"/>
              <w:spacing w:line="320" w:lineRule="exact"/>
              <w:ind w:left="9" w:right="9"/>
              <w:rPr>
                <w:sz w:val="28"/>
              </w:rPr>
            </w:pPr>
            <w:r>
              <w:rPr>
                <w:spacing w:val="-4"/>
                <w:sz w:val="28"/>
              </w:rPr>
              <w:t>1,002</w:t>
            </w:r>
          </w:p>
        </w:tc>
      </w:tr>
      <w:tr w14:paraId="53C2A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828" w:type="dxa"/>
            <w:gridSpan w:val="2"/>
          </w:tcPr>
          <w:p w14:paraId="50A6E8B7">
            <w:pPr>
              <w:pStyle w:val="11"/>
              <w:spacing w:line="315" w:lineRule="exact"/>
              <w:ind w:left="110"/>
              <w:jc w:val="left"/>
              <w:rPr>
                <w:sz w:val="28"/>
              </w:rPr>
            </w:pPr>
            <w:r>
              <w:rPr>
                <w:sz w:val="28"/>
              </w:rPr>
              <w:t>ААД</w:t>
            </w:r>
            <w:r>
              <w:rPr>
                <w:spacing w:val="-2"/>
                <w:sz w:val="28"/>
              </w:rPr>
              <w:t xml:space="preserve"> </w:t>
            </w:r>
            <w:r>
              <w:rPr>
                <w:sz w:val="28"/>
              </w:rPr>
              <w:t>1</w:t>
            </w:r>
            <w:r>
              <w:rPr>
                <w:spacing w:val="-2"/>
                <w:sz w:val="28"/>
              </w:rPr>
              <w:t xml:space="preserve"> </w:t>
            </w:r>
            <w:r>
              <w:rPr>
                <w:sz w:val="28"/>
              </w:rPr>
              <w:t>-</w:t>
            </w:r>
            <w:r>
              <w:rPr>
                <w:spacing w:val="-5"/>
                <w:sz w:val="28"/>
              </w:rPr>
              <w:t xml:space="preserve"> </w:t>
            </w:r>
            <w:r>
              <w:rPr>
                <w:spacing w:val="-2"/>
                <w:sz w:val="28"/>
              </w:rPr>
              <w:t>сутки</w:t>
            </w:r>
          </w:p>
        </w:tc>
        <w:tc>
          <w:tcPr>
            <w:tcW w:w="1134" w:type="dxa"/>
          </w:tcPr>
          <w:p w14:paraId="2E3A9690">
            <w:pPr>
              <w:pStyle w:val="11"/>
              <w:spacing w:line="315" w:lineRule="exact"/>
              <w:ind w:left="12"/>
              <w:rPr>
                <w:sz w:val="28"/>
              </w:rPr>
            </w:pPr>
            <w:r>
              <w:rPr>
                <w:spacing w:val="-4"/>
                <w:sz w:val="28"/>
              </w:rPr>
              <w:t>0,006</w:t>
            </w:r>
          </w:p>
        </w:tc>
        <w:tc>
          <w:tcPr>
            <w:tcW w:w="1559" w:type="dxa"/>
          </w:tcPr>
          <w:p w14:paraId="18AEE33D">
            <w:pPr>
              <w:pStyle w:val="11"/>
              <w:spacing w:line="315" w:lineRule="exact"/>
              <w:ind w:left="11"/>
              <w:rPr>
                <w:sz w:val="28"/>
              </w:rPr>
            </w:pPr>
            <w:r>
              <w:rPr>
                <w:spacing w:val="-4"/>
                <w:sz w:val="28"/>
              </w:rPr>
              <w:t>0,000</w:t>
            </w:r>
          </w:p>
        </w:tc>
        <w:tc>
          <w:tcPr>
            <w:tcW w:w="850" w:type="dxa"/>
          </w:tcPr>
          <w:p w14:paraId="0850553C">
            <w:pPr>
              <w:pStyle w:val="11"/>
              <w:spacing w:line="315" w:lineRule="exact"/>
              <w:ind w:left="9"/>
              <w:rPr>
                <w:sz w:val="28"/>
              </w:rPr>
            </w:pPr>
            <w:r>
              <w:rPr>
                <w:spacing w:val="-4"/>
                <w:sz w:val="28"/>
              </w:rPr>
              <w:t>1,006</w:t>
            </w:r>
          </w:p>
        </w:tc>
        <w:tc>
          <w:tcPr>
            <w:tcW w:w="1134" w:type="dxa"/>
          </w:tcPr>
          <w:p w14:paraId="0CE28982">
            <w:pPr>
              <w:pStyle w:val="11"/>
              <w:spacing w:line="315" w:lineRule="exact"/>
              <w:ind w:left="5" w:right="3"/>
              <w:rPr>
                <w:sz w:val="28"/>
              </w:rPr>
            </w:pPr>
            <w:r>
              <w:rPr>
                <w:spacing w:val="-4"/>
                <w:sz w:val="28"/>
              </w:rPr>
              <w:t>1,004</w:t>
            </w:r>
          </w:p>
        </w:tc>
        <w:tc>
          <w:tcPr>
            <w:tcW w:w="1134" w:type="dxa"/>
          </w:tcPr>
          <w:p w14:paraId="69C2083B">
            <w:pPr>
              <w:pStyle w:val="11"/>
              <w:spacing w:line="315" w:lineRule="exact"/>
              <w:ind w:left="9" w:right="9"/>
              <w:rPr>
                <w:sz w:val="28"/>
              </w:rPr>
            </w:pPr>
            <w:r>
              <w:rPr>
                <w:spacing w:val="-4"/>
                <w:sz w:val="28"/>
              </w:rPr>
              <w:t>1,008</w:t>
            </w:r>
          </w:p>
        </w:tc>
      </w:tr>
      <w:tr w14:paraId="3CE88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3828" w:type="dxa"/>
            <w:gridSpan w:val="2"/>
          </w:tcPr>
          <w:p w14:paraId="6EB21F3E">
            <w:pPr>
              <w:pStyle w:val="11"/>
              <w:spacing w:line="315" w:lineRule="exact"/>
              <w:ind w:left="110"/>
              <w:jc w:val="left"/>
              <w:rPr>
                <w:sz w:val="28"/>
              </w:rPr>
            </w:pPr>
            <w:r>
              <w:rPr>
                <w:sz w:val="28"/>
              </w:rPr>
              <w:t>ААД</w:t>
            </w:r>
            <w:r>
              <w:rPr>
                <w:spacing w:val="-2"/>
                <w:sz w:val="28"/>
              </w:rPr>
              <w:t xml:space="preserve"> </w:t>
            </w:r>
            <w:r>
              <w:rPr>
                <w:sz w:val="28"/>
              </w:rPr>
              <w:t>3</w:t>
            </w:r>
            <w:r>
              <w:rPr>
                <w:spacing w:val="-2"/>
                <w:sz w:val="28"/>
              </w:rPr>
              <w:t xml:space="preserve"> </w:t>
            </w:r>
            <w:r>
              <w:rPr>
                <w:sz w:val="28"/>
              </w:rPr>
              <w:t>-</w:t>
            </w:r>
            <w:r>
              <w:rPr>
                <w:spacing w:val="-5"/>
                <w:sz w:val="28"/>
              </w:rPr>
              <w:t xml:space="preserve"> </w:t>
            </w:r>
            <w:r>
              <w:rPr>
                <w:spacing w:val="-2"/>
                <w:sz w:val="28"/>
              </w:rPr>
              <w:t>сутки</w:t>
            </w:r>
          </w:p>
        </w:tc>
        <w:tc>
          <w:tcPr>
            <w:tcW w:w="1134" w:type="dxa"/>
          </w:tcPr>
          <w:p w14:paraId="426575AD">
            <w:pPr>
              <w:pStyle w:val="11"/>
              <w:spacing w:line="315" w:lineRule="exact"/>
              <w:ind w:left="12"/>
              <w:rPr>
                <w:sz w:val="28"/>
              </w:rPr>
            </w:pPr>
            <w:r>
              <w:rPr>
                <w:spacing w:val="-4"/>
                <w:sz w:val="28"/>
              </w:rPr>
              <w:t>0,000</w:t>
            </w:r>
          </w:p>
        </w:tc>
        <w:tc>
          <w:tcPr>
            <w:tcW w:w="1559" w:type="dxa"/>
          </w:tcPr>
          <w:p w14:paraId="496033E8">
            <w:pPr>
              <w:pStyle w:val="11"/>
              <w:spacing w:line="315" w:lineRule="exact"/>
              <w:ind w:left="11"/>
              <w:rPr>
                <w:sz w:val="28"/>
              </w:rPr>
            </w:pPr>
            <w:r>
              <w:rPr>
                <w:spacing w:val="-4"/>
                <w:sz w:val="28"/>
              </w:rPr>
              <w:t>0,038</w:t>
            </w:r>
          </w:p>
        </w:tc>
        <w:tc>
          <w:tcPr>
            <w:tcW w:w="850" w:type="dxa"/>
          </w:tcPr>
          <w:p w14:paraId="0AB41EC1">
            <w:pPr>
              <w:pStyle w:val="11"/>
              <w:spacing w:line="315" w:lineRule="exact"/>
              <w:ind w:left="9"/>
              <w:rPr>
                <w:sz w:val="28"/>
              </w:rPr>
            </w:pPr>
            <w:r>
              <w:rPr>
                <w:spacing w:val="-4"/>
                <w:sz w:val="28"/>
              </w:rPr>
              <w:t>1,000</w:t>
            </w:r>
          </w:p>
        </w:tc>
        <w:tc>
          <w:tcPr>
            <w:tcW w:w="1134" w:type="dxa"/>
          </w:tcPr>
          <w:p w14:paraId="3B0C92ED">
            <w:pPr>
              <w:pStyle w:val="11"/>
              <w:spacing w:line="315" w:lineRule="exact"/>
              <w:ind w:left="5" w:right="3"/>
              <w:rPr>
                <w:sz w:val="28"/>
              </w:rPr>
            </w:pPr>
            <w:r>
              <w:rPr>
                <w:spacing w:val="-4"/>
                <w:sz w:val="28"/>
              </w:rPr>
              <w:t>1,000</w:t>
            </w:r>
          </w:p>
        </w:tc>
        <w:tc>
          <w:tcPr>
            <w:tcW w:w="1134" w:type="dxa"/>
          </w:tcPr>
          <w:p w14:paraId="6C6D6C81">
            <w:pPr>
              <w:pStyle w:val="11"/>
              <w:spacing w:line="315" w:lineRule="exact"/>
              <w:ind w:left="9" w:right="9"/>
              <w:rPr>
                <w:sz w:val="28"/>
              </w:rPr>
            </w:pPr>
            <w:r>
              <w:rPr>
                <w:spacing w:val="-4"/>
                <w:sz w:val="28"/>
              </w:rPr>
              <w:t>1,001</w:t>
            </w:r>
          </w:p>
        </w:tc>
      </w:tr>
      <w:tr w14:paraId="6A360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3828" w:type="dxa"/>
            <w:gridSpan w:val="2"/>
          </w:tcPr>
          <w:p w14:paraId="404E93B8">
            <w:pPr>
              <w:pStyle w:val="11"/>
              <w:spacing w:line="315" w:lineRule="exact"/>
              <w:ind w:left="110"/>
              <w:jc w:val="left"/>
              <w:rPr>
                <w:sz w:val="28"/>
              </w:rPr>
            </w:pPr>
            <w:r>
              <w:rPr>
                <w:sz w:val="28"/>
              </w:rPr>
              <w:t>ААД</w:t>
            </w:r>
            <w:r>
              <w:rPr>
                <w:spacing w:val="-2"/>
                <w:sz w:val="28"/>
              </w:rPr>
              <w:t xml:space="preserve"> </w:t>
            </w:r>
            <w:r>
              <w:rPr>
                <w:sz w:val="28"/>
              </w:rPr>
              <w:t>5</w:t>
            </w:r>
            <w:r>
              <w:rPr>
                <w:spacing w:val="-2"/>
                <w:sz w:val="28"/>
              </w:rPr>
              <w:t xml:space="preserve"> </w:t>
            </w:r>
            <w:r>
              <w:rPr>
                <w:sz w:val="28"/>
              </w:rPr>
              <w:t>-</w:t>
            </w:r>
            <w:r>
              <w:rPr>
                <w:spacing w:val="-5"/>
                <w:sz w:val="28"/>
              </w:rPr>
              <w:t xml:space="preserve"> </w:t>
            </w:r>
            <w:r>
              <w:rPr>
                <w:spacing w:val="-2"/>
                <w:sz w:val="28"/>
              </w:rPr>
              <w:t>сутки</w:t>
            </w:r>
          </w:p>
        </w:tc>
        <w:tc>
          <w:tcPr>
            <w:tcW w:w="1134" w:type="dxa"/>
          </w:tcPr>
          <w:p w14:paraId="2185BF87">
            <w:pPr>
              <w:pStyle w:val="11"/>
              <w:spacing w:line="315" w:lineRule="exact"/>
              <w:ind w:left="12"/>
              <w:rPr>
                <w:sz w:val="28"/>
              </w:rPr>
            </w:pPr>
            <w:r>
              <w:rPr>
                <w:spacing w:val="-4"/>
                <w:sz w:val="28"/>
              </w:rPr>
              <w:t>0,000</w:t>
            </w:r>
          </w:p>
        </w:tc>
        <w:tc>
          <w:tcPr>
            <w:tcW w:w="1559" w:type="dxa"/>
          </w:tcPr>
          <w:p w14:paraId="23117509">
            <w:pPr>
              <w:pStyle w:val="11"/>
              <w:spacing w:line="315" w:lineRule="exact"/>
              <w:ind w:left="11"/>
              <w:rPr>
                <w:sz w:val="28"/>
              </w:rPr>
            </w:pPr>
            <w:r>
              <w:rPr>
                <w:spacing w:val="-4"/>
                <w:sz w:val="28"/>
              </w:rPr>
              <w:t>0,576</w:t>
            </w:r>
          </w:p>
        </w:tc>
        <w:tc>
          <w:tcPr>
            <w:tcW w:w="850" w:type="dxa"/>
          </w:tcPr>
          <w:p w14:paraId="6FC3AFAF">
            <w:pPr>
              <w:pStyle w:val="11"/>
              <w:spacing w:line="315" w:lineRule="exact"/>
              <w:ind w:left="9"/>
              <w:rPr>
                <w:sz w:val="28"/>
              </w:rPr>
            </w:pPr>
            <w:r>
              <w:rPr>
                <w:spacing w:val="-4"/>
                <w:sz w:val="28"/>
              </w:rPr>
              <w:t>1,000</w:t>
            </w:r>
          </w:p>
        </w:tc>
        <w:tc>
          <w:tcPr>
            <w:tcW w:w="1134" w:type="dxa"/>
          </w:tcPr>
          <w:p w14:paraId="4137CF79">
            <w:pPr>
              <w:pStyle w:val="11"/>
              <w:spacing w:line="315" w:lineRule="exact"/>
              <w:ind w:left="5" w:right="3"/>
              <w:rPr>
                <w:sz w:val="28"/>
              </w:rPr>
            </w:pPr>
            <w:r>
              <w:rPr>
                <w:spacing w:val="-4"/>
                <w:sz w:val="28"/>
              </w:rPr>
              <w:t>1,000</w:t>
            </w:r>
          </w:p>
        </w:tc>
        <w:tc>
          <w:tcPr>
            <w:tcW w:w="1134" w:type="dxa"/>
          </w:tcPr>
          <w:p w14:paraId="151F3B63">
            <w:pPr>
              <w:pStyle w:val="11"/>
              <w:spacing w:line="315" w:lineRule="exact"/>
              <w:ind w:left="9" w:right="9"/>
              <w:rPr>
                <w:sz w:val="28"/>
              </w:rPr>
            </w:pPr>
            <w:r>
              <w:rPr>
                <w:spacing w:val="-4"/>
                <w:sz w:val="28"/>
              </w:rPr>
              <w:t>1,000</w:t>
            </w:r>
          </w:p>
        </w:tc>
      </w:tr>
      <w:tr w14:paraId="7C090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3828" w:type="dxa"/>
            <w:gridSpan w:val="2"/>
          </w:tcPr>
          <w:p w14:paraId="354664AE">
            <w:pPr>
              <w:pStyle w:val="11"/>
              <w:spacing w:line="315" w:lineRule="exact"/>
              <w:ind w:left="110"/>
              <w:jc w:val="left"/>
              <w:rPr>
                <w:sz w:val="28"/>
              </w:rPr>
            </w:pPr>
            <w:r>
              <w:rPr>
                <w:sz w:val="28"/>
              </w:rPr>
              <w:t>Койко</w:t>
            </w:r>
            <w:r>
              <w:rPr>
                <w:spacing w:val="-5"/>
                <w:sz w:val="28"/>
              </w:rPr>
              <w:t xml:space="preserve"> </w:t>
            </w:r>
            <w:r>
              <w:rPr>
                <w:sz w:val="28"/>
              </w:rPr>
              <w:t>дней</w:t>
            </w:r>
            <w:r>
              <w:rPr>
                <w:spacing w:val="-4"/>
                <w:sz w:val="28"/>
              </w:rPr>
              <w:t xml:space="preserve"> </w:t>
            </w:r>
            <w:r>
              <w:rPr>
                <w:sz w:val="28"/>
              </w:rPr>
              <w:t>после</w:t>
            </w:r>
            <w:r>
              <w:rPr>
                <w:spacing w:val="-3"/>
                <w:sz w:val="28"/>
              </w:rPr>
              <w:t xml:space="preserve"> </w:t>
            </w:r>
            <w:r>
              <w:rPr>
                <w:spacing w:val="-2"/>
                <w:sz w:val="28"/>
              </w:rPr>
              <w:t>операции</w:t>
            </w:r>
          </w:p>
        </w:tc>
        <w:tc>
          <w:tcPr>
            <w:tcW w:w="1134" w:type="dxa"/>
          </w:tcPr>
          <w:p w14:paraId="689127A6">
            <w:pPr>
              <w:pStyle w:val="11"/>
              <w:spacing w:line="315" w:lineRule="exact"/>
              <w:ind w:left="12"/>
              <w:rPr>
                <w:sz w:val="28"/>
              </w:rPr>
            </w:pPr>
            <w:r>
              <w:rPr>
                <w:spacing w:val="-4"/>
                <w:sz w:val="28"/>
              </w:rPr>
              <w:t>0,013</w:t>
            </w:r>
          </w:p>
        </w:tc>
        <w:tc>
          <w:tcPr>
            <w:tcW w:w="1559" w:type="dxa"/>
          </w:tcPr>
          <w:p w14:paraId="23AAED3D">
            <w:pPr>
              <w:pStyle w:val="11"/>
              <w:spacing w:line="315" w:lineRule="exact"/>
              <w:ind w:left="11"/>
              <w:rPr>
                <w:sz w:val="28"/>
              </w:rPr>
            </w:pPr>
            <w:r>
              <w:rPr>
                <w:spacing w:val="-4"/>
                <w:sz w:val="28"/>
              </w:rPr>
              <w:t>0,560</w:t>
            </w:r>
          </w:p>
        </w:tc>
        <w:tc>
          <w:tcPr>
            <w:tcW w:w="850" w:type="dxa"/>
          </w:tcPr>
          <w:p w14:paraId="6F5C0025">
            <w:pPr>
              <w:pStyle w:val="11"/>
              <w:spacing w:line="315" w:lineRule="exact"/>
              <w:ind w:left="9"/>
              <w:rPr>
                <w:sz w:val="28"/>
              </w:rPr>
            </w:pPr>
            <w:r>
              <w:rPr>
                <w:spacing w:val="-4"/>
                <w:sz w:val="28"/>
              </w:rPr>
              <w:t>1,013</w:t>
            </w:r>
          </w:p>
        </w:tc>
        <w:tc>
          <w:tcPr>
            <w:tcW w:w="1134" w:type="dxa"/>
          </w:tcPr>
          <w:p w14:paraId="377E741E">
            <w:pPr>
              <w:pStyle w:val="11"/>
              <w:spacing w:line="315" w:lineRule="exact"/>
              <w:ind w:left="5" w:right="3"/>
              <w:rPr>
                <w:sz w:val="28"/>
              </w:rPr>
            </w:pPr>
            <w:r>
              <w:rPr>
                <w:spacing w:val="-4"/>
                <w:sz w:val="28"/>
              </w:rPr>
              <w:t>0,971</w:t>
            </w:r>
          </w:p>
        </w:tc>
        <w:tc>
          <w:tcPr>
            <w:tcW w:w="1134" w:type="dxa"/>
          </w:tcPr>
          <w:p w14:paraId="0939734D">
            <w:pPr>
              <w:pStyle w:val="11"/>
              <w:spacing w:line="315" w:lineRule="exact"/>
              <w:ind w:left="9" w:right="9"/>
              <w:rPr>
                <w:sz w:val="28"/>
              </w:rPr>
            </w:pPr>
            <w:r>
              <w:rPr>
                <w:spacing w:val="-4"/>
                <w:sz w:val="28"/>
              </w:rPr>
              <w:t>1,057</w:t>
            </w:r>
          </w:p>
        </w:tc>
      </w:tr>
      <w:tr w14:paraId="410FF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3828" w:type="dxa"/>
            <w:gridSpan w:val="2"/>
          </w:tcPr>
          <w:p w14:paraId="0069E80D">
            <w:pPr>
              <w:pStyle w:val="11"/>
              <w:spacing w:line="315" w:lineRule="exact"/>
              <w:ind w:left="110"/>
              <w:jc w:val="left"/>
              <w:rPr>
                <w:sz w:val="28"/>
              </w:rPr>
            </w:pPr>
            <w:r>
              <w:rPr>
                <w:sz w:val="28"/>
              </w:rPr>
              <w:t>Диаметр</w:t>
            </w:r>
            <w:r>
              <w:rPr>
                <w:spacing w:val="-5"/>
                <w:sz w:val="28"/>
              </w:rPr>
              <w:t xml:space="preserve"> </w:t>
            </w:r>
            <w:r>
              <w:rPr>
                <w:sz w:val="28"/>
              </w:rPr>
              <w:t>ПП</w:t>
            </w:r>
            <w:r>
              <w:rPr>
                <w:spacing w:val="-10"/>
                <w:sz w:val="28"/>
              </w:rPr>
              <w:t xml:space="preserve"> </w:t>
            </w:r>
            <w:r>
              <w:rPr>
                <w:spacing w:val="-4"/>
                <w:sz w:val="28"/>
              </w:rPr>
              <w:t>(мм)</w:t>
            </w:r>
          </w:p>
        </w:tc>
        <w:tc>
          <w:tcPr>
            <w:tcW w:w="1134" w:type="dxa"/>
          </w:tcPr>
          <w:p w14:paraId="79F7D9D1">
            <w:pPr>
              <w:pStyle w:val="11"/>
              <w:spacing w:line="315" w:lineRule="exact"/>
              <w:ind w:left="12" w:right="5"/>
              <w:rPr>
                <w:sz w:val="28"/>
              </w:rPr>
            </w:pPr>
            <w:r>
              <w:rPr>
                <w:spacing w:val="-4"/>
                <w:sz w:val="28"/>
              </w:rPr>
              <w:t>-0,211</w:t>
            </w:r>
          </w:p>
        </w:tc>
        <w:tc>
          <w:tcPr>
            <w:tcW w:w="1559" w:type="dxa"/>
          </w:tcPr>
          <w:p w14:paraId="346C0F61">
            <w:pPr>
              <w:pStyle w:val="11"/>
              <w:spacing w:line="315" w:lineRule="exact"/>
              <w:ind w:left="11"/>
              <w:rPr>
                <w:sz w:val="28"/>
              </w:rPr>
            </w:pPr>
            <w:r>
              <w:rPr>
                <w:spacing w:val="-4"/>
                <w:sz w:val="28"/>
              </w:rPr>
              <w:t>0,028</w:t>
            </w:r>
          </w:p>
        </w:tc>
        <w:tc>
          <w:tcPr>
            <w:tcW w:w="850" w:type="dxa"/>
          </w:tcPr>
          <w:p w14:paraId="3096C60B">
            <w:pPr>
              <w:pStyle w:val="11"/>
              <w:spacing w:line="315" w:lineRule="exact"/>
              <w:ind w:left="9"/>
              <w:rPr>
                <w:sz w:val="28"/>
              </w:rPr>
            </w:pPr>
            <w:r>
              <w:rPr>
                <w:spacing w:val="-4"/>
                <w:sz w:val="28"/>
              </w:rPr>
              <w:t>0,810</w:t>
            </w:r>
          </w:p>
        </w:tc>
        <w:tc>
          <w:tcPr>
            <w:tcW w:w="1134" w:type="dxa"/>
          </w:tcPr>
          <w:p w14:paraId="23386A9E">
            <w:pPr>
              <w:pStyle w:val="11"/>
              <w:spacing w:line="315" w:lineRule="exact"/>
              <w:ind w:left="5" w:right="3"/>
              <w:rPr>
                <w:sz w:val="28"/>
              </w:rPr>
            </w:pPr>
            <w:r>
              <w:rPr>
                <w:spacing w:val="-4"/>
                <w:sz w:val="28"/>
              </w:rPr>
              <w:t>0,671</w:t>
            </w:r>
          </w:p>
        </w:tc>
        <w:tc>
          <w:tcPr>
            <w:tcW w:w="1134" w:type="dxa"/>
          </w:tcPr>
          <w:p w14:paraId="465EE1FA">
            <w:pPr>
              <w:pStyle w:val="11"/>
              <w:spacing w:line="315" w:lineRule="exact"/>
              <w:ind w:left="9" w:right="9"/>
              <w:rPr>
                <w:sz w:val="28"/>
              </w:rPr>
            </w:pPr>
            <w:r>
              <w:rPr>
                <w:spacing w:val="-4"/>
                <w:sz w:val="28"/>
              </w:rPr>
              <w:t>0,978</w:t>
            </w:r>
          </w:p>
        </w:tc>
      </w:tr>
      <w:tr w14:paraId="1AA9ADBA">
        <w:tblPrEx>
          <w:tblCellMar>
            <w:top w:w="0" w:type="dxa"/>
            <w:left w:w="0" w:type="dxa"/>
            <w:bottom w:w="0" w:type="dxa"/>
            <w:right w:w="0" w:type="dxa"/>
          </w:tblCellMar>
        </w:tblPrEx>
        <w:trPr>
          <w:trHeight w:val="467" w:hRule="atLeast"/>
        </w:trPr>
        <w:tc>
          <w:tcPr>
            <w:tcW w:w="3828" w:type="dxa"/>
            <w:gridSpan w:val="2"/>
          </w:tcPr>
          <w:p w14:paraId="1DA71810">
            <w:pPr>
              <w:pStyle w:val="11"/>
              <w:spacing w:line="315" w:lineRule="exact"/>
              <w:ind w:left="110"/>
              <w:jc w:val="left"/>
              <w:rPr>
                <w:sz w:val="28"/>
              </w:rPr>
            </w:pPr>
            <w:r>
              <w:rPr>
                <w:sz w:val="28"/>
              </w:rPr>
              <w:t>Мягкая</w:t>
            </w:r>
            <w:r>
              <w:rPr>
                <w:spacing w:val="-4"/>
                <w:sz w:val="28"/>
              </w:rPr>
              <w:t xml:space="preserve"> </w:t>
            </w:r>
            <w:r>
              <w:rPr>
                <w:spacing w:val="-2"/>
                <w:sz w:val="28"/>
              </w:rPr>
              <w:t>железа</w:t>
            </w:r>
          </w:p>
        </w:tc>
        <w:tc>
          <w:tcPr>
            <w:tcW w:w="1134" w:type="dxa"/>
          </w:tcPr>
          <w:p w14:paraId="2E52E78B">
            <w:pPr>
              <w:pStyle w:val="11"/>
              <w:spacing w:line="315" w:lineRule="exact"/>
              <w:ind w:left="12"/>
              <w:rPr>
                <w:sz w:val="28"/>
              </w:rPr>
            </w:pPr>
            <w:r>
              <w:rPr>
                <w:spacing w:val="-4"/>
                <w:sz w:val="28"/>
              </w:rPr>
              <w:t>1,114</w:t>
            </w:r>
          </w:p>
        </w:tc>
        <w:tc>
          <w:tcPr>
            <w:tcW w:w="1559" w:type="dxa"/>
          </w:tcPr>
          <w:p w14:paraId="3D898F25">
            <w:pPr>
              <w:pStyle w:val="11"/>
              <w:spacing w:line="315" w:lineRule="exact"/>
              <w:ind w:left="11"/>
              <w:rPr>
                <w:sz w:val="28"/>
              </w:rPr>
            </w:pPr>
            <w:r>
              <w:rPr>
                <w:spacing w:val="-4"/>
                <w:sz w:val="28"/>
              </w:rPr>
              <w:t>0,012</w:t>
            </w:r>
          </w:p>
        </w:tc>
        <w:tc>
          <w:tcPr>
            <w:tcW w:w="850" w:type="dxa"/>
          </w:tcPr>
          <w:p w14:paraId="61455B80">
            <w:pPr>
              <w:pStyle w:val="11"/>
              <w:spacing w:line="315" w:lineRule="exact"/>
              <w:ind w:left="9"/>
              <w:rPr>
                <w:sz w:val="28"/>
              </w:rPr>
            </w:pPr>
            <w:r>
              <w:rPr>
                <w:spacing w:val="-4"/>
                <w:sz w:val="28"/>
              </w:rPr>
              <w:t>3,047</w:t>
            </w:r>
          </w:p>
        </w:tc>
        <w:tc>
          <w:tcPr>
            <w:tcW w:w="1134" w:type="dxa"/>
          </w:tcPr>
          <w:p w14:paraId="3CD42E45">
            <w:pPr>
              <w:pStyle w:val="11"/>
              <w:spacing w:line="315" w:lineRule="exact"/>
              <w:ind w:left="5" w:right="3"/>
              <w:rPr>
                <w:sz w:val="28"/>
              </w:rPr>
            </w:pPr>
            <w:r>
              <w:rPr>
                <w:spacing w:val="-4"/>
                <w:sz w:val="28"/>
              </w:rPr>
              <w:t>1,279</w:t>
            </w:r>
          </w:p>
        </w:tc>
        <w:tc>
          <w:tcPr>
            <w:tcW w:w="1134" w:type="dxa"/>
          </w:tcPr>
          <w:p w14:paraId="32FFCEB4">
            <w:pPr>
              <w:pStyle w:val="11"/>
              <w:spacing w:line="315" w:lineRule="exact"/>
              <w:ind w:left="9" w:right="9"/>
              <w:rPr>
                <w:sz w:val="28"/>
              </w:rPr>
            </w:pPr>
            <w:r>
              <w:rPr>
                <w:spacing w:val="-4"/>
                <w:sz w:val="28"/>
              </w:rPr>
              <w:t>7,259</w:t>
            </w:r>
          </w:p>
        </w:tc>
      </w:tr>
      <w:tr w14:paraId="55A935BD">
        <w:tblPrEx>
          <w:tblCellMar>
            <w:top w:w="0" w:type="dxa"/>
            <w:left w:w="0" w:type="dxa"/>
            <w:bottom w:w="0" w:type="dxa"/>
            <w:right w:w="0" w:type="dxa"/>
          </w:tblCellMar>
        </w:tblPrEx>
        <w:trPr>
          <w:trHeight w:val="355" w:hRule="atLeast"/>
        </w:trPr>
        <w:tc>
          <w:tcPr>
            <w:tcW w:w="1985" w:type="dxa"/>
            <w:vMerge w:val="restart"/>
          </w:tcPr>
          <w:p w14:paraId="7A7A8658">
            <w:pPr>
              <w:pStyle w:val="11"/>
              <w:spacing w:line="320" w:lineRule="exact"/>
              <w:ind w:left="110"/>
              <w:jc w:val="left"/>
              <w:rPr>
                <w:sz w:val="28"/>
              </w:rPr>
            </w:pPr>
            <w:r>
              <w:rPr>
                <w:spacing w:val="-2"/>
                <w:sz w:val="28"/>
              </w:rPr>
              <w:t>Локализация</w:t>
            </w:r>
          </w:p>
        </w:tc>
        <w:tc>
          <w:tcPr>
            <w:tcW w:w="1843" w:type="dxa"/>
          </w:tcPr>
          <w:p w14:paraId="4980CCA3">
            <w:pPr>
              <w:pStyle w:val="11"/>
              <w:spacing w:line="320" w:lineRule="exact"/>
              <w:ind w:left="105"/>
              <w:jc w:val="left"/>
              <w:rPr>
                <w:sz w:val="28"/>
              </w:rPr>
            </w:pPr>
            <w:r>
              <w:rPr>
                <w:spacing w:val="-5"/>
                <w:sz w:val="28"/>
              </w:rPr>
              <w:t>ГПЖ</w:t>
            </w:r>
          </w:p>
        </w:tc>
        <w:tc>
          <w:tcPr>
            <w:tcW w:w="1134" w:type="dxa"/>
          </w:tcPr>
          <w:p w14:paraId="6D376DFE">
            <w:pPr>
              <w:pStyle w:val="11"/>
              <w:spacing w:line="240" w:lineRule="auto"/>
              <w:jc w:val="left"/>
              <w:rPr>
                <w:sz w:val="26"/>
              </w:rPr>
            </w:pPr>
          </w:p>
        </w:tc>
        <w:tc>
          <w:tcPr>
            <w:tcW w:w="1559" w:type="dxa"/>
          </w:tcPr>
          <w:p w14:paraId="02838EE1">
            <w:pPr>
              <w:pStyle w:val="11"/>
              <w:spacing w:line="320" w:lineRule="exact"/>
              <w:ind w:left="11"/>
              <w:rPr>
                <w:sz w:val="28"/>
              </w:rPr>
            </w:pPr>
            <w:r>
              <w:rPr>
                <w:spacing w:val="-4"/>
                <w:sz w:val="28"/>
              </w:rPr>
              <w:t>0,516</w:t>
            </w:r>
          </w:p>
        </w:tc>
        <w:tc>
          <w:tcPr>
            <w:tcW w:w="850" w:type="dxa"/>
          </w:tcPr>
          <w:p w14:paraId="0C0D0CE8">
            <w:pPr>
              <w:pStyle w:val="11"/>
              <w:spacing w:line="240" w:lineRule="auto"/>
              <w:jc w:val="left"/>
              <w:rPr>
                <w:sz w:val="26"/>
              </w:rPr>
            </w:pPr>
          </w:p>
        </w:tc>
        <w:tc>
          <w:tcPr>
            <w:tcW w:w="1134" w:type="dxa"/>
          </w:tcPr>
          <w:p w14:paraId="6BB4D87A">
            <w:pPr>
              <w:pStyle w:val="11"/>
              <w:spacing w:line="240" w:lineRule="auto"/>
              <w:jc w:val="left"/>
              <w:rPr>
                <w:sz w:val="26"/>
              </w:rPr>
            </w:pPr>
          </w:p>
        </w:tc>
        <w:tc>
          <w:tcPr>
            <w:tcW w:w="1134" w:type="dxa"/>
          </w:tcPr>
          <w:p w14:paraId="13E1B9FF">
            <w:pPr>
              <w:pStyle w:val="11"/>
              <w:spacing w:line="240" w:lineRule="auto"/>
              <w:jc w:val="left"/>
              <w:rPr>
                <w:sz w:val="26"/>
              </w:rPr>
            </w:pPr>
          </w:p>
        </w:tc>
      </w:tr>
      <w:tr w14:paraId="1153E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985" w:type="dxa"/>
            <w:vMerge w:val="continue"/>
            <w:tcBorders>
              <w:top w:val="nil"/>
            </w:tcBorders>
          </w:tcPr>
          <w:p w14:paraId="577F8626">
            <w:pPr>
              <w:rPr>
                <w:sz w:val="2"/>
                <w:szCs w:val="2"/>
              </w:rPr>
            </w:pPr>
          </w:p>
        </w:tc>
        <w:tc>
          <w:tcPr>
            <w:tcW w:w="1843" w:type="dxa"/>
          </w:tcPr>
          <w:p w14:paraId="524A4E9F">
            <w:pPr>
              <w:pStyle w:val="11"/>
              <w:spacing w:line="301" w:lineRule="exact"/>
              <w:ind w:left="105"/>
              <w:jc w:val="left"/>
              <w:rPr>
                <w:sz w:val="28"/>
              </w:rPr>
            </w:pPr>
            <w:r>
              <w:rPr>
                <w:spacing w:val="-5"/>
                <w:sz w:val="28"/>
              </w:rPr>
              <w:t>БДС</w:t>
            </w:r>
          </w:p>
        </w:tc>
        <w:tc>
          <w:tcPr>
            <w:tcW w:w="1134" w:type="dxa"/>
          </w:tcPr>
          <w:p w14:paraId="07B71C68">
            <w:pPr>
              <w:pStyle w:val="11"/>
              <w:spacing w:line="301" w:lineRule="exact"/>
              <w:ind w:left="12" w:right="5"/>
              <w:rPr>
                <w:sz w:val="28"/>
              </w:rPr>
            </w:pPr>
            <w:r>
              <w:rPr>
                <w:spacing w:val="-4"/>
                <w:sz w:val="28"/>
              </w:rPr>
              <w:t>-1,267</w:t>
            </w:r>
          </w:p>
        </w:tc>
        <w:tc>
          <w:tcPr>
            <w:tcW w:w="1559" w:type="dxa"/>
          </w:tcPr>
          <w:p w14:paraId="16C971D0">
            <w:pPr>
              <w:pStyle w:val="11"/>
              <w:spacing w:line="301" w:lineRule="exact"/>
              <w:ind w:left="11"/>
              <w:rPr>
                <w:sz w:val="28"/>
              </w:rPr>
            </w:pPr>
            <w:r>
              <w:rPr>
                <w:spacing w:val="-4"/>
                <w:sz w:val="28"/>
              </w:rPr>
              <w:t>0,242</w:t>
            </w:r>
          </w:p>
        </w:tc>
        <w:tc>
          <w:tcPr>
            <w:tcW w:w="850" w:type="dxa"/>
          </w:tcPr>
          <w:p w14:paraId="491FFC99">
            <w:pPr>
              <w:pStyle w:val="11"/>
              <w:spacing w:line="301" w:lineRule="exact"/>
              <w:ind w:left="9"/>
              <w:rPr>
                <w:sz w:val="28"/>
              </w:rPr>
            </w:pPr>
            <w:r>
              <w:rPr>
                <w:spacing w:val="-4"/>
                <w:sz w:val="28"/>
              </w:rPr>
              <w:t>0,282</w:t>
            </w:r>
          </w:p>
        </w:tc>
        <w:tc>
          <w:tcPr>
            <w:tcW w:w="1134" w:type="dxa"/>
          </w:tcPr>
          <w:p w14:paraId="6B2A50B9">
            <w:pPr>
              <w:pStyle w:val="11"/>
              <w:spacing w:line="301" w:lineRule="exact"/>
              <w:ind w:left="5" w:right="3"/>
              <w:rPr>
                <w:sz w:val="28"/>
              </w:rPr>
            </w:pPr>
            <w:r>
              <w:rPr>
                <w:spacing w:val="-4"/>
                <w:sz w:val="28"/>
              </w:rPr>
              <w:t>0,034</w:t>
            </w:r>
          </w:p>
        </w:tc>
        <w:tc>
          <w:tcPr>
            <w:tcW w:w="1134" w:type="dxa"/>
          </w:tcPr>
          <w:p w14:paraId="5167AC90">
            <w:pPr>
              <w:pStyle w:val="11"/>
              <w:spacing w:line="301" w:lineRule="exact"/>
              <w:ind w:left="9" w:right="9"/>
              <w:rPr>
                <w:sz w:val="28"/>
              </w:rPr>
            </w:pPr>
            <w:r>
              <w:rPr>
                <w:spacing w:val="-4"/>
                <w:sz w:val="28"/>
              </w:rPr>
              <w:t>2,356</w:t>
            </w:r>
          </w:p>
        </w:tc>
      </w:tr>
      <w:tr w14:paraId="67D04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985" w:type="dxa"/>
            <w:vMerge w:val="continue"/>
            <w:tcBorders>
              <w:top w:val="nil"/>
            </w:tcBorders>
          </w:tcPr>
          <w:p w14:paraId="5A7BB526">
            <w:pPr>
              <w:rPr>
                <w:sz w:val="2"/>
                <w:szCs w:val="2"/>
              </w:rPr>
            </w:pPr>
          </w:p>
        </w:tc>
        <w:tc>
          <w:tcPr>
            <w:tcW w:w="1843" w:type="dxa"/>
          </w:tcPr>
          <w:p w14:paraId="56E1685E">
            <w:pPr>
              <w:pStyle w:val="11"/>
              <w:spacing w:line="320" w:lineRule="exact"/>
              <w:ind w:left="105"/>
              <w:jc w:val="left"/>
              <w:rPr>
                <w:sz w:val="28"/>
              </w:rPr>
            </w:pPr>
            <w:r>
              <w:rPr>
                <w:spacing w:val="-5"/>
                <w:sz w:val="28"/>
              </w:rPr>
              <w:t>ТОХ</w:t>
            </w:r>
          </w:p>
        </w:tc>
        <w:tc>
          <w:tcPr>
            <w:tcW w:w="1134" w:type="dxa"/>
          </w:tcPr>
          <w:p w14:paraId="206DB7C4">
            <w:pPr>
              <w:pStyle w:val="11"/>
              <w:spacing w:line="320" w:lineRule="exact"/>
              <w:ind w:left="12" w:right="5"/>
              <w:rPr>
                <w:sz w:val="28"/>
              </w:rPr>
            </w:pPr>
            <w:r>
              <w:rPr>
                <w:spacing w:val="-4"/>
                <w:sz w:val="28"/>
              </w:rPr>
              <w:t>-1,357</w:t>
            </w:r>
          </w:p>
        </w:tc>
        <w:tc>
          <w:tcPr>
            <w:tcW w:w="1559" w:type="dxa"/>
          </w:tcPr>
          <w:p w14:paraId="2C2F96F9">
            <w:pPr>
              <w:pStyle w:val="11"/>
              <w:spacing w:line="320" w:lineRule="exact"/>
              <w:ind w:left="11"/>
              <w:rPr>
                <w:sz w:val="28"/>
              </w:rPr>
            </w:pPr>
            <w:r>
              <w:rPr>
                <w:spacing w:val="-4"/>
                <w:sz w:val="28"/>
              </w:rPr>
              <w:t>0,219</w:t>
            </w:r>
          </w:p>
        </w:tc>
        <w:tc>
          <w:tcPr>
            <w:tcW w:w="850" w:type="dxa"/>
          </w:tcPr>
          <w:p w14:paraId="38BF8DD9">
            <w:pPr>
              <w:pStyle w:val="11"/>
              <w:spacing w:line="320" w:lineRule="exact"/>
              <w:ind w:left="9"/>
              <w:rPr>
                <w:sz w:val="28"/>
              </w:rPr>
            </w:pPr>
            <w:r>
              <w:rPr>
                <w:spacing w:val="-4"/>
                <w:sz w:val="28"/>
              </w:rPr>
              <w:t>0,257</w:t>
            </w:r>
          </w:p>
        </w:tc>
        <w:tc>
          <w:tcPr>
            <w:tcW w:w="1134" w:type="dxa"/>
          </w:tcPr>
          <w:p w14:paraId="27B18AEF">
            <w:pPr>
              <w:pStyle w:val="11"/>
              <w:spacing w:line="320" w:lineRule="exact"/>
              <w:ind w:left="5" w:right="3"/>
              <w:rPr>
                <w:sz w:val="28"/>
              </w:rPr>
            </w:pPr>
            <w:r>
              <w:rPr>
                <w:spacing w:val="-4"/>
                <w:sz w:val="28"/>
              </w:rPr>
              <w:t>0,030</w:t>
            </w:r>
          </w:p>
        </w:tc>
        <w:tc>
          <w:tcPr>
            <w:tcW w:w="1134" w:type="dxa"/>
          </w:tcPr>
          <w:p w14:paraId="612BC924">
            <w:pPr>
              <w:pStyle w:val="11"/>
              <w:spacing w:line="320" w:lineRule="exact"/>
              <w:ind w:left="9" w:right="9"/>
              <w:rPr>
                <w:sz w:val="28"/>
              </w:rPr>
            </w:pPr>
            <w:r>
              <w:rPr>
                <w:spacing w:val="-4"/>
                <w:sz w:val="28"/>
              </w:rPr>
              <w:t>2,237</w:t>
            </w:r>
          </w:p>
        </w:tc>
      </w:tr>
      <w:tr w14:paraId="185EE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985" w:type="dxa"/>
            <w:vMerge w:val="continue"/>
            <w:tcBorders>
              <w:top w:val="nil"/>
            </w:tcBorders>
          </w:tcPr>
          <w:p w14:paraId="3D3A4F7D">
            <w:pPr>
              <w:rPr>
                <w:sz w:val="2"/>
                <w:szCs w:val="2"/>
              </w:rPr>
            </w:pPr>
          </w:p>
        </w:tc>
        <w:tc>
          <w:tcPr>
            <w:tcW w:w="1843" w:type="dxa"/>
          </w:tcPr>
          <w:p w14:paraId="01085165">
            <w:pPr>
              <w:pStyle w:val="11"/>
              <w:spacing w:line="301" w:lineRule="exact"/>
              <w:ind w:left="105"/>
              <w:jc w:val="left"/>
              <w:rPr>
                <w:sz w:val="28"/>
              </w:rPr>
            </w:pPr>
            <w:r>
              <w:rPr>
                <w:spacing w:val="-5"/>
                <w:sz w:val="28"/>
              </w:rPr>
              <w:t>ДПК</w:t>
            </w:r>
          </w:p>
        </w:tc>
        <w:tc>
          <w:tcPr>
            <w:tcW w:w="1134" w:type="dxa"/>
          </w:tcPr>
          <w:p w14:paraId="37274125">
            <w:pPr>
              <w:pStyle w:val="11"/>
              <w:spacing w:line="301" w:lineRule="exact"/>
              <w:ind w:left="12" w:right="5"/>
              <w:rPr>
                <w:sz w:val="28"/>
              </w:rPr>
            </w:pPr>
            <w:r>
              <w:rPr>
                <w:spacing w:val="-4"/>
                <w:sz w:val="28"/>
              </w:rPr>
              <w:t>-0,496</w:t>
            </w:r>
          </w:p>
        </w:tc>
        <w:tc>
          <w:tcPr>
            <w:tcW w:w="1559" w:type="dxa"/>
          </w:tcPr>
          <w:p w14:paraId="77FAFDC8">
            <w:pPr>
              <w:pStyle w:val="11"/>
              <w:spacing w:line="301" w:lineRule="exact"/>
              <w:ind w:left="11"/>
              <w:rPr>
                <w:sz w:val="28"/>
              </w:rPr>
            </w:pPr>
            <w:r>
              <w:rPr>
                <w:spacing w:val="-4"/>
                <w:sz w:val="28"/>
              </w:rPr>
              <w:t>0,709</w:t>
            </w:r>
          </w:p>
        </w:tc>
        <w:tc>
          <w:tcPr>
            <w:tcW w:w="850" w:type="dxa"/>
          </w:tcPr>
          <w:p w14:paraId="72E6E90D">
            <w:pPr>
              <w:pStyle w:val="11"/>
              <w:spacing w:line="301" w:lineRule="exact"/>
              <w:ind w:left="9"/>
              <w:rPr>
                <w:sz w:val="28"/>
              </w:rPr>
            </w:pPr>
            <w:r>
              <w:rPr>
                <w:spacing w:val="-4"/>
                <w:sz w:val="28"/>
              </w:rPr>
              <w:t>0,609</w:t>
            </w:r>
          </w:p>
        </w:tc>
        <w:tc>
          <w:tcPr>
            <w:tcW w:w="1134" w:type="dxa"/>
          </w:tcPr>
          <w:p w14:paraId="1F877A41">
            <w:pPr>
              <w:pStyle w:val="11"/>
              <w:spacing w:line="301" w:lineRule="exact"/>
              <w:ind w:left="5" w:right="3"/>
              <w:rPr>
                <w:sz w:val="28"/>
              </w:rPr>
            </w:pPr>
            <w:r>
              <w:rPr>
                <w:spacing w:val="-4"/>
                <w:sz w:val="28"/>
              </w:rPr>
              <w:t>1,045</w:t>
            </w:r>
          </w:p>
        </w:tc>
        <w:tc>
          <w:tcPr>
            <w:tcW w:w="1134" w:type="dxa"/>
          </w:tcPr>
          <w:p w14:paraId="2B69E40F">
            <w:pPr>
              <w:pStyle w:val="11"/>
              <w:spacing w:line="301" w:lineRule="exact"/>
              <w:ind w:left="9" w:right="9"/>
              <w:rPr>
                <w:sz w:val="28"/>
              </w:rPr>
            </w:pPr>
            <w:r>
              <w:rPr>
                <w:spacing w:val="-4"/>
                <w:sz w:val="28"/>
              </w:rPr>
              <w:t>8,209</w:t>
            </w:r>
          </w:p>
        </w:tc>
      </w:tr>
      <w:tr w14:paraId="209CB017">
        <w:tblPrEx>
          <w:tblCellMar>
            <w:top w:w="0" w:type="dxa"/>
            <w:left w:w="0" w:type="dxa"/>
            <w:bottom w:w="0" w:type="dxa"/>
            <w:right w:w="0" w:type="dxa"/>
          </w:tblCellMar>
        </w:tblPrEx>
        <w:trPr>
          <w:trHeight w:val="499" w:hRule="atLeast"/>
        </w:trPr>
        <w:tc>
          <w:tcPr>
            <w:tcW w:w="1985" w:type="dxa"/>
          </w:tcPr>
          <w:p w14:paraId="0B15B4D4">
            <w:pPr>
              <w:pStyle w:val="11"/>
              <w:spacing w:line="320" w:lineRule="exact"/>
              <w:ind w:left="110"/>
              <w:jc w:val="left"/>
              <w:rPr>
                <w:sz w:val="28"/>
              </w:rPr>
            </w:pPr>
            <w:r>
              <w:rPr>
                <w:spacing w:val="-5"/>
                <w:sz w:val="28"/>
              </w:rPr>
              <w:t>ПЕА</w:t>
            </w:r>
          </w:p>
        </w:tc>
        <w:tc>
          <w:tcPr>
            <w:tcW w:w="1843" w:type="dxa"/>
          </w:tcPr>
          <w:p w14:paraId="5AC6DC44">
            <w:pPr>
              <w:pStyle w:val="11"/>
              <w:spacing w:line="320" w:lineRule="exact"/>
              <w:ind w:left="105"/>
              <w:jc w:val="left"/>
              <w:rPr>
                <w:sz w:val="28"/>
              </w:rPr>
            </w:pPr>
            <w:r>
              <w:rPr>
                <w:spacing w:val="-2"/>
                <w:sz w:val="28"/>
              </w:rPr>
              <w:t>Стандартный</w:t>
            </w:r>
          </w:p>
        </w:tc>
        <w:tc>
          <w:tcPr>
            <w:tcW w:w="1134" w:type="dxa"/>
          </w:tcPr>
          <w:p w14:paraId="19FCFFD6">
            <w:pPr>
              <w:pStyle w:val="11"/>
              <w:spacing w:line="320" w:lineRule="exact"/>
              <w:ind w:left="12"/>
              <w:rPr>
                <w:sz w:val="28"/>
              </w:rPr>
            </w:pPr>
            <w:r>
              <w:rPr>
                <w:spacing w:val="-4"/>
                <w:sz w:val="28"/>
              </w:rPr>
              <w:t>1,166</w:t>
            </w:r>
          </w:p>
        </w:tc>
        <w:tc>
          <w:tcPr>
            <w:tcW w:w="1559" w:type="dxa"/>
          </w:tcPr>
          <w:p w14:paraId="19EF7422">
            <w:pPr>
              <w:pStyle w:val="11"/>
              <w:spacing w:line="320" w:lineRule="exact"/>
              <w:ind w:left="11"/>
              <w:rPr>
                <w:sz w:val="28"/>
              </w:rPr>
            </w:pPr>
            <w:r>
              <w:rPr>
                <w:spacing w:val="-4"/>
                <w:sz w:val="28"/>
              </w:rPr>
              <w:t>0,037</w:t>
            </w:r>
          </w:p>
        </w:tc>
        <w:tc>
          <w:tcPr>
            <w:tcW w:w="850" w:type="dxa"/>
          </w:tcPr>
          <w:p w14:paraId="12470975">
            <w:pPr>
              <w:pStyle w:val="11"/>
              <w:spacing w:line="320" w:lineRule="exact"/>
              <w:ind w:left="9"/>
              <w:rPr>
                <w:sz w:val="28"/>
              </w:rPr>
            </w:pPr>
            <w:r>
              <w:rPr>
                <w:spacing w:val="-4"/>
                <w:sz w:val="28"/>
              </w:rPr>
              <w:t>3,209</w:t>
            </w:r>
          </w:p>
        </w:tc>
        <w:tc>
          <w:tcPr>
            <w:tcW w:w="1134" w:type="dxa"/>
          </w:tcPr>
          <w:p w14:paraId="4A427D75">
            <w:pPr>
              <w:pStyle w:val="11"/>
              <w:spacing w:line="320" w:lineRule="exact"/>
              <w:ind w:left="5" w:right="3"/>
              <w:rPr>
                <w:sz w:val="28"/>
              </w:rPr>
            </w:pPr>
            <w:r>
              <w:rPr>
                <w:spacing w:val="-4"/>
                <w:sz w:val="28"/>
              </w:rPr>
              <w:t>1,072</w:t>
            </w:r>
          </w:p>
        </w:tc>
        <w:tc>
          <w:tcPr>
            <w:tcW w:w="1134" w:type="dxa"/>
          </w:tcPr>
          <w:p w14:paraId="73D3D4EE">
            <w:pPr>
              <w:pStyle w:val="11"/>
              <w:spacing w:line="320" w:lineRule="exact"/>
              <w:ind w:left="9" w:right="9"/>
              <w:rPr>
                <w:sz w:val="28"/>
              </w:rPr>
            </w:pPr>
            <w:r>
              <w:rPr>
                <w:spacing w:val="-4"/>
                <w:sz w:val="28"/>
              </w:rPr>
              <w:t>9,608</w:t>
            </w:r>
          </w:p>
        </w:tc>
      </w:tr>
      <w:tr w14:paraId="6FE2C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9639" w:type="dxa"/>
            <w:gridSpan w:val="7"/>
          </w:tcPr>
          <w:p w14:paraId="361C1F20">
            <w:pPr>
              <w:pStyle w:val="11"/>
              <w:spacing w:line="268" w:lineRule="exact"/>
              <w:ind w:left="110" w:firstLine="604"/>
              <w:jc w:val="left"/>
              <w:rPr>
                <w:sz w:val="24"/>
              </w:rPr>
            </w:pPr>
            <w:r>
              <w:rPr>
                <w:sz w:val="24"/>
              </w:rPr>
              <w:t>Примечание: ОШ</w:t>
            </w:r>
            <w:r>
              <w:rPr>
                <w:spacing w:val="-5"/>
                <w:sz w:val="24"/>
              </w:rPr>
              <w:t xml:space="preserve"> </w:t>
            </w:r>
            <w:r>
              <w:rPr>
                <w:sz w:val="24"/>
              </w:rPr>
              <w:t>–</w:t>
            </w:r>
            <w:r>
              <w:rPr>
                <w:spacing w:val="-1"/>
                <w:sz w:val="24"/>
              </w:rPr>
              <w:t xml:space="preserve"> </w:t>
            </w:r>
            <w:r>
              <w:rPr>
                <w:sz w:val="24"/>
              </w:rPr>
              <w:t>отношение</w:t>
            </w:r>
            <w:r>
              <w:rPr>
                <w:spacing w:val="-6"/>
                <w:sz w:val="24"/>
              </w:rPr>
              <w:t xml:space="preserve"> </w:t>
            </w:r>
            <w:r>
              <w:rPr>
                <w:sz w:val="24"/>
              </w:rPr>
              <w:t>шансов;</w:t>
            </w:r>
            <w:r>
              <w:rPr>
                <w:spacing w:val="-5"/>
                <w:sz w:val="24"/>
              </w:rPr>
              <w:t xml:space="preserve"> </w:t>
            </w:r>
            <w:r>
              <w:rPr>
                <w:sz w:val="24"/>
              </w:rPr>
              <w:t>ДИ</w:t>
            </w:r>
            <w:r>
              <w:rPr>
                <w:spacing w:val="1"/>
                <w:sz w:val="24"/>
              </w:rPr>
              <w:t xml:space="preserve"> </w:t>
            </w:r>
            <w:r>
              <w:rPr>
                <w:sz w:val="24"/>
              </w:rPr>
              <w:t>–</w:t>
            </w:r>
            <w:r>
              <w:rPr>
                <w:spacing w:val="-1"/>
                <w:sz w:val="24"/>
              </w:rPr>
              <w:t xml:space="preserve"> </w:t>
            </w:r>
            <w:r>
              <w:rPr>
                <w:sz w:val="24"/>
              </w:rPr>
              <w:t>Доверительный</w:t>
            </w:r>
            <w:r>
              <w:rPr>
                <w:spacing w:val="1"/>
                <w:sz w:val="24"/>
              </w:rPr>
              <w:t xml:space="preserve"> </w:t>
            </w:r>
            <w:r>
              <w:rPr>
                <w:spacing w:val="-2"/>
                <w:sz w:val="24"/>
              </w:rPr>
              <w:t>интервал.</w:t>
            </w:r>
          </w:p>
        </w:tc>
      </w:tr>
    </w:tbl>
    <w:p w14:paraId="38B6E3A5">
      <w:pPr>
        <w:pStyle w:val="7"/>
        <w:spacing w:before="67"/>
        <w:ind w:left="0" w:right="3" w:firstLine="709"/>
        <w:rPr>
          <w:lang w:val="kk-KZ"/>
        </w:rPr>
      </w:pPr>
      <w:bookmarkStart w:id="29" w:name="В_таблице_22_представлена_многофакторная"/>
      <w:bookmarkEnd w:id="29"/>
    </w:p>
    <w:p w14:paraId="6B063C8D">
      <w:pPr>
        <w:pStyle w:val="7"/>
        <w:spacing w:before="67"/>
        <w:ind w:left="0" w:right="3" w:firstLine="709"/>
      </w:pPr>
      <w:r>
        <w:t>В таблице 22 представлена многофакторная логистическая регрессионная модель, направленная на выявление независимых</w:t>
      </w:r>
      <w:r>
        <w:rPr>
          <w:spacing w:val="-4"/>
        </w:rPr>
        <w:t xml:space="preserve"> </w:t>
      </w:r>
      <w:r>
        <w:t>факторов, ассоциированных</w:t>
      </w:r>
      <w:r>
        <w:rPr>
          <w:spacing w:val="-4"/>
        </w:rPr>
        <w:t xml:space="preserve"> </w:t>
      </w:r>
      <w:r>
        <w:t>с развитием КЗ-ПС. В модель были включены клинико-лабораторные, интраоперационные и послеоперационные показатели.</w:t>
      </w:r>
    </w:p>
    <w:p w14:paraId="694DE9FA">
      <w:pPr>
        <w:pStyle w:val="7"/>
        <w:spacing w:before="4"/>
        <w:ind w:left="0" w:right="3" w:firstLine="709"/>
      </w:pPr>
      <w:bookmarkStart w:id="30" w:name="По_результатам_анализа,_уровень_аланинам"/>
      <w:bookmarkEnd w:id="30"/>
      <w:r>
        <w:t>По результатам анализа, уровень аланинаминотрансферазы (АЛТ) не продемонстрировал</w:t>
      </w:r>
      <w:r>
        <w:rPr>
          <w:spacing w:val="5"/>
        </w:rPr>
        <w:t xml:space="preserve"> </w:t>
      </w:r>
      <w:r>
        <w:t>статистически</w:t>
      </w:r>
      <w:r>
        <w:rPr>
          <w:spacing w:val="5"/>
        </w:rPr>
        <w:t xml:space="preserve"> </w:t>
      </w:r>
      <w:r>
        <w:t>значимой</w:t>
      </w:r>
      <w:r>
        <w:rPr>
          <w:spacing w:val="4"/>
        </w:rPr>
        <w:t xml:space="preserve"> </w:t>
      </w:r>
      <w:r>
        <w:t>связи</w:t>
      </w:r>
      <w:r>
        <w:rPr>
          <w:spacing w:val="6"/>
        </w:rPr>
        <w:t xml:space="preserve"> </w:t>
      </w:r>
      <w:r>
        <w:t>с</w:t>
      </w:r>
      <w:r>
        <w:rPr>
          <w:spacing w:val="5"/>
        </w:rPr>
        <w:t xml:space="preserve"> </w:t>
      </w:r>
      <w:r>
        <w:t>риском</w:t>
      </w:r>
      <w:r>
        <w:rPr>
          <w:spacing w:val="6"/>
        </w:rPr>
        <w:t xml:space="preserve"> </w:t>
      </w:r>
      <w:r>
        <w:t>развития</w:t>
      </w:r>
      <w:r>
        <w:rPr>
          <w:spacing w:val="7"/>
        </w:rPr>
        <w:t xml:space="preserve"> </w:t>
      </w:r>
      <w:r>
        <w:t>КЗ-ПС</w:t>
      </w:r>
      <w:r>
        <w:rPr>
          <w:spacing w:val="6"/>
        </w:rPr>
        <w:t xml:space="preserve"> </w:t>
      </w:r>
      <w:r>
        <w:rPr>
          <w:spacing w:val="-5"/>
        </w:rPr>
        <w:t>(p</w:t>
      </w:r>
    </w:p>
    <w:p w14:paraId="6D16064A">
      <w:pPr>
        <w:pStyle w:val="7"/>
        <w:tabs>
          <w:tab w:val="left" w:pos="460"/>
          <w:tab w:val="left" w:pos="1468"/>
          <w:tab w:val="left" w:pos="2251"/>
          <w:tab w:val="left" w:pos="2711"/>
          <w:tab w:val="left" w:pos="3718"/>
          <w:tab w:val="left" w:pos="4529"/>
          <w:tab w:val="left" w:pos="5220"/>
          <w:tab w:val="left" w:pos="7090"/>
          <w:tab w:val="left" w:pos="8908"/>
        </w:tabs>
        <w:spacing w:line="321" w:lineRule="exact"/>
        <w:ind w:left="0" w:right="3" w:firstLine="0"/>
        <w:jc w:val="right"/>
      </w:pPr>
      <w:r>
        <w:rPr>
          <w:spacing w:val="-10"/>
        </w:rPr>
        <w:t>=</w:t>
      </w:r>
      <w:r>
        <w:tab/>
      </w:r>
      <w:r>
        <w:rPr>
          <w:spacing w:val="-2"/>
        </w:rPr>
        <w:t>0,153;</w:t>
      </w:r>
      <w:r>
        <w:tab/>
      </w:r>
      <w:r>
        <w:rPr>
          <w:spacing w:val="-5"/>
        </w:rPr>
        <w:t>ОШ</w:t>
      </w:r>
      <w:r>
        <w:tab/>
      </w:r>
      <w:r>
        <w:rPr>
          <w:spacing w:val="-10"/>
        </w:rPr>
        <w:t>=</w:t>
      </w:r>
      <w:r>
        <w:tab/>
      </w:r>
      <w:r>
        <w:rPr>
          <w:spacing w:val="-2"/>
        </w:rPr>
        <w:t>0,997;</w:t>
      </w:r>
      <w:r>
        <w:tab/>
      </w:r>
      <w:r>
        <w:rPr>
          <w:spacing w:val="-5"/>
        </w:rPr>
        <w:t>95%</w:t>
      </w:r>
      <w:r>
        <w:tab/>
      </w:r>
      <w:r>
        <w:rPr>
          <w:spacing w:val="-5"/>
        </w:rPr>
        <w:t>ДИ</w:t>
      </w:r>
      <w:r>
        <w:tab/>
      </w:r>
      <w:r>
        <w:rPr>
          <w:spacing w:val="-2"/>
        </w:rPr>
        <w:t>0,994–1,001).</w:t>
      </w:r>
      <w:r>
        <w:tab/>
      </w:r>
      <w:r>
        <w:rPr>
          <w:spacing w:val="-2"/>
        </w:rPr>
        <w:t>Аналогично,</w:t>
      </w:r>
      <w:r>
        <w:tab/>
      </w:r>
      <w:r>
        <w:rPr>
          <w:spacing w:val="-2"/>
        </w:rPr>
        <w:t>объем</w:t>
      </w:r>
    </w:p>
    <w:p w14:paraId="00FC495C">
      <w:pPr>
        <w:pStyle w:val="7"/>
        <w:tabs>
          <w:tab w:val="left" w:pos="1312"/>
          <w:tab w:val="left" w:pos="1887"/>
          <w:tab w:val="left" w:pos="2966"/>
          <w:tab w:val="left" w:pos="3063"/>
          <w:tab w:val="left" w:pos="3935"/>
          <w:tab w:val="left" w:pos="4824"/>
          <w:tab w:val="left" w:pos="5351"/>
          <w:tab w:val="left" w:pos="6689"/>
          <w:tab w:val="left" w:pos="6723"/>
          <w:tab w:val="left" w:pos="8001"/>
          <w:tab w:val="left" w:pos="8550"/>
          <w:tab w:val="left" w:pos="8998"/>
          <w:tab w:val="left" w:pos="9778"/>
        </w:tabs>
        <w:ind w:left="0" w:right="3" w:firstLine="0"/>
        <w:jc w:val="right"/>
      </w:pPr>
      <w:r>
        <w:rPr>
          <w:spacing w:val="-2"/>
        </w:rPr>
        <w:t>интраоперационной</w:t>
      </w:r>
      <w:r>
        <w:tab/>
      </w:r>
      <w:r>
        <w:tab/>
      </w:r>
      <w:r>
        <w:rPr>
          <w:spacing w:val="-2"/>
        </w:rPr>
        <w:t>кровопотери</w:t>
      </w:r>
      <w:r>
        <w:tab/>
      </w:r>
      <w:r>
        <w:rPr>
          <w:spacing w:val="-6"/>
        </w:rPr>
        <w:t>не</w:t>
      </w:r>
      <w:r>
        <w:tab/>
      </w:r>
      <w:r>
        <w:rPr>
          <w:spacing w:val="-2"/>
        </w:rPr>
        <w:t>оказывал</w:t>
      </w:r>
      <w:r>
        <w:tab/>
      </w:r>
      <w:r>
        <w:rPr>
          <w:spacing w:val="-2"/>
        </w:rPr>
        <w:t>достоверного</w:t>
      </w:r>
      <w:r>
        <w:tab/>
      </w:r>
      <w:r>
        <w:rPr>
          <w:spacing w:val="-2"/>
        </w:rPr>
        <w:t>влияния</w:t>
      </w:r>
      <w:r>
        <w:tab/>
      </w:r>
    </w:p>
    <w:p w14:paraId="6997074A">
      <w:pPr>
        <w:pStyle w:val="7"/>
        <w:tabs>
          <w:tab w:val="left" w:pos="1312"/>
          <w:tab w:val="left" w:pos="1887"/>
          <w:tab w:val="left" w:pos="2966"/>
          <w:tab w:val="left" w:pos="3063"/>
          <w:tab w:val="left" w:pos="3935"/>
          <w:tab w:val="left" w:pos="4824"/>
          <w:tab w:val="left" w:pos="5351"/>
          <w:tab w:val="left" w:pos="6689"/>
          <w:tab w:val="left" w:pos="6723"/>
          <w:tab w:val="left" w:pos="8001"/>
          <w:tab w:val="left" w:pos="8550"/>
          <w:tab w:val="left" w:pos="8998"/>
          <w:tab w:val="left" w:pos="9778"/>
        </w:tabs>
        <w:ind w:left="0" w:right="3" w:firstLine="0"/>
      </w:pPr>
      <w:r>
        <w:rPr>
          <w:spacing w:val="-6"/>
        </w:rPr>
        <w:t xml:space="preserve">на </w:t>
      </w:r>
      <w:r>
        <w:t>вероятность</w:t>
      </w:r>
      <w:r>
        <w:rPr>
          <w:spacing w:val="-11"/>
        </w:rPr>
        <w:t xml:space="preserve"> </w:t>
      </w:r>
      <w:r>
        <w:t>формирования</w:t>
      </w:r>
      <w:r>
        <w:rPr>
          <w:spacing w:val="-8"/>
        </w:rPr>
        <w:t xml:space="preserve"> </w:t>
      </w:r>
      <w:r>
        <w:t>КЗ-ПС</w:t>
      </w:r>
      <w:r>
        <w:rPr>
          <w:spacing w:val="-7"/>
        </w:rPr>
        <w:t xml:space="preserve"> </w:t>
      </w:r>
      <w:r>
        <w:t>(p</w:t>
      </w:r>
      <w:r>
        <w:rPr>
          <w:spacing w:val="-8"/>
        </w:rPr>
        <w:t xml:space="preserve"> </w:t>
      </w:r>
      <w:r>
        <w:t>=</w:t>
      </w:r>
      <w:r>
        <w:rPr>
          <w:spacing w:val="-7"/>
        </w:rPr>
        <w:t xml:space="preserve"> </w:t>
      </w:r>
      <w:r>
        <w:t>0,770;</w:t>
      </w:r>
      <w:r>
        <w:rPr>
          <w:spacing w:val="-9"/>
        </w:rPr>
        <w:t xml:space="preserve"> </w:t>
      </w:r>
      <w:r>
        <w:t>ОШ</w:t>
      </w:r>
      <w:r>
        <w:rPr>
          <w:spacing w:val="-10"/>
        </w:rPr>
        <w:t xml:space="preserve"> </w:t>
      </w:r>
      <w:r>
        <w:t>=</w:t>
      </w:r>
      <w:r>
        <w:rPr>
          <w:spacing w:val="-7"/>
        </w:rPr>
        <w:t xml:space="preserve"> </w:t>
      </w:r>
      <w:r>
        <w:t>1,000;</w:t>
      </w:r>
      <w:r>
        <w:rPr>
          <w:spacing w:val="-9"/>
        </w:rPr>
        <w:t xml:space="preserve"> </w:t>
      </w:r>
      <w:r>
        <w:t>95%</w:t>
      </w:r>
      <w:r>
        <w:rPr>
          <w:spacing w:val="-10"/>
        </w:rPr>
        <w:t xml:space="preserve"> </w:t>
      </w:r>
      <w:r>
        <w:t>ДИ</w:t>
      </w:r>
      <w:r>
        <w:rPr>
          <w:spacing w:val="-13"/>
        </w:rPr>
        <w:t xml:space="preserve"> </w:t>
      </w:r>
      <w:r>
        <w:t xml:space="preserve">0,997–1,002). </w:t>
      </w:r>
      <w:bookmarkStart w:id="31" w:name="Показатели_ААД_в_послеоперационном_перио"/>
      <w:bookmarkEnd w:id="31"/>
      <w:r>
        <w:t>Показатели</w:t>
      </w:r>
      <w:r>
        <w:rPr>
          <w:spacing w:val="80"/>
        </w:rPr>
        <w:t xml:space="preserve"> </w:t>
      </w:r>
      <w:r>
        <w:t>ААД</w:t>
      </w:r>
      <w:r>
        <w:rPr>
          <w:spacing w:val="80"/>
        </w:rPr>
        <w:t xml:space="preserve"> </w:t>
      </w:r>
      <w:r>
        <w:t>в</w:t>
      </w:r>
      <w:r>
        <w:rPr>
          <w:spacing w:val="80"/>
        </w:rPr>
        <w:t xml:space="preserve"> </w:t>
      </w:r>
      <w:r>
        <w:t>послеоперационном</w:t>
      </w:r>
      <w:r>
        <w:rPr>
          <w:spacing w:val="80"/>
        </w:rPr>
        <w:t xml:space="preserve"> </w:t>
      </w:r>
      <w:r>
        <w:t>периоде</w:t>
      </w:r>
      <w:r>
        <w:rPr>
          <w:spacing w:val="80"/>
        </w:rPr>
        <w:t xml:space="preserve"> </w:t>
      </w:r>
      <w:r>
        <w:t>имели</w:t>
      </w:r>
      <w:r>
        <w:rPr>
          <w:spacing w:val="80"/>
        </w:rPr>
        <w:t xml:space="preserve"> </w:t>
      </w:r>
      <w:r>
        <w:t>неоднородную прогностическую</w:t>
      </w:r>
      <w:r>
        <w:rPr>
          <w:spacing w:val="80"/>
        </w:rPr>
        <w:t xml:space="preserve"> </w:t>
      </w:r>
      <w:r>
        <w:t>значимость.</w:t>
      </w:r>
      <w:r>
        <w:rPr>
          <w:spacing w:val="80"/>
        </w:rPr>
        <w:t xml:space="preserve"> </w:t>
      </w:r>
      <w:r>
        <w:t>Так,</w:t>
      </w:r>
      <w:r>
        <w:rPr>
          <w:spacing w:val="80"/>
        </w:rPr>
        <w:t xml:space="preserve"> </w:t>
      </w:r>
      <w:r>
        <w:t>ААД</w:t>
      </w:r>
      <w:r>
        <w:rPr>
          <w:spacing w:val="80"/>
        </w:rPr>
        <w:t xml:space="preserve"> </w:t>
      </w:r>
      <w:r>
        <w:t>в</w:t>
      </w:r>
      <w:r>
        <w:rPr>
          <w:spacing w:val="80"/>
        </w:rPr>
        <w:t xml:space="preserve"> </w:t>
      </w:r>
      <w:r>
        <w:t>первые</w:t>
      </w:r>
      <w:r>
        <w:rPr>
          <w:spacing w:val="80"/>
        </w:rPr>
        <w:t xml:space="preserve"> </w:t>
      </w:r>
      <w:r>
        <w:t>сутки</w:t>
      </w:r>
      <w:r>
        <w:rPr>
          <w:spacing w:val="80"/>
        </w:rPr>
        <w:t xml:space="preserve"> </w:t>
      </w:r>
      <w:r>
        <w:t>после</w:t>
      </w:r>
      <w:r>
        <w:rPr>
          <w:spacing w:val="80"/>
        </w:rPr>
        <w:t xml:space="preserve"> </w:t>
      </w:r>
      <w:r>
        <w:t>операции</w:t>
      </w:r>
      <w:r>
        <w:rPr>
          <w:spacing w:val="80"/>
        </w:rPr>
        <w:t xml:space="preserve"> </w:t>
      </w:r>
      <w:r>
        <w:t>являлось</w:t>
      </w:r>
      <w:r>
        <w:rPr>
          <w:spacing w:val="40"/>
        </w:rPr>
        <w:t xml:space="preserve"> </w:t>
      </w:r>
      <w:r>
        <w:t>независимым</w:t>
      </w:r>
      <w:r>
        <w:rPr>
          <w:spacing w:val="40"/>
        </w:rPr>
        <w:t xml:space="preserve"> </w:t>
      </w:r>
      <w:r>
        <w:t>фактором,</w:t>
      </w:r>
      <w:r>
        <w:rPr>
          <w:spacing w:val="40"/>
        </w:rPr>
        <w:t xml:space="preserve"> </w:t>
      </w:r>
      <w:r>
        <w:t>статистически</w:t>
      </w:r>
      <w:r>
        <w:rPr>
          <w:spacing w:val="40"/>
        </w:rPr>
        <w:t xml:space="preserve"> </w:t>
      </w:r>
      <w:r>
        <w:t>значимо</w:t>
      </w:r>
      <w:r>
        <w:rPr>
          <w:spacing w:val="40"/>
        </w:rPr>
        <w:t xml:space="preserve"> </w:t>
      </w:r>
      <w:r>
        <w:t>ассоциированным</w:t>
      </w:r>
      <w:r>
        <w:rPr>
          <w:spacing w:val="40"/>
        </w:rPr>
        <w:t xml:space="preserve"> </w:t>
      </w:r>
      <w:r>
        <w:t>с повышением</w:t>
      </w:r>
      <w:r>
        <w:rPr>
          <w:spacing w:val="-17"/>
        </w:rPr>
        <w:t xml:space="preserve"> </w:t>
      </w:r>
      <w:r>
        <w:t>риска</w:t>
      </w:r>
      <w:r>
        <w:rPr>
          <w:spacing w:val="-15"/>
        </w:rPr>
        <w:t xml:space="preserve"> </w:t>
      </w:r>
      <w:r>
        <w:t>развития</w:t>
      </w:r>
      <w:r>
        <w:rPr>
          <w:spacing w:val="-15"/>
        </w:rPr>
        <w:t xml:space="preserve"> </w:t>
      </w:r>
      <w:r>
        <w:t>КЗ-ПС</w:t>
      </w:r>
      <w:r>
        <w:rPr>
          <w:spacing w:val="-15"/>
        </w:rPr>
        <w:t xml:space="preserve"> </w:t>
      </w:r>
      <w:r>
        <w:t>(p</w:t>
      </w:r>
      <w:r>
        <w:rPr>
          <w:spacing w:val="-16"/>
        </w:rPr>
        <w:t xml:space="preserve"> </w:t>
      </w:r>
      <w:r>
        <w:t>&lt;0,001;</w:t>
      </w:r>
      <w:r>
        <w:rPr>
          <w:spacing w:val="-16"/>
        </w:rPr>
        <w:t xml:space="preserve"> </w:t>
      </w:r>
      <w:r>
        <w:t>ОШ</w:t>
      </w:r>
      <w:r>
        <w:rPr>
          <w:spacing w:val="-18"/>
        </w:rPr>
        <w:t xml:space="preserve"> </w:t>
      </w:r>
      <w:r>
        <w:t>=</w:t>
      </w:r>
      <w:r>
        <w:rPr>
          <w:spacing w:val="-15"/>
        </w:rPr>
        <w:t xml:space="preserve"> </w:t>
      </w:r>
      <w:r>
        <w:t>1,006;</w:t>
      </w:r>
      <w:r>
        <w:rPr>
          <w:spacing w:val="-16"/>
        </w:rPr>
        <w:t xml:space="preserve"> </w:t>
      </w:r>
      <w:r>
        <w:t>95%</w:t>
      </w:r>
      <w:r>
        <w:rPr>
          <w:spacing w:val="-17"/>
        </w:rPr>
        <w:t xml:space="preserve"> </w:t>
      </w:r>
      <w:r>
        <w:t>ДИ</w:t>
      </w:r>
      <w:r>
        <w:rPr>
          <w:spacing w:val="-18"/>
        </w:rPr>
        <w:t xml:space="preserve"> </w:t>
      </w:r>
      <w:r>
        <w:t xml:space="preserve">1,004–1,008). </w:t>
      </w:r>
      <w:r>
        <w:rPr>
          <w:spacing w:val="-4"/>
        </w:rPr>
        <w:t>ААД</w:t>
      </w:r>
      <w:r>
        <w:tab/>
      </w:r>
      <w:r>
        <w:rPr>
          <w:spacing w:val="-6"/>
        </w:rPr>
        <w:t>на</w:t>
      </w:r>
      <w:r>
        <w:tab/>
      </w:r>
      <w:r>
        <w:rPr>
          <w:spacing w:val="-2"/>
        </w:rPr>
        <w:t>третьи</w:t>
      </w:r>
      <w:r>
        <w:tab/>
      </w:r>
      <w:r>
        <w:rPr>
          <w:spacing w:val="-4"/>
        </w:rPr>
        <w:t xml:space="preserve">сутки </w:t>
      </w:r>
      <w:r>
        <w:rPr>
          <w:spacing w:val="-2"/>
        </w:rPr>
        <w:t>послеоперационного</w:t>
      </w:r>
      <w:r>
        <w:tab/>
      </w:r>
      <w:r>
        <w:tab/>
      </w:r>
      <w:r>
        <w:rPr>
          <w:spacing w:val="-2"/>
        </w:rPr>
        <w:t>периода</w:t>
      </w:r>
      <w:r>
        <w:tab/>
      </w:r>
      <w:r>
        <w:rPr>
          <w:spacing w:val="-2"/>
        </w:rPr>
        <w:t>также</w:t>
      </w:r>
      <w:r>
        <w:tab/>
      </w:r>
      <w:r>
        <w:rPr>
          <w:spacing w:val="-2"/>
        </w:rPr>
        <w:t xml:space="preserve">показало </w:t>
      </w:r>
      <w:r>
        <w:t>статистически</w:t>
      </w:r>
      <w:r>
        <w:rPr>
          <w:spacing w:val="80"/>
        </w:rPr>
        <w:t xml:space="preserve"> </w:t>
      </w:r>
      <w:r>
        <w:t>значимую</w:t>
      </w:r>
      <w:r>
        <w:rPr>
          <w:spacing w:val="80"/>
        </w:rPr>
        <w:t xml:space="preserve"> </w:t>
      </w:r>
      <w:r>
        <w:t>связь</w:t>
      </w:r>
      <w:r>
        <w:rPr>
          <w:spacing w:val="80"/>
        </w:rPr>
        <w:t xml:space="preserve"> </w:t>
      </w:r>
      <w:r>
        <w:t>с</w:t>
      </w:r>
      <w:r>
        <w:rPr>
          <w:spacing w:val="80"/>
        </w:rPr>
        <w:t xml:space="preserve"> </w:t>
      </w:r>
      <w:r>
        <w:t>развитием</w:t>
      </w:r>
      <w:r>
        <w:rPr>
          <w:spacing w:val="80"/>
        </w:rPr>
        <w:t xml:space="preserve"> </w:t>
      </w:r>
      <w:r>
        <w:t>КЗ-ПС,</w:t>
      </w:r>
      <w:r>
        <w:rPr>
          <w:spacing w:val="80"/>
        </w:rPr>
        <w:t xml:space="preserve"> </w:t>
      </w:r>
      <w:r>
        <w:t>однако</w:t>
      </w:r>
      <w:r>
        <w:rPr>
          <w:spacing w:val="80"/>
        </w:rPr>
        <w:t xml:space="preserve"> </w:t>
      </w:r>
      <w:r>
        <w:t>с</w:t>
      </w:r>
      <w:r>
        <w:rPr>
          <w:spacing w:val="80"/>
        </w:rPr>
        <w:t xml:space="preserve"> </w:t>
      </w:r>
      <w:r>
        <w:t>минимальной величиной</w:t>
      </w:r>
      <w:r>
        <w:rPr>
          <w:spacing w:val="-3"/>
        </w:rPr>
        <w:t xml:space="preserve"> </w:t>
      </w:r>
      <w:r>
        <w:t>эффекта</w:t>
      </w:r>
      <w:r>
        <w:rPr>
          <w:spacing w:val="-2"/>
        </w:rPr>
        <w:t xml:space="preserve"> </w:t>
      </w:r>
      <w:r>
        <w:t>(p</w:t>
      </w:r>
      <w:r>
        <w:rPr>
          <w:spacing w:val="-3"/>
        </w:rPr>
        <w:t xml:space="preserve"> </w:t>
      </w:r>
      <w:r>
        <w:t>=</w:t>
      </w:r>
      <w:r>
        <w:rPr>
          <w:spacing w:val="-2"/>
        </w:rPr>
        <w:t xml:space="preserve"> </w:t>
      </w:r>
      <w:r>
        <w:t>0,038;</w:t>
      </w:r>
      <w:r>
        <w:rPr>
          <w:spacing w:val="-3"/>
        </w:rPr>
        <w:t xml:space="preserve"> </w:t>
      </w:r>
      <w:r>
        <w:t>ОШ</w:t>
      </w:r>
      <w:r>
        <w:rPr>
          <w:spacing w:val="-4"/>
        </w:rPr>
        <w:t xml:space="preserve"> </w:t>
      </w:r>
      <w:r>
        <w:t>=</w:t>
      </w:r>
      <w:r>
        <w:rPr>
          <w:spacing w:val="-2"/>
        </w:rPr>
        <w:t xml:space="preserve"> </w:t>
      </w:r>
      <w:r>
        <w:t>1,000;</w:t>
      </w:r>
      <w:r>
        <w:rPr>
          <w:spacing w:val="-3"/>
        </w:rPr>
        <w:t xml:space="preserve"> </w:t>
      </w:r>
      <w:r>
        <w:t>95%</w:t>
      </w:r>
      <w:r>
        <w:rPr>
          <w:spacing w:val="-4"/>
        </w:rPr>
        <w:t xml:space="preserve"> </w:t>
      </w:r>
      <w:r>
        <w:t>ДИ</w:t>
      </w:r>
      <w:r>
        <w:rPr>
          <w:spacing w:val="-6"/>
        </w:rPr>
        <w:t xml:space="preserve"> </w:t>
      </w:r>
      <w:r>
        <w:t>1,000–1,001). В</w:t>
      </w:r>
      <w:r>
        <w:rPr>
          <w:spacing w:val="-1"/>
        </w:rPr>
        <w:t xml:space="preserve"> </w:t>
      </w:r>
      <w:r>
        <w:t>то</w:t>
      </w:r>
      <w:r>
        <w:rPr>
          <w:spacing w:val="-3"/>
        </w:rPr>
        <w:t xml:space="preserve"> </w:t>
      </w:r>
      <w:r>
        <w:t>же</w:t>
      </w:r>
      <w:r>
        <w:rPr>
          <w:spacing w:val="-2"/>
        </w:rPr>
        <w:t xml:space="preserve"> </w:t>
      </w:r>
      <w:r>
        <w:t>время ААД</w:t>
      </w:r>
      <w:r>
        <w:rPr>
          <w:spacing w:val="-9"/>
        </w:rPr>
        <w:t xml:space="preserve"> </w:t>
      </w:r>
      <w:r>
        <w:t>на</w:t>
      </w:r>
      <w:r>
        <w:rPr>
          <w:spacing w:val="-11"/>
        </w:rPr>
        <w:t xml:space="preserve"> </w:t>
      </w:r>
      <w:r>
        <w:t>пятые</w:t>
      </w:r>
      <w:r>
        <w:rPr>
          <w:spacing w:val="-10"/>
        </w:rPr>
        <w:t xml:space="preserve"> </w:t>
      </w:r>
      <w:r>
        <w:t>сутки</w:t>
      </w:r>
      <w:r>
        <w:rPr>
          <w:spacing w:val="-10"/>
        </w:rPr>
        <w:t xml:space="preserve"> </w:t>
      </w:r>
      <w:r>
        <w:t>после</w:t>
      </w:r>
      <w:r>
        <w:rPr>
          <w:spacing w:val="-10"/>
        </w:rPr>
        <w:t xml:space="preserve"> </w:t>
      </w:r>
      <w:r>
        <w:t>операции</w:t>
      </w:r>
      <w:r>
        <w:rPr>
          <w:spacing w:val="-11"/>
        </w:rPr>
        <w:t xml:space="preserve"> </w:t>
      </w:r>
      <w:r>
        <w:t>не</w:t>
      </w:r>
      <w:r>
        <w:rPr>
          <w:spacing w:val="-11"/>
        </w:rPr>
        <w:t xml:space="preserve"> </w:t>
      </w:r>
      <w:r>
        <w:t>являлось</w:t>
      </w:r>
      <w:r>
        <w:rPr>
          <w:spacing w:val="-13"/>
        </w:rPr>
        <w:t xml:space="preserve"> </w:t>
      </w:r>
      <w:r>
        <w:t>значимым</w:t>
      </w:r>
      <w:r>
        <w:rPr>
          <w:spacing w:val="-10"/>
        </w:rPr>
        <w:t xml:space="preserve"> </w:t>
      </w:r>
      <w:r>
        <w:t>предиктором</w:t>
      </w:r>
      <w:r>
        <w:rPr>
          <w:spacing w:val="-9"/>
        </w:rPr>
        <w:t xml:space="preserve"> </w:t>
      </w:r>
      <w:r>
        <w:t>КЗ-</w:t>
      </w:r>
      <w:r>
        <w:rPr>
          <w:spacing w:val="-5"/>
        </w:rPr>
        <w:t>ПС</w:t>
      </w:r>
      <w:r>
        <w:t xml:space="preserve"> (p</w:t>
      </w:r>
      <w:r>
        <w:rPr>
          <w:spacing w:val="-2"/>
        </w:rPr>
        <w:t xml:space="preserve"> </w:t>
      </w:r>
      <w:r>
        <w:t>=</w:t>
      </w:r>
      <w:r>
        <w:rPr>
          <w:spacing w:val="-1"/>
        </w:rPr>
        <w:t xml:space="preserve"> </w:t>
      </w:r>
      <w:r>
        <w:rPr>
          <w:spacing w:val="-2"/>
        </w:rPr>
        <w:t>0,576).</w:t>
      </w:r>
      <w:bookmarkStart w:id="32" w:name="Количество_койко-дней_после_операции_не_"/>
      <w:bookmarkEnd w:id="32"/>
      <w:r>
        <w:t xml:space="preserve"> Количество койко-дней после операции не продемонстрировало статистически значимой ассоциации с риском формирования КЗ-ПС (p = 0,560; ОШ = 1,013; 95% ДИ 0,971–1,057), что указывает на отсутствие независимого влияния данного показателя в рамках представленной модели.</w:t>
      </w:r>
    </w:p>
    <w:p w14:paraId="61FF9CEA">
      <w:pPr>
        <w:pStyle w:val="7"/>
        <w:ind w:left="0" w:right="3" w:firstLine="709"/>
      </w:pPr>
      <w:bookmarkStart w:id="33" w:name="Диаметр_ПП_являлся_статистически_значимы"/>
      <w:bookmarkEnd w:id="33"/>
      <w:r>
        <w:t>Диаметр ПП являлся статистически значимым защитным фактором: увеличение</w:t>
      </w:r>
      <w:r>
        <w:rPr>
          <w:spacing w:val="-4"/>
        </w:rPr>
        <w:t xml:space="preserve"> </w:t>
      </w:r>
      <w:r>
        <w:t>диаметра ПП</w:t>
      </w:r>
      <w:r>
        <w:rPr>
          <w:spacing w:val="-7"/>
        </w:rPr>
        <w:t xml:space="preserve"> </w:t>
      </w:r>
      <w:r>
        <w:t>сопровождалось</w:t>
      </w:r>
      <w:r>
        <w:rPr>
          <w:spacing w:val="-6"/>
        </w:rPr>
        <w:t xml:space="preserve"> </w:t>
      </w:r>
      <w:r>
        <w:t>снижением вероятности</w:t>
      </w:r>
      <w:r>
        <w:rPr>
          <w:spacing w:val="-4"/>
        </w:rPr>
        <w:t xml:space="preserve"> </w:t>
      </w:r>
      <w:r>
        <w:t>развития</w:t>
      </w:r>
      <w:r>
        <w:rPr>
          <w:spacing w:val="-4"/>
        </w:rPr>
        <w:t xml:space="preserve"> </w:t>
      </w:r>
      <w:r>
        <w:t>КЗ- ПС</w:t>
      </w:r>
      <w:r>
        <w:rPr>
          <w:spacing w:val="40"/>
        </w:rPr>
        <w:t xml:space="preserve">  </w:t>
      </w:r>
      <w:r>
        <w:t>(p</w:t>
      </w:r>
      <w:r>
        <w:rPr>
          <w:spacing w:val="39"/>
        </w:rPr>
        <w:t xml:space="preserve">  </w:t>
      </w:r>
      <w:r>
        <w:t>=</w:t>
      </w:r>
      <w:r>
        <w:rPr>
          <w:spacing w:val="41"/>
        </w:rPr>
        <w:t xml:space="preserve">  </w:t>
      </w:r>
      <w:r>
        <w:t>0,028;</w:t>
      </w:r>
      <w:r>
        <w:rPr>
          <w:spacing w:val="39"/>
        </w:rPr>
        <w:t xml:space="preserve">  </w:t>
      </w:r>
      <w:r>
        <w:t>ОШ</w:t>
      </w:r>
      <w:r>
        <w:rPr>
          <w:spacing w:val="39"/>
        </w:rPr>
        <w:t xml:space="preserve">  </w:t>
      </w:r>
      <w:r>
        <w:t>=</w:t>
      </w:r>
      <w:r>
        <w:rPr>
          <w:spacing w:val="40"/>
        </w:rPr>
        <w:t xml:space="preserve">  </w:t>
      </w:r>
      <w:r>
        <w:t>0,810;</w:t>
      </w:r>
      <w:r>
        <w:rPr>
          <w:spacing w:val="39"/>
        </w:rPr>
        <w:t xml:space="preserve">  </w:t>
      </w:r>
      <w:r>
        <w:t>95%</w:t>
      </w:r>
      <w:r>
        <w:rPr>
          <w:spacing w:val="39"/>
        </w:rPr>
        <w:t xml:space="preserve">  </w:t>
      </w:r>
      <w:r>
        <w:t>ДИ</w:t>
      </w:r>
      <w:r>
        <w:rPr>
          <w:spacing w:val="38"/>
        </w:rPr>
        <w:t xml:space="preserve">  </w:t>
      </w:r>
      <w:r>
        <w:t>0,671–0,978).</w:t>
      </w:r>
      <w:r>
        <w:rPr>
          <w:spacing w:val="41"/>
        </w:rPr>
        <w:t xml:space="preserve">  </w:t>
      </w:r>
      <w:r>
        <w:t>Наличие</w:t>
      </w:r>
      <w:r>
        <w:rPr>
          <w:spacing w:val="40"/>
        </w:rPr>
        <w:t xml:space="preserve">  </w:t>
      </w:r>
      <w:r>
        <w:rPr>
          <w:spacing w:val="-2"/>
        </w:rPr>
        <w:t>мягкой</w:t>
      </w:r>
    </w:p>
    <w:p w14:paraId="275C4FE8">
      <w:pPr>
        <w:pStyle w:val="7"/>
        <w:ind w:left="0" w:right="3" w:firstLine="0"/>
      </w:pPr>
      <w:r>
        <w:t>поджелудочной железы, напротив, достоверно повышало риск формирования клинически</w:t>
      </w:r>
      <w:r>
        <w:rPr>
          <w:spacing w:val="-6"/>
        </w:rPr>
        <w:t xml:space="preserve"> </w:t>
      </w:r>
      <w:r>
        <w:t>значимого</w:t>
      </w:r>
      <w:r>
        <w:rPr>
          <w:spacing w:val="-6"/>
        </w:rPr>
        <w:t xml:space="preserve"> </w:t>
      </w:r>
      <w:r>
        <w:t>свища</w:t>
      </w:r>
      <w:r>
        <w:rPr>
          <w:spacing w:val="-6"/>
        </w:rPr>
        <w:t xml:space="preserve"> </w:t>
      </w:r>
      <w:r>
        <w:t>более</w:t>
      </w:r>
      <w:r>
        <w:rPr>
          <w:spacing w:val="-6"/>
        </w:rPr>
        <w:t xml:space="preserve"> </w:t>
      </w:r>
      <w:r>
        <w:t>чем в</w:t>
      </w:r>
      <w:r>
        <w:rPr>
          <w:spacing w:val="-8"/>
        </w:rPr>
        <w:t xml:space="preserve"> </w:t>
      </w:r>
      <w:r>
        <w:t>3</w:t>
      </w:r>
      <w:r>
        <w:rPr>
          <w:spacing w:val="-6"/>
        </w:rPr>
        <w:t xml:space="preserve"> </w:t>
      </w:r>
      <w:r>
        <w:t>раза</w:t>
      </w:r>
      <w:r>
        <w:rPr>
          <w:spacing w:val="-5"/>
        </w:rPr>
        <w:t xml:space="preserve"> </w:t>
      </w:r>
      <w:r>
        <w:t>(p</w:t>
      </w:r>
      <w:r>
        <w:rPr>
          <w:spacing w:val="-6"/>
        </w:rPr>
        <w:t xml:space="preserve"> </w:t>
      </w:r>
      <w:r>
        <w:t>=</w:t>
      </w:r>
      <w:r>
        <w:rPr>
          <w:spacing w:val="-5"/>
        </w:rPr>
        <w:t xml:space="preserve"> </w:t>
      </w:r>
      <w:r>
        <w:t>0,012;</w:t>
      </w:r>
      <w:r>
        <w:rPr>
          <w:spacing w:val="-7"/>
        </w:rPr>
        <w:t xml:space="preserve"> </w:t>
      </w:r>
      <w:r>
        <w:t>ОШ</w:t>
      </w:r>
      <w:r>
        <w:rPr>
          <w:spacing w:val="-9"/>
        </w:rPr>
        <w:t xml:space="preserve"> </w:t>
      </w:r>
      <w:r>
        <w:t>=</w:t>
      </w:r>
      <w:r>
        <w:rPr>
          <w:spacing w:val="-5"/>
        </w:rPr>
        <w:t xml:space="preserve"> </w:t>
      </w:r>
      <w:r>
        <w:t>3,047;</w:t>
      </w:r>
      <w:r>
        <w:rPr>
          <w:spacing w:val="-2"/>
        </w:rPr>
        <w:t xml:space="preserve"> </w:t>
      </w:r>
      <w:r>
        <w:t>95%</w:t>
      </w:r>
      <w:r>
        <w:rPr>
          <w:spacing w:val="-8"/>
        </w:rPr>
        <w:t xml:space="preserve"> </w:t>
      </w:r>
      <w:r>
        <w:t xml:space="preserve">ДИ </w:t>
      </w:r>
      <w:r>
        <w:rPr>
          <w:spacing w:val="-2"/>
        </w:rPr>
        <w:t>1,279–7,259).</w:t>
      </w:r>
      <w:bookmarkStart w:id="34" w:name="Локализация_опухолевого_процесса_не_оказ"/>
      <w:bookmarkEnd w:id="34"/>
      <w:r>
        <w:rPr>
          <w:spacing w:val="-2"/>
          <w:lang w:val="kk-KZ"/>
        </w:rPr>
        <w:t xml:space="preserve"> </w:t>
      </w:r>
      <w:r>
        <w:t xml:space="preserve">Локализация опухолевого процесса не оказывала статистически значимого </w:t>
      </w:r>
      <w:r>
        <w:rPr>
          <w:spacing w:val="-2"/>
        </w:rPr>
        <w:t>влияния</w:t>
      </w:r>
      <w:r>
        <w:rPr>
          <w:spacing w:val="-10"/>
        </w:rPr>
        <w:t xml:space="preserve"> </w:t>
      </w:r>
      <w:r>
        <w:rPr>
          <w:spacing w:val="-2"/>
        </w:rPr>
        <w:t>на</w:t>
      </w:r>
      <w:r>
        <w:rPr>
          <w:spacing w:val="-10"/>
        </w:rPr>
        <w:t xml:space="preserve"> </w:t>
      </w:r>
      <w:r>
        <w:rPr>
          <w:spacing w:val="-2"/>
        </w:rPr>
        <w:t>риск</w:t>
      </w:r>
      <w:r>
        <w:rPr>
          <w:spacing w:val="-11"/>
        </w:rPr>
        <w:t xml:space="preserve"> </w:t>
      </w:r>
      <w:r>
        <w:rPr>
          <w:spacing w:val="-2"/>
        </w:rPr>
        <w:t>развития</w:t>
      </w:r>
      <w:r>
        <w:rPr>
          <w:spacing w:val="-9"/>
        </w:rPr>
        <w:t xml:space="preserve"> </w:t>
      </w:r>
      <w:r>
        <w:rPr>
          <w:spacing w:val="-2"/>
        </w:rPr>
        <w:t>КЗ-ПС.</w:t>
      </w:r>
      <w:r>
        <w:rPr>
          <w:spacing w:val="-7"/>
        </w:rPr>
        <w:t xml:space="preserve"> </w:t>
      </w:r>
      <w:r>
        <w:rPr>
          <w:spacing w:val="-2"/>
        </w:rPr>
        <w:t>По</w:t>
      </w:r>
      <w:r>
        <w:rPr>
          <w:spacing w:val="-11"/>
        </w:rPr>
        <w:t xml:space="preserve"> </w:t>
      </w:r>
      <w:r>
        <w:rPr>
          <w:spacing w:val="-2"/>
        </w:rPr>
        <w:t>сравнению</w:t>
      </w:r>
      <w:r>
        <w:rPr>
          <w:spacing w:val="-12"/>
        </w:rPr>
        <w:t xml:space="preserve"> </w:t>
      </w:r>
      <w:r>
        <w:rPr>
          <w:spacing w:val="-2"/>
        </w:rPr>
        <w:t>с</w:t>
      </w:r>
      <w:r>
        <w:rPr>
          <w:spacing w:val="-10"/>
        </w:rPr>
        <w:t xml:space="preserve"> </w:t>
      </w:r>
      <w:r>
        <w:rPr>
          <w:spacing w:val="-2"/>
        </w:rPr>
        <w:t>группой</w:t>
      </w:r>
      <w:r>
        <w:rPr>
          <w:spacing w:val="-11"/>
        </w:rPr>
        <w:t xml:space="preserve"> </w:t>
      </w:r>
      <w:r>
        <w:rPr>
          <w:spacing w:val="-2"/>
        </w:rPr>
        <w:t>с</w:t>
      </w:r>
      <w:r>
        <w:rPr>
          <w:spacing w:val="-10"/>
        </w:rPr>
        <w:t xml:space="preserve"> </w:t>
      </w:r>
      <w:r>
        <w:rPr>
          <w:spacing w:val="-2"/>
        </w:rPr>
        <w:t>локализацией</w:t>
      </w:r>
      <w:r>
        <w:rPr>
          <w:spacing w:val="-11"/>
        </w:rPr>
        <w:t xml:space="preserve"> </w:t>
      </w:r>
      <w:r>
        <w:rPr>
          <w:spacing w:val="-2"/>
        </w:rPr>
        <w:t>в</w:t>
      </w:r>
      <w:r>
        <w:rPr>
          <w:spacing w:val="-12"/>
        </w:rPr>
        <w:t xml:space="preserve"> </w:t>
      </w:r>
      <w:r>
        <w:rPr>
          <w:spacing w:val="-2"/>
        </w:rPr>
        <w:t xml:space="preserve">ГПЖ </w:t>
      </w:r>
      <w:r>
        <w:t>(референтная категория), различия для БДС, ТОХ и ДПК не достигали статистической</w:t>
      </w:r>
      <w:r>
        <w:rPr>
          <w:spacing w:val="-18"/>
        </w:rPr>
        <w:t xml:space="preserve"> </w:t>
      </w:r>
      <w:r>
        <w:t>значимости</w:t>
      </w:r>
      <w:r>
        <w:rPr>
          <w:spacing w:val="-16"/>
        </w:rPr>
        <w:t xml:space="preserve"> </w:t>
      </w:r>
      <w:r>
        <w:t>(p&gt;0,05</w:t>
      </w:r>
      <w:r>
        <w:rPr>
          <w:spacing w:val="-16"/>
        </w:rPr>
        <w:t xml:space="preserve"> </w:t>
      </w:r>
      <w:r>
        <w:t>для</w:t>
      </w:r>
      <w:r>
        <w:rPr>
          <w:spacing w:val="-14"/>
        </w:rPr>
        <w:t xml:space="preserve"> </w:t>
      </w:r>
      <w:r>
        <w:t>всех</w:t>
      </w:r>
      <w:r>
        <w:rPr>
          <w:spacing w:val="-18"/>
        </w:rPr>
        <w:t xml:space="preserve"> </w:t>
      </w:r>
      <w:r>
        <w:t>сравнений),</w:t>
      </w:r>
      <w:r>
        <w:rPr>
          <w:spacing w:val="-14"/>
        </w:rPr>
        <w:t xml:space="preserve"> </w:t>
      </w:r>
      <w:r>
        <w:t>несмотря</w:t>
      </w:r>
      <w:r>
        <w:rPr>
          <w:spacing w:val="-15"/>
        </w:rPr>
        <w:t xml:space="preserve"> </w:t>
      </w:r>
      <w:r>
        <w:t>на</w:t>
      </w:r>
      <w:r>
        <w:rPr>
          <w:spacing w:val="-15"/>
        </w:rPr>
        <w:t xml:space="preserve"> </w:t>
      </w:r>
      <w:r>
        <w:t>тенденцию к снижению отношения шансов.</w:t>
      </w:r>
    </w:p>
    <w:p w14:paraId="09405F3A">
      <w:pPr>
        <w:pStyle w:val="7"/>
        <w:spacing w:before="1"/>
        <w:ind w:left="0" w:right="3" w:firstLine="709"/>
      </w:pPr>
      <w:bookmarkStart w:id="35" w:name="Тип_ПЕА_также_являлся_независимым_фактор"/>
      <w:bookmarkEnd w:id="35"/>
      <w:r>
        <w:t>Тип ПЕА также являлся независимым фактором риска. Стандартный ПЕА ассоциировался со статистически значимым увеличением вероятности развития КЗ-ПС</w:t>
      </w:r>
      <w:r>
        <w:rPr>
          <w:spacing w:val="-14"/>
        </w:rPr>
        <w:t xml:space="preserve"> </w:t>
      </w:r>
      <w:r>
        <w:t>более</w:t>
      </w:r>
      <w:r>
        <w:rPr>
          <w:spacing w:val="-13"/>
        </w:rPr>
        <w:t xml:space="preserve"> </w:t>
      </w:r>
      <w:r>
        <w:t>чем</w:t>
      </w:r>
      <w:r>
        <w:rPr>
          <w:spacing w:val="-13"/>
        </w:rPr>
        <w:t xml:space="preserve"> </w:t>
      </w:r>
      <w:r>
        <w:t>в</w:t>
      </w:r>
      <w:r>
        <w:rPr>
          <w:spacing w:val="-16"/>
        </w:rPr>
        <w:t xml:space="preserve"> </w:t>
      </w:r>
      <w:r>
        <w:t>3</w:t>
      </w:r>
      <w:r>
        <w:rPr>
          <w:spacing w:val="-18"/>
        </w:rPr>
        <w:t xml:space="preserve"> </w:t>
      </w:r>
      <w:r>
        <w:t>раза</w:t>
      </w:r>
      <w:r>
        <w:rPr>
          <w:spacing w:val="-13"/>
        </w:rPr>
        <w:t xml:space="preserve"> </w:t>
      </w:r>
      <w:r>
        <w:t>по</w:t>
      </w:r>
      <w:r>
        <w:rPr>
          <w:spacing w:val="-14"/>
        </w:rPr>
        <w:t xml:space="preserve"> </w:t>
      </w:r>
      <w:r>
        <w:t>сравнению</w:t>
      </w:r>
      <w:r>
        <w:rPr>
          <w:spacing w:val="-16"/>
        </w:rPr>
        <w:t xml:space="preserve"> </w:t>
      </w:r>
      <w:r>
        <w:t>с</w:t>
      </w:r>
      <w:r>
        <w:rPr>
          <w:spacing w:val="-13"/>
        </w:rPr>
        <w:t xml:space="preserve"> </w:t>
      </w:r>
      <w:r>
        <w:t>альтернативным</w:t>
      </w:r>
      <w:r>
        <w:rPr>
          <w:spacing w:val="-13"/>
        </w:rPr>
        <w:t xml:space="preserve"> </w:t>
      </w:r>
      <w:r>
        <w:t>вариантом</w:t>
      </w:r>
      <w:r>
        <w:rPr>
          <w:spacing w:val="-13"/>
        </w:rPr>
        <w:t xml:space="preserve"> </w:t>
      </w:r>
      <w:r>
        <w:t>анастомоза (p = 0,037; ОШ = 3,209; 95% ДИ 1,072–9,608).</w:t>
      </w:r>
      <w:bookmarkStart w:id="36" w:name="По_данным_многофакторного_логистического"/>
      <w:bookmarkEnd w:id="36"/>
      <w:r>
        <w:rPr>
          <w:lang w:val="kk-KZ"/>
        </w:rPr>
        <w:t xml:space="preserve"> </w:t>
      </w:r>
      <w:r>
        <w:t xml:space="preserve">По данным многофакторного логистического регрессионного анализа, независимыми факторами, ассоциированными с развитием клинически значимых панкреатических свищей, являлись мягкая структура ПЖ, узкий диаметр ПП, повышенные значения среднего артериального давления в раннем </w:t>
      </w:r>
      <w:r>
        <w:rPr>
          <w:spacing w:val="-2"/>
        </w:rPr>
        <w:t>послеоперационном</w:t>
      </w:r>
      <w:r>
        <w:rPr>
          <w:spacing w:val="-6"/>
        </w:rPr>
        <w:t xml:space="preserve"> </w:t>
      </w:r>
      <w:r>
        <w:rPr>
          <w:spacing w:val="-2"/>
        </w:rPr>
        <w:t>периоде,</w:t>
      </w:r>
      <w:r>
        <w:rPr>
          <w:spacing w:val="-4"/>
        </w:rPr>
        <w:t xml:space="preserve"> </w:t>
      </w:r>
      <w:r>
        <w:rPr>
          <w:spacing w:val="-2"/>
        </w:rPr>
        <w:t>а</w:t>
      </w:r>
      <w:r>
        <w:rPr>
          <w:spacing w:val="-6"/>
        </w:rPr>
        <w:t xml:space="preserve"> </w:t>
      </w:r>
      <w:r>
        <w:rPr>
          <w:spacing w:val="-2"/>
        </w:rPr>
        <w:t>также выполнение</w:t>
      </w:r>
      <w:r>
        <w:rPr>
          <w:spacing w:val="-6"/>
        </w:rPr>
        <w:t xml:space="preserve"> </w:t>
      </w:r>
      <w:r>
        <w:rPr>
          <w:spacing w:val="-2"/>
        </w:rPr>
        <w:t>стандартного ПЕА.</w:t>
      </w:r>
      <w:r>
        <w:rPr>
          <w:spacing w:val="-4"/>
        </w:rPr>
        <w:t xml:space="preserve"> </w:t>
      </w:r>
      <w:r>
        <w:rPr>
          <w:spacing w:val="-2"/>
        </w:rPr>
        <w:t xml:space="preserve">Остальные </w:t>
      </w:r>
      <w:r>
        <w:t>включенные в модель показатели не продемонстрировали статистически значимого влияния на риск формирования КЗ-ПС.</w:t>
      </w:r>
    </w:p>
    <w:p w14:paraId="0591DA4A">
      <w:pPr>
        <w:pStyle w:val="7"/>
        <w:ind w:left="0" w:right="3" w:firstLine="709"/>
      </w:pPr>
    </w:p>
    <w:p w14:paraId="476FEE6C">
      <w:pPr>
        <w:pStyle w:val="3"/>
        <w:numPr>
          <w:ilvl w:val="2"/>
          <w:numId w:val="8"/>
        </w:numPr>
        <w:tabs>
          <w:tab w:val="left" w:pos="1818"/>
        </w:tabs>
        <w:spacing w:before="72"/>
        <w:ind w:left="0" w:right="3" w:firstLine="709"/>
        <w:rPr>
          <w:b w:val="0"/>
        </w:rPr>
      </w:pPr>
      <w:bookmarkStart w:id="37" w:name="3.3.4_Корреляционная_взаимосвязь_диаметр"/>
      <w:bookmarkEnd w:id="37"/>
      <w:r>
        <w:rPr>
          <w:b w:val="0"/>
        </w:rPr>
        <w:t>Корреляционная взаимосвязь диаметра ПП и амилазной активности дренажного содержимого</w:t>
      </w:r>
    </w:p>
    <w:p w14:paraId="2C1A7F26">
      <w:pPr>
        <w:pStyle w:val="7"/>
        <w:tabs>
          <w:tab w:val="left" w:pos="5245"/>
        </w:tabs>
        <w:ind w:left="0" w:right="3" w:firstLine="709"/>
      </w:pPr>
      <w:r>
        <w:t>В целях патогенетической интерпретации выявленных ассоциаций дополнительно изучалась взаимосвязь между диаметром ПП и уровнем ААД в ранние послеоперационные сроки. Для оценки характера и направления связи между анатомическими параметрами ПЖ и функциональной состоятельностью ПЕА выполнен ранговый корреляционный анализ по Спирмену.</w:t>
      </w:r>
    </w:p>
    <w:p w14:paraId="09EDDF2D">
      <w:pPr>
        <w:pStyle w:val="7"/>
        <w:ind w:left="0" w:right="3" w:firstLine="709"/>
      </w:pPr>
      <w:r>
        <w:t>В</w:t>
      </w:r>
      <w:r>
        <w:rPr>
          <w:spacing w:val="-2"/>
        </w:rPr>
        <w:t xml:space="preserve"> </w:t>
      </w:r>
      <w:r>
        <w:t>частности, оценивалась</w:t>
      </w:r>
      <w:r>
        <w:rPr>
          <w:spacing w:val="-1"/>
        </w:rPr>
        <w:t xml:space="preserve"> </w:t>
      </w:r>
      <w:r>
        <w:t>взаимосвязь</w:t>
      </w:r>
      <w:r>
        <w:rPr>
          <w:spacing w:val="-1"/>
        </w:rPr>
        <w:t xml:space="preserve"> </w:t>
      </w:r>
      <w:r>
        <w:t>диаметра ПП</w:t>
      </w:r>
      <w:r>
        <w:rPr>
          <w:spacing w:val="-3"/>
        </w:rPr>
        <w:t xml:space="preserve"> </w:t>
      </w:r>
      <w:r>
        <w:t>и уровней ААД на 1-е, 3-и и 5-е послеоперационные сутки.</w:t>
      </w:r>
      <w:r>
        <w:rPr>
          <w:lang w:val="kk-KZ"/>
        </w:rPr>
        <w:t xml:space="preserve"> </w:t>
      </w:r>
      <w:r>
        <w:t>Ранговая корреляция Спирмена выявила устойчивую и статистически значимую обратную зависимость между диаметром ПП и уровнем ААД во все три временные точки. На 1-е сутки после операции коэффициент корреляции составил ρ = −0,35 (p&lt;0,001), что указывает на то, что меньший диаметр ПП ассоциировался с более высокими концентрациями амилазы. Это может отражать технические трудности при формировании ПЕА у пациентов с недилатированным протоком и потенциально способствовать повышенному риску формирования ПС в раннем послеоперационном периоде.</w:t>
      </w:r>
      <w:r>
        <w:rPr>
          <w:lang w:val="kk-KZ"/>
        </w:rPr>
        <w:t xml:space="preserve"> </w:t>
      </w:r>
      <w:r>
        <w:t>Аналогичная</w:t>
      </w:r>
      <w:r>
        <w:rPr>
          <w:spacing w:val="-6"/>
        </w:rPr>
        <w:t xml:space="preserve"> </w:t>
      </w:r>
      <w:r>
        <w:t>обратная</w:t>
      </w:r>
      <w:r>
        <w:rPr>
          <w:spacing w:val="-6"/>
        </w:rPr>
        <w:t xml:space="preserve"> </w:t>
      </w:r>
      <w:r>
        <w:t>связь</w:t>
      </w:r>
      <w:r>
        <w:rPr>
          <w:spacing w:val="-9"/>
        </w:rPr>
        <w:t xml:space="preserve"> </w:t>
      </w:r>
      <w:r>
        <w:t>сохранялась</w:t>
      </w:r>
      <w:r>
        <w:rPr>
          <w:spacing w:val="-9"/>
        </w:rPr>
        <w:t xml:space="preserve"> </w:t>
      </w:r>
      <w:r>
        <w:t>на</w:t>
      </w:r>
      <w:r>
        <w:rPr>
          <w:spacing w:val="-7"/>
        </w:rPr>
        <w:t xml:space="preserve"> </w:t>
      </w:r>
      <w:r>
        <w:t>3-и</w:t>
      </w:r>
      <w:r>
        <w:rPr>
          <w:spacing w:val="-7"/>
        </w:rPr>
        <w:t xml:space="preserve"> </w:t>
      </w:r>
      <w:r>
        <w:t>сутки</w:t>
      </w:r>
      <w:r>
        <w:rPr>
          <w:spacing w:val="-7"/>
        </w:rPr>
        <w:t xml:space="preserve"> </w:t>
      </w:r>
      <w:r>
        <w:t>(ρ</w:t>
      </w:r>
      <w:r>
        <w:rPr>
          <w:spacing w:val="-7"/>
        </w:rPr>
        <w:t xml:space="preserve"> </w:t>
      </w:r>
      <w:r>
        <w:t>=</w:t>
      </w:r>
      <w:r>
        <w:rPr>
          <w:spacing w:val="-6"/>
        </w:rPr>
        <w:t xml:space="preserve"> </w:t>
      </w:r>
      <w:r>
        <w:t>−0,31;</w:t>
      </w:r>
      <w:r>
        <w:rPr>
          <w:spacing w:val="-8"/>
        </w:rPr>
        <w:t xml:space="preserve"> </w:t>
      </w:r>
      <w:r>
        <w:t>p&lt;0,001)</w:t>
      </w:r>
      <w:r>
        <w:rPr>
          <w:spacing w:val="-8"/>
        </w:rPr>
        <w:t xml:space="preserve"> </w:t>
      </w:r>
      <w:r>
        <w:t>и 5-е сутки (ρ = −0,35; p&lt;0,001). Несмотря на незначительные изменения силы корреляции с течением времени, все выявленные ассоциации оставались статистически и клинически значимыми.</w:t>
      </w:r>
    </w:p>
    <w:p w14:paraId="05978995">
      <w:pPr>
        <w:pStyle w:val="7"/>
        <w:spacing w:before="117"/>
        <w:ind w:left="0" w:firstLine="0"/>
        <w:jc w:val="left"/>
        <w:rPr>
          <w:sz w:val="20"/>
        </w:rPr>
      </w:pPr>
      <w:r>
        <w:rPr>
          <w:sz w:val="20"/>
          <w:lang w:eastAsia="ru-RU"/>
        </w:rPr>
        <w:drawing>
          <wp:anchor distT="0" distB="0" distL="0" distR="0" simplePos="0" relativeHeight="251688960" behindDoc="1" locked="0" layoutInCell="1" allowOverlap="1">
            <wp:simplePos x="0" y="0"/>
            <wp:positionH relativeFrom="page">
              <wp:posOffset>1638300</wp:posOffset>
            </wp:positionH>
            <wp:positionV relativeFrom="paragraph">
              <wp:posOffset>232410</wp:posOffset>
            </wp:positionV>
            <wp:extent cx="5417820" cy="3604260"/>
            <wp:effectExtent l="0" t="0" r="0" b="0"/>
            <wp:wrapTopAndBottom/>
            <wp:docPr id="172" name="Image 172"/>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48" cstate="print"/>
                    <a:stretch>
                      <a:fillRect/>
                    </a:stretch>
                  </pic:blipFill>
                  <pic:spPr>
                    <a:xfrm>
                      <a:off x="0" y="0"/>
                      <a:ext cx="5417820" cy="3604260"/>
                    </a:xfrm>
                    <a:prstGeom prst="rect">
                      <a:avLst/>
                    </a:prstGeom>
                  </pic:spPr>
                </pic:pic>
              </a:graphicData>
            </a:graphic>
          </wp:anchor>
        </w:drawing>
      </w:r>
    </w:p>
    <w:p w14:paraId="2185D081">
      <w:pPr>
        <w:pStyle w:val="7"/>
        <w:spacing w:before="96"/>
        <w:ind w:left="0" w:right="421" w:firstLine="0"/>
        <w:jc w:val="center"/>
        <w:rPr>
          <w:spacing w:val="-5"/>
        </w:rPr>
      </w:pPr>
      <w:r>
        <w:rPr>
          <w:spacing w:val="-5"/>
        </w:rPr>
        <w:t>А)</w:t>
      </w:r>
    </w:p>
    <w:p w14:paraId="259CA142">
      <w:pPr>
        <w:pStyle w:val="7"/>
        <w:ind w:left="1258" w:firstLine="0"/>
        <w:jc w:val="left"/>
        <w:rPr>
          <w:spacing w:val="-5"/>
        </w:rPr>
      </w:pPr>
      <w:r>
        <w:rPr>
          <w:sz w:val="20"/>
          <w:lang w:eastAsia="ru-RU"/>
        </w:rPr>
        <w:drawing>
          <wp:inline distT="0" distB="0" distL="0" distR="0">
            <wp:extent cx="4983480" cy="3848100"/>
            <wp:effectExtent l="0" t="0" r="7620" b="0"/>
            <wp:docPr id="173" name="Image 173"/>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49" cstate="print"/>
                    <a:stretch>
                      <a:fillRect/>
                    </a:stretch>
                  </pic:blipFill>
                  <pic:spPr>
                    <a:xfrm>
                      <a:off x="0" y="0"/>
                      <a:ext cx="4983948" cy="3848461"/>
                    </a:xfrm>
                    <a:prstGeom prst="rect">
                      <a:avLst/>
                    </a:prstGeom>
                  </pic:spPr>
                </pic:pic>
              </a:graphicData>
            </a:graphic>
          </wp:inline>
        </w:drawing>
      </w:r>
    </w:p>
    <w:p w14:paraId="04E323E4">
      <w:pPr>
        <w:pStyle w:val="7"/>
        <w:spacing w:before="96"/>
        <w:ind w:left="0" w:right="421" w:firstLine="0"/>
        <w:jc w:val="center"/>
        <w:rPr>
          <w:spacing w:val="-5"/>
        </w:rPr>
      </w:pPr>
      <w:r>
        <w:rPr>
          <w:spacing w:val="-5"/>
        </w:rPr>
        <w:t>Б)</w:t>
      </w:r>
    </w:p>
    <w:p w14:paraId="18E49D2D">
      <w:pPr>
        <w:pStyle w:val="7"/>
        <w:ind w:left="1258" w:firstLine="0"/>
        <w:jc w:val="left"/>
        <w:rPr>
          <w:b/>
          <w:spacing w:val="-5"/>
        </w:rPr>
      </w:pPr>
    </w:p>
    <w:p w14:paraId="156E756E">
      <w:pPr>
        <w:pStyle w:val="7"/>
        <w:spacing w:before="321"/>
        <w:ind w:left="3714" w:right="218" w:hanging="3098"/>
        <w:jc w:val="left"/>
      </w:pPr>
      <w:r>
        <w:t>Рисунок</w:t>
      </w:r>
      <w:r>
        <w:rPr>
          <w:spacing w:val="-4"/>
        </w:rPr>
        <w:t xml:space="preserve"> </w:t>
      </w:r>
      <w:r>
        <w:t>21</w:t>
      </w:r>
      <w:r>
        <w:rPr>
          <w:spacing w:val="-2"/>
        </w:rPr>
        <w:t xml:space="preserve"> </w:t>
      </w:r>
      <w:r>
        <w:t>-</w:t>
      </w:r>
      <w:r>
        <w:rPr>
          <w:spacing w:val="-4"/>
        </w:rPr>
        <w:t xml:space="preserve"> </w:t>
      </w:r>
      <w:r>
        <w:t>Корреляция</w:t>
      </w:r>
      <w:r>
        <w:rPr>
          <w:spacing w:val="-2"/>
        </w:rPr>
        <w:t xml:space="preserve"> </w:t>
      </w:r>
      <w:r>
        <w:t>диаметра</w:t>
      </w:r>
      <w:r>
        <w:rPr>
          <w:spacing w:val="-2"/>
        </w:rPr>
        <w:t xml:space="preserve"> </w:t>
      </w:r>
      <w:r>
        <w:t>ПП</w:t>
      </w:r>
      <w:r>
        <w:rPr>
          <w:spacing w:val="-6"/>
        </w:rPr>
        <w:t xml:space="preserve"> </w:t>
      </w:r>
      <w:r>
        <w:t>и уровня</w:t>
      </w:r>
      <w:r>
        <w:rPr>
          <w:spacing w:val="-2"/>
        </w:rPr>
        <w:t xml:space="preserve"> </w:t>
      </w:r>
      <w:r>
        <w:t>ААД</w:t>
      </w:r>
      <w:r>
        <w:rPr>
          <w:spacing w:val="-2"/>
        </w:rPr>
        <w:t xml:space="preserve"> </w:t>
      </w:r>
      <w:r>
        <w:t>на</w:t>
      </w:r>
      <w:r>
        <w:rPr>
          <w:spacing w:val="-2"/>
        </w:rPr>
        <w:t xml:space="preserve"> </w:t>
      </w:r>
      <w:r>
        <w:t>1-е</w:t>
      </w:r>
      <w:r>
        <w:rPr>
          <w:spacing w:val="-2"/>
        </w:rPr>
        <w:t xml:space="preserve"> </w:t>
      </w:r>
      <w:r>
        <w:t>(А),</w:t>
      </w:r>
      <w:r>
        <w:rPr>
          <w:spacing w:val="-1"/>
        </w:rPr>
        <w:t xml:space="preserve"> </w:t>
      </w:r>
      <w:r>
        <w:t>3-и</w:t>
      </w:r>
      <w:r>
        <w:rPr>
          <w:spacing w:val="-3"/>
        </w:rPr>
        <w:t xml:space="preserve"> </w:t>
      </w:r>
      <w:r>
        <w:t>(Б)</w:t>
      </w:r>
      <w:r>
        <w:rPr>
          <w:spacing w:val="-4"/>
        </w:rPr>
        <w:t xml:space="preserve"> </w:t>
      </w:r>
      <w:r>
        <w:t>и</w:t>
      </w:r>
      <w:r>
        <w:rPr>
          <w:spacing w:val="-3"/>
        </w:rPr>
        <w:t xml:space="preserve"> </w:t>
      </w:r>
      <w:r>
        <w:t>5-е (В) сутки после операции 1стр</w:t>
      </w:r>
    </w:p>
    <w:p w14:paraId="499BCBA3">
      <w:pPr>
        <w:pStyle w:val="7"/>
        <w:ind w:left="1258" w:firstLine="0"/>
        <w:jc w:val="left"/>
        <w:rPr>
          <w:b/>
          <w:spacing w:val="-5"/>
        </w:rPr>
      </w:pPr>
    </w:p>
    <w:p w14:paraId="78DFFB69">
      <w:pPr>
        <w:pStyle w:val="7"/>
        <w:ind w:left="1258" w:firstLine="0"/>
        <w:jc w:val="left"/>
      </w:pPr>
      <w:r>
        <w:rPr>
          <w:lang w:eastAsia="ru-RU"/>
        </w:rPr>
        <w:drawing>
          <wp:anchor distT="0" distB="0" distL="0" distR="0" simplePos="0" relativeHeight="251682816" behindDoc="1" locked="0" layoutInCell="1" allowOverlap="1">
            <wp:simplePos x="0" y="0"/>
            <wp:positionH relativeFrom="page">
              <wp:posOffset>1746885</wp:posOffset>
            </wp:positionH>
            <wp:positionV relativeFrom="paragraph">
              <wp:posOffset>312420</wp:posOffset>
            </wp:positionV>
            <wp:extent cx="5186680" cy="3371850"/>
            <wp:effectExtent l="0" t="0" r="0" b="0"/>
            <wp:wrapTopAndBottom/>
            <wp:docPr id="174" name="Image 174"/>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50" cstate="print"/>
                    <a:stretch>
                      <a:fillRect/>
                    </a:stretch>
                  </pic:blipFill>
                  <pic:spPr>
                    <a:xfrm>
                      <a:off x="0" y="0"/>
                      <a:ext cx="5186745" cy="3372040"/>
                    </a:xfrm>
                    <a:prstGeom prst="rect">
                      <a:avLst/>
                    </a:prstGeom>
                  </pic:spPr>
                </pic:pic>
              </a:graphicData>
            </a:graphic>
          </wp:anchor>
        </w:drawing>
      </w:r>
    </w:p>
    <w:p w14:paraId="43BCEB1F">
      <w:pPr>
        <w:pStyle w:val="7"/>
        <w:spacing w:before="160"/>
        <w:ind w:left="0" w:right="991" w:firstLine="0"/>
        <w:jc w:val="center"/>
      </w:pPr>
      <w:r>
        <w:rPr>
          <w:spacing w:val="-5"/>
        </w:rPr>
        <w:t>В)</w:t>
      </w:r>
    </w:p>
    <w:p w14:paraId="4194E764">
      <w:pPr>
        <w:pStyle w:val="7"/>
        <w:spacing w:before="321"/>
        <w:ind w:left="3714" w:right="218" w:hanging="3098"/>
        <w:jc w:val="left"/>
      </w:pPr>
      <w:r>
        <w:t>Рисунок</w:t>
      </w:r>
      <w:r>
        <w:rPr>
          <w:spacing w:val="-4"/>
        </w:rPr>
        <w:t xml:space="preserve"> </w:t>
      </w:r>
      <w:r>
        <w:t>21</w:t>
      </w:r>
      <w:r>
        <w:rPr>
          <w:spacing w:val="-2"/>
        </w:rPr>
        <w:t xml:space="preserve"> </w:t>
      </w:r>
      <w:r>
        <w:t>-</w:t>
      </w:r>
      <w:r>
        <w:rPr>
          <w:spacing w:val="-4"/>
        </w:rPr>
        <w:t xml:space="preserve"> </w:t>
      </w:r>
      <w:r>
        <w:t>Корреляция</w:t>
      </w:r>
      <w:r>
        <w:rPr>
          <w:spacing w:val="-2"/>
        </w:rPr>
        <w:t xml:space="preserve"> </w:t>
      </w:r>
      <w:r>
        <w:t>диаметра</w:t>
      </w:r>
      <w:r>
        <w:rPr>
          <w:spacing w:val="-2"/>
        </w:rPr>
        <w:t xml:space="preserve"> </w:t>
      </w:r>
      <w:r>
        <w:t>ПП</w:t>
      </w:r>
      <w:r>
        <w:rPr>
          <w:spacing w:val="-6"/>
        </w:rPr>
        <w:t xml:space="preserve"> </w:t>
      </w:r>
      <w:r>
        <w:t>и уровня</w:t>
      </w:r>
      <w:r>
        <w:rPr>
          <w:spacing w:val="-2"/>
        </w:rPr>
        <w:t xml:space="preserve"> </w:t>
      </w:r>
      <w:r>
        <w:t>ААД</w:t>
      </w:r>
      <w:r>
        <w:rPr>
          <w:spacing w:val="-2"/>
        </w:rPr>
        <w:t xml:space="preserve"> </w:t>
      </w:r>
      <w:r>
        <w:t>на</w:t>
      </w:r>
      <w:r>
        <w:rPr>
          <w:spacing w:val="-2"/>
        </w:rPr>
        <w:t xml:space="preserve"> </w:t>
      </w:r>
      <w:r>
        <w:t>1-е</w:t>
      </w:r>
      <w:r>
        <w:rPr>
          <w:spacing w:val="-2"/>
        </w:rPr>
        <w:t xml:space="preserve"> </w:t>
      </w:r>
      <w:r>
        <w:t>(А),</w:t>
      </w:r>
      <w:r>
        <w:rPr>
          <w:spacing w:val="-1"/>
        </w:rPr>
        <w:t xml:space="preserve"> </w:t>
      </w:r>
      <w:r>
        <w:t>3-и</w:t>
      </w:r>
      <w:r>
        <w:rPr>
          <w:spacing w:val="-3"/>
        </w:rPr>
        <w:t xml:space="preserve"> </w:t>
      </w:r>
      <w:r>
        <w:t>(Б)</w:t>
      </w:r>
      <w:r>
        <w:rPr>
          <w:spacing w:val="-4"/>
        </w:rPr>
        <w:t xml:space="preserve"> </w:t>
      </w:r>
      <w:r>
        <w:t>и</w:t>
      </w:r>
      <w:r>
        <w:rPr>
          <w:spacing w:val="-3"/>
        </w:rPr>
        <w:t xml:space="preserve"> </w:t>
      </w:r>
      <w:r>
        <w:t>5-е (В) сутки после операции</w:t>
      </w:r>
    </w:p>
    <w:p w14:paraId="087DCD16">
      <w:pPr>
        <w:pStyle w:val="7"/>
        <w:spacing w:before="321"/>
        <w:ind w:left="0" w:firstLine="709"/>
        <w:jc w:val="left"/>
      </w:pPr>
      <w:r>
        <w:t>Статистически значимая обратная корреляция наблюдалась на все три дня (значение ρ Спирмена варьировалось от -0,31 до -0,35; p &lt;0,001).</w:t>
      </w:r>
    </w:p>
    <w:p w14:paraId="5D316BBB">
      <w:pPr>
        <w:pStyle w:val="7"/>
        <w:spacing w:before="67"/>
        <w:ind w:left="0" w:right="3" w:firstLine="709"/>
      </w:pPr>
      <w:r>
        <w:t>Полученные данные представлены на рисунке 21, который иллюстрирует устойчивую</w:t>
      </w:r>
      <w:r>
        <w:rPr>
          <w:spacing w:val="-17"/>
        </w:rPr>
        <w:t xml:space="preserve"> </w:t>
      </w:r>
      <w:r>
        <w:t>тенденцию</w:t>
      </w:r>
      <w:r>
        <w:rPr>
          <w:spacing w:val="-17"/>
        </w:rPr>
        <w:t xml:space="preserve"> </w:t>
      </w:r>
      <w:r>
        <w:t>к</w:t>
      </w:r>
      <w:r>
        <w:rPr>
          <w:spacing w:val="-16"/>
        </w:rPr>
        <w:t xml:space="preserve"> </w:t>
      </w:r>
      <w:r>
        <w:t>снижению</w:t>
      </w:r>
      <w:r>
        <w:rPr>
          <w:spacing w:val="-12"/>
        </w:rPr>
        <w:t xml:space="preserve"> </w:t>
      </w:r>
      <w:r>
        <w:t>уровня</w:t>
      </w:r>
      <w:r>
        <w:rPr>
          <w:spacing w:val="-14"/>
        </w:rPr>
        <w:t xml:space="preserve"> </w:t>
      </w:r>
      <w:r>
        <w:t>ААД</w:t>
      </w:r>
      <w:r>
        <w:rPr>
          <w:spacing w:val="-13"/>
        </w:rPr>
        <w:t xml:space="preserve"> </w:t>
      </w:r>
      <w:r>
        <w:t>с</w:t>
      </w:r>
      <w:r>
        <w:rPr>
          <w:spacing w:val="-14"/>
        </w:rPr>
        <w:t xml:space="preserve"> </w:t>
      </w:r>
      <w:r>
        <w:t>увеличением</w:t>
      </w:r>
      <w:r>
        <w:rPr>
          <w:spacing w:val="-14"/>
        </w:rPr>
        <w:t xml:space="preserve"> </w:t>
      </w:r>
      <w:r>
        <w:t>диаметра</w:t>
      </w:r>
      <w:r>
        <w:rPr>
          <w:spacing w:val="-14"/>
        </w:rPr>
        <w:t xml:space="preserve"> </w:t>
      </w:r>
      <w:r>
        <w:t>ПП</w:t>
      </w:r>
      <w:r>
        <w:rPr>
          <w:spacing w:val="-18"/>
        </w:rPr>
        <w:t xml:space="preserve"> </w:t>
      </w:r>
      <w:r>
        <w:t>на протяжении всего раннего послеоперационного периода.</w:t>
      </w:r>
    </w:p>
    <w:p w14:paraId="4BFEBB40">
      <w:pPr>
        <w:pStyle w:val="7"/>
        <w:ind w:left="0" w:right="3" w:firstLine="709"/>
      </w:pPr>
      <w:r>
        <w:t xml:space="preserve">Таким образом, формирование ПС обусловлено сочетанным влиянием биохимических, анатомических и интраоперационных параметров, среди которых наибольшее прогностическое значение имеют уровень ААД в первые сутки после операции, диаметр ПП и локализация опухоли, что необходимо учитывать при выборе хирургической тактики и разработке мер профилактики </w:t>
      </w:r>
      <w:r>
        <w:rPr>
          <w:spacing w:val="-2"/>
        </w:rPr>
        <w:t>осложнений.</w:t>
      </w:r>
    </w:p>
    <w:p w14:paraId="066269AF">
      <w:pPr>
        <w:pStyle w:val="7"/>
        <w:spacing w:before="8" w:line="235" w:lineRule="auto"/>
        <w:ind w:left="0" w:right="3" w:firstLine="709"/>
      </w:pPr>
      <w:r>
        <w:t>Резюмируя раздел 3.3, показано, что формирование клинически значимого панкреатического свища после ГПДР определяется сочетанным влиянием анатомо-тканевых</w:t>
      </w:r>
      <w:r>
        <w:rPr>
          <w:spacing w:val="-10"/>
        </w:rPr>
        <w:t xml:space="preserve"> </w:t>
      </w:r>
      <w:r>
        <w:t>и</w:t>
      </w:r>
      <w:r>
        <w:rPr>
          <w:spacing w:val="-6"/>
        </w:rPr>
        <w:t xml:space="preserve"> </w:t>
      </w:r>
      <w:r>
        <w:t>функциональных</w:t>
      </w:r>
      <w:r>
        <w:rPr>
          <w:spacing w:val="-10"/>
        </w:rPr>
        <w:t xml:space="preserve"> </w:t>
      </w:r>
      <w:r>
        <w:t>факторов.</w:t>
      </w:r>
      <w:r>
        <w:rPr>
          <w:spacing w:val="-3"/>
        </w:rPr>
        <w:t xml:space="preserve"> </w:t>
      </w:r>
      <w:r>
        <w:t>Однофакторный</w:t>
      </w:r>
      <w:r>
        <w:rPr>
          <w:spacing w:val="-6"/>
        </w:rPr>
        <w:t xml:space="preserve"> </w:t>
      </w:r>
      <w:r>
        <w:t>анализ</w:t>
      </w:r>
      <w:r>
        <w:rPr>
          <w:spacing w:val="-5"/>
        </w:rPr>
        <w:t xml:space="preserve"> </w:t>
      </w:r>
      <w:r>
        <w:t>выявил два ключевых клинико-анатомических предиктора: мягкую консистенцию поджелудочной железы и малый диаметр панкреатического протока. Наличие мягкой</w:t>
      </w:r>
      <w:r>
        <w:rPr>
          <w:spacing w:val="-7"/>
        </w:rPr>
        <w:t xml:space="preserve"> </w:t>
      </w:r>
      <w:r>
        <w:t>ПЖ</w:t>
      </w:r>
      <w:r>
        <w:rPr>
          <w:spacing w:val="-3"/>
        </w:rPr>
        <w:t xml:space="preserve"> </w:t>
      </w:r>
      <w:r>
        <w:t>увеличивало</w:t>
      </w:r>
      <w:r>
        <w:rPr>
          <w:spacing w:val="-7"/>
        </w:rPr>
        <w:t xml:space="preserve"> </w:t>
      </w:r>
      <w:r>
        <w:t>риск</w:t>
      </w:r>
      <w:r>
        <w:rPr>
          <w:spacing w:val="-8"/>
        </w:rPr>
        <w:t xml:space="preserve"> </w:t>
      </w:r>
      <w:r>
        <w:t>КЗ-ПС</w:t>
      </w:r>
      <w:r>
        <w:rPr>
          <w:spacing w:val="-6"/>
        </w:rPr>
        <w:t xml:space="preserve"> </w:t>
      </w:r>
      <w:r>
        <w:t>более</w:t>
      </w:r>
      <w:r>
        <w:rPr>
          <w:spacing w:val="-7"/>
        </w:rPr>
        <w:t xml:space="preserve"> </w:t>
      </w:r>
      <w:r>
        <w:t>чем</w:t>
      </w:r>
      <w:r>
        <w:rPr>
          <w:spacing w:val="-6"/>
        </w:rPr>
        <w:t xml:space="preserve"> </w:t>
      </w:r>
      <w:r>
        <w:t>в</w:t>
      </w:r>
      <w:r>
        <w:rPr>
          <w:spacing w:val="-9"/>
        </w:rPr>
        <w:t xml:space="preserve"> </w:t>
      </w:r>
      <w:r>
        <w:t>7</w:t>
      </w:r>
      <w:r>
        <w:rPr>
          <w:spacing w:val="-7"/>
        </w:rPr>
        <w:t xml:space="preserve"> </w:t>
      </w:r>
      <w:r>
        <w:t>раз,</w:t>
      </w:r>
      <w:r>
        <w:rPr>
          <w:spacing w:val="-5"/>
        </w:rPr>
        <w:t xml:space="preserve"> </w:t>
      </w:r>
      <w:r>
        <w:t>а</w:t>
      </w:r>
      <w:r>
        <w:rPr>
          <w:spacing w:val="-11"/>
        </w:rPr>
        <w:t xml:space="preserve"> </w:t>
      </w:r>
      <w:r>
        <w:t>диаметр</w:t>
      </w:r>
      <w:r>
        <w:rPr>
          <w:spacing w:val="-7"/>
        </w:rPr>
        <w:t xml:space="preserve"> </w:t>
      </w:r>
      <w:r>
        <w:t>ПП</w:t>
      </w:r>
      <w:r>
        <w:rPr>
          <w:spacing w:val="-11"/>
        </w:rPr>
        <w:t xml:space="preserve"> </w:t>
      </w:r>
      <w:r>
        <w:t>≤3,5</w:t>
      </w:r>
      <w:r>
        <w:rPr>
          <w:spacing w:val="-7"/>
        </w:rPr>
        <w:t xml:space="preserve"> </w:t>
      </w:r>
      <w:r>
        <w:t>мм — почти в 6 раз. ROC-анализ подтвердил пороговое значение диаметра ПП 3,5 мм как клинически значимый ориентир риска, при этом показатель должен интерпретироваться в составе комплексной оценки.</w:t>
      </w:r>
    </w:p>
    <w:p w14:paraId="087D137A">
      <w:pPr>
        <w:pStyle w:val="7"/>
        <w:spacing w:line="235" w:lineRule="auto"/>
        <w:ind w:left="0" w:right="3" w:firstLine="709"/>
      </w:pPr>
      <w:r>
        <w:t>Функциональным маркёром риска выступила амилазная активность дренажного отделяемого. Высокая прогностическая ценность ААД на 1-е, 3-и и 5-е сутки (AUC=0,86) позволяет использовать этот показатель для ранней стратификации риска и усиленного мониторинга. Многофакторный логистический анализ подтвердил независимое влияние мягкой ПЖ, малого диаметра ПП, повышенной ААД в раннем послеоперационном периоде и стандартного типа ПЕА на вероятность развития КЗ-ПС, тогда как интраоперационные</w:t>
      </w:r>
      <w:r>
        <w:rPr>
          <w:spacing w:val="-18"/>
        </w:rPr>
        <w:t xml:space="preserve"> </w:t>
      </w:r>
      <w:r>
        <w:t>параметры</w:t>
      </w:r>
      <w:r>
        <w:rPr>
          <w:spacing w:val="-17"/>
        </w:rPr>
        <w:t xml:space="preserve"> </w:t>
      </w:r>
      <w:r>
        <w:t>и</w:t>
      </w:r>
      <w:r>
        <w:rPr>
          <w:spacing w:val="-18"/>
        </w:rPr>
        <w:t xml:space="preserve"> </w:t>
      </w:r>
      <w:r>
        <w:t>локализация</w:t>
      </w:r>
      <w:r>
        <w:rPr>
          <w:spacing w:val="-17"/>
        </w:rPr>
        <w:t xml:space="preserve"> </w:t>
      </w:r>
      <w:r>
        <w:t>опухоли</w:t>
      </w:r>
      <w:r>
        <w:rPr>
          <w:spacing w:val="-18"/>
        </w:rPr>
        <w:t xml:space="preserve"> </w:t>
      </w:r>
      <w:r>
        <w:t>статистически</w:t>
      </w:r>
      <w:r>
        <w:rPr>
          <w:spacing w:val="-17"/>
        </w:rPr>
        <w:t xml:space="preserve"> </w:t>
      </w:r>
      <w:r>
        <w:t>значимого вклада не вносили.</w:t>
      </w:r>
    </w:p>
    <w:p w14:paraId="4160EBF0">
      <w:pPr>
        <w:pStyle w:val="7"/>
        <w:spacing w:line="235" w:lineRule="auto"/>
        <w:ind w:left="0" w:right="3" w:firstLine="709"/>
      </w:pPr>
      <w:r>
        <w:t>Корреляционный анализ продемонстрировал устойчивую обратную связь между диаметром ПП и уровнем ААД, что патогенетически подтверждает влияние анатомических</w:t>
      </w:r>
      <w:r>
        <w:rPr>
          <w:spacing w:val="-5"/>
        </w:rPr>
        <w:t xml:space="preserve"> </w:t>
      </w:r>
      <w:r>
        <w:t>особенностей ПЖ на функциональную</w:t>
      </w:r>
      <w:r>
        <w:rPr>
          <w:spacing w:val="-2"/>
        </w:rPr>
        <w:t xml:space="preserve"> </w:t>
      </w:r>
      <w:r>
        <w:t>состоятельность анастомоза. Полученные данные позволили чётко идентифицировать группу высокого риска и обосновали разработку модифицированной техники ПЕА как целенаправленного профилактического решения, ориентированного на снижение частоты КЗ-ПС у данной категории пациентов.</w:t>
      </w:r>
    </w:p>
    <w:p w14:paraId="3E482E01">
      <w:pPr>
        <w:pStyle w:val="3"/>
        <w:numPr>
          <w:ilvl w:val="1"/>
          <w:numId w:val="8"/>
        </w:numPr>
        <w:tabs>
          <w:tab w:val="left" w:pos="1459"/>
        </w:tabs>
        <w:spacing w:before="312"/>
        <w:ind w:left="0" w:right="3" w:firstLine="709"/>
      </w:pPr>
      <w:r>
        <w:t>Разработка и внедрение методов профилактики ПС и связанных осложнений после ГПДР</w:t>
      </w:r>
    </w:p>
    <w:p w14:paraId="7219B1B4">
      <w:pPr>
        <w:pStyle w:val="7"/>
        <w:ind w:left="0" w:right="3" w:firstLine="709"/>
      </w:pPr>
      <w:r>
        <w:t>Результаты ретроспективного анализа исходов ГПДР при опухолях периампулярной зоны показали, что ведущую роль в формировании ПС и связанных с ними осложнений играют анатомо-тканевые особенности ПЖ и технические аспекты реконструктивного этапа операции. Наиболее неблагоприятные исходы отмечены у пациентов с мягкой консистенцией ПЖ и маленьким диаметром ПП, что обуславливало необходимость целенаправленного совершенствования техники ПЕА и интраоперационных профилактических мероприятий.</w:t>
      </w:r>
    </w:p>
    <w:p w14:paraId="5EC34252">
      <w:pPr>
        <w:pStyle w:val="7"/>
        <w:spacing w:before="67"/>
        <w:ind w:left="0" w:right="3" w:firstLine="709"/>
      </w:pPr>
      <w:r>
        <w:t>Для</w:t>
      </w:r>
      <w:r>
        <w:rPr>
          <w:spacing w:val="-9"/>
        </w:rPr>
        <w:t xml:space="preserve"> </w:t>
      </w:r>
      <w:r>
        <w:t>выполнения</w:t>
      </w:r>
      <w:r>
        <w:rPr>
          <w:spacing w:val="-9"/>
        </w:rPr>
        <w:t xml:space="preserve"> </w:t>
      </w:r>
      <w:r>
        <w:t>диссертационной</w:t>
      </w:r>
      <w:r>
        <w:rPr>
          <w:spacing w:val="-10"/>
        </w:rPr>
        <w:t xml:space="preserve"> </w:t>
      </w:r>
      <w:r>
        <w:t>работы</w:t>
      </w:r>
      <w:r>
        <w:rPr>
          <w:spacing w:val="-9"/>
        </w:rPr>
        <w:t xml:space="preserve"> </w:t>
      </w:r>
      <w:r>
        <w:t>в</w:t>
      </w:r>
      <w:r>
        <w:rPr>
          <w:spacing w:val="-11"/>
        </w:rPr>
        <w:t xml:space="preserve"> </w:t>
      </w:r>
      <w:r>
        <w:t>ННЦХ</w:t>
      </w:r>
      <w:r>
        <w:rPr>
          <w:spacing w:val="-9"/>
        </w:rPr>
        <w:t xml:space="preserve"> </w:t>
      </w:r>
      <w:r>
        <w:t>имени</w:t>
      </w:r>
      <w:r>
        <w:rPr>
          <w:spacing w:val="-3"/>
        </w:rPr>
        <w:t xml:space="preserve"> </w:t>
      </w:r>
      <w:r>
        <w:t>А.Н.</w:t>
      </w:r>
      <w:r>
        <w:rPr>
          <w:spacing w:val="-8"/>
        </w:rPr>
        <w:t xml:space="preserve"> </w:t>
      </w:r>
      <w:r>
        <w:t>Сызганова</w:t>
      </w:r>
      <w:r>
        <w:rPr>
          <w:spacing w:val="-9"/>
        </w:rPr>
        <w:t xml:space="preserve"> </w:t>
      </w:r>
      <w:r>
        <w:t>с 2016</w:t>
      </w:r>
      <w:r>
        <w:rPr>
          <w:spacing w:val="-17"/>
        </w:rPr>
        <w:t xml:space="preserve"> </w:t>
      </w:r>
      <w:r>
        <w:t>по</w:t>
      </w:r>
      <w:r>
        <w:rPr>
          <w:spacing w:val="-17"/>
        </w:rPr>
        <w:t xml:space="preserve"> </w:t>
      </w:r>
      <w:r>
        <w:t>2025</w:t>
      </w:r>
      <w:r>
        <w:rPr>
          <w:spacing w:val="-17"/>
        </w:rPr>
        <w:t xml:space="preserve"> </w:t>
      </w:r>
      <w:r>
        <w:t>годы</w:t>
      </w:r>
      <w:r>
        <w:rPr>
          <w:spacing w:val="-17"/>
        </w:rPr>
        <w:t xml:space="preserve"> </w:t>
      </w:r>
      <w:r>
        <w:t>проведена</w:t>
      </w:r>
      <w:r>
        <w:rPr>
          <w:spacing w:val="-16"/>
        </w:rPr>
        <w:t xml:space="preserve"> </w:t>
      </w:r>
      <w:r>
        <w:t>работа,</w:t>
      </w:r>
      <w:r>
        <w:rPr>
          <w:spacing w:val="-15"/>
        </w:rPr>
        <w:t xml:space="preserve"> </w:t>
      </w:r>
      <w:r>
        <w:t>направленная</w:t>
      </w:r>
      <w:r>
        <w:rPr>
          <w:spacing w:val="-16"/>
        </w:rPr>
        <w:t xml:space="preserve"> </w:t>
      </w:r>
      <w:r>
        <w:t>на</w:t>
      </w:r>
      <w:r>
        <w:rPr>
          <w:spacing w:val="-16"/>
        </w:rPr>
        <w:t xml:space="preserve"> </w:t>
      </w:r>
      <w:r>
        <w:t>разработку</w:t>
      </w:r>
      <w:r>
        <w:rPr>
          <w:spacing w:val="-17"/>
        </w:rPr>
        <w:t xml:space="preserve"> </w:t>
      </w:r>
      <w:r>
        <w:t>и</w:t>
      </w:r>
      <w:r>
        <w:rPr>
          <w:spacing w:val="-17"/>
        </w:rPr>
        <w:t xml:space="preserve"> </w:t>
      </w:r>
      <w:r>
        <w:t xml:space="preserve">клиническую оценку модифицированного способа хирургической профилактики ПС, включающего усовершенствование техники ПЕА и применение двойного дренирования зоны анастомоза. Дополнительно был разработан способ профилактики послеоперационных аррозивных кровотечений за счёт окутывания культи гастродуоденальной и печёночной артерии круглой связкой </w:t>
      </w:r>
      <w:r>
        <w:rPr>
          <w:spacing w:val="-2"/>
        </w:rPr>
        <w:t>печени.</w:t>
      </w:r>
    </w:p>
    <w:p w14:paraId="03D42E6B">
      <w:pPr>
        <w:pStyle w:val="7"/>
        <w:spacing w:before="8"/>
        <w:ind w:left="0" w:right="3" w:firstLine="709"/>
        <w:jc w:val="left"/>
      </w:pPr>
    </w:p>
    <w:p w14:paraId="7E055E30">
      <w:pPr>
        <w:pStyle w:val="3"/>
        <w:numPr>
          <w:ilvl w:val="2"/>
          <w:numId w:val="8"/>
        </w:numPr>
        <w:tabs>
          <w:tab w:val="left" w:pos="1669"/>
        </w:tabs>
        <w:ind w:left="0" w:right="3" w:firstLine="709"/>
        <w:rPr>
          <w:b w:val="0"/>
        </w:rPr>
      </w:pPr>
      <w:r>
        <w:rPr>
          <w:b w:val="0"/>
        </w:rPr>
        <w:t>Обоснование необходимости разработки методов профилактики ПС и связанных осложнений после ГПДР</w:t>
      </w:r>
    </w:p>
    <w:p w14:paraId="2EFB54CB">
      <w:pPr>
        <w:pStyle w:val="7"/>
        <w:ind w:left="0" w:right="3" w:firstLine="709"/>
      </w:pPr>
      <w:r>
        <w:t>Проведённый ретроспективный анализ результатов ГПДР выявил, что наибольший</w:t>
      </w:r>
      <w:r>
        <w:rPr>
          <w:spacing w:val="-18"/>
        </w:rPr>
        <w:t xml:space="preserve"> </w:t>
      </w:r>
      <w:r>
        <w:t>вклад</w:t>
      </w:r>
      <w:r>
        <w:rPr>
          <w:spacing w:val="-17"/>
        </w:rPr>
        <w:t xml:space="preserve"> </w:t>
      </w:r>
      <w:r>
        <w:t>в</w:t>
      </w:r>
      <w:r>
        <w:rPr>
          <w:spacing w:val="-18"/>
        </w:rPr>
        <w:t xml:space="preserve"> </w:t>
      </w:r>
      <w:r>
        <w:t>структуру</w:t>
      </w:r>
      <w:r>
        <w:rPr>
          <w:spacing w:val="-17"/>
        </w:rPr>
        <w:t xml:space="preserve"> </w:t>
      </w:r>
      <w:r>
        <w:t>послеоперационных</w:t>
      </w:r>
      <w:r>
        <w:rPr>
          <w:spacing w:val="-18"/>
        </w:rPr>
        <w:t xml:space="preserve"> </w:t>
      </w:r>
      <w:r>
        <w:t>осложнений</w:t>
      </w:r>
      <w:r>
        <w:rPr>
          <w:spacing w:val="-17"/>
        </w:rPr>
        <w:t xml:space="preserve"> </w:t>
      </w:r>
      <w:r>
        <w:t>вносили</w:t>
      </w:r>
      <w:r>
        <w:rPr>
          <w:spacing w:val="-18"/>
        </w:rPr>
        <w:t xml:space="preserve"> </w:t>
      </w:r>
      <w:r>
        <w:t>КЗ-ПС, частота которых была достоверно выше у пациентов с мягкой консистенцией ПЖ и маленьким диаметром ПП. В данной группе риска применение стандартной протоково-слизистой ПЕА сопровождалось увеличением частоты развития</w:t>
      </w:r>
      <w:r>
        <w:rPr>
          <w:spacing w:val="-18"/>
        </w:rPr>
        <w:t xml:space="preserve"> </w:t>
      </w:r>
      <w:r>
        <w:t>ПС,</w:t>
      </w:r>
      <w:r>
        <w:rPr>
          <w:spacing w:val="-16"/>
        </w:rPr>
        <w:t xml:space="preserve"> </w:t>
      </w:r>
      <w:r>
        <w:t>скопления</w:t>
      </w:r>
      <w:r>
        <w:rPr>
          <w:spacing w:val="-17"/>
        </w:rPr>
        <w:t xml:space="preserve"> </w:t>
      </w:r>
      <w:r>
        <w:t>панкреатического</w:t>
      </w:r>
      <w:r>
        <w:rPr>
          <w:spacing w:val="-17"/>
        </w:rPr>
        <w:t xml:space="preserve"> </w:t>
      </w:r>
      <w:r>
        <w:t>отделяемого</w:t>
      </w:r>
      <w:r>
        <w:rPr>
          <w:spacing w:val="-18"/>
        </w:rPr>
        <w:t xml:space="preserve"> </w:t>
      </w:r>
      <w:r>
        <w:t>в</w:t>
      </w:r>
      <w:r>
        <w:rPr>
          <w:spacing w:val="-17"/>
        </w:rPr>
        <w:t xml:space="preserve"> </w:t>
      </w:r>
      <w:r>
        <w:t>околопанкреатическом пространстве и последующего развития гнойно-септических осложнений, развития аррозивных кровотечений из культи ГДА за счет воздействия панкреатического отделяемого.</w:t>
      </w:r>
    </w:p>
    <w:p w14:paraId="7AF0C53C">
      <w:pPr>
        <w:pStyle w:val="7"/>
        <w:ind w:left="0" w:right="3" w:firstLine="709"/>
      </w:pPr>
      <w:r>
        <w:t>Особенностью мягкой паренхимы ПЖ является её низкая механическая устойчивость: при наложении швов возрастает вероятность их прорезывания и нарушения герметичности линии анастомоза, что закономерно повышает риск формирования ПС. При маленьком диаметре ПП техническая сложность анастомоза</w:t>
      </w:r>
      <w:r>
        <w:rPr>
          <w:spacing w:val="-16"/>
        </w:rPr>
        <w:t xml:space="preserve"> </w:t>
      </w:r>
      <w:r>
        <w:t>дополнительно</w:t>
      </w:r>
      <w:r>
        <w:rPr>
          <w:spacing w:val="-17"/>
        </w:rPr>
        <w:t xml:space="preserve"> </w:t>
      </w:r>
      <w:r>
        <w:t>возрастает,</w:t>
      </w:r>
      <w:r>
        <w:rPr>
          <w:spacing w:val="-15"/>
        </w:rPr>
        <w:t xml:space="preserve"> </w:t>
      </w:r>
      <w:r>
        <w:t>а</w:t>
      </w:r>
      <w:r>
        <w:rPr>
          <w:spacing w:val="-16"/>
        </w:rPr>
        <w:t xml:space="preserve"> </w:t>
      </w:r>
      <w:r>
        <w:t>традиционные</w:t>
      </w:r>
      <w:r>
        <w:rPr>
          <w:spacing w:val="-16"/>
        </w:rPr>
        <w:t xml:space="preserve"> </w:t>
      </w:r>
      <w:r>
        <w:t>варианты</w:t>
      </w:r>
      <w:r>
        <w:rPr>
          <w:spacing w:val="-17"/>
        </w:rPr>
        <w:t xml:space="preserve"> </w:t>
      </w:r>
      <w:r>
        <w:t xml:space="preserve">реконструкции оказываются недостаточно адаптированными к данным анатомо-тканевым </w:t>
      </w:r>
      <w:r>
        <w:rPr>
          <w:spacing w:val="-2"/>
        </w:rPr>
        <w:t>условиям.</w:t>
      </w:r>
    </w:p>
    <w:p w14:paraId="01CB98AB">
      <w:pPr>
        <w:pStyle w:val="7"/>
        <w:ind w:left="0" w:right="3" w:firstLine="709"/>
      </w:pPr>
      <w:r>
        <w:rPr>
          <w:spacing w:val="-2"/>
        </w:rPr>
        <w:t>С</w:t>
      </w:r>
      <w:r>
        <w:rPr>
          <w:spacing w:val="-4"/>
        </w:rPr>
        <w:t xml:space="preserve"> </w:t>
      </w:r>
      <w:r>
        <w:rPr>
          <w:spacing w:val="-2"/>
        </w:rPr>
        <w:t>учётом</w:t>
      </w:r>
      <w:r>
        <w:rPr>
          <w:spacing w:val="-4"/>
        </w:rPr>
        <w:t xml:space="preserve"> </w:t>
      </w:r>
      <w:r>
        <w:rPr>
          <w:spacing w:val="-2"/>
        </w:rPr>
        <w:t>полученных</w:t>
      </w:r>
      <w:r>
        <w:rPr>
          <w:spacing w:val="-6"/>
        </w:rPr>
        <w:t xml:space="preserve"> </w:t>
      </w:r>
      <w:r>
        <w:rPr>
          <w:spacing w:val="-2"/>
        </w:rPr>
        <w:t>данных</w:t>
      </w:r>
      <w:r>
        <w:rPr>
          <w:spacing w:val="-11"/>
        </w:rPr>
        <w:t xml:space="preserve"> </w:t>
      </w:r>
      <w:r>
        <w:rPr>
          <w:spacing w:val="-2"/>
        </w:rPr>
        <w:t>была</w:t>
      </w:r>
      <w:r>
        <w:rPr>
          <w:spacing w:val="-4"/>
        </w:rPr>
        <w:t xml:space="preserve"> </w:t>
      </w:r>
      <w:r>
        <w:rPr>
          <w:spacing w:val="-2"/>
        </w:rPr>
        <w:t>разработана</w:t>
      </w:r>
      <w:r>
        <w:rPr>
          <w:spacing w:val="-5"/>
        </w:rPr>
        <w:t xml:space="preserve"> </w:t>
      </w:r>
      <w:r>
        <w:rPr>
          <w:spacing w:val="-2"/>
        </w:rPr>
        <w:t>модифицированная</w:t>
      </w:r>
      <w:r>
        <w:rPr>
          <w:spacing w:val="-4"/>
        </w:rPr>
        <w:t xml:space="preserve"> </w:t>
      </w:r>
      <w:r>
        <w:rPr>
          <w:spacing w:val="-2"/>
        </w:rPr>
        <w:t xml:space="preserve">техника </w:t>
      </w:r>
      <w:r>
        <w:t>протоково-слизистой ПЕА, ключевым элементом которой является выполнение двух транспанкреатических П-образных швов. Данный приём обеспечивает равномерную, опорную фиксацию культи ПЖ, уменьшает подвижность мягкой паренхимы и функционально формирует более устойчивую механическую основу анастомоза. По своим характеристикам создаваемая стабилизация приближает мягкую железу к состоянию плотной ткани, что снижает риск прорезывания краевых швов и несостоятельности анастомоза. Использование большего числа П-образных швов (трёх и более) признано нецелесообразным ввиду вероятности избыточной компрессии, ишемизации паренхимы и возможным сдавлением ПП.</w:t>
      </w:r>
    </w:p>
    <w:p w14:paraId="7AAC93FC">
      <w:pPr>
        <w:pStyle w:val="7"/>
        <w:ind w:left="0" w:right="3" w:firstLine="709"/>
      </w:pPr>
      <w:r>
        <w:t>Модифицированная</w:t>
      </w:r>
      <w:r>
        <w:rPr>
          <w:spacing w:val="-12"/>
        </w:rPr>
        <w:t xml:space="preserve"> </w:t>
      </w:r>
      <w:r>
        <w:t>техника</w:t>
      </w:r>
      <w:r>
        <w:rPr>
          <w:spacing w:val="-13"/>
        </w:rPr>
        <w:t xml:space="preserve"> </w:t>
      </w:r>
      <w:r>
        <w:t>предусматривает</w:t>
      </w:r>
      <w:r>
        <w:rPr>
          <w:spacing w:val="-9"/>
        </w:rPr>
        <w:t xml:space="preserve"> </w:t>
      </w:r>
      <w:r>
        <w:t>прецизионное</w:t>
      </w:r>
      <w:r>
        <w:rPr>
          <w:spacing w:val="-13"/>
        </w:rPr>
        <w:t xml:space="preserve"> </w:t>
      </w:r>
      <w:r>
        <w:t>сопоставление стенок ПП со слизистой оболочкой тонкой кишки с последующим наложением дополнительных узловых швов между паренхимой ПЖ и тонкой кишкой, направленных на укрепление области анастомоза и снижение риска несостоятельности в раннем послеоперационном периоде. Кроме того, анализ осложнений показал, что КЗ-ПС нередко сопровождаются ферментативным повреждением</w:t>
      </w:r>
      <w:r>
        <w:rPr>
          <w:spacing w:val="40"/>
        </w:rPr>
        <w:t xml:space="preserve"> </w:t>
      </w:r>
      <w:r>
        <w:t>сосудистых</w:t>
      </w:r>
      <w:r>
        <w:rPr>
          <w:spacing w:val="40"/>
        </w:rPr>
        <w:t xml:space="preserve"> </w:t>
      </w:r>
      <w:r>
        <w:t>структур</w:t>
      </w:r>
      <w:r>
        <w:rPr>
          <w:spacing w:val="40"/>
        </w:rPr>
        <w:t xml:space="preserve"> </w:t>
      </w:r>
      <w:r>
        <w:t>ложа</w:t>
      </w:r>
      <w:r>
        <w:rPr>
          <w:spacing w:val="40"/>
        </w:rPr>
        <w:t xml:space="preserve"> </w:t>
      </w:r>
      <w:r>
        <w:t>резекции</w:t>
      </w:r>
      <w:r>
        <w:rPr>
          <w:spacing w:val="40"/>
        </w:rPr>
        <w:t xml:space="preserve"> </w:t>
      </w:r>
      <w:r>
        <w:t>с</w:t>
      </w:r>
      <w:r>
        <w:rPr>
          <w:spacing w:val="40"/>
        </w:rPr>
        <w:t xml:space="preserve"> </w:t>
      </w:r>
      <w:r>
        <w:t>развитием</w:t>
      </w:r>
      <w:r>
        <w:rPr>
          <w:spacing w:val="40"/>
        </w:rPr>
        <w:t xml:space="preserve"> </w:t>
      </w:r>
      <w:r>
        <w:t>аррозивных</w:t>
      </w:r>
    </w:p>
    <w:p w14:paraId="49B62FC5">
      <w:pPr>
        <w:pStyle w:val="7"/>
        <w:spacing w:before="67"/>
        <w:ind w:left="0" w:right="3" w:firstLine="0"/>
      </w:pPr>
      <w:r>
        <w:t>кровотечений. Это обосновало необходимость включения в комплекс профилактических мероприятий окутывания культи гастродуоденальной артерии круглой связкой печени, что снижает вероятность вторичного сосудистого повреждения на фоне воздействия панкреатического секрета.</w:t>
      </w:r>
    </w:p>
    <w:p w14:paraId="6D5387D5">
      <w:pPr>
        <w:pStyle w:val="7"/>
        <w:spacing w:before="4"/>
        <w:ind w:left="0" w:right="3" w:firstLine="709"/>
      </w:pPr>
      <w:r>
        <w:t>Таким образом, результаты клинического анализа подтвердили ограниченность</w:t>
      </w:r>
      <w:r>
        <w:rPr>
          <w:spacing w:val="-7"/>
        </w:rPr>
        <w:t xml:space="preserve"> </w:t>
      </w:r>
      <w:r>
        <w:t>стандартной</w:t>
      </w:r>
      <w:r>
        <w:rPr>
          <w:spacing w:val="-5"/>
        </w:rPr>
        <w:t xml:space="preserve"> </w:t>
      </w:r>
      <w:r>
        <w:t>техники</w:t>
      </w:r>
      <w:r>
        <w:rPr>
          <w:spacing w:val="-1"/>
        </w:rPr>
        <w:t xml:space="preserve"> </w:t>
      </w:r>
      <w:r>
        <w:t>ПЕА</w:t>
      </w:r>
      <w:r>
        <w:rPr>
          <w:spacing w:val="-9"/>
        </w:rPr>
        <w:t xml:space="preserve"> </w:t>
      </w:r>
      <w:r>
        <w:t>у</w:t>
      </w:r>
      <w:r>
        <w:rPr>
          <w:spacing w:val="-9"/>
        </w:rPr>
        <w:t xml:space="preserve"> </w:t>
      </w:r>
      <w:r>
        <w:t>пациентов</w:t>
      </w:r>
      <w:r>
        <w:rPr>
          <w:spacing w:val="-6"/>
        </w:rPr>
        <w:t xml:space="preserve"> </w:t>
      </w:r>
      <w:r>
        <w:t>с</w:t>
      </w:r>
      <w:r>
        <w:rPr>
          <w:spacing w:val="-4"/>
        </w:rPr>
        <w:t xml:space="preserve"> </w:t>
      </w:r>
      <w:r>
        <w:t>мягкой</w:t>
      </w:r>
      <w:r>
        <w:rPr>
          <w:spacing w:val="-5"/>
        </w:rPr>
        <w:t xml:space="preserve"> </w:t>
      </w:r>
      <w:r>
        <w:t>консистенцией ПЖ и маленьким диаметром ПП и обосновали необходимость разработки и внедрения модифицированных методов профилактики ПС и ассоциированных осложнений у данной категории больных.</w:t>
      </w:r>
    </w:p>
    <w:p w14:paraId="388EEC77">
      <w:pPr>
        <w:pStyle w:val="7"/>
        <w:spacing w:before="3"/>
        <w:ind w:left="0" w:right="3" w:firstLine="0"/>
        <w:jc w:val="left"/>
      </w:pPr>
    </w:p>
    <w:p w14:paraId="5E127542">
      <w:pPr>
        <w:pStyle w:val="3"/>
        <w:numPr>
          <w:ilvl w:val="2"/>
          <w:numId w:val="8"/>
        </w:numPr>
        <w:tabs>
          <w:tab w:val="left" w:pos="1679"/>
        </w:tabs>
        <w:ind w:left="0" w:right="3" w:firstLine="709"/>
        <w:rPr>
          <w:b w:val="0"/>
        </w:rPr>
      </w:pPr>
      <w:r>
        <w:rPr>
          <w:b w:val="0"/>
        </w:rPr>
        <w:t>Техническое</w:t>
      </w:r>
      <w:r>
        <w:rPr>
          <w:b w:val="0"/>
          <w:spacing w:val="40"/>
        </w:rPr>
        <w:t xml:space="preserve"> </w:t>
      </w:r>
      <w:r>
        <w:rPr>
          <w:b w:val="0"/>
        </w:rPr>
        <w:t>описание</w:t>
      </w:r>
      <w:r>
        <w:rPr>
          <w:b w:val="0"/>
          <w:spacing w:val="40"/>
        </w:rPr>
        <w:t xml:space="preserve"> </w:t>
      </w:r>
      <w:r>
        <w:rPr>
          <w:b w:val="0"/>
        </w:rPr>
        <w:t>модифицированной</w:t>
      </w:r>
      <w:r>
        <w:rPr>
          <w:b w:val="0"/>
          <w:spacing w:val="40"/>
        </w:rPr>
        <w:t xml:space="preserve"> </w:t>
      </w:r>
      <w:r>
        <w:rPr>
          <w:b w:val="0"/>
        </w:rPr>
        <w:t>протоково-слизистой ПЕА (ННЦХ имени А.Н. Сызганова)</w:t>
      </w:r>
    </w:p>
    <w:p w14:paraId="052951A0">
      <w:pPr>
        <w:pStyle w:val="7"/>
        <w:ind w:left="0" w:right="3" w:firstLine="709"/>
      </w:pPr>
      <w:r>
        <w:t>В современной литературе описано значительное количество вариантов ПЕА, включая инвагинационные техники, классический протоково-слизистый анастомоз и его многочисленные модификации. Однако при мягкой консистенции ПЖ и узком диаметре ПП данные методы нередко сопровождаются повышенной частотой несостоятельности анастомоза и формирования КЗ-ПС. Указанные обстоятельства обусловили необходимость разработки технически адаптированного варианта реконструкции, ориентированного на пациентов группы высокого риска.</w:t>
      </w:r>
    </w:p>
    <w:p w14:paraId="1D2D2924">
      <w:pPr>
        <w:pStyle w:val="7"/>
        <w:ind w:left="0" w:right="3" w:firstLine="709"/>
      </w:pPr>
      <w:r>
        <w:t>С учётом полученных в ходе исследования клинических наблюдений в ННЦХ имени А.Н. Сызганова была разработана модифицированная техника протоково-слизистой ПЕА, направленная на повышение механической устойчивости зоны анастомоза и обеспечение прецизионного протоково- слизистого сопоставления в условиях мягкой паренхимы ПЖ и узкого ПП.</w:t>
      </w:r>
    </w:p>
    <w:p w14:paraId="688FFE87">
      <w:pPr>
        <w:pStyle w:val="7"/>
        <w:ind w:left="0" w:right="3" w:firstLine="709"/>
      </w:pPr>
      <w:r>
        <w:t>Описание способа. После резекционного этапа ГПДР подготавливается культя ПЖ для формирования анастомоза. Мелкое паренхиматозное кровотечение останавливается коагуляцией. Культя ПЖ мобилизуется по периметру на 5–6 мм, для последующей фиксации. Выполняется визуальная оценка консистенции паренхимы и диаметра ПП. Формируется петля тонкой кишки по типу Ру длиной около 40 см. На антимезентериальной поверхности в проекции будущего анастомоза создаётся отверстие, сопоставимое по диаметру с просветом ПП, что обеспечивает точность сопоставления и исключает несоответствие размеров. Ключевым элементом модификации является выполнение двух транспанкреатических П-образных швов, которые обеспечивают стабилизацию культи ПЖ в условиях мягкой паренхимы.</w:t>
      </w:r>
    </w:p>
    <w:p w14:paraId="77246093">
      <w:pPr>
        <w:pStyle w:val="7"/>
        <w:ind w:left="0" w:right="3" w:firstLine="709"/>
      </w:pPr>
    </w:p>
    <w:p w14:paraId="4999D7F2">
      <w:pPr>
        <w:pStyle w:val="7"/>
        <w:ind w:left="0" w:firstLine="0"/>
        <w:jc w:val="center"/>
        <w:rPr>
          <w:sz w:val="20"/>
        </w:rPr>
      </w:pPr>
      <w:r>
        <w:rPr>
          <w:sz w:val="20"/>
          <w:lang w:eastAsia="ru-RU"/>
        </w:rPr>
        <w:drawing>
          <wp:inline distT="0" distB="0" distL="0" distR="0">
            <wp:extent cx="4114165" cy="3302000"/>
            <wp:effectExtent l="0" t="0" r="635" b="0"/>
            <wp:docPr id="175" name="Image 175"/>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51" cstate="print"/>
                    <a:stretch>
                      <a:fillRect/>
                    </a:stretch>
                  </pic:blipFill>
                  <pic:spPr>
                    <a:xfrm>
                      <a:off x="0" y="0"/>
                      <a:ext cx="4123057" cy="3309136"/>
                    </a:xfrm>
                    <a:prstGeom prst="rect">
                      <a:avLst/>
                    </a:prstGeom>
                  </pic:spPr>
                </pic:pic>
              </a:graphicData>
            </a:graphic>
          </wp:inline>
        </w:drawing>
      </w:r>
    </w:p>
    <w:p w14:paraId="2DFE3229">
      <w:pPr>
        <w:pStyle w:val="7"/>
        <w:spacing w:before="274" w:line="242" w:lineRule="auto"/>
        <w:ind w:left="0" w:right="3" w:firstLine="0"/>
        <w:jc w:val="center"/>
      </w:pPr>
      <w:r>
        <w:rPr>
          <w:lang w:val="kk-KZ"/>
        </w:rPr>
        <w:t>а</w:t>
      </w:r>
      <w:r>
        <w:t>) Наложение транспанкреатических П-образных швов и дополнительных</w:t>
      </w:r>
      <w:r>
        <w:rPr>
          <w:spacing w:val="-9"/>
        </w:rPr>
        <w:t xml:space="preserve"> </w:t>
      </w:r>
      <w:r>
        <w:t>швов</w:t>
      </w:r>
      <w:r>
        <w:rPr>
          <w:spacing w:val="-6"/>
        </w:rPr>
        <w:t xml:space="preserve"> </w:t>
      </w:r>
      <w:r>
        <w:t>между</w:t>
      </w:r>
      <w:r>
        <w:rPr>
          <w:spacing w:val="-9"/>
        </w:rPr>
        <w:t xml:space="preserve"> </w:t>
      </w:r>
      <w:r>
        <w:t>нижним</w:t>
      </w:r>
      <w:r>
        <w:rPr>
          <w:spacing w:val="-3"/>
        </w:rPr>
        <w:t xml:space="preserve"> </w:t>
      </w:r>
      <w:r>
        <w:t>краем железы</w:t>
      </w:r>
      <w:r>
        <w:rPr>
          <w:spacing w:val="-3"/>
        </w:rPr>
        <w:t xml:space="preserve"> </w:t>
      </w:r>
      <w:r>
        <w:t>и</w:t>
      </w:r>
      <w:r>
        <w:rPr>
          <w:spacing w:val="-5"/>
        </w:rPr>
        <w:t xml:space="preserve"> </w:t>
      </w:r>
      <w:r>
        <w:t>тонкой</w:t>
      </w:r>
      <w:r>
        <w:rPr>
          <w:spacing w:val="-5"/>
        </w:rPr>
        <w:t xml:space="preserve"> </w:t>
      </w:r>
      <w:r>
        <w:t>кишкой</w:t>
      </w:r>
    </w:p>
    <w:p w14:paraId="0BD7212B">
      <w:pPr>
        <w:pStyle w:val="7"/>
        <w:spacing w:before="274" w:line="242" w:lineRule="auto"/>
        <w:ind w:left="669" w:right="1247" w:hanging="2"/>
        <w:jc w:val="center"/>
      </w:pPr>
    </w:p>
    <w:p w14:paraId="57203308">
      <w:pPr>
        <w:pStyle w:val="7"/>
        <w:ind w:left="0" w:right="144" w:firstLine="0"/>
        <w:jc w:val="center"/>
      </w:pPr>
      <w:r>
        <w:t>Рисунок</w:t>
      </w:r>
      <w:r>
        <w:rPr>
          <w:spacing w:val="-9"/>
        </w:rPr>
        <w:t xml:space="preserve"> </w:t>
      </w:r>
      <w:r>
        <w:t>22</w:t>
      </w:r>
      <w:r>
        <w:rPr>
          <w:spacing w:val="-8"/>
        </w:rPr>
        <w:t xml:space="preserve"> </w:t>
      </w:r>
      <w:r>
        <w:t>—</w:t>
      </w:r>
      <w:r>
        <w:rPr>
          <w:spacing w:val="-8"/>
        </w:rPr>
        <w:t xml:space="preserve"> </w:t>
      </w:r>
      <w:r>
        <w:t>Схематическое</w:t>
      </w:r>
      <w:r>
        <w:rPr>
          <w:spacing w:val="-8"/>
        </w:rPr>
        <w:t xml:space="preserve"> </w:t>
      </w:r>
      <w:r>
        <w:t>изображение</w:t>
      </w:r>
      <w:r>
        <w:rPr>
          <w:spacing w:val="-8"/>
        </w:rPr>
        <w:t xml:space="preserve"> </w:t>
      </w:r>
      <w:r>
        <w:t>модифицированного протоково</w:t>
      </w:r>
      <w:r>
        <w:rPr>
          <w:spacing w:val="-1"/>
        </w:rPr>
        <w:t xml:space="preserve"> </w:t>
      </w:r>
      <w:r>
        <w:t>слизистого панкреатоеюноанастомоза (ННЦХ имени. А.Н.</w:t>
      </w:r>
    </w:p>
    <w:p w14:paraId="09528D88">
      <w:pPr>
        <w:pStyle w:val="7"/>
        <w:ind w:left="0" w:right="144" w:firstLine="0"/>
        <w:jc w:val="center"/>
        <w:rPr>
          <w:lang w:val="kk-KZ"/>
        </w:rPr>
        <w:sectPr>
          <w:pgSz w:w="11910" w:h="16840"/>
          <w:pgMar w:top="1134" w:right="567" w:bottom="1134" w:left="1701" w:header="0" w:footer="936" w:gutter="0"/>
          <w:cols w:space="720" w:num="1"/>
        </w:sectPr>
      </w:pPr>
      <w:r>
        <w:rPr>
          <w:spacing w:val="-2"/>
        </w:rPr>
        <w:t>Сызганова)</w:t>
      </w:r>
      <w:r>
        <w:rPr>
          <w:lang w:val="kk-KZ"/>
        </w:rPr>
        <w:t>, лист 1</w:t>
      </w:r>
    </w:p>
    <w:p w14:paraId="546B3BEA">
      <w:pPr>
        <w:pStyle w:val="7"/>
        <w:spacing w:before="274" w:line="242" w:lineRule="auto"/>
        <w:ind w:left="0" w:right="1247" w:firstLine="0"/>
        <w:rPr>
          <w:sz w:val="20"/>
        </w:rPr>
      </w:pPr>
      <w:r>
        <w:rPr>
          <w:sz w:val="20"/>
          <w:lang w:eastAsia="ru-RU"/>
        </w:rPr>
        <w:drawing>
          <wp:anchor distT="0" distB="0" distL="0" distR="0" simplePos="0" relativeHeight="251687936" behindDoc="1" locked="0" layoutInCell="1" allowOverlap="1">
            <wp:simplePos x="0" y="0"/>
            <wp:positionH relativeFrom="page">
              <wp:posOffset>2210435</wp:posOffset>
            </wp:positionH>
            <wp:positionV relativeFrom="paragraph">
              <wp:posOffset>3175</wp:posOffset>
            </wp:positionV>
            <wp:extent cx="3889375" cy="3288665"/>
            <wp:effectExtent l="0" t="0" r="0" b="6985"/>
            <wp:wrapTopAndBottom/>
            <wp:docPr id="176" name="Image 176"/>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52" cstate="print"/>
                    <a:stretch>
                      <a:fillRect/>
                    </a:stretch>
                  </pic:blipFill>
                  <pic:spPr>
                    <a:xfrm>
                      <a:off x="0" y="0"/>
                      <a:ext cx="3889375" cy="3288665"/>
                    </a:xfrm>
                    <a:prstGeom prst="rect">
                      <a:avLst/>
                    </a:prstGeom>
                  </pic:spPr>
                </pic:pic>
              </a:graphicData>
            </a:graphic>
          </wp:anchor>
        </w:drawing>
      </w:r>
    </w:p>
    <w:p w14:paraId="30E65581">
      <w:pPr>
        <w:pStyle w:val="7"/>
        <w:spacing w:before="20"/>
        <w:ind w:left="0" w:right="3" w:firstLine="0"/>
        <w:jc w:val="center"/>
      </w:pPr>
      <w:r>
        <w:rPr>
          <w:lang w:val="kk-KZ"/>
        </w:rPr>
        <w:t>б</w:t>
      </w:r>
      <w:r>
        <w:t>) Завязывание швов и подготовка тонкой кишки с формированием</w:t>
      </w:r>
      <w:r>
        <w:rPr>
          <w:spacing w:val="-10"/>
        </w:rPr>
        <w:t xml:space="preserve"> </w:t>
      </w:r>
      <w:r>
        <w:t>отверстия</w:t>
      </w:r>
      <w:r>
        <w:rPr>
          <w:spacing w:val="-11"/>
        </w:rPr>
        <w:t xml:space="preserve"> </w:t>
      </w:r>
      <w:r>
        <w:t>для</w:t>
      </w:r>
      <w:r>
        <w:rPr>
          <w:spacing w:val="-10"/>
        </w:rPr>
        <w:t xml:space="preserve"> </w:t>
      </w:r>
      <w:r>
        <w:t>наложения</w:t>
      </w:r>
      <w:r>
        <w:rPr>
          <w:spacing w:val="-11"/>
        </w:rPr>
        <w:t xml:space="preserve"> </w:t>
      </w:r>
      <w:r>
        <w:t>анастомоза</w:t>
      </w:r>
    </w:p>
    <w:p w14:paraId="0F6AF302">
      <w:pPr>
        <w:pStyle w:val="7"/>
        <w:jc w:val="center"/>
      </w:pPr>
    </w:p>
    <w:p w14:paraId="14F94F99">
      <w:pPr>
        <w:pStyle w:val="7"/>
        <w:jc w:val="center"/>
      </w:pPr>
    </w:p>
    <w:p w14:paraId="3B6F5914">
      <w:pPr>
        <w:pStyle w:val="7"/>
        <w:spacing w:line="321" w:lineRule="exact"/>
        <w:ind w:left="4203" w:firstLine="0"/>
        <w:jc w:val="left"/>
      </w:pPr>
    </w:p>
    <w:p w14:paraId="39B92C75">
      <w:pPr>
        <w:pStyle w:val="7"/>
        <w:ind w:left="0" w:firstLine="0"/>
        <w:jc w:val="center"/>
        <w:rPr>
          <w:sz w:val="20"/>
        </w:rPr>
      </w:pPr>
      <w:r>
        <w:rPr>
          <w:sz w:val="20"/>
          <w:lang w:eastAsia="ru-RU"/>
        </w:rPr>
        <w:drawing>
          <wp:inline distT="0" distB="0" distL="0" distR="0">
            <wp:extent cx="4394200" cy="3111500"/>
            <wp:effectExtent l="0" t="0" r="6350" b="0"/>
            <wp:docPr id="177" name="Image 177"/>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53" cstate="print"/>
                    <a:stretch>
                      <a:fillRect/>
                    </a:stretch>
                  </pic:blipFill>
                  <pic:spPr>
                    <a:xfrm>
                      <a:off x="0" y="0"/>
                      <a:ext cx="4397086" cy="3113364"/>
                    </a:xfrm>
                    <a:prstGeom prst="rect">
                      <a:avLst/>
                    </a:prstGeom>
                  </pic:spPr>
                </pic:pic>
              </a:graphicData>
            </a:graphic>
          </wp:inline>
        </w:drawing>
      </w:r>
    </w:p>
    <w:p w14:paraId="0FEB5654">
      <w:pPr>
        <w:pStyle w:val="7"/>
        <w:spacing w:before="25"/>
        <w:ind w:left="0" w:firstLine="0"/>
        <w:jc w:val="left"/>
      </w:pPr>
    </w:p>
    <w:p w14:paraId="525B957A">
      <w:pPr>
        <w:pStyle w:val="7"/>
        <w:tabs>
          <w:tab w:val="left" w:pos="7371"/>
        </w:tabs>
        <w:ind w:left="0" w:right="3" w:firstLine="0"/>
        <w:jc w:val="center"/>
      </w:pPr>
      <w:r>
        <w:rPr>
          <w:lang w:val="kk-KZ"/>
        </w:rPr>
        <w:t>в</w:t>
      </w:r>
      <w:r>
        <w:t>)</w:t>
      </w:r>
      <w:r>
        <w:rPr>
          <w:spacing w:val="-1"/>
        </w:rPr>
        <w:t xml:space="preserve"> </w:t>
      </w:r>
      <w:r>
        <w:t>Наложение</w:t>
      </w:r>
      <w:r>
        <w:rPr>
          <w:spacing w:val="-4"/>
        </w:rPr>
        <w:t xml:space="preserve"> </w:t>
      </w:r>
      <w:r>
        <w:t>узловых</w:t>
      </w:r>
      <w:r>
        <w:rPr>
          <w:spacing w:val="-9"/>
        </w:rPr>
        <w:t xml:space="preserve"> </w:t>
      </w:r>
      <w:r>
        <w:t>швов</w:t>
      </w:r>
      <w:r>
        <w:rPr>
          <w:spacing w:val="-6"/>
        </w:rPr>
        <w:t xml:space="preserve"> </w:t>
      </w:r>
      <w:r>
        <w:t>между</w:t>
      </w:r>
      <w:r>
        <w:rPr>
          <w:spacing w:val="-5"/>
        </w:rPr>
        <w:t xml:space="preserve"> </w:t>
      </w:r>
      <w:r>
        <w:t>панкреатическим</w:t>
      </w:r>
      <w:r>
        <w:rPr>
          <w:spacing w:val="-1"/>
        </w:rPr>
        <w:t xml:space="preserve"> </w:t>
      </w:r>
      <w:r>
        <w:t>протоком</w:t>
      </w:r>
      <w:r>
        <w:rPr>
          <w:spacing w:val="-3"/>
        </w:rPr>
        <w:t xml:space="preserve"> </w:t>
      </w:r>
      <w:r>
        <w:t>и</w:t>
      </w:r>
      <w:r>
        <w:rPr>
          <w:lang w:val="kk-KZ"/>
        </w:rPr>
        <w:t xml:space="preserve"> </w:t>
      </w:r>
      <w:r>
        <w:t>слизистой тонкой кишки</w:t>
      </w:r>
    </w:p>
    <w:p w14:paraId="1E8255AB">
      <w:pPr>
        <w:pStyle w:val="7"/>
        <w:ind w:left="866" w:right="1439" w:firstLine="0"/>
        <w:jc w:val="center"/>
      </w:pPr>
    </w:p>
    <w:p w14:paraId="4437B80F">
      <w:pPr>
        <w:pStyle w:val="7"/>
        <w:ind w:left="0" w:right="144" w:firstLine="0"/>
        <w:jc w:val="center"/>
        <w:rPr>
          <w:lang w:val="kk-KZ"/>
        </w:rPr>
        <w:sectPr>
          <w:pgSz w:w="11910" w:h="16840"/>
          <w:pgMar w:top="1134" w:right="567" w:bottom="1134" w:left="1701" w:header="0" w:footer="936" w:gutter="0"/>
          <w:cols w:space="720" w:num="1"/>
        </w:sectPr>
      </w:pPr>
      <w:r>
        <w:t>Рисунок</w:t>
      </w:r>
      <w:r>
        <w:rPr>
          <w:spacing w:val="-9"/>
        </w:rPr>
        <w:t xml:space="preserve"> </w:t>
      </w:r>
      <w:r>
        <w:t>22</w:t>
      </w:r>
      <w:r>
        <w:rPr>
          <w:lang w:val="kk-KZ"/>
        </w:rPr>
        <w:t>, лист 2</w:t>
      </w:r>
    </w:p>
    <w:p w14:paraId="289CF57C">
      <w:pPr>
        <w:pStyle w:val="7"/>
        <w:ind w:left="866" w:right="1439" w:firstLine="0"/>
        <w:jc w:val="center"/>
      </w:pPr>
    </w:p>
    <w:p w14:paraId="28826E50">
      <w:pPr>
        <w:pStyle w:val="7"/>
        <w:spacing w:before="128"/>
        <w:ind w:left="0" w:firstLine="0"/>
        <w:jc w:val="left"/>
        <w:rPr>
          <w:sz w:val="20"/>
        </w:rPr>
      </w:pPr>
      <w:r>
        <w:rPr>
          <w:sz w:val="20"/>
          <w:lang w:eastAsia="ru-RU"/>
        </w:rPr>
        <w:drawing>
          <wp:anchor distT="0" distB="0" distL="0" distR="0" simplePos="0" relativeHeight="251694080" behindDoc="1" locked="0" layoutInCell="1" allowOverlap="1">
            <wp:simplePos x="0" y="0"/>
            <wp:positionH relativeFrom="page">
              <wp:posOffset>2234565</wp:posOffset>
            </wp:positionH>
            <wp:positionV relativeFrom="paragraph">
              <wp:posOffset>242570</wp:posOffset>
            </wp:positionV>
            <wp:extent cx="3518535" cy="2596515"/>
            <wp:effectExtent l="0" t="0" r="0" b="0"/>
            <wp:wrapTopAndBottom/>
            <wp:docPr id="178" name="Image 178"/>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54" cstate="print"/>
                    <a:stretch>
                      <a:fillRect/>
                    </a:stretch>
                  </pic:blipFill>
                  <pic:spPr>
                    <a:xfrm>
                      <a:off x="0" y="0"/>
                      <a:ext cx="3518417" cy="2596515"/>
                    </a:xfrm>
                    <a:prstGeom prst="rect">
                      <a:avLst/>
                    </a:prstGeom>
                  </pic:spPr>
                </pic:pic>
              </a:graphicData>
            </a:graphic>
          </wp:anchor>
        </w:drawing>
      </w:r>
    </w:p>
    <w:p w14:paraId="2ECECBDB">
      <w:pPr>
        <w:pStyle w:val="7"/>
        <w:spacing w:before="281"/>
        <w:ind w:left="0" w:right="3" w:firstLine="0"/>
        <w:jc w:val="center"/>
      </w:pPr>
      <w:r>
        <w:rPr>
          <w:lang w:val="kk-KZ"/>
        </w:rPr>
        <w:t>г</w:t>
      </w:r>
      <w:r>
        <w:t>)</w:t>
      </w:r>
      <w:r>
        <w:rPr>
          <w:spacing w:val="-7"/>
        </w:rPr>
        <w:t xml:space="preserve"> </w:t>
      </w:r>
      <w:r>
        <w:t>Наложение</w:t>
      </w:r>
      <w:r>
        <w:rPr>
          <w:spacing w:val="-6"/>
        </w:rPr>
        <w:t xml:space="preserve"> </w:t>
      </w:r>
      <w:r>
        <w:t>швов</w:t>
      </w:r>
      <w:r>
        <w:rPr>
          <w:spacing w:val="-7"/>
        </w:rPr>
        <w:t xml:space="preserve"> </w:t>
      </w:r>
      <w:r>
        <w:t>между</w:t>
      </w:r>
      <w:r>
        <w:rPr>
          <w:spacing w:val="-7"/>
        </w:rPr>
        <w:t xml:space="preserve"> </w:t>
      </w:r>
      <w:r>
        <w:t>паренхимой</w:t>
      </w:r>
      <w:r>
        <w:rPr>
          <w:spacing w:val="-2"/>
        </w:rPr>
        <w:t xml:space="preserve"> </w:t>
      </w:r>
      <w:r>
        <w:t>поджелудочной</w:t>
      </w:r>
      <w:r>
        <w:rPr>
          <w:spacing w:val="-4"/>
          <w:lang w:val="kk-KZ"/>
        </w:rPr>
        <w:t xml:space="preserve"> </w:t>
      </w:r>
      <w:r>
        <w:t>железы и серозной оболочкой тонкой кишки для укрепления анастомоза</w:t>
      </w:r>
    </w:p>
    <w:p w14:paraId="4E6F4D66">
      <w:pPr>
        <w:pStyle w:val="7"/>
        <w:jc w:val="center"/>
      </w:pPr>
    </w:p>
    <w:p w14:paraId="1EF92EC7">
      <w:pPr>
        <w:pStyle w:val="7"/>
        <w:spacing w:line="321" w:lineRule="exact"/>
        <w:ind w:left="4203" w:firstLine="0"/>
        <w:jc w:val="left"/>
      </w:pPr>
    </w:p>
    <w:p w14:paraId="58845146">
      <w:pPr>
        <w:pStyle w:val="7"/>
        <w:ind w:left="2047" w:firstLine="0"/>
        <w:jc w:val="left"/>
        <w:rPr>
          <w:sz w:val="20"/>
        </w:rPr>
      </w:pPr>
      <w:r>
        <w:rPr>
          <w:sz w:val="20"/>
          <w:lang w:eastAsia="ru-RU"/>
        </w:rPr>
        <w:drawing>
          <wp:inline distT="0" distB="0" distL="0" distR="0">
            <wp:extent cx="3979545" cy="3042920"/>
            <wp:effectExtent l="0" t="0" r="1905" b="5080"/>
            <wp:docPr id="179" name="Image 179"/>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55" cstate="print"/>
                    <a:stretch>
                      <a:fillRect/>
                    </a:stretch>
                  </pic:blipFill>
                  <pic:spPr>
                    <a:xfrm>
                      <a:off x="0" y="0"/>
                      <a:ext cx="3982364" cy="3045531"/>
                    </a:xfrm>
                    <a:prstGeom prst="rect">
                      <a:avLst/>
                    </a:prstGeom>
                  </pic:spPr>
                </pic:pic>
              </a:graphicData>
            </a:graphic>
          </wp:inline>
        </w:drawing>
      </w:r>
    </w:p>
    <w:p w14:paraId="672EC11F">
      <w:pPr>
        <w:pStyle w:val="7"/>
        <w:spacing w:before="258" w:line="322" w:lineRule="exact"/>
        <w:ind w:left="1807" w:firstLine="0"/>
        <w:jc w:val="left"/>
        <w:rPr>
          <w:spacing w:val="-2"/>
        </w:rPr>
      </w:pPr>
      <w:r>
        <w:rPr>
          <w:lang w:val="kk-KZ"/>
        </w:rPr>
        <w:t>д</w:t>
      </w:r>
      <w:r>
        <w:t>)</w:t>
      </w:r>
      <w:r>
        <w:rPr>
          <w:spacing w:val="-6"/>
        </w:rPr>
        <w:t xml:space="preserve"> </w:t>
      </w:r>
      <w:r>
        <w:t>Окончательный</w:t>
      </w:r>
      <w:r>
        <w:rPr>
          <w:spacing w:val="-5"/>
        </w:rPr>
        <w:t xml:space="preserve"> </w:t>
      </w:r>
      <w:r>
        <w:t>вид</w:t>
      </w:r>
      <w:r>
        <w:rPr>
          <w:spacing w:val="-1"/>
        </w:rPr>
        <w:t xml:space="preserve"> </w:t>
      </w:r>
      <w:r>
        <w:rPr>
          <w:spacing w:val="-2"/>
        </w:rPr>
        <w:t>панкреатоеюноанастомоза</w:t>
      </w:r>
    </w:p>
    <w:p w14:paraId="07B3A22C">
      <w:pPr>
        <w:pStyle w:val="7"/>
        <w:spacing w:line="322" w:lineRule="exact"/>
        <w:ind w:left="1807" w:firstLine="0"/>
        <w:jc w:val="left"/>
      </w:pPr>
    </w:p>
    <w:p w14:paraId="116138A5">
      <w:pPr>
        <w:pStyle w:val="7"/>
        <w:ind w:left="713" w:right="286" w:firstLine="138"/>
        <w:jc w:val="center"/>
        <w:rPr>
          <w:lang w:val="kk-KZ"/>
        </w:rPr>
      </w:pPr>
      <w:r>
        <w:t>Рисунок</w:t>
      </w:r>
      <w:r>
        <w:rPr>
          <w:spacing w:val="-9"/>
        </w:rPr>
        <w:t xml:space="preserve"> </w:t>
      </w:r>
      <w:r>
        <w:t>22</w:t>
      </w:r>
      <w:r>
        <w:rPr>
          <w:lang w:val="kk-KZ"/>
        </w:rPr>
        <w:t>, лист 3</w:t>
      </w:r>
    </w:p>
    <w:p w14:paraId="3B36F888">
      <w:pPr>
        <w:pStyle w:val="7"/>
        <w:spacing w:before="279"/>
        <w:ind w:left="0" w:right="3" w:firstLine="709"/>
        <w:rPr>
          <w:lang w:val="kk-KZ"/>
        </w:rPr>
      </w:pPr>
      <w:r>
        <w:t>Первый шов накладывается в области верхнего края железы, проводится через всю толщину паренхимы от передней к задней поверхности, затем через серозно-мышечный слой тощей кишки и выводится обратно через паренхиму в противоположном направлении, формируя П-образную конструкцию. После этого накладываются 2–3 узловых шва между задней поверхностью ПЖ и стенкой кишки. Аналогичным образом выполняется второй транспанкреатический П-образный шов в зоне нижнего края культи ПЖ. Использование строго двух П-образных швов обеспечивает равномерное распределение механического натяжения и формирование устойчивой опорной площадки</w:t>
      </w:r>
      <w:r>
        <w:rPr>
          <w:spacing w:val="-9"/>
        </w:rPr>
        <w:t xml:space="preserve"> </w:t>
      </w:r>
      <w:r>
        <w:t>без</w:t>
      </w:r>
      <w:r>
        <w:rPr>
          <w:spacing w:val="-9"/>
        </w:rPr>
        <w:t xml:space="preserve"> </w:t>
      </w:r>
      <w:r>
        <w:t>избыточной</w:t>
      </w:r>
      <w:r>
        <w:rPr>
          <w:spacing w:val="-10"/>
        </w:rPr>
        <w:t xml:space="preserve"> </w:t>
      </w:r>
      <w:r>
        <w:t>компрессии</w:t>
      </w:r>
      <w:r>
        <w:rPr>
          <w:spacing w:val="-10"/>
        </w:rPr>
        <w:t xml:space="preserve"> </w:t>
      </w:r>
      <w:r>
        <w:t>паренхимы;</w:t>
      </w:r>
      <w:r>
        <w:rPr>
          <w:spacing w:val="-5"/>
        </w:rPr>
        <w:t xml:space="preserve"> </w:t>
      </w:r>
      <w:r>
        <w:t>увеличение</w:t>
      </w:r>
      <w:r>
        <w:rPr>
          <w:spacing w:val="-9"/>
        </w:rPr>
        <w:t xml:space="preserve"> </w:t>
      </w:r>
      <w:r>
        <w:t>их</w:t>
      </w:r>
      <w:r>
        <w:rPr>
          <w:spacing w:val="-13"/>
        </w:rPr>
        <w:t xml:space="preserve"> </w:t>
      </w:r>
      <w:r>
        <w:t>количества</w:t>
      </w:r>
      <w:r>
        <w:rPr>
          <w:spacing w:val="-9"/>
        </w:rPr>
        <w:t xml:space="preserve"> </w:t>
      </w:r>
      <w:r>
        <w:t>не применяется во избежание риска ишемизации ткани. В проекции ПП выполняется небольшая энтеротомия на подготовленной петле кишки. Между стенкой протока и слизистой оболочкой кишки накладываются 7–8 прецизионных узловых швов атравматической мононитью (ПДС 5-0 или 6-0) с максимальным</w:t>
      </w:r>
      <w:r>
        <w:rPr>
          <w:spacing w:val="-14"/>
        </w:rPr>
        <w:t xml:space="preserve"> </w:t>
      </w:r>
      <w:r>
        <w:t>сохранением</w:t>
      </w:r>
      <w:r>
        <w:rPr>
          <w:spacing w:val="-13"/>
        </w:rPr>
        <w:t xml:space="preserve"> </w:t>
      </w:r>
      <w:r>
        <w:t>краёв</w:t>
      </w:r>
      <w:r>
        <w:rPr>
          <w:spacing w:val="-16"/>
        </w:rPr>
        <w:t xml:space="preserve"> </w:t>
      </w:r>
      <w:r>
        <w:t>протока</w:t>
      </w:r>
      <w:r>
        <w:rPr>
          <w:spacing w:val="-13"/>
        </w:rPr>
        <w:t xml:space="preserve"> </w:t>
      </w:r>
      <w:r>
        <w:t>и</w:t>
      </w:r>
      <w:r>
        <w:rPr>
          <w:spacing w:val="-14"/>
        </w:rPr>
        <w:t xml:space="preserve"> </w:t>
      </w:r>
      <w:r>
        <w:t>без</w:t>
      </w:r>
      <w:r>
        <w:rPr>
          <w:spacing w:val="-18"/>
        </w:rPr>
        <w:t xml:space="preserve"> </w:t>
      </w:r>
      <w:r>
        <w:t>избыточного</w:t>
      </w:r>
      <w:r>
        <w:rPr>
          <w:spacing w:val="-14"/>
        </w:rPr>
        <w:t xml:space="preserve"> </w:t>
      </w:r>
      <w:r>
        <w:t>натяжения</w:t>
      </w:r>
      <w:r>
        <w:rPr>
          <w:spacing w:val="-12"/>
        </w:rPr>
        <w:t xml:space="preserve"> </w:t>
      </w:r>
      <w:r>
        <w:t>тканей. В просвет протока устанавливается внутренний стент диаметром 2–3 мм, после чего швы завязываются последовательно, обеспечивая плотный эпителиальный контакт</w:t>
      </w:r>
      <w:r>
        <w:rPr>
          <w:spacing w:val="-17"/>
        </w:rPr>
        <w:t xml:space="preserve"> </w:t>
      </w:r>
      <w:r>
        <w:t>протока</w:t>
      </w:r>
      <w:r>
        <w:rPr>
          <w:spacing w:val="-14"/>
        </w:rPr>
        <w:t xml:space="preserve"> </w:t>
      </w:r>
      <w:r>
        <w:t>и</w:t>
      </w:r>
      <w:r>
        <w:rPr>
          <w:spacing w:val="-15"/>
        </w:rPr>
        <w:t xml:space="preserve"> </w:t>
      </w:r>
      <w:r>
        <w:t>кишки.</w:t>
      </w:r>
      <w:r>
        <w:rPr>
          <w:spacing w:val="-13"/>
        </w:rPr>
        <w:t xml:space="preserve"> </w:t>
      </w:r>
      <w:r>
        <w:t>Над</w:t>
      </w:r>
      <w:r>
        <w:rPr>
          <w:spacing w:val="-13"/>
        </w:rPr>
        <w:t xml:space="preserve"> </w:t>
      </w:r>
      <w:r>
        <w:t>линией</w:t>
      </w:r>
      <w:r>
        <w:rPr>
          <w:spacing w:val="-15"/>
        </w:rPr>
        <w:t xml:space="preserve"> </w:t>
      </w:r>
      <w:r>
        <w:t>анастомоза</w:t>
      </w:r>
      <w:r>
        <w:rPr>
          <w:spacing w:val="-14"/>
        </w:rPr>
        <w:t xml:space="preserve"> </w:t>
      </w:r>
      <w:r>
        <w:t>выполняются</w:t>
      </w:r>
      <w:r>
        <w:rPr>
          <w:spacing w:val="-14"/>
        </w:rPr>
        <w:t xml:space="preserve"> </w:t>
      </w:r>
      <w:r>
        <w:t>дополнительные узловые швы, не вовлекающие проток. Они проходят через паренхиму ПЖ и серозную оболочку кишки и направлены на укрепление перианастомотической зоны без нарушения герметичности.</w:t>
      </w:r>
    </w:p>
    <w:p w14:paraId="0BC5DAC4">
      <w:pPr>
        <w:pStyle w:val="7"/>
        <w:ind w:left="0" w:right="3" w:firstLine="709"/>
        <w:rPr>
          <w:lang w:val="kk-KZ"/>
        </w:rPr>
      </w:pPr>
    </w:p>
    <w:p w14:paraId="014DBC80">
      <w:pPr>
        <w:pStyle w:val="7"/>
        <w:ind w:left="0" w:firstLine="0"/>
        <w:jc w:val="center"/>
        <w:rPr>
          <w:sz w:val="20"/>
        </w:rPr>
      </w:pPr>
      <w:r>
        <w:rPr>
          <w:sz w:val="20"/>
          <w:lang w:eastAsia="ru-RU"/>
        </w:rPr>
        <w:drawing>
          <wp:inline distT="0" distB="0" distL="0" distR="0">
            <wp:extent cx="4051935" cy="3366135"/>
            <wp:effectExtent l="0" t="0" r="5715" b="5715"/>
            <wp:docPr id="180" name="Image 180"/>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56" cstate="print"/>
                    <a:stretch>
                      <a:fillRect/>
                    </a:stretch>
                  </pic:blipFill>
                  <pic:spPr>
                    <a:xfrm>
                      <a:off x="0" y="0"/>
                      <a:ext cx="4057358" cy="3371160"/>
                    </a:xfrm>
                    <a:prstGeom prst="rect">
                      <a:avLst/>
                    </a:prstGeom>
                  </pic:spPr>
                </pic:pic>
              </a:graphicData>
            </a:graphic>
          </wp:inline>
        </w:drawing>
      </w:r>
    </w:p>
    <w:p w14:paraId="1E45334C">
      <w:pPr>
        <w:pStyle w:val="7"/>
        <w:spacing w:before="44"/>
        <w:ind w:left="0" w:firstLine="0"/>
        <w:jc w:val="left"/>
      </w:pPr>
    </w:p>
    <w:p w14:paraId="5FCDB84F">
      <w:pPr>
        <w:pStyle w:val="7"/>
        <w:ind w:left="0" w:firstLine="0"/>
        <w:jc w:val="center"/>
      </w:pPr>
      <w:r>
        <w:t>Рисунок 23 — Интраоперационное фото наложения транспанкреатического</w:t>
      </w:r>
      <w:r>
        <w:rPr>
          <w:spacing w:val="-10"/>
        </w:rPr>
        <w:t xml:space="preserve"> </w:t>
      </w:r>
      <w:r>
        <w:t>П-образного</w:t>
      </w:r>
      <w:r>
        <w:rPr>
          <w:spacing w:val="-8"/>
        </w:rPr>
        <w:t xml:space="preserve"> </w:t>
      </w:r>
      <w:r>
        <w:t>шва</w:t>
      </w:r>
      <w:r>
        <w:rPr>
          <w:spacing w:val="-4"/>
        </w:rPr>
        <w:t xml:space="preserve"> </w:t>
      </w:r>
      <w:r>
        <w:t>при</w:t>
      </w:r>
      <w:r>
        <w:rPr>
          <w:spacing w:val="-10"/>
        </w:rPr>
        <w:t xml:space="preserve"> </w:t>
      </w:r>
      <w:r>
        <w:t>модифицированном</w:t>
      </w:r>
      <w:r>
        <w:rPr>
          <w:spacing w:val="-4"/>
        </w:rPr>
        <w:t xml:space="preserve"> </w:t>
      </w:r>
      <w:r>
        <w:t>ПЕА</w:t>
      </w:r>
    </w:p>
    <w:p w14:paraId="7224A1E6">
      <w:pPr>
        <w:pStyle w:val="7"/>
        <w:spacing w:before="4"/>
        <w:ind w:left="0" w:firstLine="0"/>
        <w:jc w:val="left"/>
      </w:pPr>
    </w:p>
    <w:p w14:paraId="0263EBFF">
      <w:pPr>
        <w:pStyle w:val="7"/>
        <w:ind w:left="0" w:firstLine="709"/>
      </w:pPr>
      <w:r>
        <w:t>Отличительными</w:t>
      </w:r>
      <w:r>
        <w:rPr>
          <w:spacing w:val="-11"/>
        </w:rPr>
        <w:t xml:space="preserve"> </w:t>
      </w:r>
      <w:r>
        <w:t>особенностями</w:t>
      </w:r>
      <w:r>
        <w:rPr>
          <w:spacing w:val="-11"/>
        </w:rPr>
        <w:t xml:space="preserve"> </w:t>
      </w:r>
      <w:r>
        <w:t>модифицированной</w:t>
      </w:r>
      <w:r>
        <w:rPr>
          <w:spacing w:val="-11"/>
        </w:rPr>
        <w:t xml:space="preserve"> </w:t>
      </w:r>
      <w:r>
        <w:t>протоково-слизистой ПЕА являются:</w:t>
      </w:r>
    </w:p>
    <w:p w14:paraId="4E61376E">
      <w:pPr>
        <w:pStyle w:val="10"/>
        <w:numPr>
          <w:ilvl w:val="0"/>
          <w:numId w:val="16"/>
        </w:numPr>
        <w:tabs>
          <w:tab w:val="left" w:pos="1214"/>
        </w:tabs>
        <w:ind w:left="0" w:right="3" w:firstLine="709"/>
        <w:rPr>
          <w:sz w:val="28"/>
        </w:rPr>
      </w:pPr>
      <w:r>
        <w:rPr>
          <w:sz w:val="28"/>
        </w:rPr>
        <w:t>двухуровневая</w:t>
      </w:r>
      <w:r>
        <w:rPr>
          <w:spacing w:val="40"/>
          <w:sz w:val="28"/>
        </w:rPr>
        <w:t xml:space="preserve"> </w:t>
      </w:r>
      <w:r>
        <w:rPr>
          <w:sz w:val="28"/>
        </w:rPr>
        <w:t>фиксация</w:t>
      </w:r>
      <w:r>
        <w:rPr>
          <w:spacing w:val="40"/>
          <w:sz w:val="28"/>
        </w:rPr>
        <w:t xml:space="preserve"> </w:t>
      </w:r>
      <w:r>
        <w:rPr>
          <w:sz w:val="28"/>
        </w:rPr>
        <w:t>культи</w:t>
      </w:r>
      <w:r>
        <w:rPr>
          <w:spacing w:val="40"/>
          <w:sz w:val="28"/>
        </w:rPr>
        <w:t xml:space="preserve"> </w:t>
      </w:r>
      <w:r>
        <w:rPr>
          <w:sz w:val="28"/>
        </w:rPr>
        <w:t>ПЖ</w:t>
      </w:r>
      <w:r>
        <w:rPr>
          <w:spacing w:val="40"/>
          <w:sz w:val="28"/>
        </w:rPr>
        <w:t xml:space="preserve"> </w:t>
      </w:r>
      <w:r>
        <w:rPr>
          <w:sz w:val="28"/>
        </w:rPr>
        <w:t>за</w:t>
      </w:r>
      <w:r>
        <w:rPr>
          <w:spacing w:val="40"/>
          <w:sz w:val="28"/>
        </w:rPr>
        <w:t xml:space="preserve"> </w:t>
      </w:r>
      <w:r>
        <w:rPr>
          <w:sz w:val="28"/>
        </w:rPr>
        <w:t>счет</w:t>
      </w:r>
      <w:r>
        <w:rPr>
          <w:spacing w:val="40"/>
          <w:sz w:val="28"/>
        </w:rPr>
        <w:t xml:space="preserve"> </w:t>
      </w:r>
      <w:r>
        <w:rPr>
          <w:sz w:val="28"/>
        </w:rPr>
        <w:t>транспанкреатических</w:t>
      </w:r>
      <w:r>
        <w:rPr>
          <w:spacing w:val="40"/>
          <w:sz w:val="28"/>
        </w:rPr>
        <w:t xml:space="preserve"> </w:t>
      </w:r>
      <w:r>
        <w:rPr>
          <w:sz w:val="28"/>
        </w:rPr>
        <w:t>П- образных швов и 2-3 узловыми между ПЖ и стенкой тонкой кишки;</w:t>
      </w:r>
    </w:p>
    <w:p w14:paraId="02984DBC">
      <w:pPr>
        <w:pStyle w:val="10"/>
        <w:numPr>
          <w:ilvl w:val="0"/>
          <w:numId w:val="16"/>
        </w:numPr>
        <w:tabs>
          <w:tab w:val="left" w:pos="1181"/>
        </w:tabs>
        <w:ind w:left="0" w:right="287" w:firstLine="709"/>
        <w:rPr>
          <w:sz w:val="28"/>
        </w:rPr>
      </w:pPr>
      <w:r>
        <w:rPr>
          <w:sz w:val="28"/>
        </w:rPr>
        <w:t>транспанкреатические П-образные швы приводит мягкую консистенцию ПЖ к механически устойчивому состоянию плотной железы;</w:t>
      </w:r>
    </w:p>
    <w:p w14:paraId="27EAD674">
      <w:pPr>
        <w:pStyle w:val="10"/>
        <w:numPr>
          <w:ilvl w:val="0"/>
          <w:numId w:val="16"/>
        </w:numPr>
        <w:tabs>
          <w:tab w:val="left" w:pos="1219"/>
        </w:tabs>
        <w:ind w:left="0" w:right="3" w:firstLine="566"/>
        <w:rPr>
          <w:sz w:val="28"/>
        </w:rPr>
      </w:pPr>
      <w:r>
        <w:rPr>
          <w:sz w:val="28"/>
        </w:rPr>
        <w:t>равномерное</w:t>
      </w:r>
      <w:r>
        <w:rPr>
          <w:spacing w:val="40"/>
          <w:sz w:val="28"/>
        </w:rPr>
        <w:t xml:space="preserve"> </w:t>
      </w:r>
      <w:r>
        <w:rPr>
          <w:sz w:val="28"/>
        </w:rPr>
        <w:t>распределение</w:t>
      </w:r>
      <w:r>
        <w:rPr>
          <w:spacing w:val="40"/>
          <w:sz w:val="28"/>
        </w:rPr>
        <w:t xml:space="preserve"> </w:t>
      </w:r>
      <w:r>
        <w:rPr>
          <w:sz w:val="28"/>
        </w:rPr>
        <w:t>нагрузок</w:t>
      </w:r>
      <w:r>
        <w:rPr>
          <w:spacing w:val="40"/>
          <w:sz w:val="28"/>
        </w:rPr>
        <w:t xml:space="preserve"> </w:t>
      </w:r>
      <w:r>
        <w:rPr>
          <w:sz w:val="28"/>
        </w:rPr>
        <w:t>и</w:t>
      </w:r>
      <w:r>
        <w:rPr>
          <w:spacing w:val="40"/>
          <w:sz w:val="28"/>
        </w:rPr>
        <w:t xml:space="preserve"> </w:t>
      </w:r>
      <w:r>
        <w:rPr>
          <w:sz w:val="28"/>
        </w:rPr>
        <w:t>снижение</w:t>
      </w:r>
      <w:r>
        <w:rPr>
          <w:spacing w:val="40"/>
          <w:sz w:val="28"/>
        </w:rPr>
        <w:t xml:space="preserve"> </w:t>
      </w:r>
      <w:r>
        <w:rPr>
          <w:sz w:val="28"/>
        </w:rPr>
        <w:t>риска</w:t>
      </w:r>
      <w:r>
        <w:rPr>
          <w:spacing w:val="40"/>
          <w:sz w:val="28"/>
        </w:rPr>
        <w:t xml:space="preserve"> </w:t>
      </w:r>
      <w:r>
        <w:rPr>
          <w:sz w:val="28"/>
        </w:rPr>
        <w:t>прорезывания шовного материала;</w:t>
      </w:r>
    </w:p>
    <w:p w14:paraId="7731D99C">
      <w:pPr>
        <w:pStyle w:val="10"/>
        <w:numPr>
          <w:ilvl w:val="0"/>
          <w:numId w:val="16"/>
        </w:numPr>
        <w:tabs>
          <w:tab w:val="left" w:pos="1153"/>
        </w:tabs>
        <w:spacing w:line="321" w:lineRule="exact"/>
        <w:ind w:left="0" w:firstLine="709"/>
        <w:rPr>
          <w:sz w:val="28"/>
        </w:rPr>
      </w:pPr>
      <w:r>
        <w:rPr>
          <w:sz w:val="28"/>
        </w:rPr>
        <w:t>прецизионное</w:t>
      </w:r>
      <w:r>
        <w:rPr>
          <w:spacing w:val="-9"/>
          <w:sz w:val="28"/>
        </w:rPr>
        <w:t xml:space="preserve"> </w:t>
      </w:r>
      <w:r>
        <w:rPr>
          <w:sz w:val="28"/>
        </w:rPr>
        <w:t>сопоставление</w:t>
      </w:r>
      <w:r>
        <w:rPr>
          <w:spacing w:val="-8"/>
          <w:sz w:val="28"/>
        </w:rPr>
        <w:t xml:space="preserve"> </w:t>
      </w:r>
      <w:r>
        <w:rPr>
          <w:sz w:val="28"/>
        </w:rPr>
        <w:t>слизистой</w:t>
      </w:r>
      <w:r>
        <w:rPr>
          <w:spacing w:val="-9"/>
          <w:sz w:val="28"/>
        </w:rPr>
        <w:t xml:space="preserve"> </w:t>
      </w:r>
      <w:r>
        <w:rPr>
          <w:sz w:val="28"/>
        </w:rPr>
        <w:t>протока</w:t>
      </w:r>
      <w:r>
        <w:rPr>
          <w:spacing w:val="-8"/>
          <w:sz w:val="28"/>
        </w:rPr>
        <w:t xml:space="preserve"> </w:t>
      </w:r>
      <w:r>
        <w:rPr>
          <w:sz w:val="28"/>
        </w:rPr>
        <w:t>и</w:t>
      </w:r>
      <w:r>
        <w:rPr>
          <w:spacing w:val="-9"/>
          <w:sz w:val="28"/>
        </w:rPr>
        <w:t xml:space="preserve"> </w:t>
      </w:r>
      <w:r>
        <w:rPr>
          <w:sz w:val="28"/>
        </w:rPr>
        <w:t>слизистой</w:t>
      </w:r>
      <w:r>
        <w:rPr>
          <w:spacing w:val="-9"/>
          <w:sz w:val="28"/>
        </w:rPr>
        <w:t xml:space="preserve"> </w:t>
      </w:r>
      <w:r>
        <w:rPr>
          <w:spacing w:val="-2"/>
          <w:sz w:val="28"/>
        </w:rPr>
        <w:t>кишки;</w:t>
      </w:r>
    </w:p>
    <w:p w14:paraId="4E7632BA">
      <w:pPr>
        <w:pStyle w:val="10"/>
        <w:numPr>
          <w:ilvl w:val="0"/>
          <w:numId w:val="16"/>
        </w:numPr>
        <w:tabs>
          <w:tab w:val="left" w:pos="1153"/>
        </w:tabs>
        <w:spacing w:line="322" w:lineRule="exact"/>
        <w:ind w:left="0" w:firstLine="709"/>
        <w:rPr>
          <w:sz w:val="28"/>
        </w:rPr>
      </w:pPr>
      <w:r>
        <w:rPr>
          <w:sz w:val="28"/>
        </w:rPr>
        <w:t>формирование</w:t>
      </w:r>
      <w:r>
        <w:rPr>
          <w:spacing w:val="-12"/>
          <w:sz w:val="28"/>
        </w:rPr>
        <w:t xml:space="preserve"> </w:t>
      </w:r>
      <w:r>
        <w:rPr>
          <w:sz w:val="28"/>
        </w:rPr>
        <w:t>стабильного</w:t>
      </w:r>
      <w:r>
        <w:rPr>
          <w:spacing w:val="-12"/>
          <w:sz w:val="28"/>
        </w:rPr>
        <w:t xml:space="preserve"> </w:t>
      </w:r>
      <w:r>
        <w:rPr>
          <w:sz w:val="28"/>
        </w:rPr>
        <w:t>анастомотического</w:t>
      </w:r>
      <w:r>
        <w:rPr>
          <w:spacing w:val="-13"/>
          <w:sz w:val="28"/>
        </w:rPr>
        <w:t xml:space="preserve"> </w:t>
      </w:r>
      <w:r>
        <w:rPr>
          <w:sz w:val="28"/>
        </w:rPr>
        <w:t>ложа</w:t>
      </w:r>
      <w:r>
        <w:rPr>
          <w:spacing w:val="-11"/>
          <w:sz w:val="28"/>
        </w:rPr>
        <w:t xml:space="preserve"> </w:t>
      </w:r>
      <w:r>
        <w:rPr>
          <w:sz w:val="28"/>
        </w:rPr>
        <w:t>при</w:t>
      </w:r>
      <w:r>
        <w:rPr>
          <w:spacing w:val="-9"/>
          <w:sz w:val="28"/>
        </w:rPr>
        <w:t xml:space="preserve"> </w:t>
      </w:r>
      <w:r>
        <w:rPr>
          <w:sz w:val="28"/>
        </w:rPr>
        <w:t>узком</w:t>
      </w:r>
      <w:r>
        <w:rPr>
          <w:spacing w:val="-11"/>
          <w:sz w:val="28"/>
        </w:rPr>
        <w:t xml:space="preserve"> </w:t>
      </w:r>
      <w:r>
        <w:rPr>
          <w:spacing w:val="-2"/>
          <w:sz w:val="28"/>
        </w:rPr>
        <w:t>протоке;</w:t>
      </w:r>
    </w:p>
    <w:p w14:paraId="2784E98E">
      <w:pPr>
        <w:pStyle w:val="10"/>
        <w:numPr>
          <w:ilvl w:val="0"/>
          <w:numId w:val="16"/>
        </w:numPr>
        <w:tabs>
          <w:tab w:val="left" w:pos="1262"/>
        </w:tabs>
        <w:ind w:left="0" w:right="3" w:firstLine="566"/>
        <w:rPr>
          <w:sz w:val="28"/>
        </w:rPr>
      </w:pPr>
      <w:r>
        <w:rPr>
          <w:sz w:val="28"/>
        </w:rPr>
        <w:t>сохранение</w:t>
      </w:r>
      <w:r>
        <w:rPr>
          <w:spacing w:val="80"/>
          <w:sz w:val="28"/>
        </w:rPr>
        <w:t xml:space="preserve"> </w:t>
      </w:r>
      <w:r>
        <w:rPr>
          <w:sz w:val="28"/>
        </w:rPr>
        <w:t>микроциркуляции</w:t>
      </w:r>
      <w:r>
        <w:rPr>
          <w:spacing w:val="80"/>
          <w:sz w:val="28"/>
        </w:rPr>
        <w:t xml:space="preserve"> </w:t>
      </w:r>
      <w:r>
        <w:rPr>
          <w:sz w:val="28"/>
        </w:rPr>
        <w:t>капсулы</w:t>
      </w:r>
      <w:r>
        <w:rPr>
          <w:spacing w:val="80"/>
          <w:sz w:val="28"/>
        </w:rPr>
        <w:t xml:space="preserve"> </w:t>
      </w:r>
      <w:r>
        <w:rPr>
          <w:sz w:val="28"/>
        </w:rPr>
        <w:t>за</w:t>
      </w:r>
      <w:r>
        <w:rPr>
          <w:spacing w:val="80"/>
          <w:sz w:val="28"/>
        </w:rPr>
        <w:t xml:space="preserve"> </w:t>
      </w:r>
      <w:r>
        <w:rPr>
          <w:sz w:val="28"/>
        </w:rPr>
        <w:t>счёт</w:t>
      </w:r>
      <w:r>
        <w:rPr>
          <w:spacing w:val="80"/>
          <w:sz w:val="28"/>
        </w:rPr>
        <w:t xml:space="preserve"> </w:t>
      </w:r>
      <w:r>
        <w:rPr>
          <w:sz w:val="28"/>
        </w:rPr>
        <w:t>отсутствия</w:t>
      </w:r>
      <w:r>
        <w:rPr>
          <w:spacing w:val="80"/>
          <w:sz w:val="28"/>
        </w:rPr>
        <w:t xml:space="preserve"> </w:t>
      </w:r>
      <w:r>
        <w:rPr>
          <w:sz w:val="28"/>
        </w:rPr>
        <w:t xml:space="preserve">глубокой </w:t>
      </w:r>
      <w:r>
        <w:rPr>
          <w:spacing w:val="-2"/>
          <w:sz w:val="28"/>
        </w:rPr>
        <w:t>инвагинации;</w:t>
      </w:r>
    </w:p>
    <w:p w14:paraId="3100BA36">
      <w:pPr>
        <w:pStyle w:val="10"/>
        <w:numPr>
          <w:ilvl w:val="0"/>
          <w:numId w:val="16"/>
        </w:numPr>
        <w:tabs>
          <w:tab w:val="left" w:pos="1253"/>
        </w:tabs>
        <w:spacing w:line="242" w:lineRule="auto"/>
        <w:ind w:left="0" w:right="3" w:firstLine="566"/>
        <w:rPr>
          <w:sz w:val="28"/>
        </w:rPr>
      </w:pPr>
      <w:r>
        <w:rPr>
          <w:sz w:val="28"/>
        </w:rPr>
        <w:t>контролируемый</w:t>
      </w:r>
      <w:r>
        <w:rPr>
          <w:spacing w:val="80"/>
          <w:sz w:val="28"/>
        </w:rPr>
        <w:t xml:space="preserve"> </w:t>
      </w:r>
      <w:r>
        <w:rPr>
          <w:sz w:val="28"/>
        </w:rPr>
        <w:t>отток</w:t>
      </w:r>
      <w:r>
        <w:rPr>
          <w:spacing w:val="80"/>
          <w:sz w:val="28"/>
        </w:rPr>
        <w:t xml:space="preserve"> </w:t>
      </w:r>
      <w:r>
        <w:rPr>
          <w:sz w:val="28"/>
        </w:rPr>
        <w:t>панкреатического</w:t>
      </w:r>
      <w:r>
        <w:rPr>
          <w:spacing w:val="80"/>
          <w:sz w:val="28"/>
        </w:rPr>
        <w:t xml:space="preserve"> </w:t>
      </w:r>
      <w:r>
        <w:rPr>
          <w:sz w:val="28"/>
        </w:rPr>
        <w:t>секрета</w:t>
      </w:r>
      <w:r>
        <w:rPr>
          <w:spacing w:val="80"/>
          <w:sz w:val="28"/>
        </w:rPr>
        <w:t xml:space="preserve"> </w:t>
      </w:r>
      <w:r>
        <w:rPr>
          <w:sz w:val="28"/>
        </w:rPr>
        <w:t>при</w:t>
      </w:r>
      <w:r>
        <w:rPr>
          <w:spacing w:val="80"/>
          <w:sz w:val="28"/>
        </w:rPr>
        <w:t xml:space="preserve"> </w:t>
      </w:r>
      <w:r>
        <w:rPr>
          <w:sz w:val="28"/>
        </w:rPr>
        <w:t>использовании внутреннего стента.</w:t>
      </w:r>
    </w:p>
    <w:p w14:paraId="03F48A5B">
      <w:pPr>
        <w:pStyle w:val="7"/>
        <w:ind w:left="0" w:right="3"/>
      </w:pPr>
      <w:r>
        <w:t>Таким образом, предлагаемая техника обеспечивает механически устойчивый и герметичный протоково-слизистый анастомоз, особенно в условиях мягкой ПЖ и малого диаметра ПП.</w:t>
      </w:r>
    </w:p>
    <w:p w14:paraId="576C6547">
      <w:pPr>
        <w:pStyle w:val="7"/>
        <w:ind w:left="0" w:right="3" w:firstLine="709"/>
      </w:pPr>
      <w:r>
        <w:t>Комплексное действие перечисленных механизмов создают оптимальные условия</w:t>
      </w:r>
      <w:r>
        <w:rPr>
          <w:spacing w:val="-15"/>
        </w:rPr>
        <w:t xml:space="preserve"> </w:t>
      </w:r>
      <w:r>
        <w:t>для</w:t>
      </w:r>
      <w:r>
        <w:rPr>
          <w:spacing w:val="-13"/>
        </w:rPr>
        <w:t xml:space="preserve"> </w:t>
      </w:r>
      <w:r>
        <w:t>безопасного</w:t>
      </w:r>
      <w:r>
        <w:rPr>
          <w:spacing w:val="-14"/>
        </w:rPr>
        <w:t xml:space="preserve"> </w:t>
      </w:r>
      <w:r>
        <w:t>заживления</w:t>
      </w:r>
      <w:r>
        <w:rPr>
          <w:spacing w:val="-14"/>
        </w:rPr>
        <w:t xml:space="preserve"> </w:t>
      </w:r>
      <w:r>
        <w:t>анастомоза,</w:t>
      </w:r>
      <w:r>
        <w:rPr>
          <w:spacing w:val="-13"/>
        </w:rPr>
        <w:t xml:space="preserve"> </w:t>
      </w:r>
      <w:r>
        <w:t>особенно</w:t>
      </w:r>
      <w:r>
        <w:rPr>
          <w:spacing w:val="-14"/>
        </w:rPr>
        <w:t xml:space="preserve"> </w:t>
      </w:r>
      <w:r>
        <w:t>у</w:t>
      </w:r>
      <w:r>
        <w:rPr>
          <w:spacing w:val="-18"/>
        </w:rPr>
        <w:t xml:space="preserve"> </w:t>
      </w:r>
      <w:r>
        <w:t>пациентов</w:t>
      </w:r>
      <w:r>
        <w:rPr>
          <w:spacing w:val="-16"/>
        </w:rPr>
        <w:t xml:space="preserve"> </w:t>
      </w:r>
      <w:r>
        <w:t>с</w:t>
      </w:r>
      <w:r>
        <w:rPr>
          <w:spacing w:val="-14"/>
        </w:rPr>
        <w:t xml:space="preserve"> </w:t>
      </w:r>
      <w:r>
        <w:t>мягкой консистенцией ПЖ и узким диаметром ПП, то есть</w:t>
      </w:r>
      <w:r>
        <w:rPr>
          <w:spacing w:val="-1"/>
        </w:rPr>
        <w:t xml:space="preserve"> </w:t>
      </w:r>
      <w:r>
        <w:t>в</w:t>
      </w:r>
      <w:r>
        <w:rPr>
          <w:spacing w:val="-1"/>
        </w:rPr>
        <w:t xml:space="preserve"> </w:t>
      </w:r>
      <w:r>
        <w:t>наиболее уязвимой группе в отношении формирования КЗ-ПС.</w:t>
      </w:r>
    </w:p>
    <w:p w14:paraId="747632AD">
      <w:pPr>
        <w:pStyle w:val="7"/>
        <w:ind w:left="0" w:right="3" w:firstLine="709"/>
      </w:pPr>
      <w:r>
        <w:t>Инвагинационный тип ПЕА характеризуется высоким риском ишемии втянутой</w:t>
      </w:r>
      <w:r>
        <w:rPr>
          <w:spacing w:val="-7"/>
        </w:rPr>
        <w:t xml:space="preserve"> </w:t>
      </w:r>
      <w:r>
        <w:t>паренхимы,</w:t>
      </w:r>
      <w:r>
        <w:rPr>
          <w:spacing w:val="-5"/>
        </w:rPr>
        <w:t xml:space="preserve"> </w:t>
      </w:r>
      <w:r>
        <w:t>отсутствием</w:t>
      </w:r>
      <w:r>
        <w:rPr>
          <w:spacing w:val="-5"/>
        </w:rPr>
        <w:t xml:space="preserve"> </w:t>
      </w:r>
      <w:r>
        <w:t>прямого</w:t>
      </w:r>
      <w:r>
        <w:rPr>
          <w:spacing w:val="-2"/>
        </w:rPr>
        <w:t xml:space="preserve"> </w:t>
      </w:r>
      <w:r>
        <w:t>контакта</w:t>
      </w:r>
      <w:r>
        <w:rPr>
          <w:spacing w:val="-6"/>
        </w:rPr>
        <w:t xml:space="preserve"> </w:t>
      </w:r>
      <w:r>
        <w:t>слизистой</w:t>
      </w:r>
      <w:r>
        <w:rPr>
          <w:spacing w:val="-7"/>
        </w:rPr>
        <w:t xml:space="preserve"> </w:t>
      </w:r>
      <w:r>
        <w:t>протока</w:t>
      </w:r>
      <w:r>
        <w:rPr>
          <w:spacing w:val="-6"/>
        </w:rPr>
        <w:t xml:space="preserve"> </w:t>
      </w:r>
      <w:r>
        <w:t>и</w:t>
      </w:r>
      <w:r>
        <w:rPr>
          <w:spacing w:val="-7"/>
        </w:rPr>
        <w:t xml:space="preserve"> </w:t>
      </w:r>
      <w:r>
        <w:t>тощей кишки, а также значительными сдвиговыми нагрузками в зоне швов, что коррелирует с увеличением частоты КЗ-ПС при мягкой железе.</w:t>
      </w:r>
    </w:p>
    <w:p w14:paraId="75830789">
      <w:pPr>
        <w:pStyle w:val="7"/>
        <w:tabs>
          <w:tab w:val="left" w:pos="2977"/>
        </w:tabs>
        <w:spacing w:before="67"/>
        <w:ind w:left="0" w:right="3" w:firstLine="709"/>
      </w:pPr>
      <w:r>
        <w:t>Стандартный протоково-слизистый анастомоз обеспечивает более физиологичный отток, однако при маленьком диаметре ПП и мягкой консистенции ПЖ требует высокой технической точности и часто сопровождается</w:t>
      </w:r>
      <w:r>
        <w:rPr>
          <w:spacing w:val="-10"/>
        </w:rPr>
        <w:t xml:space="preserve"> </w:t>
      </w:r>
      <w:r>
        <w:t>натяжением</w:t>
      </w:r>
      <w:r>
        <w:rPr>
          <w:spacing w:val="-10"/>
        </w:rPr>
        <w:t xml:space="preserve"> </w:t>
      </w:r>
      <w:r>
        <w:t>шовного</w:t>
      </w:r>
      <w:r>
        <w:rPr>
          <w:spacing w:val="-11"/>
        </w:rPr>
        <w:t xml:space="preserve"> </w:t>
      </w:r>
      <w:r>
        <w:t>ряда,</w:t>
      </w:r>
      <w:r>
        <w:rPr>
          <w:spacing w:val="-13"/>
        </w:rPr>
        <w:t xml:space="preserve"> </w:t>
      </w:r>
      <w:r>
        <w:t>что</w:t>
      </w:r>
      <w:r>
        <w:rPr>
          <w:spacing w:val="-11"/>
        </w:rPr>
        <w:t xml:space="preserve"> </w:t>
      </w:r>
      <w:r>
        <w:t>отражает</w:t>
      </w:r>
      <w:r>
        <w:rPr>
          <w:spacing w:val="-13"/>
        </w:rPr>
        <w:t xml:space="preserve"> </w:t>
      </w:r>
      <w:r>
        <w:t>высокий</w:t>
      </w:r>
      <w:r>
        <w:rPr>
          <w:spacing w:val="-11"/>
        </w:rPr>
        <w:t xml:space="preserve"> </w:t>
      </w:r>
      <w:r>
        <w:t>риск</w:t>
      </w:r>
      <w:r>
        <w:rPr>
          <w:spacing w:val="-12"/>
        </w:rPr>
        <w:t xml:space="preserve"> </w:t>
      </w:r>
      <w:r>
        <w:t>развития несостоятельности ПЕА.</w:t>
      </w:r>
    </w:p>
    <w:p w14:paraId="3EC51A2A">
      <w:pPr>
        <w:pStyle w:val="7"/>
        <w:spacing w:before="4"/>
        <w:ind w:left="0" w:right="3" w:firstLine="709"/>
      </w:pPr>
      <w:r>
        <w:t>Модифицированный протоково-слизистый ПЕА, разработанный в ННЦХ имени А.Н. Сызганова, сочетает преимущества прямого эпителиального контакта</w:t>
      </w:r>
      <w:r>
        <w:rPr>
          <w:spacing w:val="-13"/>
        </w:rPr>
        <w:t xml:space="preserve"> </w:t>
      </w:r>
      <w:r>
        <w:t>с</w:t>
      </w:r>
      <w:r>
        <w:rPr>
          <w:spacing w:val="-13"/>
        </w:rPr>
        <w:t xml:space="preserve"> </w:t>
      </w:r>
      <w:r>
        <w:t>минимизацией</w:t>
      </w:r>
      <w:r>
        <w:rPr>
          <w:spacing w:val="-14"/>
        </w:rPr>
        <w:t xml:space="preserve"> </w:t>
      </w:r>
      <w:r>
        <w:t>механических</w:t>
      </w:r>
      <w:r>
        <w:rPr>
          <w:spacing w:val="-14"/>
        </w:rPr>
        <w:t xml:space="preserve"> </w:t>
      </w:r>
      <w:r>
        <w:t>перегрузок</w:t>
      </w:r>
      <w:r>
        <w:rPr>
          <w:spacing w:val="-15"/>
        </w:rPr>
        <w:t xml:space="preserve"> </w:t>
      </w:r>
      <w:r>
        <w:t>посредством</w:t>
      </w:r>
      <w:r>
        <w:rPr>
          <w:spacing w:val="-13"/>
        </w:rPr>
        <w:t xml:space="preserve"> </w:t>
      </w:r>
      <w:r>
        <w:t>двухуровневой фиксации и обязательной герметизации зоны анастомоза. В результате достигается снижение риска ПС, особенно у пациентов с неблагоприятными анатомо-функциональными характеристиками.</w:t>
      </w:r>
    </w:p>
    <w:p w14:paraId="2A899FCA">
      <w:pPr>
        <w:pStyle w:val="7"/>
        <w:ind w:left="0" w:right="3" w:firstLine="709"/>
      </w:pPr>
      <w:r>
        <w:t>Ключевым элементом улучшения исходов стало совершенствование реконструктивного</w:t>
      </w:r>
      <w:r>
        <w:rPr>
          <w:spacing w:val="-3"/>
        </w:rPr>
        <w:t xml:space="preserve"> </w:t>
      </w:r>
      <w:r>
        <w:t>этапа —</w:t>
      </w:r>
      <w:r>
        <w:rPr>
          <w:spacing w:val="-3"/>
        </w:rPr>
        <w:t xml:space="preserve"> </w:t>
      </w:r>
      <w:r>
        <w:t>разработка</w:t>
      </w:r>
      <w:r>
        <w:rPr>
          <w:spacing w:val="-2"/>
        </w:rPr>
        <w:t xml:space="preserve"> </w:t>
      </w:r>
      <w:r>
        <w:t>модифицированной</w:t>
      </w:r>
      <w:r>
        <w:rPr>
          <w:spacing w:val="-3"/>
        </w:rPr>
        <w:t xml:space="preserve"> </w:t>
      </w:r>
      <w:r>
        <w:t>техники</w:t>
      </w:r>
      <w:r>
        <w:rPr>
          <w:spacing w:val="-3"/>
        </w:rPr>
        <w:t xml:space="preserve"> </w:t>
      </w:r>
      <w:r>
        <w:t xml:space="preserve">протоково- слизистого ПЕА, ориентированной на условия «мягкой» железы и маленького диаметра ПП. Комбинация точного «протоково-слизистого» контакта с двумя транспаренхиматозными П-образными швами, обязательным дренированием ПП формирует механически устойчивое и биологически защищённое </w:t>
      </w:r>
      <w:r>
        <w:rPr>
          <w:spacing w:val="-2"/>
        </w:rPr>
        <w:t>соединение.</w:t>
      </w:r>
    </w:p>
    <w:p w14:paraId="7CC3DCC0">
      <w:pPr>
        <w:pStyle w:val="7"/>
        <w:spacing w:before="1"/>
        <w:ind w:left="0" w:right="3" w:firstLine="709"/>
      </w:pPr>
      <w:r>
        <w:t xml:space="preserve">Методика подтверждена охранным документом (патент РК № 37308 от 08.05.2025; технологически воспроизводимы и не требуют дефицитных расходных материалов, что облегчает их внедрение в специализированных </w:t>
      </w:r>
      <w:r>
        <w:rPr>
          <w:spacing w:val="-2"/>
        </w:rPr>
        <w:t>центрах.</w:t>
      </w:r>
    </w:p>
    <w:p w14:paraId="00F89FD3">
      <w:pPr>
        <w:pStyle w:val="7"/>
        <w:spacing w:before="3"/>
        <w:ind w:left="0" w:right="3" w:firstLine="709"/>
        <w:jc w:val="left"/>
      </w:pPr>
    </w:p>
    <w:p w14:paraId="5D180EAF">
      <w:pPr>
        <w:pStyle w:val="3"/>
        <w:numPr>
          <w:ilvl w:val="2"/>
          <w:numId w:val="8"/>
        </w:numPr>
        <w:tabs>
          <w:tab w:val="left" w:pos="1818"/>
        </w:tabs>
        <w:ind w:left="0" w:right="3" w:firstLine="709"/>
        <w:rPr>
          <w:b w:val="0"/>
        </w:rPr>
      </w:pPr>
      <w:bookmarkStart w:id="38" w:name="3.4.3_Усовершенствование_техники_ПЕА_как"/>
      <w:bookmarkEnd w:id="38"/>
      <w:r>
        <w:rPr>
          <w:b w:val="0"/>
        </w:rPr>
        <w:t>Усовершенствование техники ПЕА как ключевого этапа профилактики ПС</w:t>
      </w:r>
    </w:p>
    <w:p w14:paraId="7EF82FC8">
      <w:pPr>
        <w:pStyle w:val="7"/>
        <w:ind w:left="0" w:right="3" w:firstLine="709"/>
      </w:pPr>
      <w:r>
        <w:t>Формирование</w:t>
      </w:r>
      <w:r>
        <w:rPr>
          <w:spacing w:val="-5"/>
        </w:rPr>
        <w:t xml:space="preserve"> </w:t>
      </w:r>
      <w:r>
        <w:t>ПЕА</w:t>
      </w:r>
      <w:r>
        <w:rPr>
          <w:spacing w:val="-9"/>
        </w:rPr>
        <w:t xml:space="preserve"> </w:t>
      </w:r>
      <w:r>
        <w:t>является</w:t>
      </w:r>
      <w:r>
        <w:rPr>
          <w:spacing w:val="-4"/>
        </w:rPr>
        <w:t xml:space="preserve"> </w:t>
      </w:r>
      <w:r>
        <w:t>критически</w:t>
      </w:r>
      <w:r>
        <w:rPr>
          <w:spacing w:val="-6"/>
        </w:rPr>
        <w:t xml:space="preserve"> </w:t>
      </w:r>
      <w:r>
        <w:t>важным</w:t>
      </w:r>
      <w:r>
        <w:rPr>
          <w:spacing w:val="-5"/>
        </w:rPr>
        <w:t xml:space="preserve"> </w:t>
      </w:r>
      <w:r>
        <w:t>звеном</w:t>
      </w:r>
      <w:r>
        <w:rPr>
          <w:spacing w:val="-5"/>
        </w:rPr>
        <w:t xml:space="preserve"> </w:t>
      </w:r>
      <w:r>
        <w:t>ГПДР,</w:t>
      </w:r>
      <w:r>
        <w:rPr>
          <w:spacing w:val="-3"/>
        </w:rPr>
        <w:t xml:space="preserve"> </w:t>
      </w:r>
      <w:r>
        <w:t>поскольку именно реконструктивный этап операции определяет прочность зоны соединения между ПЖ и тонкой кишкой и во многом предопределяет развитие послеоперационных</w:t>
      </w:r>
      <w:r>
        <w:rPr>
          <w:spacing w:val="-18"/>
        </w:rPr>
        <w:t xml:space="preserve"> </w:t>
      </w:r>
      <w:r>
        <w:t>осложнений,</w:t>
      </w:r>
      <w:r>
        <w:rPr>
          <w:spacing w:val="-15"/>
        </w:rPr>
        <w:t xml:space="preserve"> </w:t>
      </w:r>
      <w:r>
        <w:t>включая</w:t>
      </w:r>
      <w:r>
        <w:rPr>
          <w:spacing w:val="-14"/>
        </w:rPr>
        <w:t xml:space="preserve"> </w:t>
      </w:r>
      <w:r>
        <w:t>ПС.</w:t>
      </w:r>
      <w:r>
        <w:rPr>
          <w:spacing w:val="-13"/>
        </w:rPr>
        <w:t xml:space="preserve"> </w:t>
      </w:r>
      <w:r>
        <w:t>Многоцентровые</w:t>
      </w:r>
      <w:r>
        <w:rPr>
          <w:spacing w:val="-14"/>
        </w:rPr>
        <w:t xml:space="preserve"> </w:t>
      </w:r>
      <w:r>
        <w:t>исследования</w:t>
      </w:r>
      <w:r>
        <w:rPr>
          <w:spacing w:val="-14"/>
        </w:rPr>
        <w:t xml:space="preserve"> </w:t>
      </w:r>
      <w:r>
        <w:t>и крупные когортные анализы подтверждают, что частота КЗ-ПС остаётся значительной, особенно у пациентов с мягкой консистенцией ПЖ и маленьким диаметром ПП, что определяет масштаб клинической проблемы и необходимость совершенствования реконструктивных методик [203].</w:t>
      </w:r>
    </w:p>
    <w:p w14:paraId="124DF9A7">
      <w:pPr>
        <w:pStyle w:val="7"/>
        <w:ind w:left="0" w:right="3" w:firstLine="709"/>
      </w:pPr>
      <w:r>
        <w:t>В проспективном исследовании Chen et</w:t>
      </w:r>
      <w:r>
        <w:rPr>
          <w:spacing w:val="-1"/>
        </w:rPr>
        <w:t xml:space="preserve"> </w:t>
      </w:r>
      <w:r>
        <w:t>al. показано, что мягкая паренхима ПЖ и маленький диаметр ПП (&lt;4 мм) являются независимыми предикторами развития ПС после ГПДР, что подтверждается значимостью этих факторов в мультивариантном анализе [204]. Эти данные согласуются с результатами систематических обзоров и мета-анализов, в которых мягкая консистенция ПЖ и маленький диаметр ПП рассматриваются как одни из наиболее значимых факторов риска КЗ-ПС.</w:t>
      </w:r>
    </w:p>
    <w:p w14:paraId="546F4805">
      <w:pPr>
        <w:pStyle w:val="7"/>
        <w:ind w:left="0" w:right="3" w:firstLine="709"/>
      </w:pPr>
      <w:r>
        <w:t>Современная</w:t>
      </w:r>
      <w:r>
        <w:rPr>
          <w:spacing w:val="-2"/>
        </w:rPr>
        <w:t xml:space="preserve"> </w:t>
      </w:r>
      <w:r>
        <w:t>хирургическая</w:t>
      </w:r>
      <w:r>
        <w:rPr>
          <w:spacing w:val="-2"/>
        </w:rPr>
        <w:t xml:space="preserve"> </w:t>
      </w:r>
      <w:r>
        <w:t>практика</w:t>
      </w:r>
      <w:r>
        <w:rPr>
          <w:spacing w:val="-2"/>
        </w:rPr>
        <w:t xml:space="preserve"> </w:t>
      </w:r>
      <w:r>
        <w:t>использует</w:t>
      </w:r>
      <w:r>
        <w:rPr>
          <w:spacing w:val="-5"/>
        </w:rPr>
        <w:t xml:space="preserve"> </w:t>
      </w:r>
      <w:r>
        <w:t>различные</w:t>
      </w:r>
      <w:r>
        <w:rPr>
          <w:spacing w:val="-2"/>
        </w:rPr>
        <w:t xml:space="preserve"> </w:t>
      </w:r>
      <w:r>
        <w:t>техники ПЕА, включая инвагинационные методы и классический протоково-слизистый анастомоз. Однако результаты сравнительных исследований демонстрируют, что ни одна из традиционных техник не обеспечивает удовлетворительного уровня</w:t>
      </w:r>
      <w:r>
        <w:rPr>
          <w:spacing w:val="40"/>
        </w:rPr>
        <w:t xml:space="preserve"> </w:t>
      </w:r>
      <w:r>
        <w:t>профилактики</w:t>
      </w:r>
      <w:r>
        <w:rPr>
          <w:spacing w:val="40"/>
        </w:rPr>
        <w:t xml:space="preserve"> </w:t>
      </w:r>
      <w:r>
        <w:t>свищей</w:t>
      </w:r>
      <w:r>
        <w:rPr>
          <w:spacing w:val="40"/>
        </w:rPr>
        <w:t xml:space="preserve"> </w:t>
      </w:r>
      <w:r>
        <w:t>во</w:t>
      </w:r>
      <w:r>
        <w:rPr>
          <w:spacing w:val="40"/>
        </w:rPr>
        <w:t xml:space="preserve"> </w:t>
      </w:r>
      <w:r>
        <w:t>всех</w:t>
      </w:r>
      <w:r>
        <w:rPr>
          <w:spacing w:val="40"/>
        </w:rPr>
        <w:t xml:space="preserve"> </w:t>
      </w:r>
      <w:r>
        <w:t>клинических</w:t>
      </w:r>
      <w:r>
        <w:rPr>
          <w:spacing w:val="40"/>
        </w:rPr>
        <w:t xml:space="preserve"> </w:t>
      </w:r>
      <w:r>
        <w:t>ситуациях,</w:t>
      </w:r>
      <w:r>
        <w:rPr>
          <w:spacing w:val="40"/>
        </w:rPr>
        <w:t xml:space="preserve"> </w:t>
      </w:r>
      <w:r>
        <w:t>особенно</w:t>
      </w:r>
      <w:r>
        <w:rPr>
          <w:spacing w:val="40"/>
        </w:rPr>
        <w:t xml:space="preserve"> </w:t>
      </w:r>
      <w:r>
        <w:t>при</w:t>
      </w:r>
    </w:p>
    <w:p w14:paraId="4C2AC52D">
      <w:pPr>
        <w:pStyle w:val="7"/>
        <w:spacing w:before="67"/>
        <w:ind w:left="0" w:right="3" w:firstLine="0"/>
      </w:pPr>
      <w:r>
        <w:t>наличии неблагоприятных анатомо-тканевых характеристик [205, 206]. Так, в систематическом</w:t>
      </w:r>
      <w:r>
        <w:rPr>
          <w:spacing w:val="-7"/>
        </w:rPr>
        <w:t xml:space="preserve"> </w:t>
      </w:r>
      <w:r>
        <w:t>обзоре</w:t>
      </w:r>
      <w:r>
        <w:rPr>
          <w:spacing w:val="-7"/>
        </w:rPr>
        <w:t xml:space="preserve"> </w:t>
      </w:r>
      <w:r>
        <w:t>и</w:t>
      </w:r>
      <w:r>
        <w:rPr>
          <w:spacing w:val="-8"/>
        </w:rPr>
        <w:t xml:space="preserve"> </w:t>
      </w:r>
      <w:r>
        <w:t>мета-анализе</w:t>
      </w:r>
      <w:r>
        <w:rPr>
          <w:spacing w:val="-2"/>
        </w:rPr>
        <w:t xml:space="preserve"> </w:t>
      </w:r>
      <w:r>
        <w:t>Li</w:t>
      </w:r>
      <w:r>
        <w:rPr>
          <w:spacing w:val="-7"/>
        </w:rPr>
        <w:t xml:space="preserve"> </w:t>
      </w:r>
      <w:r>
        <w:t>et</w:t>
      </w:r>
      <w:r>
        <w:rPr>
          <w:spacing w:val="-8"/>
        </w:rPr>
        <w:t xml:space="preserve"> </w:t>
      </w:r>
      <w:r>
        <w:t>al.</w:t>
      </w:r>
      <w:r>
        <w:rPr>
          <w:spacing w:val="-6"/>
        </w:rPr>
        <w:t xml:space="preserve"> </w:t>
      </w:r>
      <w:r>
        <w:t>показано,</w:t>
      </w:r>
      <w:r>
        <w:rPr>
          <w:spacing w:val="-6"/>
        </w:rPr>
        <w:t xml:space="preserve"> </w:t>
      </w:r>
      <w:r>
        <w:t>что</w:t>
      </w:r>
      <w:r>
        <w:rPr>
          <w:spacing w:val="-7"/>
        </w:rPr>
        <w:t xml:space="preserve"> </w:t>
      </w:r>
      <w:r>
        <w:t>анастомоз</w:t>
      </w:r>
      <w:r>
        <w:rPr>
          <w:spacing w:val="-8"/>
        </w:rPr>
        <w:t xml:space="preserve"> </w:t>
      </w:r>
      <w:r>
        <w:t>по</w:t>
      </w:r>
      <w:r>
        <w:rPr>
          <w:spacing w:val="-8"/>
        </w:rPr>
        <w:t xml:space="preserve"> </w:t>
      </w:r>
      <w:r>
        <w:t>типу Блюмгарт ассоциирован с более низкой частотой КЗ-ПС по сравнению с традиционными методиками ПЕА, что указывает на потенциальные преимущества данной техники в снижении частоты несостоятельности анастомоза.</w:t>
      </w:r>
    </w:p>
    <w:p w14:paraId="1FDB35A1">
      <w:pPr>
        <w:pStyle w:val="7"/>
        <w:spacing w:before="4"/>
        <w:ind w:left="0" w:right="3" w:firstLine="709"/>
      </w:pPr>
      <w:r>
        <w:t>Современные обзорные исследования подчёркивают, что эффективность ПЕА определяется не только качеством герметизации шовного ряда, но и комплексом биомеханических факторов, включающих стабильность зоны анастомоза, степень фиксации культи ПЖ, перераспределение механических нагрузок между тканями и адаптацию реконструктивной техники к индивидуальным морфологическим и тканевым характеристикам. При этом показано,</w:t>
      </w:r>
      <w:r>
        <w:rPr>
          <w:spacing w:val="-3"/>
        </w:rPr>
        <w:t xml:space="preserve"> </w:t>
      </w:r>
      <w:r>
        <w:t>что</w:t>
      </w:r>
      <w:r>
        <w:rPr>
          <w:spacing w:val="-3"/>
        </w:rPr>
        <w:t xml:space="preserve"> </w:t>
      </w:r>
      <w:r>
        <w:t>различия</w:t>
      </w:r>
      <w:r>
        <w:rPr>
          <w:spacing w:val="-3"/>
        </w:rPr>
        <w:t xml:space="preserve"> </w:t>
      </w:r>
      <w:r>
        <w:t>в</w:t>
      </w:r>
      <w:r>
        <w:rPr>
          <w:spacing w:val="-5"/>
        </w:rPr>
        <w:t xml:space="preserve"> </w:t>
      </w:r>
      <w:r>
        <w:t>результатах</w:t>
      </w:r>
      <w:r>
        <w:rPr>
          <w:spacing w:val="-8"/>
        </w:rPr>
        <w:t xml:space="preserve"> </w:t>
      </w:r>
      <w:r>
        <w:t>применения</w:t>
      </w:r>
      <w:r>
        <w:rPr>
          <w:spacing w:val="-3"/>
        </w:rPr>
        <w:t xml:space="preserve"> </w:t>
      </w:r>
      <w:r>
        <w:t>отдельных</w:t>
      </w:r>
      <w:r>
        <w:rPr>
          <w:spacing w:val="-4"/>
        </w:rPr>
        <w:t xml:space="preserve"> </w:t>
      </w:r>
      <w:r>
        <w:t>типов</w:t>
      </w:r>
      <w:r>
        <w:rPr>
          <w:spacing w:val="-5"/>
        </w:rPr>
        <w:t xml:space="preserve"> </w:t>
      </w:r>
      <w:r>
        <w:t>анастомозов во многом обусловлены техническими особенностями выполнения операции, опытом хирурга и вариабельностью анатомо-тканевых параметров, а не наличием</w:t>
      </w:r>
      <w:r>
        <w:rPr>
          <w:spacing w:val="80"/>
          <w:w w:val="150"/>
        </w:rPr>
        <w:t xml:space="preserve"> </w:t>
      </w:r>
      <w:r>
        <w:t>универсально</w:t>
      </w:r>
      <w:r>
        <w:rPr>
          <w:spacing w:val="80"/>
          <w:w w:val="150"/>
        </w:rPr>
        <w:t xml:space="preserve"> </w:t>
      </w:r>
      <w:r>
        <w:t>превосходящей</w:t>
      </w:r>
      <w:r>
        <w:rPr>
          <w:spacing w:val="80"/>
          <w:w w:val="150"/>
        </w:rPr>
        <w:t xml:space="preserve"> </w:t>
      </w:r>
      <w:r>
        <w:t>методики.</w:t>
      </w:r>
      <w:r>
        <w:rPr>
          <w:spacing w:val="80"/>
          <w:w w:val="150"/>
        </w:rPr>
        <w:t xml:space="preserve"> </w:t>
      </w:r>
      <w:r>
        <w:t>В</w:t>
      </w:r>
      <w:r>
        <w:rPr>
          <w:spacing w:val="80"/>
          <w:w w:val="150"/>
        </w:rPr>
        <w:t xml:space="preserve"> </w:t>
      </w:r>
      <w:r>
        <w:t>условиях</w:t>
      </w:r>
      <w:r>
        <w:rPr>
          <w:spacing w:val="80"/>
          <w:w w:val="150"/>
        </w:rPr>
        <w:t xml:space="preserve"> </w:t>
      </w:r>
      <w:r>
        <w:t>отсутствия</w:t>
      </w:r>
    </w:p>
    <w:p w14:paraId="37A512A4">
      <w:pPr>
        <w:pStyle w:val="7"/>
        <w:ind w:left="0" w:right="3" w:firstLine="709"/>
      </w:pPr>
      <w:r>
        <w:t>«золотого стандарта» реконструкции это обусловило развитие модифицированных подходов к формированию ПЕА, ориентированных на повышение механической устойчивости анастомоза, снижение микродвижимости культи, уменьшение локального натяжения тканей и профилактику прорезывания швов, что рассматривается как одно из ключевых направлений снижения риска несостоятельности ПЕА и формирования КЗ-ПС</w:t>
      </w:r>
      <w:r>
        <w:rPr>
          <w:spacing w:val="-2"/>
        </w:rPr>
        <w:t>.</w:t>
      </w:r>
    </w:p>
    <w:p w14:paraId="52C8FD69">
      <w:pPr>
        <w:pStyle w:val="7"/>
        <w:ind w:left="0" w:right="3" w:firstLine="709"/>
      </w:pPr>
      <w:r>
        <w:t>На основании клинического анализа собственных наблюдений и выводов литературных источников усовершенствование техники ПЕА рассматривалось как ключевой компонент профилактики ПС. Основными задачами были:</w:t>
      </w:r>
    </w:p>
    <w:p w14:paraId="03AE8B33">
      <w:pPr>
        <w:pStyle w:val="10"/>
        <w:numPr>
          <w:ilvl w:val="0"/>
          <w:numId w:val="17"/>
        </w:numPr>
        <w:tabs>
          <w:tab w:val="left" w:pos="1202"/>
        </w:tabs>
        <w:spacing w:line="321" w:lineRule="exact"/>
        <w:ind w:left="0" w:right="3" w:firstLine="709"/>
        <w:rPr>
          <w:sz w:val="28"/>
        </w:rPr>
      </w:pPr>
      <w:r>
        <w:rPr>
          <w:sz w:val="28"/>
        </w:rPr>
        <w:t>уменьшение</w:t>
      </w:r>
      <w:r>
        <w:rPr>
          <w:spacing w:val="-7"/>
          <w:sz w:val="28"/>
        </w:rPr>
        <w:t xml:space="preserve"> </w:t>
      </w:r>
      <w:r>
        <w:rPr>
          <w:sz w:val="28"/>
        </w:rPr>
        <w:t>подвижности</w:t>
      </w:r>
      <w:r>
        <w:rPr>
          <w:spacing w:val="-7"/>
          <w:sz w:val="28"/>
        </w:rPr>
        <w:t xml:space="preserve"> </w:t>
      </w:r>
      <w:r>
        <w:rPr>
          <w:sz w:val="28"/>
        </w:rPr>
        <w:t>культи</w:t>
      </w:r>
      <w:r>
        <w:rPr>
          <w:spacing w:val="-7"/>
          <w:sz w:val="28"/>
        </w:rPr>
        <w:t xml:space="preserve"> </w:t>
      </w:r>
      <w:r>
        <w:rPr>
          <w:sz w:val="28"/>
        </w:rPr>
        <w:t>ПЖ</w:t>
      </w:r>
      <w:r>
        <w:rPr>
          <w:spacing w:val="-6"/>
          <w:sz w:val="28"/>
        </w:rPr>
        <w:t xml:space="preserve"> </w:t>
      </w:r>
      <w:r>
        <w:rPr>
          <w:sz w:val="28"/>
        </w:rPr>
        <w:t>в</w:t>
      </w:r>
      <w:r>
        <w:rPr>
          <w:spacing w:val="-8"/>
          <w:sz w:val="28"/>
        </w:rPr>
        <w:t xml:space="preserve"> </w:t>
      </w:r>
      <w:r>
        <w:rPr>
          <w:sz w:val="28"/>
        </w:rPr>
        <w:t>зоне</w:t>
      </w:r>
      <w:r>
        <w:rPr>
          <w:spacing w:val="-7"/>
          <w:sz w:val="28"/>
        </w:rPr>
        <w:t xml:space="preserve"> </w:t>
      </w:r>
      <w:r>
        <w:rPr>
          <w:spacing w:val="-2"/>
          <w:sz w:val="28"/>
        </w:rPr>
        <w:t>реконструкции;</w:t>
      </w:r>
    </w:p>
    <w:p w14:paraId="5A1EE623">
      <w:pPr>
        <w:pStyle w:val="10"/>
        <w:numPr>
          <w:ilvl w:val="0"/>
          <w:numId w:val="17"/>
        </w:numPr>
        <w:tabs>
          <w:tab w:val="left" w:pos="678"/>
        </w:tabs>
        <w:ind w:left="0" w:right="3" w:firstLine="709"/>
        <w:rPr>
          <w:sz w:val="28"/>
        </w:rPr>
      </w:pPr>
      <w:r>
        <w:rPr>
          <w:sz w:val="28"/>
        </w:rPr>
        <w:t>адаптация</w:t>
      </w:r>
      <w:r>
        <w:rPr>
          <w:spacing w:val="34"/>
          <w:sz w:val="28"/>
        </w:rPr>
        <w:t xml:space="preserve"> </w:t>
      </w:r>
      <w:r>
        <w:rPr>
          <w:sz w:val="28"/>
        </w:rPr>
        <w:t>техники</w:t>
      </w:r>
      <w:r>
        <w:rPr>
          <w:spacing w:val="33"/>
          <w:sz w:val="28"/>
        </w:rPr>
        <w:t xml:space="preserve"> </w:t>
      </w:r>
      <w:r>
        <w:rPr>
          <w:sz w:val="28"/>
        </w:rPr>
        <w:t>формирования</w:t>
      </w:r>
      <w:r>
        <w:rPr>
          <w:spacing w:val="34"/>
          <w:sz w:val="28"/>
        </w:rPr>
        <w:t xml:space="preserve"> </w:t>
      </w:r>
      <w:r>
        <w:rPr>
          <w:sz w:val="28"/>
        </w:rPr>
        <w:t>анастомоза</w:t>
      </w:r>
      <w:r>
        <w:rPr>
          <w:spacing w:val="35"/>
          <w:sz w:val="28"/>
        </w:rPr>
        <w:t xml:space="preserve"> </w:t>
      </w:r>
      <w:r>
        <w:rPr>
          <w:sz w:val="28"/>
        </w:rPr>
        <w:t>к</w:t>
      </w:r>
      <w:r>
        <w:rPr>
          <w:spacing w:val="33"/>
          <w:sz w:val="28"/>
        </w:rPr>
        <w:t xml:space="preserve"> </w:t>
      </w:r>
      <w:r>
        <w:rPr>
          <w:sz w:val="28"/>
        </w:rPr>
        <w:t>неблагоприятным</w:t>
      </w:r>
      <w:r>
        <w:rPr>
          <w:spacing w:val="35"/>
          <w:sz w:val="28"/>
        </w:rPr>
        <w:t xml:space="preserve"> </w:t>
      </w:r>
      <w:r>
        <w:rPr>
          <w:sz w:val="28"/>
        </w:rPr>
        <w:t>тканевым условиям (мягкая консистенция, узкий проток);</w:t>
      </w:r>
    </w:p>
    <w:p w14:paraId="6E6FB8E9">
      <w:pPr>
        <w:pStyle w:val="10"/>
        <w:numPr>
          <w:ilvl w:val="0"/>
          <w:numId w:val="17"/>
        </w:numPr>
        <w:tabs>
          <w:tab w:val="left" w:pos="750"/>
        </w:tabs>
        <w:spacing w:before="3"/>
        <w:ind w:left="0" w:right="3" w:firstLine="709"/>
        <w:rPr>
          <w:sz w:val="28"/>
        </w:rPr>
      </w:pPr>
      <w:r>
        <w:rPr>
          <w:sz w:val="28"/>
        </w:rPr>
        <w:t>обеспечение</w:t>
      </w:r>
      <w:r>
        <w:rPr>
          <w:spacing w:val="80"/>
          <w:sz w:val="28"/>
        </w:rPr>
        <w:t xml:space="preserve"> </w:t>
      </w:r>
      <w:r>
        <w:rPr>
          <w:sz w:val="28"/>
        </w:rPr>
        <w:t>прецизионного</w:t>
      </w:r>
      <w:r>
        <w:rPr>
          <w:spacing w:val="80"/>
          <w:sz w:val="28"/>
        </w:rPr>
        <w:t xml:space="preserve"> </w:t>
      </w:r>
      <w:r>
        <w:rPr>
          <w:sz w:val="28"/>
        </w:rPr>
        <w:t>сопоставления</w:t>
      </w:r>
      <w:r>
        <w:rPr>
          <w:spacing w:val="80"/>
          <w:sz w:val="28"/>
        </w:rPr>
        <w:t xml:space="preserve"> </w:t>
      </w:r>
      <w:r>
        <w:rPr>
          <w:sz w:val="28"/>
        </w:rPr>
        <w:t>контактирующих</w:t>
      </w:r>
      <w:r>
        <w:rPr>
          <w:spacing w:val="80"/>
          <w:sz w:val="28"/>
        </w:rPr>
        <w:t xml:space="preserve"> </w:t>
      </w:r>
      <w:r>
        <w:rPr>
          <w:sz w:val="28"/>
        </w:rPr>
        <w:t>тканей</w:t>
      </w:r>
      <w:r>
        <w:rPr>
          <w:spacing w:val="80"/>
          <w:sz w:val="28"/>
        </w:rPr>
        <w:t xml:space="preserve"> </w:t>
      </w:r>
      <w:r>
        <w:rPr>
          <w:sz w:val="28"/>
        </w:rPr>
        <w:t>при сохранении микроциркуляции;</w:t>
      </w:r>
    </w:p>
    <w:p w14:paraId="4F15A793">
      <w:pPr>
        <w:pStyle w:val="10"/>
        <w:numPr>
          <w:ilvl w:val="0"/>
          <w:numId w:val="17"/>
        </w:numPr>
        <w:tabs>
          <w:tab w:val="left" w:pos="678"/>
        </w:tabs>
        <w:ind w:left="0" w:right="3" w:firstLine="709"/>
        <w:rPr>
          <w:sz w:val="28"/>
        </w:rPr>
      </w:pPr>
      <w:r>
        <w:rPr>
          <w:sz w:val="28"/>
        </w:rPr>
        <w:t>перераспределение</w:t>
      </w:r>
      <w:r>
        <w:rPr>
          <w:spacing w:val="36"/>
          <w:sz w:val="28"/>
        </w:rPr>
        <w:t xml:space="preserve"> </w:t>
      </w:r>
      <w:r>
        <w:rPr>
          <w:sz w:val="28"/>
        </w:rPr>
        <w:t>механических</w:t>
      </w:r>
      <w:r>
        <w:rPr>
          <w:spacing w:val="31"/>
          <w:sz w:val="28"/>
        </w:rPr>
        <w:t xml:space="preserve"> </w:t>
      </w:r>
      <w:r>
        <w:rPr>
          <w:sz w:val="28"/>
        </w:rPr>
        <w:t>нагрузок</w:t>
      </w:r>
      <w:r>
        <w:rPr>
          <w:spacing w:val="35"/>
          <w:sz w:val="28"/>
        </w:rPr>
        <w:t xml:space="preserve"> </w:t>
      </w:r>
      <w:r>
        <w:rPr>
          <w:sz w:val="28"/>
        </w:rPr>
        <w:t>для</w:t>
      </w:r>
      <w:r>
        <w:rPr>
          <w:spacing w:val="36"/>
          <w:sz w:val="28"/>
        </w:rPr>
        <w:t xml:space="preserve"> </w:t>
      </w:r>
      <w:r>
        <w:rPr>
          <w:sz w:val="28"/>
        </w:rPr>
        <w:t>минимизации</w:t>
      </w:r>
      <w:r>
        <w:rPr>
          <w:spacing w:val="35"/>
          <w:sz w:val="28"/>
        </w:rPr>
        <w:t xml:space="preserve"> </w:t>
      </w:r>
      <w:r>
        <w:rPr>
          <w:sz w:val="28"/>
        </w:rPr>
        <w:t>риска</w:t>
      </w:r>
      <w:r>
        <w:rPr>
          <w:spacing w:val="36"/>
          <w:sz w:val="28"/>
        </w:rPr>
        <w:t xml:space="preserve"> </w:t>
      </w:r>
      <w:r>
        <w:rPr>
          <w:sz w:val="28"/>
        </w:rPr>
        <w:t xml:space="preserve">разрыва </w:t>
      </w:r>
      <w:r>
        <w:rPr>
          <w:spacing w:val="-2"/>
          <w:sz w:val="28"/>
        </w:rPr>
        <w:t>швов.</w:t>
      </w:r>
    </w:p>
    <w:p w14:paraId="0CCA7FA8">
      <w:pPr>
        <w:pStyle w:val="7"/>
        <w:ind w:left="0" w:right="3" w:firstLine="709"/>
      </w:pPr>
      <w:r>
        <w:t>Реализация этих задач стала основой для разработки модифицированной протоково-слизистой ПЕА, техническое описание которой представлено в разделе 3.4.2. Предложенный подход позволил сформировать реконструкцию, сочетающую биомеханическую устойчивость и физиологичный отток панкреатического секрета, особенно в условиях мягкой паренхимы ПЖ и маленького диаметра ПП — именно в</w:t>
      </w:r>
      <w:r>
        <w:rPr>
          <w:spacing w:val="-1"/>
        </w:rPr>
        <w:t xml:space="preserve"> </w:t>
      </w:r>
      <w:r>
        <w:t>тех</w:t>
      </w:r>
      <w:r>
        <w:rPr>
          <w:spacing w:val="-4"/>
        </w:rPr>
        <w:t xml:space="preserve"> </w:t>
      </w:r>
      <w:r>
        <w:t>ситуациях, где традиционные методы оказываются наименее эффективными.</w:t>
      </w:r>
    </w:p>
    <w:p w14:paraId="4F900DEC">
      <w:pPr>
        <w:pStyle w:val="7"/>
        <w:spacing w:before="2"/>
        <w:ind w:left="0" w:right="3" w:firstLine="709"/>
        <w:jc w:val="left"/>
      </w:pPr>
    </w:p>
    <w:p w14:paraId="6472F1EC">
      <w:pPr>
        <w:pStyle w:val="3"/>
        <w:numPr>
          <w:ilvl w:val="2"/>
          <w:numId w:val="8"/>
        </w:numPr>
        <w:tabs>
          <w:tab w:val="left" w:pos="1712"/>
        </w:tabs>
        <w:spacing w:line="242" w:lineRule="auto"/>
        <w:ind w:left="0" w:right="3" w:firstLine="709"/>
        <w:rPr>
          <w:b w:val="0"/>
        </w:rPr>
      </w:pPr>
      <w:r>
        <w:rPr>
          <w:b w:val="0"/>
        </w:rPr>
        <w:t>Метод</w:t>
      </w:r>
      <w:r>
        <w:rPr>
          <w:b w:val="0"/>
          <w:spacing w:val="40"/>
        </w:rPr>
        <w:t xml:space="preserve"> </w:t>
      </w:r>
      <w:r>
        <w:rPr>
          <w:b w:val="0"/>
        </w:rPr>
        <w:t>двойного</w:t>
      </w:r>
      <w:r>
        <w:rPr>
          <w:b w:val="0"/>
          <w:spacing w:val="40"/>
        </w:rPr>
        <w:t xml:space="preserve"> </w:t>
      </w:r>
      <w:r>
        <w:rPr>
          <w:b w:val="0"/>
        </w:rPr>
        <w:t>дренирования</w:t>
      </w:r>
      <w:r>
        <w:rPr>
          <w:b w:val="0"/>
          <w:spacing w:val="80"/>
        </w:rPr>
        <w:t xml:space="preserve"> </w:t>
      </w:r>
      <w:r>
        <w:rPr>
          <w:b w:val="0"/>
        </w:rPr>
        <w:t>зоны</w:t>
      </w:r>
      <w:r>
        <w:rPr>
          <w:b w:val="0"/>
          <w:spacing w:val="40"/>
        </w:rPr>
        <w:t xml:space="preserve"> </w:t>
      </w:r>
      <w:r>
        <w:rPr>
          <w:b w:val="0"/>
        </w:rPr>
        <w:t>ПЕА</w:t>
      </w:r>
      <w:r>
        <w:rPr>
          <w:b w:val="0"/>
          <w:spacing w:val="40"/>
        </w:rPr>
        <w:t xml:space="preserve"> </w:t>
      </w:r>
      <w:r>
        <w:rPr>
          <w:b w:val="0"/>
        </w:rPr>
        <w:t>для</w:t>
      </w:r>
      <w:r>
        <w:rPr>
          <w:b w:val="0"/>
          <w:spacing w:val="40"/>
        </w:rPr>
        <w:t xml:space="preserve"> </w:t>
      </w:r>
      <w:r>
        <w:rPr>
          <w:b w:val="0"/>
        </w:rPr>
        <w:t>профилактики</w:t>
      </w:r>
      <w:r>
        <w:rPr>
          <w:b w:val="0"/>
          <w:spacing w:val="40"/>
        </w:rPr>
        <w:t xml:space="preserve"> </w:t>
      </w:r>
      <w:r>
        <w:rPr>
          <w:b w:val="0"/>
        </w:rPr>
        <w:t>скопления жидкости и гнойно-септических осложнений после ГПДР</w:t>
      </w:r>
    </w:p>
    <w:p w14:paraId="28B7C6C0">
      <w:pPr>
        <w:pStyle w:val="7"/>
        <w:ind w:left="0" w:right="3" w:firstLine="709"/>
      </w:pPr>
      <w:r>
        <w:t>Функциональная состоятельность зоны ПЕА после ГПДР имеет определяющее</w:t>
      </w:r>
      <w:r>
        <w:rPr>
          <w:spacing w:val="46"/>
        </w:rPr>
        <w:t xml:space="preserve">  </w:t>
      </w:r>
      <w:r>
        <w:t>значение</w:t>
      </w:r>
      <w:r>
        <w:rPr>
          <w:spacing w:val="47"/>
        </w:rPr>
        <w:t xml:space="preserve">  </w:t>
      </w:r>
      <w:r>
        <w:t>в</w:t>
      </w:r>
      <w:r>
        <w:rPr>
          <w:spacing w:val="46"/>
        </w:rPr>
        <w:t xml:space="preserve">  </w:t>
      </w:r>
      <w:r>
        <w:t>формировании</w:t>
      </w:r>
      <w:r>
        <w:rPr>
          <w:spacing w:val="47"/>
        </w:rPr>
        <w:t xml:space="preserve">  </w:t>
      </w:r>
      <w:r>
        <w:t>структуры</w:t>
      </w:r>
      <w:r>
        <w:rPr>
          <w:spacing w:val="46"/>
        </w:rPr>
        <w:t xml:space="preserve">  </w:t>
      </w:r>
      <w:r>
        <w:rPr>
          <w:spacing w:val="-2"/>
        </w:rPr>
        <w:t>послеоперационных</w:t>
      </w:r>
    </w:p>
    <w:p w14:paraId="2D506953">
      <w:pPr>
        <w:pStyle w:val="7"/>
        <w:spacing w:before="67"/>
        <w:ind w:left="0" w:right="3" w:firstLine="0"/>
      </w:pPr>
      <w:r>
        <w:t>осложнений. Даже при технически корректно сформированном анастомозе накопление ферментативно активного панкреатического секрета в перипанкреатических</w:t>
      </w:r>
      <w:r>
        <w:rPr>
          <w:spacing w:val="-18"/>
        </w:rPr>
        <w:t xml:space="preserve"> </w:t>
      </w:r>
      <w:r>
        <w:t>пространствах</w:t>
      </w:r>
      <w:r>
        <w:rPr>
          <w:spacing w:val="-17"/>
        </w:rPr>
        <w:t xml:space="preserve"> </w:t>
      </w:r>
      <w:r>
        <w:t>сопровождается</w:t>
      </w:r>
      <w:r>
        <w:rPr>
          <w:spacing w:val="-18"/>
        </w:rPr>
        <w:t xml:space="preserve"> </w:t>
      </w:r>
      <w:r>
        <w:t>развитием</w:t>
      </w:r>
      <w:r>
        <w:rPr>
          <w:spacing w:val="-17"/>
        </w:rPr>
        <w:t xml:space="preserve"> </w:t>
      </w:r>
      <w:r>
        <w:t>воспалительной реакции, вторичным инфицированием жидкостных скоплений, образованием интраабдоминальных абсцессов и формированием гнойно-септических состояний. Наиболее тяжелое клиническое течение наблюдается при КЗ-ПС, когда недостаточный отток содержимого приводит к ферментативному повреждению окружающих тканей и прогрессированию инфекционно- воспалительных осложнений.</w:t>
      </w:r>
    </w:p>
    <w:p w14:paraId="00E56A20">
      <w:pPr>
        <w:pStyle w:val="7"/>
        <w:spacing w:before="3"/>
        <w:ind w:left="0" w:right="3" w:firstLine="709"/>
      </w:pPr>
      <w:r>
        <w:t>С позиции профилактики подобного рода осложнений существенное значение имеет своевременная и контролируемая эвакуация панкреатического отделяемого. Дренирование в области ПЕА способствует снижению местного давления и ферментативной агрессии, а также обеспечивает возможность динамической</w:t>
      </w:r>
      <w:r>
        <w:rPr>
          <w:spacing w:val="-17"/>
        </w:rPr>
        <w:t xml:space="preserve"> </w:t>
      </w:r>
      <w:r>
        <w:t>оценки</w:t>
      </w:r>
      <w:r>
        <w:rPr>
          <w:spacing w:val="-14"/>
        </w:rPr>
        <w:t xml:space="preserve"> </w:t>
      </w:r>
      <w:r>
        <w:t>состояния</w:t>
      </w:r>
      <w:r>
        <w:rPr>
          <w:spacing w:val="-14"/>
        </w:rPr>
        <w:t xml:space="preserve"> </w:t>
      </w:r>
      <w:r>
        <w:t>анастомоза</w:t>
      </w:r>
      <w:r>
        <w:rPr>
          <w:spacing w:val="-14"/>
        </w:rPr>
        <w:t xml:space="preserve"> </w:t>
      </w:r>
      <w:r>
        <w:t>по</w:t>
      </w:r>
      <w:r>
        <w:rPr>
          <w:spacing w:val="-15"/>
        </w:rPr>
        <w:t xml:space="preserve"> </w:t>
      </w:r>
      <w:r>
        <w:t>характеру</w:t>
      </w:r>
      <w:r>
        <w:rPr>
          <w:spacing w:val="-18"/>
        </w:rPr>
        <w:t xml:space="preserve"> </w:t>
      </w:r>
      <w:r>
        <w:t>и</w:t>
      </w:r>
      <w:r>
        <w:rPr>
          <w:spacing w:val="-14"/>
        </w:rPr>
        <w:t xml:space="preserve"> </w:t>
      </w:r>
      <w:r>
        <w:t>объему</w:t>
      </w:r>
      <w:r>
        <w:rPr>
          <w:spacing w:val="-18"/>
        </w:rPr>
        <w:t xml:space="preserve"> </w:t>
      </w:r>
      <w:r>
        <w:t>отделяемого. Вместе с тем традиционные варианты дренирования — не</w:t>
      </w:r>
      <w:r>
        <w:rPr>
          <w:spacing w:val="-1"/>
        </w:rPr>
        <w:t xml:space="preserve"> </w:t>
      </w:r>
      <w:r>
        <w:t>всегда</w:t>
      </w:r>
      <w:r>
        <w:rPr>
          <w:spacing w:val="-1"/>
        </w:rPr>
        <w:t xml:space="preserve"> </w:t>
      </w:r>
      <w:r>
        <w:t>обеспечивают полноценную декомпрессию околопанкреатической зоны и нередко приводят к формированию изолированных жидкостных полостей, особенно в проекции передней поверхности анастомоза.</w:t>
      </w:r>
    </w:p>
    <w:p w14:paraId="7C250059">
      <w:pPr>
        <w:pStyle w:val="7"/>
        <w:spacing w:before="2"/>
        <w:ind w:left="0" w:right="3" w:firstLine="709"/>
      </w:pPr>
      <w:r>
        <w:t>Анализ собственных клинических наблюдений показал, что наибольшее количество инфицированных скоплений и интраабдоминальных абсцессов регистрировалось</w:t>
      </w:r>
      <w:r>
        <w:rPr>
          <w:spacing w:val="-18"/>
        </w:rPr>
        <w:t xml:space="preserve"> </w:t>
      </w:r>
      <w:r>
        <w:t>у</w:t>
      </w:r>
      <w:r>
        <w:rPr>
          <w:spacing w:val="-17"/>
        </w:rPr>
        <w:t xml:space="preserve"> </w:t>
      </w:r>
      <w:r>
        <w:t>пациентов</w:t>
      </w:r>
      <w:r>
        <w:rPr>
          <w:spacing w:val="-18"/>
        </w:rPr>
        <w:t xml:space="preserve"> </w:t>
      </w:r>
      <w:r>
        <w:t>с</w:t>
      </w:r>
      <w:r>
        <w:rPr>
          <w:spacing w:val="-17"/>
        </w:rPr>
        <w:t xml:space="preserve"> </w:t>
      </w:r>
      <w:r>
        <w:t>мягкой</w:t>
      </w:r>
      <w:r>
        <w:rPr>
          <w:spacing w:val="-18"/>
        </w:rPr>
        <w:t xml:space="preserve"> </w:t>
      </w:r>
      <w:r>
        <w:t>паренхимой</w:t>
      </w:r>
      <w:r>
        <w:rPr>
          <w:spacing w:val="-13"/>
        </w:rPr>
        <w:t xml:space="preserve"> </w:t>
      </w:r>
      <w:r>
        <w:t>ПЖ</w:t>
      </w:r>
      <w:r>
        <w:rPr>
          <w:spacing w:val="-17"/>
        </w:rPr>
        <w:t xml:space="preserve"> </w:t>
      </w:r>
      <w:r>
        <w:t>и</w:t>
      </w:r>
      <w:r>
        <w:rPr>
          <w:spacing w:val="-17"/>
        </w:rPr>
        <w:t xml:space="preserve"> </w:t>
      </w:r>
      <w:r>
        <w:t>малым</w:t>
      </w:r>
      <w:r>
        <w:rPr>
          <w:spacing w:val="-16"/>
        </w:rPr>
        <w:t xml:space="preserve"> </w:t>
      </w:r>
      <w:r>
        <w:t>диаметром</w:t>
      </w:r>
      <w:r>
        <w:rPr>
          <w:spacing w:val="-16"/>
        </w:rPr>
        <w:t xml:space="preserve"> </w:t>
      </w:r>
      <w:r>
        <w:rPr>
          <w:spacing w:val="-7"/>
        </w:rPr>
        <w:t>ПП</w:t>
      </w:r>
    </w:p>
    <w:p w14:paraId="328B556A">
      <w:pPr>
        <w:pStyle w:val="10"/>
        <w:numPr>
          <w:ilvl w:val="0"/>
          <w:numId w:val="18"/>
        </w:numPr>
        <w:tabs>
          <w:tab w:val="left" w:pos="793"/>
        </w:tabs>
        <w:ind w:left="0" w:right="3" w:firstLine="709"/>
        <w:rPr>
          <w:sz w:val="28"/>
        </w:rPr>
      </w:pPr>
      <w:r>
        <w:rPr>
          <w:sz w:val="28"/>
        </w:rPr>
        <w:t>то есть в группе высокого риска развития ПС. В данной категории больных эффективность одиночного дренажа оказывалась ограниченной вследствие сегментарного характера эвакуации секреторного содержимого. Эти обстоятельства послужили основанием для разработки и внедрения метода двойного дренирования зоны ПЕА, направленного на формирование перекрёстной системы контроля и обеспечивающего направленный отток панкреатического</w:t>
      </w:r>
      <w:r>
        <w:rPr>
          <w:spacing w:val="-4"/>
          <w:sz w:val="28"/>
        </w:rPr>
        <w:t xml:space="preserve"> </w:t>
      </w:r>
      <w:r>
        <w:rPr>
          <w:sz w:val="28"/>
        </w:rPr>
        <w:t>секрета</w:t>
      </w:r>
      <w:r>
        <w:rPr>
          <w:spacing w:val="-3"/>
          <w:sz w:val="28"/>
        </w:rPr>
        <w:t xml:space="preserve"> </w:t>
      </w:r>
      <w:r>
        <w:rPr>
          <w:sz w:val="28"/>
        </w:rPr>
        <w:t>из</w:t>
      </w:r>
      <w:r>
        <w:rPr>
          <w:spacing w:val="-3"/>
          <w:sz w:val="28"/>
        </w:rPr>
        <w:t xml:space="preserve"> </w:t>
      </w:r>
      <w:r>
        <w:rPr>
          <w:sz w:val="28"/>
        </w:rPr>
        <w:t>всей</w:t>
      </w:r>
      <w:r>
        <w:rPr>
          <w:spacing w:val="-4"/>
          <w:sz w:val="28"/>
        </w:rPr>
        <w:t xml:space="preserve"> </w:t>
      </w:r>
      <w:r>
        <w:rPr>
          <w:sz w:val="28"/>
        </w:rPr>
        <w:t>перианастомотической</w:t>
      </w:r>
      <w:r>
        <w:rPr>
          <w:spacing w:val="-4"/>
          <w:sz w:val="28"/>
        </w:rPr>
        <w:t xml:space="preserve"> </w:t>
      </w:r>
      <w:r>
        <w:rPr>
          <w:sz w:val="28"/>
        </w:rPr>
        <w:t>области. С</w:t>
      </w:r>
      <w:r>
        <w:rPr>
          <w:spacing w:val="-3"/>
          <w:sz w:val="28"/>
        </w:rPr>
        <w:t xml:space="preserve"> </w:t>
      </w:r>
      <w:r>
        <w:rPr>
          <w:sz w:val="28"/>
        </w:rPr>
        <w:t>2023</w:t>
      </w:r>
      <w:r>
        <w:rPr>
          <w:spacing w:val="-4"/>
          <w:sz w:val="28"/>
        </w:rPr>
        <w:t xml:space="preserve"> </w:t>
      </w:r>
      <w:r>
        <w:rPr>
          <w:sz w:val="28"/>
        </w:rPr>
        <w:t>года</w:t>
      </w:r>
      <w:r>
        <w:rPr>
          <w:spacing w:val="-3"/>
          <w:sz w:val="28"/>
        </w:rPr>
        <w:t xml:space="preserve"> </w:t>
      </w:r>
      <w:r>
        <w:rPr>
          <w:sz w:val="28"/>
        </w:rPr>
        <w:t>в клинической практике нами был разработан и внедрён метод профилактики скопления</w:t>
      </w:r>
      <w:r>
        <w:rPr>
          <w:spacing w:val="-9"/>
          <w:sz w:val="28"/>
        </w:rPr>
        <w:t xml:space="preserve"> </w:t>
      </w:r>
      <w:r>
        <w:rPr>
          <w:sz w:val="28"/>
        </w:rPr>
        <w:t>жидкости</w:t>
      </w:r>
      <w:r>
        <w:rPr>
          <w:spacing w:val="-11"/>
          <w:sz w:val="28"/>
        </w:rPr>
        <w:t xml:space="preserve"> </w:t>
      </w:r>
      <w:r>
        <w:rPr>
          <w:sz w:val="28"/>
        </w:rPr>
        <w:t>и</w:t>
      </w:r>
      <w:r>
        <w:rPr>
          <w:spacing w:val="-11"/>
          <w:sz w:val="28"/>
        </w:rPr>
        <w:t xml:space="preserve"> </w:t>
      </w:r>
      <w:r>
        <w:rPr>
          <w:sz w:val="28"/>
        </w:rPr>
        <w:t>гнойно-септических</w:t>
      </w:r>
      <w:r>
        <w:rPr>
          <w:spacing w:val="-15"/>
          <w:sz w:val="28"/>
        </w:rPr>
        <w:t xml:space="preserve"> </w:t>
      </w:r>
      <w:r>
        <w:rPr>
          <w:sz w:val="28"/>
        </w:rPr>
        <w:t>осложнений</w:t>
      </w:r>
      <w:r>
        <w:rPr>
          <w:spacing w:val="-12"/>
          <w:sz w:val="28"/>
        </w:rPr>
        <w:t xml:space="preserve"> </w:t>
      </w:r>
      <w:r>
        <w:rPr>
          <w:sz w:val="28"/>
        </w:rPr>
        <w:t>после</w:t>
      </w:r>
      <w:r>
        <w:rPr>
          <w:spacing w:val="-10"/>
          <w:sz w:val="28"/>
        </w:rPr>
        <w:t xml:space="preserve"> </w:t>
      </w:r>
      <w:r>
        <w:rPr>
          <w:sz w:val="28"/>
        </w:rPr>
        <w:t>ГПДР</w:t>
      </w:r>
      <w:r>
        <w:rPr>
          <w:spacing w:val="-8"/>
          <w:sz w:val="28"/>
        </w:rPr>
        <w:t xml:space="preserve"> </w:t>
      </w:r>
      <w:r>
        <w:rPr>
          <w:sz w:val="28"/>
        </w:rPr>
        <w:t>—</w:t>
      </w:r>
      <w:r>
        <w:rPr>
          <w:spacing w:val="-11"/>
          <w:sz w:val="28"/>
        </w:rPr>
        <w:t xml:space="preserve"> </w:t>
      </w:r>
      <w:r>
        <w:rPr>
          <w:sz w:val="28"/>
        </w:rPr>
        <w:t>Двойное дренирование зоны ПЕА. На данный метод получено свидетельство об авторском</w:t>
      </w:r>
      <w:r>
        <w:rPr>
          <w:spacing w:val="-4"/>
          <w:sz w:val="28"/>
        </w:rPr>
        <w:t xml:space="preserve"> </w:t>
      </w:r>
      <w:r>
        <w:rPr>
          <w:sz w:val="28"/>
        </w:rPr>
        <w:t>праве</w:t>
      </w:r>
      <w:r>
        <w:rPr>
          <w:spacing w:val="-5"/>
          <w:sz w:val="28"/>
        </w:rPr>
        <w:t xml:space="preserve"> </w:t>
      </w:r>
      <w:r>
        <w:rPr>
          <w:sz w:val="28"/>
        </w:rPr>
        <w:t>№</w:t>
      </w:r>
      <w:r>
        <w:rPr>
          <w:spacing w:val="-5"/>
          <w:sz w:val="28"/>
        </w:rPr>
        <w:t xml:space="preserve"> </w:t>
      </w:r>
      <w:r>
        <w:rPr>
          <w:sz w:val="28"/>
        </w:rPr>
        <w:t>65169</w:t>
      </w:r>
      <w:r>
        <w:rPr>
          <w:spacing w:val="-5"/>
          <w:sz w:val="28"/>
        </w:rPr>
        <w:t xml:space="preserve"> </w:t>
      </w:r>
      <w:r>
        <w:rPr>
          <w:sz w:val="28"/>
        </w:rPr>
        <w:t>от</w:t>
      </w:r>
      <w:r>
        <w:rPr>
          <w:spacing w:val="-6"/>
          <w:sz w:val="28"/>
        </w:rPr>
        <w:t xml:space="preserve"> </w:t>
      </w:r>
      <w:r>
        <w:rPr>
          <w:sz w:val="28"/>
        </w:rPr>
        <w:t>04.12.2025</w:t>
      </w:r>
      <w:r>
        <w:rPr>
          <w:spacing w:val="-5"/>
          <w:sz w:val="28"/>
        </w:rPr>
        <w:t xml:space="preserve"> </w:t>
      </w:r>
      <w:r>
        <w:rPr>
          <w:sz w:val="28"/>
        </w:rPr>
        <w:t>г.,</w:t>
      </w:r>
      <w:r>
        <w:rPr>
          <w:spacing w:val="-3"/>
          <w:sz w:val="28"/>
        </w:rPr>
        <w:t xml:space="preserve"> </w:t>
      </w:r>
      <w:r>
        <w:rPr>
          <w:sz w:val="28"/>
        </w:rPr>
        <w:t>подтверждающее</w:t>
      </w:r>
      <w:r>
        <w:rPr>
          <w:spacing w:val="-5"/>
          <w:sz w:val="28"/>
        </w:rPr>
        <w:t xml:space="preserve"> </w:t>
      </w:r>
      <w:r>
        <w:rPr>
          <w:sz w:val="28"/>
        </w:rPr>
        <w:t>его</w:t>
      </w:r>
      <w:r>
        <w:rPr>
          <w:spacing w:val="-5"/>
          <w:sz w:val="28"/>
        </w:rPr>
        <w:t xml:space="preserve"> </w:t>
      </w:r>
      <w:r>
        <w:rPr>
          <w:sz w:val="28"/>
        </w:rPr>
        <w:t>оригинальность и приоритет разработки.</w:t>
      </w:r>
    </w:p>
    <w:p w14:paraId="265884EC">
      <w:pPr>
        <w:pStyle w:val="7"/>
        <w:spacing w:before="1" w:line="322" w:lineRule="exact"/>
        <w:ind w:left="0" w:right="3" w:firstLine="709"/>
      </w:pPr>
      <w:r>
        <w:t>Сущность</w:t>
      </w:r>
      <w:r>
        <w:rPr>
          <w:spacing w:val="-10"/>
        </w:rPr>
        <w:t xml:space="preserve"> </w:t>
      </w:r>
      <w:r>
        <w:t>метода</w:t>
      </w:r>
      <w:r>
        <w:rPr>
          <w:spacing w:val="-7"/>
        </w:rPr>
        <w:t xml:space="preserve"> </w:t>
      </w:r>
      <w:r>
        <w:t>заключается</w:t>
      </w:r>
      <w:r>
        <w:rPr>
          <w:spacing w:val="-2"/>
        </w:rPr>
        <w:t xml:space="preserve"> </w:t>
      </w:r>
      <w:r>
        <w:t>в</w:t>
      </w:r>
      <w:r>
        <w:rPr>
          <w:spacing w:val="-6"/>
        </w:rPr>
        <w:t xml:space="preserve"> </w:t>
      </w:r>
      <w:r>
        <w:t>установке</w:t>
      </w:r>
      <w:r>
        <w:rPr>
          <w:spacing w:val="-7"/>
        </w:rPr>
        <w:t xml:space="preserve"> </w:t>
      </w:r>
      <w:r>
        <w:t>двух</w:t>
      </w:r>
      <w:r>
        <w:rPr>
          <w:spacing w:val="-11"/>
        </w:rPr>
        <w:t xml:space="preserve"> </w:t>
      </w:r>
      <w:r>
        <w:t>дренажных</w:t>
      </w:r>
      <w:r>
        <w:rPr>
          <w:spacing w:val="-8"/>
        </w:rPr>
        <w:t xml:space="preserve"> </w:t>
      </w:r>
      <w:r>
        <w:rPr>
          <w:spacing w:val="-2"/>
        </w:rPr>
        <w:t>трубок:</w:t>
      </w:r>
    </w:p>
    <w:p w14:paraId="2CF01B2A">
      <w:pPr>
        <w:pStyle w:val="10"/>
        <w:numPr>
          <w:ilvl w:val="1"/>
          <w:numId w:val="18"/>
        </w:numPr>
        <w:tabs>
          <w:tab w:val="left" w:pos="1413"/>
        </w:tabs>
        <w:ind w:left="0" w:right="3" w:firstLine="709"/>
        <w:rPr>
          <w:sz w:val="28"/>
        </w:rPr>
      </w:pPr>
      <w:r>
        <w:rPr>
          <w:sz w:val="28"/>
        </w:rPr>
        <w:t>К верхнему краю анастомоза - располагается по передней поверхности ПЕА и выводится в правый боковой канал живота.</w:t>
      </w:r>
    </w:p>
    <w:p w14:paraId="124EF466">
      <w:pPr>
        <w:pStyle w:val="10"/>
        <w:numPr>
          <w:ilvl w:val="1"/>
          <w:numId w:val="18"/>
        </w:numPr>
        <w:tabs>
          <w:tab w:val="left" w:pos="1413"/>
          <w:tab w:val="left" w:pos="1825"/>
          <w:tab w:val="left" w:pos="3126"/>
          <w:tab w:val="left" w:pos="3956"/>
          <w:tab w:val="left" w:pos="5519"/>
          <w:tab w:val="left" w:pos="5841"/>
          <w:tab w:val="left" w:pos="8022"/>
          <w:tab w:val="left" w:pos="9063"/>
          <w:tab w:val="left" w:pos="9927"/>
        </w:tabs>
        <w:ind w:left="0" w:right="3" w:firstLine="709"/>
        <w:rPr>
          <w:sz w:val="28"/>
        </w:rPr>
      </w:pPr>
      <w:r>
        <w:rPr>
          <w:spacing w:val="-10"/>
          <w:sz w:val="28"/>
        </w:rPr>
        <w:t>К</w:t>
      </w:r>
      <w:r>
        <w:rPr>
          <w:sz w:val="28"/>
        </w:rPr>
        <w:tab/>
      </w:r>
      <w:r>
        <w:rPr>
          <w:spacing w:val="-2"/>
          <w:sz w:val="28"/>
        </w:rPr>
        <w:t>нижнему</w:t>
      </w:r>
      <w:r>
        <w:rPr>
          <w:sz w:val="28"/>
        </w:rPr>
        <w:tab/>
      </w:r>
      <w:r>
        <w:rPr>
          <w:spacing w:val="-4"/>
          <w:sz w:val="28"/>
        </w:rPr>
        <w:t>краю</w:t>
      </w:r>
      <w:r>
        <w:rPr>
          <w:sz w:val="28"/>
        </w:rPr>
        <w:tab/>
      </w:r>
      <w:r>
        <w:rPr>
          <w:spacing w:val="-2"/>
          <w:sz w:val="28"/>
        </w:rPr>
        <w:t>анастомоза</w:t>
      </w:r>
      <w:r>
        <w:rPr>
          <w:sz w:val="28"/>
        </w:rPr>
        <w:tab/>
      </w:r>
      <w:r>
        <w:rPr>
          <w:spacing w:val="-10"/>
          <w:sz w:val="28"/>
        </w:rPr>
        <w:t>-</w:t>
      </w:r>
      <w:r>
        <w:rPr>
          <w:sz w:val="28"/>
        </w:rPr>
        <w:tab/>
      </w:r>
      <w:r>
        <w:rPr>
          <w:spacing w:val="-2"/>
          <w:sz w:val="28"/>
        </w:rPr>
        <w:t>устанавливается</w:t>
      </w:r>
      <w:r>
        <w:rPr>
          <w:sz w:val="28"/>
        </w:rPr>
        <w:tab/>
      </w:r>
      <w:r>
        <w:rPr>
          <w:spacing w:val="-2"/>
          <w:sz w:val="28"/>
        </w:rPr>
        <w:t>позади</w:t>
      </w:r>
      <w:r>
        <w:rPr>
          <w:sz w:val="28"/>
        </w:rPr>
        <w:t xml:space="preserve"> </w:t>
      </w:r>
      <w:r>
        <w:rPr>
          <w:spacing w:val="-4"/>
          <w:sz w:val="28"/>
        </w:rPr>
        <w:t>ПЕА,</w:t>
      </w:r>
    </w:p>
    <w:p w14:paraId="7A02B43C">
      <w:pPr>
        <w:tabs>
          <w:tab w:val="left" w:pos="1413"/>
          <w:tab w:val="left" w:pos="1825"/>
          <w:tab w:val="left" w:pos="3126"/>
          <w:tab w:val="left" w:pos="3956"/>
          <w:tab w:val="left" w:pos="5519"/>
          <w:tab w:val="left" w:pos="5841"/>
          <w:tab w:val="left" w:pos="8022"/>
          <w:tab w:val="left" w:pos="9063"/>
          <w:tab w:val="left" w:pos="9927"/>
        </w:tabs>
        <w:ind w:right="3"/>
        <w:rPr>
          <w:sz w:val="28"/>
        </w:rPr>
      </w:pPr>
      <w:r>
        <w:rPr>
          <w:spacing w:val="-10"/>
          <w:sz w:val="28"/>
        </w:rPr>
        <w:t xml:space="preserve">в </w:t>
      </w:r>
      <w:r>
        <w:rPr>
          <w:sz w:val="28"/>
        </w:rPr>
        <w:t>парапанкреатическую клетчатку, с аналогичным направлением выведения.</w:t>
      </w:r>
    </w:p>
    <w:p w14:paraId="54C95110">
      <w:pPr>
        <w:pStyle w:val="10"/>
        <w:numPr>
          <w:ilvl w:val="1"/>
          <w:numId w:val="18"/>
        </w:numPr>
        <w:tabs>
          <w:tab w:val="left" w:pos="1413"/>
        </w:tabs>
        <w:ind w:left="0" w:right="3" w:firstLine="709"/>
        <w:rPr>
          <w:sz w:val="28"/>
        </w:rPr>
      </w:pPr>
      <w:r>
        <w:rPr>
          <w:sz w:val="28"/>
        </w:rPr>
        <w:t>В</w:t>
      </w:r>
      <w:r>
        <w:rPr>
          <w:spacing w:val="-11"/>
          <w:sz w:val="28"/>
        </w:rPr>
        <w:t xml:space="preserve"> </w:t>
      </w:r>
      <w:r>
        <w:rPr>
          <w:sz w:val="28"/>
        </w:rPr>
        <w:t>послеоперационном</w:t>
      </w:r>
      <w:r>
        <w:rPr>
          <w:spacing w:val="-7"/>
          <w:sz w:val="28"/>
        </w:rPr>
        <w:t xml:space="preserve"> </w:t>
      </w:r>
      <w:r>
        <w:rPr>
          <w:sz w:val="28"/>
        </w:rPr>
        <w:t>периоде</w:t>
      </w:r>
      <w:r>
        <w:rPr>
          <w:spacing w:val="-7"/>
          <w:sz w:val="28"/>
        </w:rPr>
        <w:t xml:space="preserve"> </w:t>
      </w:r>
      <w:r>
        <w:rPr>
          <w:sz w:val="28"/>
        </w:rPr>
        <w:t>проводится</w:t>
      </w:r>
      <w:r>
        <w:rPr>
          <w:spacing w:val="-6"/>
          <w:sz w:val="28"/>
        </w:rPr>
        <w:t xml:space="preserve"> </w:t>
      </w:r>
      <w:r>
        <w:rPr>
          <w:sz w:val="28"/>
        </w:rPr>
        <w:t>регулярный</w:t>
      </w:r>
      <w:r>
        <w:rPr>
          <w:spacing w:val="-8"/>
          <w:sz w:val="28"/>
        </w:rPr>
        <w:t xml:space="preserve"> </w:t>
      </w:r>
      <w:r>
        <w:rPr>
          <w:sz w:val="28"/>
        </w:rPr>
        <w:t>контроль</w:t>
      </w:r>
      <w:r>
        <w:rPr>
          <w:spacing w:val="-6"/>
          <w:sz w:val="28"/>
        </w:rPr>
        <w:t xml:space="preserve"> </w:t>
      </w:r>
      <w:r>
        <w:rPr>
          <w:sz w:val="28"/>
        </w:rPr>
        <w:t>ААД</w:t>
      </w:r>
      <w:r>
        <w:rPr>
          <w:spacing w:val="-6"/>
          <w:sz w:val="28"/>
        </w:rPr>
        <w:t xml:space="preserve"> </w:t>
      </w:r>
      <w:r>
        <w:rPr>
          <w:sz w:val="28"/>
        </w:rPr>
        <w:t>с возможностью селективной аспирации при локальном накоплении жидкости.</w:t>
      </w:r>
    </w:p>
    <w:p w14:paraId="4A37C8F9">
      <w:pPr>
        <w:pStyle w:val="7"/>
        <w:spacing w:line="322" w:lineRule="exact"/>
        <w:ind w:left="0" w:firstLine="709"/>
        <w:jc w:val="left"/>
      </w:pPr>
      <w:r>
        <w:t>Таким</w:t>
      </w:r>
      <w:r>
        <w:rPr>
          <w:spacing w:val="-11"/>
        </w:rPr>
        <w:t xml:space="preserve"> </w:t>
      </w:r>
      <w:r>
        <w:t>образом,</w:t>
      </w:r>
      <w:r>
        <w:rPr>
          <w:spacing w:val="-9"/>
        </w:rPr>
        <w:t xml:space="preserve"> </w:t>
      </w:r>
      <w:r>
        <w:t>двойное</w:t>
      </w:r>
      <w:r>
        <w:rPr>
          <w:spacing w:val="-10"/>
        </w:rPr>
        <w:t xml:space="preserve"> </w:t>
      </w:r>
      <w:r>
        <w:t>дренирование</w:t>
      </w:r>
      <w:r>
        <w:rPr>
          <w:spacing w:val="-11"/>
        </w:rPr>
        <w:t xml:space="preserve"> </w:t>
      </w:r>
      <w:r>
        <w:rPr>
          <w:spacing w:val="-2"/>
        </w:rPr>
        <w:t>обеспечивает:</w:t>
      </w:r>
    </w:p>
    <w:p w14:paraId="5925E374">
      <w:pPr>
        <w:tabs>
          <w:tab w:val="left" w:pos="1413"/>
        </w:tabs>
        <w:ind w:firstLine="709"/>
        <w:rPr>
          <w:sz w:val="28"/>
        </w:rPr>
      </w:pPr>
      <w:r>
        <w:rPr>
          <w:sz w:val="28"/>
        </w:rPr>
        <w:t>- адекватную</w:t>
      </w:r>
      <w:r>
        <w:rPr>
          <w:spacing w:val="-10"/>
          <w:sz w:val="28"/>
        </w:rPr>
        <w:t xml:space="preserve"> </w:t>
      </w:r>
      <w:r>
        <w:rPr>
          <w:sz w:val="28"/>
        </w:rPr>
        <w:t>эвакуацию</w:t>
      </w:r>
      <w:r>
        <w:rPr>
          <w:spacing w:val="-10"/>
          <w:sz w:val="28"/>
        </w:rPr>
        <w:t xml:space="preserve"> </w:t>
      </w:r>
      <w:r>
        <w:rPr>
          <w:sz w:val="28"/>
        </w:rPr>
        <w:t>секрета</w:t>
      </w:r>
      <w:r>
        <w:rPr>
          <w:spacing w:val="-8"/>
          <w:sz w:val="28"/>
        </w:rPr>
        <w:t xml:space="preserve"> </w:t>
      </w:r>
      <w:r>
        <w:rPr>
          <w:sz w:val="28"/>
        </w:rPr>
        <w:t>из</w:t>
      </w:r>
      <w:r>
        <w:rPr>
          <w:spacing w:val="-8"/>
          <w:sz w:val="28"/>
        </w:rPr>
        <w:t xml:space="preserve"> </w:t>
      </w:r>
      <w:r>
        <w:rPr>
          <w:sz w:val="28"/>
        </w:rPr>
        <w:t>зоны</w:t>
      </w:r>
      <w:r>
        <w:rPr>
          <w:spacing w:val="-8"/>
          <w:sz w:val="28"/>
        </w:rPr>
        <w:t xml:space="preserve"> </w:t>
      </w:r>
      <w:r>
        <w:rPr>
          <w:spacing w:val="-2"/>
          <w:sz w:val="28"/>
        </w:rPr>
        <w:t>анастомоза;</w:t>
      </w:r>
    </w:p>
    <w:p w14:paraId="1D93C1AB">
      <w:pPr>
        <w:tabs>
          <w:tab w:val="left" w:pos="1413"/>
          <w:tab w:val="left" w:pos="2954"/>
          <w:tab w:val="left" w:pos="4421"/>
          <w:tab w:val="left" w:pos="4930"/>
          <w:tab w:val="left" w:pos="5832"/>
          <w:tab w:val="left" w:pos="6777"/>
          <w:tab w:val="left" w:pos="7305"/>
          <w:tab w:val="left" w:pos="9675"/>
        </w:tabs>
        <w:spacing w:before="2"/>
        <w:ind w:right="3" w:firstLine="709"/>
        <w:rPr>
          <w:sz w:val="28"/>
        </w:rPr>
      </w:pPr>
      <w:r>
        <w:rPr>
          <w:spacing w:val="-2"/>
          <w:sz w:val="28"/>
        </w:rPr>
        <w:t>-</w:t>
      </w:r>
      <w:r>
        <w:rPr>
          <w:spacing w:val="-2"/>
          <w:sz w:val="28"/>
          <w:lang w:val="kk-KZ"/>
        </w:rPr>
        <w:t xml:space="preserve"> </w:t>
      </w:r>
      <w:r>
        <w:rPr>
          <w:spacing w:val="-2"/>
          <w:sz w:val="28"/>
        </w:rPr>
        <w:t>снижение</w:t>
      </w:r>
      <w:r>
        <w:rPr>
          <w:sz w:val="28"/>
        </w:rPr>
        <w:tab/>
      </w:r>
      <w:r>
        <w:rPr>
          <w:spacing w:val="-2"/>
          <w:sz w:val="28"/>
        </w:rPr>
        <w:t>давления</w:t>
      </w:r>
      <w:r>
        <w:rPr>
          <w:sz w:val="28"/>
        </w:rPr>
        <w:tab/>
      </w:r>
      <w:r>
        <w:rPr>
          <w:spacing w:val="-10"/>
          <w:sz w:val="28"/>
        </w:rPr>
        <w:t>в</w:t>
      </w:r>
      <w:r>
        <w:rPr>
          <w:sz w:val="28"/>
        </w:rPr>
        <w:tab/>
      </w:r>
      <w:r>
        <w:rPr>
          <w:spacing w:val="-4"/>
          <w:sz w:val="28"/>
        </w:rPr>
        <w:t>зоне</w:t>
      </w:r>
      <w:r>
        <w:rPr>
          <w:sz w:val="28"/>
        </w:rPr>
        <w:tab/>
      </w:r>
      <w:r>
        <w:rPr>
          <w:spacing w:val="-4"/>
          <w:sz w:val="28"/>
        </w:rPr>
        <w:t>ПЕА</w:t>
      </w:r>
      <w:r>
        <w:rPr>
          <w:sz w:val="28"/>
        </w:rPr>
        <w:tab/>
      </w:r>
      <w:r>
        <w:rPr>
          <w:spacing w:val="-10"/>
          <w:sz w:val="28"/>
        </w:rPr>
        <w:t>и</w:t>
      </w:r>
      <w:r>
        <w:rPr>
          <w:sz w:val="28"/>
        </w:rPr>
        <w:tab/>
      </w:r>
      <w:r>
        <w:rPr>
          <w:spacing w:val="-2"/>
          <w:sz w:val="28"/>
        </w:rPr>
        <w:t>предупреждение</w:t>
      </w:r>
      <w:r>
        <w:rPr>
          <w:sz w:val="28"/>
        </w:rPr>
        <w:tab/>
      </w:r>
    </w:p>
    <w:p w14:paraId="48797F82">
      <w:pPr>
        <w:tabs>
          <w:tab w:val="left" w:pos="1413"/>
          <w:tab w:val="left" w:pos="2954"/>
          <w:tab w:val="left" w:pos="4421"/>
          <w:tab w:val="left" w:pos="4930"/>
          <w:tab w:val="left" w:pos="5832"/>
          <w:tab w:val="left" w:pos="6777"/>
          <w:tab w:val="left" w:pos="7305"/>
          <w:tab w:val="left" w:pos="9675"/>
        </w:tabs>
        <w:spacing w:before="2"/>
        <w:ind w:right="290"/>
        <w:rPr>
          <w:sz w:val="28"/>
        </w:rPr>
      </w:pPr>
      <w:r>
        <w:rPr>
          <w:spacing w:val="-4"/>
          <w:sz w:val="28"/>
        </w:rPr>
        <w:t xml:space="preserve">его </w:t>
      </w:r>
      <w:r>
        <w:rPr>
          <w:spacing w:val="-2"/>
          <w:sz w:val="28"/>
        </w:rPr>
        <w:t>несостоятельности;</w:t>
      </w:r>
    </w:p>
    <w:p w14:paraId="781D7584">
      <w:pPr>
        <w:tabs>
          <w:tab w:val="left" w:pos="709"/>
          <w:tab w:val="left" w:pos="993"/>
        </w:tabs>
        <w:spacing w:before="67"/>
        <w:ind w:right="288" w:firstLine="709"/>
        <w:jc w:val="both"/>
        <w:rPr>
          <w:sz w:val="28"/>
        </w:rPr>
      </w:pPr>
      <w:r>
        <w:rPr>
          <w:sz w:val="28"/>
        </w:rPr>
        <w:t xml:space="preserve">- уменьшение частоты ферментативных осложнений и инфицированных </w:t>
      </w:r>
      <w:r>
        <w:rPr>
          <w:spacing w:val="-2"/>
          <w:sz w:val="28"/>
        </w:rPr>
        <w:t>скоплений;</w:t>
      </w:r>
    </w:p>
    <w:p w14:paraId="1D323A3F">
      <w:pPr>
        <w:tabs>
          <w:tab w:val="left" w:pos="1412"/>
        </w:tabs>
        <w:spacing w:line="321" w:lineRule="exact"/>
        <w:ind w:left="1" w:firstLine="708"/>
        <w:jc w:val="both"/>
        <w:rPr>
          <w:sz w:val="28"/>
        </w:rPr>
      </w:pPr>
      <w:r>
        <w:rPr>
          <w:spacing w:val="-2"/>
          <w:sz w:val="28"/>
        </w:rPr>
        <w:t>-профилактику</w:t>
      </w:r>
      <w:r>
        <w:rPr>
          <w:spacing w:val="11"/>
          <w:sz w:val="28"/>
        </w:rPr>
        <w:t xml:space="preserve"> </w:t>
      </w:r>
      <w:r>
        <w:rPr>
          <w:spacing w:val="-2"/>
          <w:sz w:val="28"/>
        </w:rPr>
        <w:t>гнойно-септических</w:t>
      </w:r>
      <w:r>
        <w:rPr>
          <w:spacing w:val="11"/>
          <w:sz w:val="28"/>
        </w:rPr>
        <w:t xml:space="preserve"> </w:t>
      </w:r>
      <w:r>
        <w:rPr>
          <w:spacing w:val="-2"/>
          <w:sz w:val="28"/>
        </w:rPr>
        <w:t>осложнений.</w:t>
      </w:r>
    </w:p>
    <w:p w14:paraId="2AF14EF1">
      <w:pPr>
        <w:pStyle w:val="7"/>
        <w:ind w:left="0" w:right="3" w:firstLine="709"/>
      </w:pPr>
      <w:r>
        <w:t>Метод внедрён в клиническую практику нами и применён у 120 пациентов с опухолями периампулярной зоны. В результате внедрения новой технологии отмечено снижение частоты ПС, гнойно-септических осложнений, абсцессов и повторных операций, а также уменьшение числа аррозивных кровотечений (табл. 23).</w:t>
      </w:r>
    </w:p>
    <w:p w14:paraId="066E350B">
      <w:pPr>
        <w:pStyle w:val="7"/>
        <w:spacing w:before="4"/>
        <w:ind w:left="0" w:right="3" w:firstLine="709"/>
      </w:pPr>
      <w:r>
        <w:t>После завершения реконструктивного этапа ГПДР дренажные трубки подводятся</w:t>
      </w:r>
      <w:r>
        <w:rPr>
          <w:spacing w:val="-18"/>
        </w:rPr>
        <w:t xml:space="preserve"> </w:t>
      </w:r>
      <w:r>
        <w:t>к</w:t>
      </w:r>
      <w:r>
        <w:rPr>
          <w:spacing w:val="-17"/>
        </w:rPr>
        <w:t xml:space="preserve"> </w:t>
      </w:r>
      <w:r>
        <w:t>верхнему</w:t>
      </w:r>
      <w:r>
        <w:rPr>
          <w:spacing w:val="-18"/>
        </w:rPr>
        <w:t xml:space="preserve"> </w:t>
      </w:r>
      <w:r>
        <w:t>и</w:t>
      </w:r>
      <w:r>
        <w:rPr>
          <w:spacing w:val="-17"/>
        </w:rPr>
        <w:t xml:space="preserve"> </w:t>
      </w:r>
      <w:r>
        <w:t>нижнему</w:t>
      </w:r>
      <w:r>
        <w:rPr>
          <w:spacing w:val="-18"/>
        </w:rPr>
        <w:t xml:space="preserve"> </w:t>
      </w:r>
      <w:r>
        <w:t>краю</w:t>
      </w:r>
      <w:r>
        <w:rPr>
          <w:spacing w:val="-17"/>
        </w:rPr>
        <w:t xml:space="preserve"> </w:t>
      </w:r>
      <w:r>
        <w:t>ПЕА</w:t>
      </w:r>
      <w:r>
        <w:rPr>
          <w:spacing w:val="-18"/>
        </w:rPr>
        <w:t xml:space="preserve"> </w:t>
      </w:r>
      <w:r>
        <w:t>и</w:t>
      </w:r>
      <w:r>
        <w:rPr>
          <w:spacing w:val="-17"/>
        </w:rPr>
        <w:t xml:space="preserve"> </w:t>
      </w:r>
      <w:r>
        <w:t>выводятся</w:t>
      </w:r>
      <w:r>
        <w:rPr>
          <w:spacing w:val="-18"/>
        </w:rPr>
        <w:t xml:space="preserve"> </w:t>
      </w:r>
      <w:r>
        <w:t>отдельно</w:t>
      </w:r>
      <w:r>
        <w:rPr>
          <w:spacing w:val="-17"/>
        </w:rPr>
        <w:t xml:space="preserve"> </w:t>
      </w:r>
      <w:r>
        <w:t>через</w:t>
      </w:r>
      <w:r>
        <w:rPr>
          <w:spacing w:val="-18"/>
        </w:rPr>
        <w:t xml:space="preserve"> </w:t>
      </w:r>
      <w:r>
        <w:t>правый боковой канал живота. Такая конфигурация обеспечивает оптимальный отток содержимого и эффективный мониторинг состояния анастомоза.</w:t>
      </w:r>
    </w:p>
    <w:p w14:paraId="4CF59108">
      <w:pPr>
        <w:pStyle w:val="7"/>
        <w:spacing w:line="321" w:lineRule="exact"/>
        <w:ind w:left="0" w:right="3" w:firstLine="709"/>
      </w:pPr>
      <w:r>
        <w:t>Метод</w:t>
      </w:r>
      <w:r>
        <w:rPr>
          <w:spacing w:val="-6"/>
        </w:rPr>
        <w:t xml:space="preserve"> </w:t>
      </w:r>
      <w:r>
        <w:t>поясняется</w:t>
      </w:r>
      <w:r>
        <w:rPr>
          <w:spacing w:val="-1"/>
        </w:rPr>
        <w:t xml:space="preserve"> </w:t>
      </w:r>
      <w:r>
        <w:t>рисунками</w:t>
      </w:r>
      <w:r>
        <w:rPr>
          <w:spacing w:val="-7"/>
        </w:rPr>
        <w:t xml:space="preserve"> </w:t>
      </w:r>
      <w:r>
        <w:t>24</w:t>
      </w:r>
      <w:r>
        <w:rPr>
          <w:spacing w:val="-7"/>
        </w:rPr>
        <w:t xml:space="preserve"> </w:t>
      </w:r>
      <w:r>
        <w:t>и</w:t>
      </w:r>
      <w:r>
        <w:rPr>
          <w:spacing w:val="-7"/>
        </w:rPr>
        <w:t xml:space="preserve"> </w:t>
      </w:r>
      <w:r>
        <w:t>25,</w:t>
      </w:r>
      <w:r>
        <w:rPr>
          <w:spacing w:val="-4"/>
        </w:rPr>
        <w:t xml:space="preserve"> где:</w:t>
      </w:r>
    </w:p>
    <w:p w14:paraId="03C9B5EE">
      <w:pPr>
        <w:pStyle w:val="10"/>
        <w:numPr>
          <w:ilvl w:val="0"/>
          <w:numId w:val="19"/>
        </w:numPr>
        <w:tabs>
          <w:tab w:val="left" w:pos="635"/>
          <w:tab w:val="left" w:pos="993"/>
        </w:tabs>
        <w:ind w:left="0" w:right="3" w:firstLine="709"/>
        <w:rPr>
          <w:sz w:val="28"/>
        </w:rPr>
      </w:pPr>
      <w:r>
        <w:rPr>
          <w:sz w:val="28"/>
        </w:rPr>
        <w:t>верхняя</w:t>
      </w:r>
      <w:r>
        <w:rPr>
          <w:spacing w:val="-5"/>
          <w:sz w:val="28"/>
        </w:rPr>
        <w:t xml:space="preserve"> </w:t>
      </w:r>
      <w:r>
        <w:rPr>
          <w:sz w:val="28"/>
        </w:rPr>
        <w:t>дренажная</w:t>
      </w:r>
      <w:r>
        <w:rPr>
          <w:spacing w:val="-6"/>
          <w:sz w:val="28"/>
        </w:rPr>
        <w:t xml:space="preserve"> </w:t>
      </w:r>
      <w:r>
        <w:rPr>
          <w:spacing w:val="-2"/>
          <w:sz w:val="28"/>
        </w:rPr>
        <w:t>трубка;</w:t>
      </w:r>
    </w:p>
    <w:p w14:paraId="6C550CA7">
      <w:pPr>
        <w:pStyle w:val="10"/>
        <w:numPr>
          <w:ilvl w:val="0"/>
          <w:numId w:val="19"/>
        </w:numPr>
        <w:tabs>
          <w:tab w:val="left" w:pos="635"/>
          <w:tab w:val="left" w:pos="993"/>
        </w:tabs>
        <w:spacing w:line="322" w:lineRule="exact"/>
        <w:ind w:left="0" w:right="3" w:firstLine="709"/>
        <w:rPr>
          <w:sz w:val="28"/>
        </w:rPr>
      </w:pPr>
      <w:r>
        <w:rPr>
          <w:spacing w:val="-2"/>
          <w:sz w:val="28"/>
        </w:rPr>
        <w:t>панкреатоеюноанастомоз;</w:t>
      </w:r>
    </w:p>
    <w:p w14:paraId="15D34E6B">
      <w:pPr>
        <w:pStyle w:val="10"/>
        <w:numPr>
          <w:ilvl w:val="0"/>
          <w:numId w:val="19"/>
        </w:numPr>
        <w:tabs>
          <w:tab w:val="left" w:pos="635"/>
          <w:tab w:val="left" w:pos="993"/>
        </w:tabs>
        <w:spacing w:line="322" w:lineRule="exact"/>
        <w:ind w:left="0" w:right="3" w:firstLine="709"/>
        <w:rPr>
          <w:sz w:val="28"/>
        </w:rPr>
      </w:pPr>
      <w:r>
        <w:rPr>
          <w:sz w:val="28"/>
        </w:rPr>
        <w:t>нижняя</w:t>
      </w:r>
      <w:r>
        <w:rPr>
          <w:spacing w:val="-5"/>
          <w:sz w:val="28"/>
        </w:rPr>
        <w:t xml:space="preserve"> </w:t>
      </w:r>
      <w:r>
        <w:rPr>
          <w:sz w:val="28"/>
        </w:rPr>
        <w:t>дренажная</w:t>
      </w:r>
      <w:r>
        <w:rPr>
          <w:spacing w:val="-4"/>
          <w:sz w:val="28"/>
        </w:rPr>
        <w:t xml:space="preserve"> </w:t>
      </w:r>
      <w:r>
        <w:rPr>
          <w:spacing w:val="-2"/>
          <w:sz w:val="28"/>
        </w:rPr>
        <w:t>трубка.</w:t>
      </w:r>
    </w:p>
    <w:p w14:paraId="66741A23">
      <w:pPr>
        <w:pStyle w:val="7"/>
        <w:spacing w:line="242" w:lineRule="auto"/>
        <w:ind w:left="0" w:right="3" w:firstLine="709"/>
      </w:pPr>
      <w:r>
        <w:t>На рисунке 24 представлено схематическое изображение метода двойного дренирования зоны ПЕА; на рисунке 25 — интраоперационное фото метода двойного дренирования зоны ПЕА.</w:t>
      </w:r>
    </w:p>
    <w:p w14:paraId="0F1BA48F">
      <w:pPr>
        <w:pStyle w:val="7"/>
        <w:ind w:left="0" w:right="3" w:firstLine="709"/>
      </w:pPr>
      <w:bookmarkStart w:id="39" w:name="Клиническое_наблюдение._Пациент_М.,_1957"/>
      <w:bookmarkEnd w:id="39"/>
      <w:r>
        <w:rPr>
          <w:i/>
        </w:rPr>
        <w:t xml:space="preserve">Клиническое наблюдение. </w:t>
      </w:r>
      <w:r>
        <w:t>Пациент М., 1957 г.р. (И/Б №235), поступил в ННЦХ имени А.Н. Сызганова с опухолью ГПЖ. Пациентке было выполнена ГПДР. Интраоперационно ПЖ — мягкой консистенции, диаметр ПП — 2 мм. После реконструктивного этапа сформирован модифицированный протоково- слизистый ПЕА, гепатикоеюноанастомоз и гастроэнтероанастомоз. С целью адекватного дренирования и профилактики скопления жидкости произведено двойное дренирование области ПЕА с проведением дренажных трубок к верхнему и нижнему краю анастомоза, выведенных через отдельные контрапертуры в правом боковом канале живота.</w:t>
      </w:r>
    </w:p>
    <w:p w14:paraId="3284AE62">
      <w:pPr>
        <w:pStyle w:val="7"/>
        <w:ind w:left="0" w:right="3" w:firstLine="709"/>
      </w:pPr>
      <w:r>
        <w:t>Интраоперационная кровопотеря составила 500 мл. Послеоперационный период протекал удовлетворительно. По дренажам отделялось</w:t>
      </w:r>
      <w:r>
        <w:rPr>
          <w:spacing w:val="-4"/>
        </w:rPr>
        <w:t xml:space="preserve"> </w:t>
      </w:r>
      <w:r>
        <w:t>5–15</w:t>
      </w:r>
      <w:r>
        <w:rPr>
          <w:spacing w:val="-2"/>
        </w:rPr>
        <w:t xml:space="preserve"> </w:t>
      </w:r>
      <w:r>
        <w:t>мл</w:t>
      </w:r>
      <w:r>
        <w:rPr>
          <w:spacing w:val="-2"/>
        </w:rPr>
        <w:t xml:space="preserve"> </w:t>
      </w:r>
      <w:r>
        <w:t>серозно- мутного содержимого в сутки. На 5-е сутки при контрольном УЗИ патологических скоплений жидкости не выявлено. Пациент выписан на амбулаторное лечение через 14 суток.</w:t>
      </w:r>
    </w:p>
    <w:p w14:paraId="2722B46E">
      <w:pPr>
        <w:pStyle w:val="7"/>
        <w:ind w:left="0" w:right="3" w:firstLine="709"/>
      </w:pPr>
      <w:r>
        <w:t>Клиническое</w:t>
      </w:r>
      <w:r>
        <w:rPr>
          <w:spacing w:val="-7"/>
        </w:rPr>
        <w:t xml:space="preserve"> </w:t>
      </w:r>
      <w:r>
        <w:t>течение</w:t>
      </w:r>
      <w:r>
        <w:rPr>
          <w:spacing w:val="-7"/>
        </w:rPr>
        <w:t xml:space="preserve"> </w:t>
      </w:r>
      <w:r>
        <w:t>подтверждает</w:t>
      </w:r>
      <w:r>
        <w:rPr>
          <w:spacing w:val="-9"/>
        </w:rPr>
        <w:t xml:space="preserve"> </w:t>
      </w:r>
      <w:r>
        <w:t>эффективность</w:t>
      </w:r>
      <w:r>
        <w:rPr>
          <w:spacing w:val="-9"/>
        </w:rPr>
        <w:t xml:space="preserve"> </w:t>
      </w:r>
      <w:r>
        <w:t>предложенного</w:t>
      </w:r>
      <w:r>
        <w:rPr>
          <w:spacing w:val="-8"/>
        </w:rPr>
        <w:t xml:space="preserve"> </w:t>
      </w:r>
      <w:r>
        <w:t>метода, обеспечивающего адекватный контроль за состоянием зоны анастомоза и снижение частоты послеоперационных осложнений.</w:t>
      </w:r>
    </w:p>
    <w:p w14:paraId="6F537BAB">
      <w:pPr>
        <w:pStyle w:val="7"/>
        <w:ind w:left="0" w:right="3" w:firstLine="709"/>
        <w:jc w:val="center"/>
      </w:pPr>
    </w:p>
    <w:p w14:paraId="70BC3326">
      <w:pPr>
        <w:pStyle w:val="7"/>
        <w:ind w:left="0" w:right="3" w:firstLine="0"/>
        <w:jc w:val="center"/>
        <w:rPr>
          <w:sz w:val="20"/>
        </w:rPr>
      </w:pPr>
      <w:r>
        <w:rPr>
          <w:sz w:val="20"/>
          <w:lang w:eastAsia="ru-RU"/>
        </w:rPr>
        <w:drawing>
          <wp:inline distT="0" distB="0" distL="0" distR="0">
            <wp:extent cx="5011420" cy="5690235"/>
            <wp:effectExtent l="0" t="0" r="0" b="5715"/>
            <wp:docPr id="181" name="Image 181"/>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57" cstate="print"/>
                    <a:stretch>
                      <a:fillRect/>
                    </a:stretch>
                  </pic:blipFill>
                  <pic:spPr>
                    <a:xfrm>
                      <a:off x="0" y="0"/>
                      <a:ext cx="5029671" cy="5710827"/>
                    </a:xfrm>
                    <a:prstGeom prst="rect">
                      <a:avLst/>
                    </a:prstGeom>
                  </pic:spPr>
                </pic:pic>
              </a:graphicData>
            </a:graphic>
          </wp:inline>
        </w:drawing>
      </w:r>
    </w:p>
    <w:p w14:paraId="7F032586">
      <w:pPr>
        <w:pStyle w:val="7"/>
        <w:spacing w:before="301"/>
        <w:ind w:left="0" w:firstLine="0"/>
        <w:jc w:val="center"/>
      </w:pPr>
      <w:r>
        <w:t>Рисунок</w:t>
      </w:r>
      <w:r>
        <w:rPr>
          <w:spacing w:val="-8"/>
        </w:rPr>
        <w:t xml:space="preserve"> </w:t>
      </w:r>
      <w:r>
        <w:t>24</w:t>
      </w:r>
      <w:r>
        <w:rPr>
          <w:spacing w:val="-6"/>
        </w:rPr>
        <w:t xml:space="preserve"> </w:t>
      </w:r>
      <w:r>
        <w:t>–</w:t>
      </w:r>
      <w:r>
        <w:rPr>
          <w:spacing w:val="-6"/>
        </w:rPr>
        <w:t xml:space="preserve"> </w:t>
      </w:r>
      <w:r>
        <w:t>Схематическое</w:t>
      </w:r>
      <w:r>
        <w:rPr>
          <w:spacing w:val="-6"/>
        </w:rPr>
        <w:t xml:space="preserve"> </w:t>
      </w:r>
      <w:r>
        <w:t>изображение</w:t>
      </w:r>
      <w:r>
        <w:rPr>
          <w:spacing w:val="-3"/>
        </w:rPr>
        <w:t xml:space="preserve"> </w:t>
      </w:r>
      <w:r>
        <w:t>метода</w:t>
      </w:r>
      <w:r>
        <w:rPr>
          <w:spacing w:val="-6"/>
        </w:rPr>
        <w:t xml:space="preserve"> </w:t>
      </w:r>
      <w:r>
        <w:t>двойного</w:t>
      </w:r>
      <w:r>
        <w:rPr>
          <w:spacing w:val="-6"/>
        </w:rPr>
        <w:t xml:space="preserve"> </w:t>
      </w:r>
      <w:r>
        <w:t>дренирования зоны панкреатоеюноанастомоза</w:t>
      </w:r>
    </w:p>
    <w:p w14:paraId="36C37519">
      <w:pPr>
        <w:pStyle w:val="7"/>
        <w:spacing w:before="183"/>
        <w:ind w:left="0" w:firstLine="0"/>
        <w:jc w:val="left"/>
        <w:rPr>
          <w:sz w:val="20"/>
        </w:rPr>
      </w:pPr>
    </w:p>
    <w:p w14:paraId="03701DD2">
      <w:pPr>
        <w:pStyle w:val="7"/>
        <w:spacing w:before="183"/>
        <w:ind w:left="0" w:firstLine="0"/>
        <w:jc w:val="left"/>
        <w:rPr>
          <w:sz w:val="20"/>
        </w:rPr>
      </w:pPr>
    </w:p>
    <w:p w14:paraId="7F34BDAE">
      <w:pPr>
        <w:pStyle w:val="7"/>
        <w:spacing w:before="183"/>
        <w:ind w:left="0" w:firstLine="0"/>
        <w:jc w:val="left"/>
        <w:rPr>
          <w:sz w:val="20"/>
        </w:rPr>
      </w:pPr>
    </w:p>
    <w:p w14:paraId="255DA57D">
      <w:pPr>
        <w:pStyle w:val="7"/>
        <w:spacing w:before="183"/>
        <w:ind w:left="0" w:firstLine="0"/>
        <w:jc w:val="left"/>
        <w:rPr>
          <w:sz w:val="20"/>
        </w:rPr>
      </w:pPr>
      <w:r>
        <w:rPr>
          <w:sz w:val="20"/>
          <w:lang w:eastAsia="ru-RU"/>
        </w:rPr>
        <w:drawing>
          <wp:anchor distT="0" distB="0" distL="0" distR="0" simplePos="0" relativeHeight="251693056" behindDoc="1" locked="0" layoutInCell="1" allowOverlap="1">
            <wp:simplePos x="0" y="0"/>
            <wp:positionH relativeFrom="page">
              <wp:posOffset>1440180</wp:posOffset>
            </wp:positionH>
            <wp:positionV relativeFrom="paragraph">
              <wp:posOffset>277495</wp:posOffset>
            </wp:positionV>
            <wp:extent cx="4561205" cy="3133725"/>
            <wp:effectExtent l="0" t="0" r="0" b="0"/>
            <wp:wrapTopAndBottom/>
            <wp:docPr id="182" name="Image 182"/>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58" cstate="print"/>
                    <a:stretch>
                      <a:fillRect/>
                    </a:stretch>
                  </pic:blipFill>
                  <pic:spPr>
                    <a:xfrm>
                      <a:off x="0" y="0"/>
                      <a:ext cx="4561205" cy="3133725"/>
                    </a:xfrm>
                    <a:prstGeom prst="rect">
                      <a:avLst/>
                    </a:prstGeom>
                  </pic:spPr>
                </pic:pic>
              </a:graphicData>
            </a:graphic>
          </wp:anchor>
        </w:drawing>
      </w:r>
    </w:p>
    <w:p w14:paraId="14A267D5">
      <w:pPr>
        <w:pStyle w:val="7"/>
        <w:spacing w:before="32"/>
        <w:ind w:left="0" w:firstLine="0"/>
        <w:jc w:val="left"/>
      </w:pPr>
    </w:p>
    <w:p w14:paraId="35760B6E">
      <w:pPr>
        <w:pStyle w:val="7"/>
        <w:ind w:left="2694" w:right="3" w:hanging="2041"/>
      </w:pPr>
      <w:r>
        <w:t>Рисунок</w:t>
      </w:r>
      <w:r>
        <w:rPr>
          <w:spacing w:val="-8"/>
        </w:rPr>
        <w:t xml:space="preserve"> </w:t>
      </w:r>
      <w:r>
        <w:t>25</w:t>
      </w:r>
      <w:r>
        <w:rPr>
          <w:spacing w:val="-6"/>
        </w:rPr>
        <w:t xml:space="preserve"> </w:t>
      </w:r>
      <w:r>
        <w:t>-</w:t>
      </w:r>
      <w:r>
        <w:rPr>
          <w:spacing w:val="-3"/>
        </w:rPr>
        <w:t xml:space="preserve"> </w:t>
      </w:r>
      <w:r>
        <w:t>Интраоперационное</w:t>
      </w:r>
      <w:r>
        <w:rPr>
          <w:spacing w:val="-6"/>
        </w:rPr>
        <w:t xml:space="preserve"> </w:t>
      </w:r>
      <w:r>
        <w:t>фото</w:t>
      </w:r>
      <w:r>
        <w:rPr>
          <w:spacing w:val="-4"/>
        </w:rPr>
        <w:t xml:space="preserve"> </w:t>
      </w:r>
      <w:r>
        <w:t>метода</w:t>
      </w:r>
      <w:r>
        <w:rPr>
          <w:spacing w:val="-4"/>
        </w:rPr>
        <w:t xml:space="preserve"> </w:t>
      </w:r>
      <w:r>
        <w:t>двойного</w:t>
      </w:r>
      <w:r>
        <w:rPr>
          <w:spacing w:val="-6"/>
        </w:rPr>
        <w:t xml:space="preserve"> </w:t>
      </w:r>
      <w:r>
        <w:t>дренирования зоны панкреатоеюноанастомоза</w:t>
      </w:r>
    </w:p>
    <w:p w14:paraId="0CA14585">
      <w:pPr>
        <w:pStyle w:val="7"/>
        <w:spacing w:before="4"/>
        <w:ind w:left="2694" w:right="3" w:firstLine="0"/>
      </w:pPr>
    </w:p>
    <w:p w14:paraId="21F4A887">
      <w:pPr>
        <w:pStyle w:val="7"/>
        <w:tabs>
          <w:tab w:val="left" w:pos="4536"/>
          <w:tab w:val="left" w:pos="4820"/>
        </w:tabs>
        <w:spacing w:before="1"/>
        <w:ind w:left="-142" w:firstLine="0"/>
      </w:pPr>
      <w:r>
        <w:t>Таблица</w:t>
      </w:r>
      <w:r>
        <w:rPr>
          <w:spacing w:val="-3"/>
        </w:rPr>
        <w:t xml:space="preserve"> </w:t>
      </w:r>
      <w:r>
        <w:t>23</w:t>
      </w:r>
      <w:r>
        <w:rPr>
          <w:spacing w:val="-1"/>
        </w:rPr>
        <w:t xml:space="preserve"> </w:t>
      </w:r>
      <w:r>
        <w:t>-</w:t>
      </w:r>
      <w:r>
        <w:rPr>
          <w:spacing w:val="-5"/>
        </w:rPr>
        <w:t xml:space="preserve"> </w:t>
      </w:r>
      <w:r>
        <w:t>Характеристика</w:t>
      </w:r>
      <w:r>
        <w:rPr>
          <w:spacing w:val="-3"/>
        </w:rPr>
        <w:t xml:space="preserve"> </w:t>
      </w:r>
      <w:r>
        <w:t>послеоперационных</w:t>
      </w:r>
      <w:r>
        <w:rPr>
          <w:spacing w:val="-8"/>
        </w:rPr>
        <w:t xml:space="preserve"> </w:t>
      </w:r>
      <w:r>
        <w:t>осложнений</w:t>
      </w:r>
      <w:r>
        <w:rPr>
          <w:spacing w:val="-4"/>
        </w:rPr>
        <w:t xml:space="preserve"> </w:t>
      </w:r>
      <w:r>
        <w:t>после</w:t>
      </w:r>
      <w:r>
        <w:rPr>
          <w:spacing w:val="-3"/>
        </w:rPr>
        <w:t xml:space="preserve"> </w:t>
      </w:r>
      <w:r>
        <w:t>ГПДР</w:t>
      </w:r>
      <w:r>
        <w:rPr>
          <w:spacing w:val="-5"/>
        </w:rPr>
        <w:t xml:space="preserve"> </w:t>
      </w:r>
      <w:r>
        <w:t>до</w:t>
      </w:r>
      <w:r>
        <w:rPr>
          <w:spacing w:val="-4"/>
        </w:rPr>
        <w:t xml:space="preserve"> </w:t>
      </w:r>
      <w:r>
        <w:t>и после внедрения метода двойного дренирования зоны ПЕА</w:t>
      </w:r>
    </w:p>
    <w:p w14:paraId="41F21923">
      <w:pPr>
        <w:pStyle w:val="7"/>
        <w:tabs>
          <w:tab w:val="left" w:pos="4536"/>
          <w:tab w:val="left" w:pos="4820"/>
        </w:tabs>
        <w:spacing w:before="1"/>
        <w:ind w:left="0" w:firstLine="0"/>
        <w:jc w:val="left"/>
      </w:pPr>
    </w:p>
    <w:tbl>
      <w:tblPr>
        <w:tblStyle w:val="5"/>
        <w:tblW w:w="9781"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36"/>
        <w:gridCol w:w="2693"/>
        <w:gridCol w:w="3118"/>
        <w:gridCol w:w="1134"/>
      </w:tblGrid>
      <w:tr w14:paraId="66984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2836" w:type="dxa"/>
          </w:tcPr>
          <w:p w14:paraId="7FBB223C">
            <w:pPr>
              <w:pStyle w:val="11"/>
              <w:spacing w:before="232" w:line="240" w:lineRule="auto"/>
              <w:ind w:left="585"/>
              <w:jc w:val="left"/>
              <w:rPr>
                <w:sz w:val="24"/>
                <w:szCs w:val="24"/>
              </w:rPr>
            </w:pPr>
            <w:r>
              <w:rPr>
                <w:spacing w:val="-2"/>
                <w:sz w:val="24"/>
                <w:szCs w:val="24"/>
              </w:rPr>
              <w:t>Показатели</w:t>
            </w:r>
          </w:p>
        </w:tc>
        <w:tc>
          <w:tcPr>
            <w:tcW w:w="2693" w:type="dxa"/>
          </w:tcPr>
          <w:p w14:paraId="491D65C9">
            <w:pPr>
              <w:pStyle w:val="11"/>
              <w:spacing w:before="69" w:line="240" w:lineRule="auto"/>
              <w:ind w:left="149" w:firstLine="513"/>
              <w:jc w:val="left"/>
              <w:rPr>
                <w:sz w:val="24"/>
                <w:szCs w:val="24"/>
              </w:rPr>
            </w:pPr>
            <w:r>
              <w:rPr>
                <w:sz w:val="24"/>
                <w:szCs w:val="24"/>
              </w:rPr>
              <w:t>Без двойного дренирования</w:t>
            </w:r>
            <w:r>
              <w:rPr>
                <w:spacing w:val="-9"/>
                <w:sz w:val="24"/>
                <w:szCs w:val="24"/>
              </w:rPr>
              <w:t xml:space="preserve"> </w:t>
            </w:r>
            <w:r>
              <w:rPr>
                <w:sz w:val="24"/>
                <w:szCs w:val="24"/>
              </w:rPr>
              <w:t>n</w:t>
            </w:r>
            <w:r>
              <w:rPr>
                <w:spacing w:val="-18"/>
                <w:sz w:val="24"/>
                <w:szCs w:val="24"/>
              </w:rPr>
              <w:t xml:space="preserve"> </w:t>
            </w:r>
            <w:r>
              <w:rPr>
                <w:sz w:val="24"/>
                <w:szCs w:val="24"/>
              </w:rPr>
              <w:t>=</w:t>
            </w:r>
            <w:r>
              <w:rPr>
                <w:spacing w:val="-13"/>
                <w:sz w:val="24"/>
                <w:szCs w:val="24"/>
              </w:rPr>
              <w:t xml:space="preserve"> </w:t>
            </w:r>
            <w:r>
              <w:rPr>
                <w:sz w:val="24"/>
                <w:szCs w:val="24"/>
              </w:rPr>
              <w:t>183</w:t>
            </w:r>
          </w:p>
        </w:tc>
        <w:tc>
          <w:tcPr>
            <w:tcW w:w="3118" w:type="dxa"/>
          </w:tcPr>
          <w:p w14:paraId="07D6B1F4">
            <w:pPr>
              <w:pStyle w:val="11"/>
              <w:spacing w:before="69" w:line="240" w:lineRule="auto"/>
              <w:ind w:left="114" w:firstLine="720"/>
              <w:jc w:val="left"/>
              <w:rPr>
                <w:sz w:val="24"/>
                <w:szCs w:val="24"/>
              </w:rPr>
            </w:pPr>
            <w:r>
              <w:rPr>
                <w:sz w:val="24"/>
                <w:szCs w:val="24"/>
              </w:rPr>
              <w:t>С двойным дренированием</w:t>
            </w:r>
            <w:r>
              <w:rPr>
                <w:spacing w:val="-8"/>
                <w:sz w:val="24"/>
                <w:szCs w:val="24"/>
              </w:rPr>
              <w:t xml:space="preserve"> </w:t>
            </w:r>
            <w:r>
              <w:rPr>
                <w:sz w:val="24"/>
                <w:szCs w:val="24"/>
              </w:rPr>
              <w:t>n</w:t>
            </w:r>
            <w:r>
              <w:rPr>
                <w:spacing w:val="-18"/>
                <w:sz w:val="24"/>
                <w:szCs w:val="24"/>
              </w:rPr>
              <w:t xml:space="preserve"> </w:t>
            </w:r>
            <w:r>
              <w:rPr>
                <w:sz w:val="24"/>
                <w:szCs w:val="24"/>
              </w:rPr>
              <w:t>=</w:t>
            </w:r>
            <w:r>
              <w:rPr>
                <w:spacing w:val="-13"/>
                <w:sz w:val="24"/>
                <w:szCs w:val="24"/>
              </w:rPr>
              <w:t xml:space="preserve"> </w:t>
            </w:r>
            <w:r>
              <w:rPr>
                <w:sz w:val="24"/>
                <w:szCs w:val="24"/>
              </w:rPr>
              <w:t>120</w:t>
            </w:r>
          </w:p>
        </w:tc>
        <w:tc>
          <w:tcPr>
            <w:tcW w:w="1134" w:type="dxa"/>
            <w:vMerge w:val="restart"/>
          </w:tcPr>
          <w:p w14:paraId="5275A0A0">
            <w:pPr>
              <w:pStyle w:val="11"/>
              <w:spacing w:before="126" w:line="240" w:lineRule="auto"/>
              <w:jc w:val="left"/>
              <w:rPr>
                <w:sz w:val="24"/>
                <w:szCs w:val="24"/>
              </w:rPr>
            </w:pPr>
          </w:p>
          <w:p w14:paraId="05A002CE">
            <w:pPr>
              <w:pStyle w:val="11"/>
              <w:spacing w:before="1" w:line="240" w:lineRule="auto"/>
              <w:ind w:left="157"/>
              <w:jc w:val="left"/>
              <w:rPr>
                <w:sz w:val="24"/>
                <w:szCs w:val="24"/>
              </w:rPr>
            </w:pPr>
            <w:r>
              <w:rPr>
                <w:spacing w:val="-2"/>
                <w:sz w:val="24"/>
                <w:szCs w:val="24"/>
              </w:rPr>
              <w:t>P-value</w:t>
            </w:r>
          </w:p>
        </w:tc>
      </w:tr>
      <w:tr w14:paraId="5096F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836" w:type="dxa"/>
          </w:tcPr>
          <w:p w14:paraId="7A475B28">
            <w:pPr>
              <w:pStyle w:val="11"/>
              <w:spacing w:line="315" w:lineRule="exact"/>
              <w:ind w:left="821"/>
              <w:jc w:val="left"/>
              <w:rPr>
                <w:sz w:val="24"/>
                <w:szCs w:val="24"/>
              </w:rPr>
            </w:pPr>
            <w:r>
              <w:rPr>
                <w:spacing w:val="-2"/>
                <w:sz w:val="24"/>
                <w:szCs w:val="24"/>
              </w:rPr>
              <w:t>Период</w:t>
            </w:r>
          </w:p>
        </w:tc>
        <w:tc>
          <w:tcPr>
            <w:tcW w:w="2693" w:type="dxa"/>
          </w:tcPr>
          <w:p w14:paraId="1E80FF93">
            <w:pPr>
              <w:pStyle w:val="11"/>
              <w:spacing w:line="315" w:lineRule="exact"/>
              <w:ind w:left="7" w:right="6"/>
              <w:rPr>
                <w:sz w:val="24"/>
                <w:szCs w:val="24"/>
              </w:rPr>
            </w:pPr>
            <w:r>
              <w:rPr>
                <w:sz w:val="24"/>
                <w:szCs w:val="24"/>
              </w:rPr>
              <w:t>2019</w:t>
            </w:r>
            <w:r>
              <w:rPr>
                <w:spacing w:val="-6"/>
                <w:sz w:val="24"/>
                <w:szCs w:val="24"/>
              </w:rPr>
              <w:t xml:space="preserve"> </w:t>
            </w:r>
            <w:r>
              <w:rPr>
                <w:sz w:val="24"/>
                <w:szCs w:val="24"/>
              </w:rPr>
              <w:t>-2022</w:t>
            </w:r>
            <w:r>
              <w:rPr>
                <w:spacing w:val="-6"/>
                <w:sz w:val="24"/>
                <w:szCs w:val="24"/>
              </w:rPr>
              <w:t xml:space="preserve"> </w:t>
            </w:r>
            <w:r>
              <w:rPr>
                <w:spacing w:val="-5"/>
                <w:sz w:val="24"/>
                <w:szCs w:val="24"/>
              </w:rPr>
              <w:t>гг.</w:t>
            </w:r>
          </w:p>
        </w:tc>
        <w:tc>
          <w:tcPr>
            <w:tcW w:w="3118" w:type="dxa"/>
          </w:tcPr>
          <w:p w14:paraId="55D96F8F">
            <w:pPr>
              <w:pStyle w:val="11"/>
              <w:spacing w:line="315" w:lineRule="exact"/>
              <w:ind w:left="5" w:right="5"/>
              <w:rPr>
                <w:sz w:val="24"/>
                <w:szCs w:val="24"/>
              </w:rPr>
            </w:pPr>
            <w:r>
              <w:rPr>
                <w:sz w:val="24"/>
                <w:szCs w:val="24"/>
              </w:rPr>
              <w:t>2023-2025</w:t>
            </w:r>
            <w:r>
              <w:rPr>
                <w:spacing w:val="-10"/>
                <w:sz w:val="24"/>
                <w:szCs w:val="24"/>
              </w:rPr>
              <w:t xml:space="preserve"> </w:t>
            </w:r>
            <w:r>
              <w:rPr>
                <w:spacing w:val="-5"/>
                <w:sz w:val="24"/>
                <w:szCs w:val="24"/>
              </w:rPr>
              <w:t>гг.</w:t>
            </w:r>
          </w:p>
        </w:tc>
        <w:tc>
          <w:tcPr>
            <w:tcW w:w="1134" w:type="dxa"/>
            <w:vMerge w:val="continue"/>
            <w:tcBorders>
              <w:top w:val="nil"/>
            </w:tcBorders>
          </w:tcPr>
          <w:p w14:paraId="1199B3E4">
            <w:pPr>
              <w:rPr>
                <w:sz w:val="24"/>
                <w:szCs w:val="24"/>
              </w:rPr>
            </w:pPr>
          </w:p>
        </w:tc>
      </w:tr>
      <w:tr w14:paraId="24B0B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2836" w:type="dxa"/>
            <w:tcBorders>
              <w:bottom w:val="nil"/>
            </w:tcBorders>
          </w:tcPr>
          <w:p w14:paraId="4B90C8D9">
            <w:pPr>
              <w:pStyle w:val="11"/>
              <w:spacing w:before="127"/>
              <w:ind w:left="110"/>
              <w:jc w:val="left"/>
              <w:rPr>
                <w:sz w:val="24"/>
                <w:szCs w:val="24"/>
              </w:rPr>
            </w:pPr>
            <w:r>
              <w:rPr>
                <w:sz w:val="24"/>
                <w:szCs w:val="24"/>
              </w:rPr>
              <w:t>ПС:</w:t>
            </w:r>
            <w:r>
              <w:rPr>
                <w:spacing w:val="-8"/>
                <w:sz w:val="24"/>
                <w:szCs w:val="24"/>
              </w:rPr>
              <w:t xml:space="preserve">   </w:t>
            </w:r>
            <w:r>
              <w:rPr>
                <w:sz w:val="24"/>
                <w:szCs w:val="24"/>
              </w:rPr>
              <w:t xml:space="preserve">Степень </w:t>
            </w:r>
            <w:r>
              <w:rPr>
                <w:spacing w:val="-10"/>
                <w:sz w:val="24"/>
                <w:szCs w:val="24"/>
              </w:rPr>
              <w:t>A</w:t>
            </w:r>
          </w:p>
        </w:tc>
        <w:tc>
          <w:tcPr>
            <w:tcW w:w="2693" w:type="dxa"/>
            <w:tcBorders>
              <w:bottom w:val="nil"/>
            </w:tcBorders>
          </w:tcPr>
          <w:p w14:paraId="0C76057A">
            <w:pPr>
              <w:pStyle w:val="11"/>
              <w:spacing w:before="127"/>
              <w:ind w:left="6" w:right="12"/>
              <w:rPr>
                <w:sz w:val="24"/>
                <w:szCs w:val="24"/>
              </w:rPr>
            </w:pPr>
            <w:r>
              <w:rPr>
                <w:sz w:val="24"/>
                <w:szCs w:val="24"/>
              </w:rPr>
              <w:t>24</w:t>
            </w:r>
            <w:r>
              <w:rPr>
                <w:spacing w:val="-1"/>
                <w:sz w:val="24"/>
                <w:szCs w:val="24"/>
              </w:rPr>
              <w:t xml:space="preserve"> </w:t>
            </w:r>
            <w:r>
              <w:rPr>
                <w:spacing w:val="-2"/>
                <w:sz w:val="24"/>
                <w:szCs w:val="24"/>
              </w:rPr>
              <w:t>(13,1%)</w:t>
            </w:r>
          </w:p>
        </w:tc>
        <w:tc>
          <w:tcPr>
            <w:tcW w:w="3118" w:type="dxa"/>
            <w:tcBorders>
              <w:bottom w:val="nil"/>
            </w:tcBorders>
          </w:tcPr>
          <w:p w14:paraId="26BCC83A">
            <w:pPr>
              <w:pStyle w:val="11"/>
              <w:spacing w:before="127"/>
              <w:ind w:left="5"/>
              <w:rPr>
                <w:sz w:val="24"/>
                <w:szCs w:val="24"/>
              </w:rPr>
            </w:pPr>
            <w:r>
              <w:rPr>
                <w:sz w:val="24"/>
                <w:szCs w:val="24"/>
              </w:rPr>
              <w:t>10</w:t>
            </w:r>
            <w:r>
              <w:rPr>
                <w:spacing w:val="-1"/>
                <w:sz w:val="24"/>
                <w:szCs w:val="24"/>
              </w:rPr>
              <w:t xml:space="preserve"> </w:t>
            </w:r>
            <w:r>
              <w:rPr>
                <w:spacing w:val="-2"/>
                <w:sz w:val="24"/>
                <w:szCs w:val="24"/>
              </w:rPr>
              <w:t>(8,4%)</w:t>
            </w:r>
          </w:p>
        </w:tc>
        <w:tc>
          <w:tcPr>
            <w:tcW w:w="1134" w:type="dxa"/>
            <w:tcBorders>
              <w:bottom w:val="nil"/>
            </w:tcBorders>
          </w:tcPr>
          <w:p w14:paraId="335A27AC">
            <w:pPr>
              <w:pStyle w:val="11"/>
              <w:spacing w:before="127"/>
              <w:ind w:left="244"/>
              <w:jc w:val="left"/>
              <w:rPr>
                <w:sz w:val="24"/>
                <w:szCs w:val="24"/>
              </w:rPr>
            </w:pPr>
            <w:r>
              <w:rPr>
                <w:spacing w:val="-4"/>
                <w:sz w:val="24"/>
                <w:szCs w:val="24"/>
              </w:rPr>
              <w:t xml:space="preserve">  0,264</w:t>
            </w:r>
          </w:p>
        </w:tc>
      </w:tr>
      <w:tr w14:paraId="79E3B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36" w:type="dxa"/>
            <w:tcBorders>
              <w:top w:val="nil"/>
              <w:bottom w:val="nil"/>
            </w:tcBorders>
          </w:tcPr>
          <w:p w14:paraId="2AD17F38">
            <w:pPr>
              <w:pStyle w:val="11"/>
              <w:spacing w:line="302" w:lineRule="exact"/>
              <w:ind w:left="648"/>
              <w:jc w:val="left"/>
              <w:rPr>
                <w:sz w:val="24"/>
                <w:szCs w:val="24"/>
              </w:rPr>
            </w:pPr>
            <w:r>
              <w:rPr>
                <w:sz w:val="24"/>
                <w:szCs w:val="24"/>
              </w:rPr>
              <w:t>Степень</w:t>
            </w:r>
            <w:r>
              <w:rPr>
                <w:spacing w:val="-7"/>
                <w:sz w:val="24"/>
                <w:szCs w:val="24"/>
              </w:rPr>
              <w:t xml:space="preserve"> </w:t>
            </w:r>
            <w:r>
              <w:rPr>
                <w:spacing w:val="-10"/>
                <w:sz w:val="24"/>
                <w:szCs w:val="24"/>
              </w:rPr>
              <w:t>B</w:t>
            </w:r>
          </w:p>
        </w:tc>
        <w:tc>
          <w:tcPr>
            <w:tcW w:w="2693" w:type="dxa"/>
            <w:tcBorders>
              <w:top w:val="nil"/>
              <w:bottom w:val="nil"/>
            </w:tcBorders>
          </w:tcPr>
          <w:p w14:paraId="420A43BC">
            <w:pPr>
              <w:pStyle w:val="11"/>
              <w:spacing w:line="302" w:lineRule="exact"/>
              <w:ind w:left="7" w:right="6"/>
              <w:rPr>
                <w:sz w:val="24"/>
                <w:szCs w:val="24"/>
              </w:rPr>
            </w:pPr>
            <w:r>
              <w:rPr>
                <w:sz w:val="24"/>
                <w:szCs w:val="24"/>
              </w:rPr>
              <w:t>34</w:t>
            </w:r>
            <w:r>
              <w:rPr>
                <w:spacing w:val="-1"/>
                <w:sz w:val="24"/>
                <w:szCs w:val="24"/>
              </w:rPr>
              <w:t xml:space="preserve"> </w:t>
            </w:r>
            <w:r>
              <w:rPr>
                <w:spacing w:val="-2"/>
                <w:sz w:val="24"/>
                <w:szCs w:val="24"/>
              </w:rPr>
              <w:t>(18,5%)</w:t>
            </w:r>
          </w:p>
        </w:tc>
        <w:tc>
          <w:tcPr>
            <w:tcW w:w="3118" w:type="dxa"/>
            <w:tcBorders>
              <w:top w:val="nil"/>
              <w:bottom w:val="nil"/>
            </w:tcBorders>
          </w:tcPr>
          <w:p w14:paraId="1ED56C93">
            <w:pPr>
              <w:pStyle w:val="11"/>
              <w:spacing w:line="302" w:lineRule="exact"/>
              <w:ind w:left="5" w:right="5"/>
              <w:rPr>
                <w:sz w:val="24"/>
                <w:szCs w:val="24"/>
              </w:rPr>
            </w:pPr>
            <w:r>
              <w:rPr>
                <w:sz w:val="24"/>
                <w:szCs w:val="24"/>
              </w:rPr>
              <w:t>36</w:t>
            </w:r>
            <w:r>
              <w:rPr>
                <w:spacing w:val="-1"/>
                <w:sz w:val="24"/>
                <w:szCs w:val="24"/>
              </w:rPr>
              <w:t xml:space="preserve"> </w:t>
            </w:r>
            <w:r>
              <w:rPr>
                <w:spacing w:val="-2"/>
                <w:sz w:val="24"/>
                <w:szCs w:val="24"/>
              </w:rPr>
              <w:t>(30,0%)</w:t>
            </w:r>
          </w:p>
        </w:tc>
        <w:tc>
          <w:tcPr>
            <w:tcW w:w="1134" w:type="dxa"/>
            <w:tcBorders>
              <w:top w:val="nil"/>
              <w:bottom w:val="nil"/>
            </w:tcBorders>
          </w:tcPr>
          <w:p w14:paraId="7CB2FEBE">
            <w:pPr>
              <w:pStyle w:val="11"/>
              <w:spacing w:line="302" w:lineRule="exact"/>
              <w:ind w:right="196"/>
              <w:jc w:val="right"/>
              <w:rPr>
                <w:sz w:val="24"/>
                <w:szCs w:val="24"/>
                <w:vertAlign w:val="superscript"/>
              </w:rPr>
            </w:pPr>
            <w:r>
              <w:rPr>
                <w:spacing w:val="-2"/>
                <w:sz w:val="24"/>
                <w:szCs w:val="24"/>
              </w:rPr>
              <w:t>0,026</w:t>
            </w:r>
            <w:r>
              <w:rPr>
                <w:spacing w:val="-2"/>
                <w:sz w:val="24"/>
                <w:szCs w:val="24"/>
                <w:vertAlign w:val="superscript"/>
              </w:rPr>
              <w:t>*</w:t>
            </w:r>
          </w:p>
        </w:tc>
      </w:tr>
      <w:tr w14:paraId="563EA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36" w:type="dxa"/>
            <w:tcBorders>
              <w:top w:val="nil"/>
              <w:bottom w:val="nil"/>
            </w:tcBorders>
          </w:tcPr>
          <w:p w14:paraId="305CEF21">
            <w:pPr>
              <w:pStyle w:val="11"/>
              <w:spacing w:line="302" w:lineRule="exact"/>
              <w:ind w:left="648"/>
              <w:jc w:val="left"/>
              <w:rPr>
                <w:sz w:val="24"/>
                <w:szCs w:val="24"/>
              </w:rPr>
            </w:pPr>
            <w:r>
              <w:rPr>
                <w:sz w:val="24"/>
                <w:szCs w:val="24"/>
              </w:rPr>
              <w:t>Степень</w:t>
            </w:r>
            <w:r>
              <w:rPr>
                <w:spacing w:val="-12"/>
                <w:sz w:val="24"/>
                <w:szCs w:val="24"/>
              </w:rPr>
              <w:t xml:space="preserve"> </w:t>
            </w:r>
            <w:r>
              <w:rPr>
                <w:spacing w:val="-10"/>
                <w:sz w:val="24"/>
                <w:szCs w:val="24"/>
              </w:rPr>
              <w:t>C</w:t>
            </w:r>
          </w:p>
        </w:tc>
        <w:tc>
          <w:tcPr>
            <w:tcW w:w="2693" w:type="dxa"/>
            <w:tcBorders>
              <w:top w:val="nil"/>
              <w:bottom w:val="nil"/>
            </w:tcBorders>
          </w:tcPr>
          <w:p w14:paraId="784E9B3A">
            <w:pPr>
              <w:pStyle w:val="11"/>
              <w:spacing w:line="302" w:lineRule="exact"/>
              <w:ind w:left="12" w:right="6"/>
              <w:rPr>
                <w:sz w:val="24"/>
                <w:szCs w:val="24"/>
              </w:rPr>
            </w:pPr>
            <w:r>
              <w:rPr>
                <w:sz w:val="24"/>
                <w:szCs w:val="24"/>
              </w:rPr>
              <w:t>10</w:t>
            </w:r>
            <w:r>
              <w:rPr>
                <w:spacing w:val="-1"/>
                <w:sz w:val="24"/>
                <w:szCs w:val="24"/>
              </w:rPr>
              <w:t xml:space="preserve"> </w:t>
            </w:r>
            <w:r>
              <w:rPr>
                <w:spacing w:val="-2"/>
                <w:sz w:val="24"/>
                <w:szCs w:val="24"/>
              </w:rPr>
              <w:t>(5,4%)</w:t>
            </w:r>
          </w:p>
        </w:tc>
        <w:tc>
          <w:tcPr>
            <w:tcW w:w="3118" w:type="dxa"/>
            <w:tcBorders>
              <w:top w:val="nil"/>
              <w:bottom w:val="nil"/>
            </w:tcBorders>
          </w:tcPr>
          <w:p w14:paraId="7AA602E4">
            <w:pPr>
              <w:pStyle w:val="11"/>
              <w:spacing w:line="302" w:lineRule="exact"/>
              <w:ind w:left="5" w:right="5"/>
              <w:rPr>
                <w:sz w:val="24"/>
                <w:szCs w:val="24"/>
              </w:rPr>
            </w:pPr>
            <w:r>
              <w:rPr>
                <w:sz w:val="24"/>
                <w:szCs w:val="24"/>
              </w:rPr>
              <w:t xml:space="preserve">1 </w:t>
            </w:r>
            <w:r>
              <w:rPr>
                <w:spacing w:val="-2"/>
                <w:sz w:val="24"/>
                <w:szCs w:val="24"/>
              </w:rPr>
              <w:t>(0,8%)</w:t>
            </w:r>
          </w:p>
        </w:tc>
        <w:tc>
          <w:tcPr>
            <w:tcW w:w="1134" w:type="dxa"/>
            <w:tcBorders>
              <w:top w:val="nil"/>
              <w:bottom w:val="nil"/>
            </w:tcBorders>
          </w:tcPr>
          <w:p w14:paraId="4DC9EAB9">
            <w:pPr>
              <w:pStyle w:val="11"/>
              <w:spacing w:line="302" w:lineRule="exact"/>
              <w:ind w:left="272"/>
              <w:jc w:val="left"/>
              <w:rPr>
                <w:sz w:val="24"/>
                <w:szCs w:val="24"/>
              </w:rPr>
            </w:pPr>
            <w:r>
              <w:rPr>
                <w:spacing w:val="-4"/>
                <w:sz w:val="24"/>
                <w:szCs w:val="24"/>
              </w:rPr>
              <w:t xml:space="preserve"> 0,055</w:t>
            </w:r>
          </w:p>
        </w:tc>
      </w:tr>
      <w:tr w14:paraId="7E583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2836" w:type="dxa"/>
            <w:tcBorders>
              <w:top w:val="nil"/>
            </w:tcBorders>
          </w:tcPr>
          <w:p w14:paraId="3D5297B7">
            <w:pPr>
              <w:pStyle w:val="11"/>
              <w:spacing w:line="315" w:lineRule="exact"/>
              <w:ind w:left="643"/>
              <w:jc w:val="left"/>
              <w:rPr>
                <w:sz w:val="24"/>
                <w:szCs w:val="24"/>
              </w:rPr>
            </w:pPr>
            <w:r>
              <w:rPr>
                <w:sz w:val="24"/>
                <w:szCs w:val="24"/>
              </w:rPr>
              <w:t>КЗ-ПС</w:t>
            </w:r>
            <w:r>
              <w:rPr>
                <w:spacing w:val="-9"/>
                <w:sz w:val="24"/>
                <w:szCs w:val="24"/>
              </w:rPr>
              <w:t xml:space="preserve"> </w:t>
            </w:r>
            <w:r>
              <w:rPr>
                <w:spacing w:val="-5"/>
                <w:sz w:val="24"/>
                <w:szCs w:val="24"/>
              </w:rPr>
              <w:t>В/С</w:t>
            </w:r>
          </w:p>
        </w:tc>
        <w:tc>
          <w:tcPr>
            <w:tcW w:w="2693" w:type="dxa"/>
            <w:tcBorders>
              <w:top w:val="nil"/>
            </w:tcBorders>
          </w:tcPr>
          <w:p w14:paraId="24932E0F">
            <w:pPr>
              <w:pStyle w:val="11"/>
              <w:spacing w:line="315" w:lineRule="exact"/>
              <w:ind w:left="7" w:right="6"/>
              <w:rPr>
                <w:sz w:val="24"/>
                <w:szCs w:val="24"/>
              </w:rPr>
            </w:pPr>
            <w:r>
              <w:rPr>
                <w:sz w:val="24"/>
                <w:szCs w:val="24"/>
              </w:rPr>
              <w:t>44</w:t>
            </w:r>
            <w:r>
              <w:rPr>
                <w:spacing w:val="-2"/>
                <w:sz w:val="24"/>
                <w:szCs w:val="24"/>
              </w:rPr>
              <w:t xml:space="preserve"> (23,9%)</w:t>
            </w:r>
          </w:p>
        </w:tc>
        <w:tc>
          <w:tcPr>
            <w:tcW w:w="3118" w:type="dxa"/>
            <w:tcBorders>
              <w:top w:val="nil"/>
            </w:tcBorders>
          </w:tcPr>
          <w:p w14:paraId="3D5AC27A">
            <w:pPr>
              <w:pStyle w:val="11"/>
              <w:spacing w:line="315" w:lineRule="exact"/>
              <w:ind w:left="5" w:right="5"/>
              <w:rPr>
                <w:sz w:val="24"/>
                <w:szCs w:val="24"/>
              </w:rPr>
            </w:pPr>
            <w:r>
              <w:rPr>
                <w:sz w:val="24"/>
                <w:szCs w:val="24"/>
              </w:rPr>
              <w:t>37</w:t>
            </w:r>
            <w:r>
              <w:rPr>
                <w:spacing w:val="-1"/>
                <w:sz w:val="24"/>
                <w:szCs w:val="24"/>
              </w:rPr>
              <w:t xml:space="preserve"> </w:t>
            </w:r>
            <w:r>
              <w:rPr>
                <w:spacing w:val="-2"/>
                <w:sz w:val="24"/>
                <w:szCs w:val="24"/>
              </w:rPr>
              <w:t>(30,8%)</w:t>
            </w:r>
          </w:p>
        </w:tc>
        <w:tc>
          <w:tcPr>
            <w:tcW w:w="1134" w:type="dxa"/>
            <w:tcBorders>
              <w:top w:val="nil"/>
            </w:tcBorders>
          </w:tcPr>
          <w:p w14:paraId="5DE391AB">
            <w:pPr>
              <w:pStyle w:val="11"/>
              <w:spacing w:line="315" w:lineRule="exact"/>
              <w:ind w:right="196"/>
              <w:jc w:val="right"/>
              <w:rPr>
                <w:sz w:val="24"/>
                <w:szCs w:val="24"/>
                <w:vertAlign w:val="superscript"/>
              </w:rPr>
            </w:pPr>
            <w:r>
              <w:rPr>
                <w:spacing w:val="-2"/>
                <w:sz w:val="24"/>
                <w:szCs w:val="24"/>
              </w:rPr>
              <w:t>0,048</w:t>
            </w:r>
            <w:r>
              <w:rPr>
                <w:spacing w:val="-2"/>
                <w:sz w:val="24"/>
                <w:szCs w:val="24"/>
                <w:vertAlign w:val="superscript"/>
              </w:rPr>
              <w:t>*</w:t>
            </w:r>
          </w:p>
        </w:tc>
      </w:tr>
      <w:tr w14:paraId="472ED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2836" w:type="dxa"/>
          </w:tcPr>
          <w:p w14:paraId="18E98560">
            <w:pPr>
              <w:pStyle w:val="11"/>
              <w:spacing w:before="46" w:line="240" w:lineRule="auto"/>
              <w:ind w:left="432"/>
              <w:jc w:val="left"/>
              <w:rPr>
                <w:sz w:val="24"/>
                <w:szCs w:val="24"/>
              </w:rPr>
            </w:pPr>
            <w:r>
              <w:rPr>
                <w:spacing w:val="-2"/>
                <w:sz w:val="24"/>
                <w:szCs w:val="24"/>
              </w:rPr>
              <w:t>Кровотечение</w:t>
            </w:r>
          </w:p>
        </w:tc>
        <w:tc>
          <w:tcPr>
            <w:tcW w:w="2693" w:type="dxa"/>
          </w:tcPr>
          <w:p w14:paraId="51AE7416">
            <w:pPr>
              <w:pStyle w:val="11"/>
              <w:spacing w:before="46" w:line="240" w:lineRule="auto"/>
              <w:ind w:left="7" w:right="6"/>
              <w:rPr>
                <w:sz w:val="24"/>
                <w:szCs w:val="24"/>
              </w:rPr>
            </w:pPr>
            <w:r>
              <w:rPr>
                <w:sz w:val="24"/>
                <w:szCs w:val="24"/>
              </w:rPr>
              <w:t xml:space="preserve">9 </w:t>
            </w:r>
            <w:r>
              <w:rPr>
                <w:spacing w:val="-2"/>
                <w:sz w:val="24"/>
                <w:szCs w:val="24"/>
              </w:rPr>
              <w:t>(4,9%)</w:t>
            </w:r>
          </w:p>
        </w:tc>
        <w:tc>
          <w:tcPr>
            <w:tcW w:w="3118" w:type="dxa"/>
          </w:tcPr>
          <w:p w14:paraId="2CA86362">
            <w:pPr>
              <w:pStyle w:val="11"/>
              <w:spacing w:before="46" w:line="240" w:lineRule="auto"/>
              <w:ind w:left="5" w:right="5"/>
              <w:rPr>
                <w:sz w:val="24"/>
                <w:szCs w:val="24"/>
              </w:rPr>
            </w:pPr>
            <w:r>
              <w:rPr>
                <w:sz w:val="24"/>
                <w:szCs w:val="24"/>
              </w:rPr>
              <w:t xml:space="preserve">1 </w:t>
            </w:r>
            <w:r>
              <w:rPr>
                <w:spacing w:val="-2"/>
                <w:sz w:val="24"/>
                <w:szCs w:val="24"/>
              </w:rPr>
              <w:t>(0,8%)</w:t>
            </w:r>
          </w:p>
        </w:tc>
        <w:tc>
          <w:tcPr>
            <w:tcW w:w="1134" w:type="dxa"/>
          </w:tcPr>
          <w:p w14:paraId="52F975F3">
            <w:pPr>
              <w:pStyle w:val="11"/>
              <w:spacing w:before="46" w:line="240" w:lineRule="auto"/>
              <w:ind w:left="272"/>
              <w:jc w:val="left"/>
              <w:rPr>
                <w:sz w:val="24"/>
                <w:szCs w:val="24"/>
              </w:rPr>
            </w:pPr>
            <w:r>
              <w:rPr>
                <w:spacing w:val="-4"/>
                <w:sz w:val="24"/>
                <w:szCs w:val="24"/>
              </w:rPr>
              <w:t xml:space="preserve"> 0,095</w:t>
            </w:r>
          </w:p>
        </w:tc>
      </w:tr>
      <w:tr w14:paraId="75E84D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2836" w:type="dxa"/>
          </w:tcPr>
          <w:p w14:paraId="6A5AE9E7">
            <w:pPr>
              <w:pStyle w:val="11"/>
              <w:spacing w:before="26" w:line="240" w:lineRule="auto"/>
              <w:ind w:left="365"/>
              <w:jc w:val="left"/>
              <w:rPr>
                <w:sz w:val="24"/>
                <w:szCs w:val="24"/>
              </w:rPr>
            </w:pPr>
            <w:r>
              <w:rPr>
                <w:spacing w:val="-2"/>
                <w:sz w:val="24"/>
                <w:szCs w:val="24"/>
              </w:rPr>
              <w:t>Релапаротомия</w:t>
            </w:r>
          </w:p>
        </w:tc>
        <w:tc>
          <w:tcPr>
            <w:tcW w:w="2693" w:type="dxa"/>
          </w:tcPr>
          <w:p w14:paraId="3CCC296C">
            <w:pPr>
              <w:pStyle w:val="11"/>
              <w:spacing w:before="26" w:line="240" w:lineRule="auto"/>
              <w:ind w:left="12" w:right="6"/>
              <w:rPr>
                <w:sz w:val="24"/>
                <w:szCs w:val="24"/>
              </w:rPr>
            </w:pPr>
            <w:r>
              <w:rPr>
                <w:sz w:val="24"/>
                <w:szCs w:val="24"/>
              </w:rPr>
              <w:t>11</w:t>
            </w:r>
            <w:r>
              <w:rPr>
                <w:spacing w:val="-1"/>
                <w:sz w:val="24"/>
                <w:szCs w:val="24"/>
              </w:rPr>
              <w:t xml:space="preserve"> </w:t>
            </w:r>
            <w:r>
              <w:rPr>
                <w:spacing w:val="-2"/>
                <w:sz w:val="24"/>
                <w:szCs w:val="24"/>
              </w:rPr>
              <w:t>(6,1%)</w:t>
            </w:r>
          </w:p>
        </w:tc>
        <w:tc>
          <w:tcPr>
            <w:tcW w:w="3118" w:type="dxa"/>
          </w:tcPr>
          <w:p w14:paraId="7F5DDA4A">
            <w:pPr>
              <w:pStyle w:val="11"/>
              <w:spacing w:before="26" w:line="240" w:lineRule="auto"/>
              <w:ind w:left="5" w:right="5"/>
              <w:rPr>
                <w:sz w:val="24"/>
                <w:szCs w:val="24"/>
              </w:rPr>
            </w:pPr>
            <w:r>
              <w:rPr>
                <w:sz w:val="24"/>
                <w:szCs w:val="24"/>
              </w:rPr>
              <w:t xml:space="preserve">1 </w:t>
            </w:r>
            <w:r>
              <w:rPr>
                <w:spacing w:val="-2"/>
                <w:sz w:val="24"/>
                <w:szCs w:val="24"/>
              </w:rPr>
              <w:t>(0,8%)</w:t>
            </w:r>
          </w:p>
        </w:tc>
        <w:tc>
          <w:tcPr>
            <w:tcW w:w="1134" w:type="dxa"/>
          </w:tcPr>
          <w:p w14:paraId="4E8C42B7">
            <w:pPr>
              <w:pStyle w:val="11"/>
              <w:spacing w:before="26" w:line="240" w:lineRule="auto"/>
              <w:ind w:right="196"/>
              <w:jc w:val="right"/>
              <w:rPr>
                <w:sz w:val="24"/>
                <w:szCs w:val="24"/>
                <w:vertAlign w:val="superscript"/>
              </w:rPr>
            </w:pPr>
            <w:r>
              <w:rPr>
                <w:spacing w:val="-2"/>
                <w:sz w:val="24"/>
                <w:szCs w:val="24"/>
              </w:rPr>
              <w:t>0,032</w:t>
            </w:r>
            <w:r>
              <w:rPr>
                <w:spacing w:val="-2"/>
                <w:sz w:val="24"/>
                <w:szCs w:val="24"/>
                <w:vertAlign w:val="superscript"/>
              </w:rPr>
              <w:t>*</w:t>
            </w:r>
          </w:p>
        </w:tc>
      </w:tr>
      <w:tr w14:paraId="7B1DD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2836" w:type="dxa"/>
          </w:tcPr>
          <w:p w14:paraId="6BFDC42E">
            <w:pPr>
              <w:pStyle w:val="11"/>
              <w:spacing w:before="26" w:line="240" w:lineRule="auto"/>
              <w:ind w:left="624"/>
              <w:jc w:val="left"/>
              <w:rPr>
                <w:sz w:val="24"/>
                <w:szCs w:val="24"/>
              </w:rPr>
            </w:pPr>
            <w:r>
              <w:rPr>
                <w:spacing w:val="-2"/>
                <w:sz w:val="24"/>
                <w:szCs w:val="24"/>
              </w:rPr>
              <w:t>Гастростаз</w:t>
            </w:r>
          </w:p>
        </w:tc>
        <w:tc>
          <w:tcPr>
            <w:tcW w:w="2693" w:type="dxa"/>
          </w:tcPr>
          <w:p w14:paraId="015C0BBB">
            <w:pPr>
              <w:pStyle w:val="11"/>
              <w:spacing w:before="26" w:line="240" w:lineRule="auto"/>
              <w:ind w:left="7" w:right="6"/>
              <w:rPr>
                <w:sz w:val="24"/>
                <w:szCs w:val="24"/>
              </w:rPr>
            </w:pPr>
            <w:r>
              <w:rPr>
                <w:sz w:val="24"/>
                <w:szCs w:val="24"/>
              </w:rPr>
              <w:t xml:space="preserve">7 </w:t>
            </w:r>
            <w:r>
              <w:rPr>
                <w:spacing w:val="-2"/>
                <w:sz w:val="24"/>
                <w:szCs w:val="24"/>
              </w:rPr>
              <w:t>(3,8%)</w:t>
            </w:r>
          </w:p>
        </w:tc>
        <w:tc>
          <w:tcPr>
            <w:tcW w:w="3118" w:type="dxa"/>
          </w:tcPr>
          <w:p w14:paraId="433AB184">
            <w:pPr>
              <w:pStyle w:val="11"/>
              <w:spacing w:before="26" w:line="240" w:lineRule="auto"/>
              <w:ind w:left="5" w:right="5"/>
              <w:rPr>
                <w:sz w:val="24"/>
                <w:szCs w:val="24"/>
              </w:rPr>
            </w:pPr>
            <w:r>
              <w:rPr>
                <w:sz w:val="24"/>
                <w:szCs w:val="24"/>
              </w:rPr>
              <w:t>12</w:t>
            </w:r>
            <w:r>
              <w:rPr>
                <w:spacing w:val="-1"/>
                <w:sz w:val="24"/>
                <w:szCs w:val="24"/>
              </w:rPr>
              <w:t xml:space="preserve"> </w:t>
            </w:r>
            <w:r>
              <w:rPr>
                <w:spacing w:val="-2"/>
                <w:sz w:val="24"/>
                <w:szCs w:val="24"/>
              </w:rPr>
              <w:t>(10,0%)</w:t>
            </w:r>
          </w:p>
        </w:tc>
        <w:tc>
          <w:tcPr>
            <w:tcW w:w="1134" w:type="dxa"/>
          </w:tcPr>
          <w:p w14:paraId="3DB8F1B7">
            <w:pPr>
              <w:pStyle w:val="11"/>
              <w:spacing w:before="26" w:line="240" w:lineRule="auto"/>
              <w:ind w:right="196"/>
              <w:jc w:val="right"/>
              <w:rPr>
                <w:sz w:val="24"/>
                <w:szCs w:val="24"/>
                <w:vertAlign w:val="superscript"/>
              </w:rPr>
            </w:pPr>
            <w:r>
              <w:rPr>
                <w:spacing w:val="-2"/>
                <w:sz w:val="24"/>
                <w:szCs w:val="24"/>
              </w:rPr>
              <w:t>0,050</w:t>
            </w:r>
            <w:r>
              <w:rPr>
                <w:spacing w:val="-2"/>
                <w:sz w:val="24"/>
                <w:szCs w:val="24"/>
                <w:vertAlign w:val="superscript"/>
              </w:rPr>
              <w:t>*</w:t>
            </w:r>
          </w:p>
        </w:tc>
      </w:tr>
      <w:tr w14:paraId="50F1D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2836" w:type="dxa"/>
          </w:tcPr>
          <w:p w14:paraId="433AD736">
            <w:pPr>
              <w:pStyle w:val="11"/>
              <w:spacing w:before="40" w:line="240" w:lineRule="auto"/>
              <w:ind w:left="249"/>
              <w:jc w:val="left"/>
              <w:rPr>
                <w:sz w:val="24"/>
                <w:szCs w:val="24"/>
              </w:rPr>
            </w:pPr>
            <w:r>
              <w:rPr>
                <w:sz w:val="24"/>
                <w:szCs w:val="24"/>
              </w:rPr>
              <w:t>Билиарный</w:t>
            </w:r>
            <w:r>
              <w:rPr>
                <w:spacing w:val="-11"/>
                <w:sz w:val="24"/>
                <w:szCs w:val="24"/>
              </w:rPr>
              <w:t xml:space="preserve"> </w:t>
            </w:r>
            <w:r>
              <w:rPr>
                <w:spacing w:val="-4"/>
                <w:sz w:val="24"/>
                <w:szCs w:val="24"/>
              </w:rPr>
              <w:t>свищ</w:t>
            </w:r>
          </w:p>
        </w:tc>
        <w:tc>
          <w:tcPr>
            <w:tcW w:w="2693" w:type="dxa"/>
          </w:tcPr>
          <w:p w14:paraId="435EFED2">
            <w:pPr>
              <w:pStyle w:val="11"/>
              <w:spacing w:before="40" w:line="240" w:lineRule="auto"/>
              <w:ind w:left="7" w:right="6"/>
              <w:rPr>
                <w:sz w:val="24"/>
                <w:szCs w:val="24"/>
              </w:rPr>
            </w:pPr>
            <w:r>
              <w:rPr>
                <w:sz w:val="24"/>
                <w:szCs w:val="24"/>
              </w:rPr>
              <w:t xml:space="preserve">3 </w:t>
            </w:r>
            <w:r>
              <w:rPr>
                <w:spacing w:val="-2"/>
                <w:sz w:val="24"/>
                <w:szCs w:val="24"/>
              </w:rPr>
              <w:t>(1,6%)</w:t>
            </w:r>
          </w:p>
        </w:tc>
        <w:tc>
          <w:tcPr>
            <w:tcW w:w="3118" w:type="dxa"/>
          </w:tcPr>
          <w:p w14:paraId="2E628DB7">
            <w:pPr>
              <w:pStyle w:val="11"/>
              <w:spacing w:before="40" w:line="240" w:lineRule="auto"/>
              <w:ind w:left="5" w:right="5"/>
              <w:rPr>
                <w:sz w:val="24"/>
                <w:szCs w:val="24"/>
              </w:rPr>
            </w:pPr>
            <w:r>
              <w:rPr>
                <w:sz w:val="24"/>
                <w:szCs w:val="24"/>
              </w:rPr>
              <w:t xml:space="preserve">3 </w:t>
            </w:r>
            <w:r>
              <w:rPr>
                <w:spacing w:val="-2"/>
                <w:sz w:val="24"/>
                <w:szCs w:val="24"/>
              </w:rPr>
              <w:t>(2,5%)</w:t>
            </w:r>
          </w:p>
        </w:tc>
        <w:tc>
          <w:tcPr>
            <w:tcW w:w="1134" w:type="dxa"/>
          </w:tcPr>
          <w:p w14:paraId="15E36DA4">
            <w:pPr>
              <w:pStyle w:val="11"/>
              <w:spacing w:before="40" w:line="240" w:lineRule="auto"/>
              <w:ind w:left="272"/>
              <w:jc w:val="left"/>
              <w:rPr>
                <w:sz w:val="24"/>
                <w:szCs w:val="24"/>
              </w:rPr>
            </w:pPr>
            <w:r>
              <w:rPr>
                <w:spacing w:val="-4"/>
                <w:sz w:val="24"/>
                <w:szCs w:val="24"/>
              </w:rPr>
              <w:t xml:space="preserve"> 0,684</w:t>
            </w:r>
          </w:p>
        </w:tc>
      </w:tr>
      <w:tr w14:paraId="2CF5F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2836" w:type="dxa"/>
          </w:tcPr>
          <w:p w14:paraId="69B7700F">
            <w:pPr>
              <w:pStyle w:val="11"/>
              <w:spacing w:before="41" w:line="240" w:lineRule="auto"/>
              <w:ind w:left="523"/>
              <w:jc w:val="left"/>
              <w:rPr>
                <w:sz w:val="24"/>
                <w:szCs w:val="24"/>
              </w:rPr>
            </w:pPr>
            <w:r>
              <w:rPr>
                <w:spacing w:val="-2"/>
                <w:sz w:val="24"/>
                <w:szCs w:val="24"/>
              </w:rPr>
              <w:t>Летальность</w:t>
            </w:r>
          </w:p>
        </w:tc>
        <w:tc>
          <w:tcPr>
            <w:tcW w:w="2693" w:type="dxa"/>
          </w:tcPr>
          <w:p w14:paraId="3D52D859">
            <w:pPr>
              <w:pStyle w:val="11"/>
              <w:spacing w:before="41" w:line="240" w:lineRule="auto"/>
              <w:ind w:left="12" w:right="6"/>
              <w:rPr>
                <w:sz w:val="24"/>
                <w:szCs w:val="24"/>
              </w:rPr>
            </w:pPr>
            <w:r>
              <w:rPr>
                <w:sz w:val="24"/>
                <w:szCs w:val="24"/>
              </w:rPr>
              <w:t>14</w:t>
            </w:r>
            <w:r>
              <w:rPr>
                <w:spacing w:val="-1"/>
                <w:sz w:val="24"/>
                <w:szCs w:val="24"/>
              </w:rPr>
              <w:t xml:space="preserve"> </w:t>
            </w:r>
            <w:r>
              <w:rPr>
                <w:spacing w:val="-2"/>
                <w:sz w:val="24"/>
                <w:szCs w:val="24"/>
              </w:rPr>
              <w:t>(7,6%)</w:t>
            </w:r>
          </w:p>
        </w:tc>
        <w:tc>
          <w:tcPr>
            <w:tcW w:w="3118" w:type="dxa"/>
          </w:tcPr>
          <w:p w14:paraId="2E42B390">
            <w:pPr>
              <w:pStyle w:val="11"/>
              <w:spacing w:before="41" w:line="240" w:lineRule="auto"/>
              <w:ind w:left="5" w:right="5"/>
              <w:rPr>
                <w:sz w:val="24"/>
                <w:szCs w:val="24"/>
              </w:rPr>
            </w:pPr>
            <w:r>
              <w:rPr>
                <w:sz w:val="24"/>
                <w:szCs w:val="24"/>
              </w:rPr>
              <w:t xml:space="preserve">1 </w:t>
            </w:r>
            <w:r>
              <w:rPr>
                <w:spacing w:val="-2"/>
                <w:sz w:val="24"/>
                <w:szCs w:val="24"/>
              </w:rPr>
              <w:t>(0,8%)</w:t>
            </w:r>
          </w:p>
        </w:tc>
        <w:tc>
          <w:tcPr>
            <w:tcW w:w="1134" w:type="dxa"/>
          </w:tcPr>
          <w:p w14:paraId="4FEF5DFF">
            <w:pPr>
              <w:pStyle w:val="11"/>
              <w:spacing w:before="41" w:line="240" w:lineRule="auto"/>
              <w:ind w:right="129"/>
              <w:jc w:val="right"/>
              <w:rPr>
                <w:sz w:val="24"/>
                <w:szCs w:val="24"/>
                <w:vertAlign w:val="superscript"/>
              </w:rPr>
            </w:pPr>
            <w:r>
              <w:rPr>
                <w:spacing w:val="-2"/>
                <w:sz w:val="24"/>
                <w:szCs w:val="24"/>
              </w:rPr>
              <w:t>0,006</w:t>
            </w:r>
            <w:r>
              <w:rPr>
                <w:spacing w:val="-2"/>
                <w:sz w:val="24"/>
                <w:szCs w:val="24"/>
                <w:vertAlign w:val="superscript"/>
              </w:rPr>
              <w:t>**</w:t>
            </w:r>
          </w:p>
        </w:tc>
      </w:tr>
      <w:tr w14:paraId="1B31A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781" w:type="dxa"/>
            <w:gridSpan w:val="4"/>
          </w:tcPr>
          <w:p w14:paraId="61692EB5">
            <w:pPr>
              <w:pStyle w:val="11"/>
              <w:spacing w:line="237" w:lineRule="auto"/>
              <w:ind w:left="110" w:right="144" w:firstLine="604"/>
              <w:jc w:val="both"/>
              <w:rPr>
                <w:sz w:val="24"/>
              </w:rPr>
            </w:pPr>
            <w:r>
              <w:rPr>
                <w:sz w:val="24"/>
              </w:rPr>
              <w:t>Примечание: Для</w:t>
            </w:r>
            <w:r>
              <w:rPr>
                <w:spacing w:val="-4"/>
                <w:sz w:val="24"/>
              </w:rPr>
              <w:t xml:space="preserve"> </w:t>
            </w:r>
            <w:r>
              <w:rPr>
                <w:sz w:val="24"/>
              </w:rPr>
              <w:t>сравнения</w:t>
            </w:r>
            <w:r>
              <w:rPr>
                <w:spacing w:val="-8"/>
                <w:sz w:val="24"/>
              </w:rPr>
              <w:t xml:space="preserve"> </w:t>
            </w:r>
            <w:r>
              <w:rPr>
                <w:sz w:val="24"/>
              </w:rPr>
              <w:t>частоты</w:t>
            </w:r>
            <w:r>
              <w:rPr>
                <w:spacing w:val="-6"/>
                <w:sz w:val="24"/>
              </w:rPr>
              <w:t xml:space="preserve"> </w:t>
            </w:r>
            <w:r>
              <w:rPr>
                <w:sz w:val="24"/>
              </w:rPr>
              <w:t>осложнений</w:t>
            </w:r>
            <w:r>
              <w:rPr>
                <w:spacing w:val="-7"/>
                <w:sz w:val="24"/>
              </w:rPr>
              <w:t xml:space="preserve"> </w:t>
            </w:r>
            <w:r>
              <w:rPr>
                <w:sz w:val="24"/>
              </w:rPr>
              <w:t>между</w:t>
            </w:r>
            <w:r>
              <w:rPr>
                <w:spacing w:val="-12"/>
                <w:sz w:val="24"/>
              </w:rPr>
              <w:t xml:space="preserve"> </w:t>
            </w:r>
            <w:r>
              <w:rPr>
                <w:sz w:val="24"/>
              </w:rPr>
              <w:t>группами</w:t>
            </w:r>
            <w:r>
              <w:rPr>
                <w:spacing w:val="-7"/>
                <w:sz w:val="24"/>
              </w:rPr>
              <w:t xml:space="preserve"> </w:t>
            </w:r>
            <w:r>
              <w:rPr>
                <w:sz w:val="24"/>
              </w:rPr>
              <w:t>использован</w:t>
            </w:r>
            <w:r>
              <w:rPr>
                <w:spacing w:val="-2"/>
                <w:sz w:val="24"/>
              </w:rPr>
              <w:t xml:space="preserve"> </w:t>
            </w:r>
            <w:r>
              <w:rPr>
                <w:sz w:val="24"/>
              </w:rPr>
              <w:t>критерий</w:t>
            </w:r>
            <w:r>
              <w:rPr>
                <w:spacing w:val="-2"/>
                <w:sz w:val="24"/>
              </w:rPr>
              <w:t xml:space="preserve"> </w:t>
            </w:r>
            <w:r>
              <w:rPr>
                <w:sz w:val="24"/>
              </w:rPr>
              <w:t>χ²</w:t>
            </w:r>
            <w:r>
              <w:rPr>
                <w:spacing w:val="-3"/>
                <w:sz w:val="24"/>
              </w:rPr>
              <w:t xml:space="preserve"> </w:t>
            </w:r>
            <w:r>
              <w:rPr>
                <w:sz w:val="24"/>
              </w:rPr>
              <w:t>Пирсона, при ожидаемых частотах &lt;5 — точный критерий Фишера.</w:t>
            </w:r>
            <w:r>
              <w:rPr>
                <w:sz w:val="24"/>
                <w:lang w:val="kk-KZ"/>
              </w:rPr>
              <w:t xml:space="preserve"> </w:t>
            </w:r>
            <w:r>
              <w:rPr>
                <w:sz w:val="24"/>
              </w:rPr>
              <w:t>Уровни</w:t>
            </w:r>
            <w:r>
              <w:rPr>
                <w:spacing w:val="1"/>
                <w:sz w:val="24"/>
              </w:rPr>
              <w:t xml:space="preserve"> </w:t>
            </w:r>
            <w:r>
              <w:rPr>
                <w:sz w:val="24"/>
              </w:rPr>
              <w:t>статистической</w:t>
            </w:r>
            <w:r>
              <w:rPr>
                <w:spacing w:val="-3"/>
                <w:sz w:val="24"/>
              </w:rPr>
              <w:t xml:space="preserve"> </w:t>
            </w:r>
            <w:r>
              <w:rPr>
                <w:sz w:val="24"/>
              </w:rPr>
              <w:t>значимости:</w:t>
            </w:r>
            <w:r>
              <w:rPr>
                <w:spacing w:val="-4"/>
                <w:sz w:val="24"/>
              </w:rPr>
              <w:t xml:space="preserve"> </w:t>
            </w:r>
            <w:r>
              <w:rPr>
                <w:sz w:val="24"/>
              </w:rPr>
              <w:t>*</w:t>
            </w:r>
            <w:r>
              <w:rPr>
                <w:spacing w:val="6"/>
                <w:sz w:val="24"/>
              </w:rPr>
              <w:t xml:space="preserve"> </w:t>
            </w:r>
            <w:r>
              <w:rPr>
                <w:sz w:val="24"/>
              </w:rPr>
              <w:t>—</w:t>
            </w:r>
            <w:r>
              <w:rPr>
                <w:spacing w:val="-4"/>
                <w:sz w:val="24"/>
              </w:rPr>
              <w:t xml:space="preserve"> </w:t>
            </w:r>
            <w:r>
              <w:rPr>
                <w:sz w:val="24"/>
              </w:rPr>
              <w:t>p &lt;</w:t>
            </w:r>
            <w:r>
              <w:rPr>
                <w:spacing w:val="-5"/>
                <w:sz w:val="24"/>
              </w:rPr>
              <w:t xml:space="preserve"> </w:t>
            </w:r>
            <w:r>
              <w:rPr>
                <w:sz w:val="24"/>
              </w:rPr>
              <w:t>0,05;</w:t>
            </w:r>
            <w:r>
              <w:rPr>
                <w:spacing w:val="-4"/>
                <w:sz w:val="24"/>
              </w:rPr>
              <w:t xml:space="preserve"> </w:t>
            </w:r>
            <w:r>
              <w:rPr>
                <w:sz w:val="24"/>
              </w:rPr>
              <w:t>**</w:t>
            </w:r>
            <w:r>
              <w:rPr>
                <w:spacing w:val="2"/>
                <w:sz w:val="24"/>
              </w:rPr>
              <w:t xml:space="preserve"> </w:t>
            </w:r>
            <w:r>
              <w:rPr>
                <w:sz w:val="24"/>
              </w:rPr>
              <w:t>—</w:t>
            </w:r>
            <w:r>
              <w:rPr>
                <w:spacing w:val="1"/>
                <w:sz w:val="24"/>
              </w:rPr>
              <w:t xml:space="preserve"> </w:t>
            </w:r>
            <w:r>
              <w:rPr>
                <w:sz w:val="24"/>
              </w:rPr>
              <w:t>p</w:t>
            </w:r>
            <w:r>
              <w:rPr>
                <w:spacing w:val="1"/>
                <w:sz w:val="24"/>
              </w:rPr>
              <w:t xml:space="preserve"> </w:t>
            </w:r>
            <w:r>
              <w:rPr>
                <w:sz w:val="24"/>
              </w:rPr>
              <w:t>&lt;</w:t>
            </w:r>
            <w:r>
              <w:rPr>
                <w:spacing w:val="-1"/>
                <w:sz w:val="24"/>
              </w:rPr>
              <w:t xml:space="preserve"> </w:t>
            </w:r>
            <w:r>
              <w:rPr>
                <w:sz w:val="24"/>
              </w:rPr>
              <w:t>0,01;</w:t>
            </w:r>
            <w:r>
              <w:rPr>
                <w:spacing w:val="-4"/>
                <w:sz w:val="24"/>
              </w:rPr>
              <w:t xml:space="preserve"> </w:t>
            </w:r>
            <w:r>
              <w:rPr>
                <w:sz w:val="24"/>
              </w:rPr>
              <w:t>***</w:t>
            </w:r>
            <w:r>
              <w:rPr>
                <w:spacing w:val="3"/>
                <w:sz w:val="24"/>
              </w:rPr>
              <w:t xml:space="preserve"> </w:t>
            </w:r>
            <w:r>
              <w:rPr>
                <w:sz w:val="24"/>
              </w:rPr>
              <w:t>—</w:t>
            </w:r>
            <w:r>
              <w:rPr>
                <w:spacing w:val="-4"/>
                <w:sz w:val="24"/>
              </w:rPr>
              <w:t xml:space="preserve"> </w:t>
            </w:r>
            <w:r>
              <w:rPr>
                <w:sz w:val="24"/>
              </w:rPr>
              <w:t>p</w:t>
            </w:r>
            <w:r>
              <w:rPr>
                <w:spacing w:val="1"/>
                <w:sz w:val="24"/>
              </w:rPr>
              <w:t xml:space="preserve"> </w:t>
            </w:r>
            <w:r>
              <w:rPr>
                <w:sz w:val="24"/>
              </w:rPr>
              <w:t xml:space="preserve">&lt; </w:t>
            </w:r>
            <w:r>
              <w:rPr>
                <w:spacing w:val="-2"/>
                <w:sz w:val="24"/>
              </w:rPr>
              <w:t>0,001.</w:t>
            </w:r>
          </w:p>
        </w:tc>
      </w:tr>
    </w:tbl>
    <w:p w14:paraId="5C2A2BE4">
      <w:pPr>
        <w:pStyle w:val="7"/>
        <w:spacing w:before="10"/>
        <w:ind w:left="0" w:firstLine="0"/>
        <w:jc w:val="left"/>
      </w:pPr>
    </w:p>
    <w:p w14:paraId="58E2A337">
      <w:pPr>
        <w:pStyle w:val="7"/>
        <w:spacing w:before="1"/>
        <w:ind w:left="0" w:right="3" w:firstLine="709"/>
      </w:pPr>
      <w:r>
        <w:t>В таблице 23 представлена сравнительная характеристика послеоперационных осложнений у пациентов после ГПДР в зависимости от применения метода двойного дренирования зоны ПЕА. Сравнивались два временных</w:t>
      </w:r>
      <w:r>
        <w:rPr>
          <w:spacing w:val="-12"/>
        </w:rPr>
        <w:t xml:space="preserve"> </w:t>
      </w:r>
      <w:r>
        <w:t>периода:</w:t>
      </w:r>
      <w:r>
        <w:rPr>
          <w:spacing w:val="-13"/>
        </w:rPr>
        <w:t xml:space="preserve"> </w:t>
      </w:r>
      <w:r>
        <w:t>2019–2022</w:t>
      </w:r>
      <w:r>
        <w:rPr>
          <w:spacing w:val="-7"/>
        </w:rPr>
        <w:t xml:space="preserve"> </w:t>
      </w:r>
      <w:r>
        <w:t>гг.</w:t>
      </w:r>
      <w:r>
        <w:rPr>
          <w:spacing w:val="-5"/>
        </w:rPr>
        <w:t xml:space="preserve"> </w:t>
      </w:r>
      <w:r>
        <w:t>(без</w:t>
      </w:r>
      <w:r>
        <w:rPr>
          <w:spacing w:val="-7"/>
        </w:rPr>
        <w:t xml:space="preserve"> </w:t>
      </w:r>
      <w:r>
        <w:t>двойного</w:t>
      </w:r>
      <w:r>
        <w:rPr>
          <w:spacing w:val="-7"/>
        </w:rPr>
        <w:t xml:space="preserve"> </w:t>
      </w:r>
      <w:r>
        <w:t>дренирования, n</w:t>
      </w:r>
      <w:r>
        <w:rPr>
          <w:spacing w:val="-12"/>
        </w:rPr>
        <w:t xml:space="preserve"> </w:t>
      </w:r>
      <w:r>
        <w:t>=</w:t>
      </w:r>
      <w:r>
        <w:rPr>
          <w:spacing w:val="-6"/>
        </w:rPr>
        <w:t xml:space="preserve"> </w:t>
      </w:r>
      <w:r>
        <w:t>183)</w:t>
      </w:r>
      <w:r>
        <w:rPr>
          <w:spacing w:val="-9"/>
        </w:rPr>
        <w:t xml:space="preserve"> </w:t>
      </w:r>
      <w:r>
        <w:t>и</w:t>
      </w:r>
      <w:r>
        <w:rPr>
          <w:spacing w:val="-7"/>
        </w:rPr>
        <w:t xml:space="preserve"> </w:t>
      </w:r>
      <w:r>
        <w:t>2023– 2025 гг. (с двойным дренированием, n = 120).</w:t>
      </w:r>
    </w:p>
    <w:p w14:paraId="099C6993">
      <w:pPr>
        <w:pStyle w:val="7"/>
        <w:spacing w:before="3"/>
        <w:ind w:left="0" w:right="3" w:firstLine="709"/>
      </w:pPr>
      <w:r>
        <w:t>Анализ частоты ПС показал отсутствие статистически значимых различий по</w:t>
      </w:r>
      <w:r>
        <w:rPr>
          <w:spacing w:val="-4"/>
        </w:rPr>
        <w:t xml:space="preserve"> </w:t>
      </w:r>
      <w:r>
        <w:t>частоте</w:t>
      </w:r>
      <w:r>
        <w:rPr>
          <w:spacing w:val="-3"/>
        </w:rPr>
        <w:t xml:space="preserve"> </w:t>
      </w:r>
      <w:r>
        <w:t>свищей</w:t>
      </w:r>
      <w:r>
        <w:rPr>
          <w:spacing w:val="-4"/>
        </w:rPr>
        <w:t xml:space="preserve"> </w:t>
      </w:r>
      <w:r>
        <w:t>степени</w:t>
      </w:r>
      <w:r>
        <w:rPr>
          <w:spacing w:val="-4"/>
        </w:rPr>
        <w:t xml:space="preserve"> </w:t>
      </w:r>
      <w:r>
        <w:t>A</w:t>
      </w:r>
      <w:r>
        <w:rPr>
          <w:spacing w:val="-8"/>
        </w:rPr>
        <w:t xml:space="preserve"> </w:t>
      </w:r>
      <w:r>
        <w:t>между</w:t>
      </w:r>
      <w:r>
        <w:rPr>
          <w:spacing w:val="-8"/>
        </w:rPr>
        <w:t xml:space="preserve"> </w:t>
      </w:r>
      <w:r>
        <w:t>группами</w:t>
      </w:r>
      <w:r>
        <w:rPr>
          <w:spacing w:val="-4"/>
        </w:rPr>
        <w:t xml:space="preserve"> </w:t>
      </w:r>
      <w:r>
        <w:t>(13,1%</w:t>
      </w:r>
      <w:r>
        <w:rPr>
          <w:spacing w:val="-5"/>
        </w:rPr>
        <w:t xml:space="preserve"> </w:t>
      </w:r>
      <w:r>
        <w:t>против</w:t>
      </w:r>
      <w:r>
        <w:rPr>
          <w:spacing w:val="-5"/>
        </w:rPr>
        <w:t xml:space="preserve"> </w:t>
      </w:r>
      <w:r>
        <w:t>8,4%;</w:t>
      </w:r>
      <w:r>
        <w:rPr>
          <w:spacing w:val="-4"/>
        </w:rPr>
        <w:t xml:space="preserve"> </w:t>
      </w:r>
      <w:r>
        <w:t>p</w:t>
      </w:r>
      <w:r>
        <w:rPr>
          <w:spacing w:val="-4"/>
        </w:rPr>
        <w:t xml:space="preserve"> </w:t>
      </w:r>
      <w:r>
        <w:t>=</w:t>
      </w:r>
      <w:r>
        <w:rPr>
          <w:spacing w:val="-3"/>
        </w:rPr>
        <w:t xml:space="preserve"> </w:t>
      </w:r>
      <w:r>
        <w:t>0,264).</w:t>
      </w:r>
      <w:r>
        <w:rPr>
          <w:spacing w:val="-1"/>
        </w:rPr>
        <w:t xml:space="preserve"> </w:t>
      </w:r>
      <w:r>
        <w:t>В то</w:t>
      </w:r>
      <w:r>
        <w:rPr>
          <w:spacing w:val="-4"/>
        </w:rPr>
        <w:t xml:space="preserve"> </w:t>
      </w:r>
      <w:r>
        <w:t>же</w:t>
      </w:r>
      <w:r>
        <w:rPr>
          <w:spacing w:val="-3"/>
        </w:rPr>
        <w:t xml:space="preserve"> </w:t>
      </w:r>
      <w:r>
        <w:t>время</w:t>
      </w:r>
      <w:r>
        <w:rPr>
          <w:spacing w:val="-2"/>
        </w:rPr>
        <w:t xml:space="preserve"> </w:t>
      </w:r>
      <w:r>
        <w:t>частота</w:t>
      </w:r>
      <w:r>
        <w:rPr>
          <w:spacing w:val="-3"/>
        </w:rPr>
        <w:t xml:space="preserve"> </w:t>
      </w:r>
      <w:r>
        <w:t>ПС</w:t>
      </w:r>
      <w:r>
        <w:rPr>
          <w:spacing w:val="-3"/>
        </w:rPr>
        <w:t xml:space="preserve"> </w:t>
      </w:r>
      <w:r>
        <w:t>степени B</w:t>
      </w:r>
      <w:r>
        <w:rPr>
          <w:spacing w:val="-7"/>
        </w:rPr>
        <w:t xml:space="preserve"> </w:t>
      </w:r>
      <w:r>
        <w:t>была</w:t>
      </w:r>
      <w:r>
        <w:rPr>
          <w:spacing w:val="-7"/>
        </w:rPr>
        <w:t xml:space="preserve"> </w:t>
      </w:r>
      <w:r>
        <w:t>статистически</w:t>
      </w:r>
      <w:r>
        <w:rPr>
          <w:spacing w:val="-4"/>
        </w:rPr>
        <w:t xml:space="preserve"> </w:t>
      </w:r>
      <w:r>
        <w:t>значимо</w:t>
      </w:r>
      <w:r>
        <w:rPr>
          <w:spacing w:val="-4"/>
        </w:rPr>
        <w:t xml:space="preserve"> </w:t>
      </w:r>
      <w:r>
        <w:t>выше</w:t>
      </w:r>
      <w:r>
        <w:rPr>
          <w:spacing w:val="-3"/>
        </w:rPr>
        <w:t xml:space="preserve"> </w:t>
      </w:r>
      <w:r>
        <w:t>в</w:t>
      </w:r>
      <w:r>
        <w:rPr>
          <w:spacing w:val="-5"/>
        </w:rPr>
        <w:t xml:space="preserve"> </w:t>
      </w:r>
      <w:r>
        <w:t>группе</w:t>
      </w:r>
      <w:r>
        <w:rPr>
          <w:spacing w:val="-3"/>
        </w:rPr>
        <w:t xml:space="preserve"> </w:t>
      </w:r>
      <w:r>
        <w:t>с двойным дренированием (30,0% против 18,5%; p = 0,026). Частота наиболее тяжелых</w:t>
      </w:r>
      <w:r>
        <w:rPr>
          <w:spacing w:val="-18"/>
        </w:rPr>
        <w:t xml:space="preserve"> </w:t>
      </w:r>
      <w:r>
        <w:t>форм</w:t>
      </w:r>
      <w:r>
        <w:rPr>
          <w:spacing w:val="-13"/>
        </w:rPr>
        <w:t xml:space="preserve"> </w:t>
      </w:r>
      <w:r>
        <w:t>свищей</w:t>
      </w:r>
      <w:r>
        <w:rPr>
          <w:spacing w:val="-14"/>
        </w:rPr>
        <w:t xml:space="preserve"> </w:t>
      </w:r>
      <w:r>
        <w:t>степени</w:t>
      </w:r>
      <w:r>
        <w:rPr>
          <w:spacing w:val="-14"/>
        </w:rPr>
        <w:t xml:space="preserve"> </w:t>
      </w:r>
      <w:r>
        <w:t>C</w:t>
      </w:r>
      <w:r>
        <w:rPr>
          <w:spacing w:val="-9"/>
        </w:rPr>
        <w:t xml:space="preserve"> </w:t>
      </w:r>
      <w:r>
        <w:t>имела</w:t>
      </w:r>
      <w:r>
        <w:rPr>
          <w:spacing w:val="-17"/>
        </w:rPr>
        <w:t xml:space="preserve"> </w:t>
      </w:r>
      <w:r>
        <w:t>тенденцию</w:t>
      </w:r>
      <w:r>
        <w:rPr>
          <w:spacing w:val="-16"/>
        </w:rPr>
        <w:t xml:space="preserve"> </w:t>
      </w:r>
      <w:r>
        <w:t>к</w:t>
      </w:r>
      <w:r>
        <w:rPr>
          <w:spacing w:val="-15"/>
        </w:rPr>
        <w:t xml:space="preserve"> </w:t>
      </w:r>
      <w:r>
        <w:t>снижению</w:t>
      </w:r>
      <w:r>
        <w:rPr>
          <w:spacing w:val="-16"/>
        </w:rPr>
        <w:t xml:space="preserve"> </w:t>
      </w:r>
      <w:r>
        <w:t>после</w:t>
      </w:r>
      <w:r>
        <w:rPr>
          <w:spacing w:val="-13"/>
        </w:rPr>
        <w:t xml:space="preserve"> </w:t>
      </w:r>
      <w:r>
        <w:t>внедрения метода двойного дренирования (0,8% против 5,4%), однако данное различие не достигло статистической значимости (p = 0,055).</w:t>
      </w:r>
    </w:p>
    <w:p w14:paraId="508AD1CA">
      <w:pPr>
        <w:pStyle w:val="7"/>
        <w:ind w:left="0" w:right="3" w:firstLine="709"/>
      </w:pPr>
      <w:r>
        <w:t>При анализе КЗ-ПС выявлено статистически значимое увеличение их частоты в группе с двойным дренированием (30,8% против 23,9%; p = 0,048). Таким образом, внедрение метода сопровождалось перераспределением структуры ПС с уменьшением доли свищей степени C и увеличением доли свищей степени B.</w:t>
      </w:r>
    </w:p>
    <w:p w14:paraId="789F24B8">
      <w:pPr>
        <w:pStyle w:val="7"/>
        <w:ind w:left="0" w:right="3" w:firstLine="709"/>
      </w:pPr>
      <w:r>
        <w:t>Частота послеоперационных кровотечений была ниже в группе с двойным дренированием (0,8% против 4,9%), однако различия не достигли статистической значимости (p = 0,095). В то же время частота релапаротомий статистически значимо снизилась после внедрения метода двойного дренирования (0,8% против 6,1%; p = 0,032).</w:t>
      </w:r>
    </w:p>
    <w:p w14:paraId="0C50AE18">
      <w:pPr>
        <w:pStyle w:val="7"/>
        <w:ind w:left="0" w:right="3" w:firstLine="709"/>
      </w:pPr>
      <w:r>
        <w:t>Гастростаз</w:t>
      </w:r>
      <w:r>
        <w:rPr>
          <w:spacing w:val="-1"/>
        </w:rPr>
        <w:t xml:space="preserve"> </w:t>
      </w:r>
      <w:r>
        <w:t>отмечался</w:t>
      </w:r>
      <w:r>
        <w:rPr>
          <w:spacing w:val="-1"/>
        </w:rPr>
        <w:t xml:space="preserve"> </w:t>
      </w:r>
      <w:r>
        <w:t>достоверно</w:t>
      </w:r>
      <w:r>
        <w:rPr>
          <w:spacing w:val="-1"/>
        </w:rPr>
        <w:t xml:space="preserve"> </w:t>
      </w:r>
      <w:r>
        <w:t>чаще</w:t>
      </w:r>
      <w:r>
        <w:rPr>
          <w:spacing w:val="-1"/>
        </w:rPr>
        <w:t xml:space="preserve"> </w:t>
      </w:r>
      <w:r>
        <w:t>в группе</w:t>
      </w:r>
      <w:r>
        <w:rPr>
          <w:spacing w:val="-1"/>
        </w:rPr>
        <w:t xml:space="preserve"> </w:t>
      </w:r>
      <w:r>
        <w:t>с</w:t>
      </w:r>
      <w:r>
        <w:rPr>
          <w:spacing w:val="-1"/>
        </w:rPr>
        <w:t xml:space="preserve"> </w:t>
      </w:r>
      <w:r>
        <w:t>двойным</w:t>
      </w:r>
      <w:r>
        <w:rPr>
          <w:spacing w:val="-1"/>
        </w:rPr>
        <w:t xml:space="preserve"> </w:t>
      </w:r>
      <w:r>
        <w:t>дренированием (10,0% против 3,8%; p = 0,050), что указывает на возможное влияние нового подхода на моторно-эвакуаторную функцию желудка в послеоперационном периоде.</w:t>
      </w:r>
      <w:r>
        <w:rPr>
          <w:spacing w:val="-10"/>
        </w:rPr>
        <w:t xml:space="preserve"> </w:t>
      </w:r>
      <w:r>
        <w:t>Частота</w:t>
      </w:r>
      <w:r>
        <w:rPr>
          <w:spacing w:val="-11"/>
        </w:rPr>
        <w:t xml:space="preserve"> </w:t>
      </w:r>
      <w:r>
        <w:t>билиарных</w:t>
      </w:r>
      <w:r>
        <w:rPr>
          <w:spacing w:val="-16"/>
        </w:rPr>
        <w:t xml:space="preserve"> </w:t>
      </w:r>
      <w:r>
        <w:t>свищей</w:t>
      </w:r>
      <w:r>
        <w:rPr>
          <w:spacing w:val="-12"/>
        </w:rPr>
        <w:t xml:space="preserve"> </w:t>
      </w:r>
      <w:r>
        <w:t>между</w:t>
      </w:r>
      <w:r>
        <w:rPr>
          <w:spacing w:val="-15"/>
        </w:rPr>
        <w:t xml:space="preserve"> </w:t>
      </w:r>
      <w:r>
        <w:t>группами</w:t>
      </w:r>
      <w:r>
        <w:rPr>
          <w:spacing w:val="-12"/>
        </w:rPr>
        <w:t xml:space="preserve"> </w:t>
      </w:r>
      <w:r>
        <w:t>статистически</w:t>
      </w:r>
      <w:r>
        <w:rPr>
          <w:spacing w:val="-11"/>
        </w:rPr>
        <w:t xml:space="preserve"> </w:t>
      </w:r>
      <w:r>
        <w:t>значимо</w:t>
      </w:r>
      <w:r>
        <w:rPr>
          <w:spacing w:val="-8"/>
        </w:rPr>
        <w:t xml:space="preserve"> </w:t>
      </w:r>
      <w:r>
        <w:rPr>
          <w:spacing w:val="-5"/>
        </w:rPr>
        <w:t>не</w:t>
      </w:r>
      <w:r>
        <w:t xml:space="preserve"> различалась</w:t>
      </w:r>
      <w:r>
        <w:rPr>
          <w:spacing w:val="-6"/>
        </w:rPr>
        <w:t xml:space="preserve"> </w:t>
      </w:r>
      <w:r>
        <w:t>(1,6%</w:t>
      </w:r>
      <w:r>
        <w:rPr>
          <w:spacing w:val="-4"/>
        </w:rPr>
        <w:t xml:space="preserve"> </w:t>
      </w:r>
      <w:r>
        <w:t>и</w:t>
      </w:r>
      <w:r>
        <w:rPr>
          <w:spacing w:val="-4"/>
        </w:rPr>
        <w:t xml:space="preserve"> </w:t>
      </w:r>
      <w:r>
        <w:t>2,5%;</w:t>
      </w:r>
      <w:r>
        <w:rPr>
          <w:spacing w:val="-4"/>
        </w:rPr>
        <w:t xml:space="preserve"> </w:t>
      </w:r>
      <w:r>
        <w:t>p</w:t>
      </w:r>
      <w:r>
        <w:rPr>
          <w:spacing w:val="-3"/>
        </w:rPr>
        <w:t xml:space="preserve"> </w:t>
      </w:r>
      <w:r>
        <w:t>=</w:t>
      </w:r>
      <w:r>
        <w:rPr>
          <w:spacing w:val="-3"/>
        </w:rPr>
        <w:t xml:space="preserve"> </w:t>
      </w:r>
      <w:r>
        <w:rPr>
          <w:spacing w:val="-2"/>
        </w:rPr>
        <w:t>0,684).</w:t>
      </w:r>
    </w:p>
    <w:p w14:paraId="0E337CF4">
      <w:pPr>
        <w:pStyle w:val="7"/>
        <w:ind w:left="0" w:right="3" w:firstLine="709"/>
      </w:pPr>
      <w:r>
        <w:t>Особое</w:t>
      </w:r>
      <w:r>
        <w:rPr>
          <w:spacing w:val="-7"/>
        </w:rPr>
        <w:t xml:space="preserve"> </w:t>
      </w:r>
      <w:r>
        <w:t>внимание</w:t>
      </w:r>
      <w:r>
        <w:rPr>
          <w:spacing w:val="-7"/>
        </w:rPr>
        <w:t xml:space="preserve"> </w:t>
      </w:r>
      <w:r>
        <w:t>заслуживает</w:t>
      </w:r>
      <w:r>
        <w:rPr>
          <w:spacing w:val="-4"/>
        </w:rPr>
        <w:t xml:space="preserve"> </w:t>
      </w:r>
      <w:r>
        <w:t>показатель</w:t>
      </w:r>
      <w:r>
        <w:rPr>
          <w:spacing w:val="-10"/>
        </w:rPr>
        <w:t xml:space="preserve"> </w:t>
      </w:r>
      <w:r>
        <w:t>госпитальной</w:t>
      </w:r>
      <w:r>
        <w:rPr>
          <w:spacing w:val="-7"/>
        </w:rPr>
        <w:t xml:space="preserve"> </w:t>
      </w:r>
      <w:r>
        <w:t>летальности:</w:t>
      </w:r>
      <w:r>
        <w:rPr>
          <w:spacing w:val="-12"/>
        </w:rPr>
        <w:t xml:space="preserve"> </w:t>
      </w:r>
      <w:r>
        <w:t xml:space="preserve">после внедрения метода двойного дренирования отмечено выраженное и статистически значимое снижение летальности (0,8% против 7,6%; p = 0,006), что свидетельствует о потенциальном клиническом преимуществе данного </w:t>
      </w:r>
      <w:r>
        <w:rPr>
          <w:spacing w:val="-2"/>
        </w:rPr>
        <w:t>подхода.</w:t>
      </w:r>
    </w:p>
    <w:p w14:paraId="684D52E3">
      <w:pPr>
        <w:pStyle w:val="7"/>
        <w:spacing w:before="4"/>
        <w:ind w:left="0" w:right="3" w:firstLine="709"/>
      </w:pPr>
      <w:r>
        <w:t>В</w:t>
      </w:r>
      <w:r>
        <w:rPr>
          <w:spacing w:val="-18"/>
        </w:rPr>
        <w:t xml:space="preserve"> </w:t>
      </w:r>
      <w:r>
        <w:t>то</w:t>
      </w:r>
      <w:r>
        <w:rPr>
          <w:spacing w:val="-17"/>
        </w:rPr>
        <w:t xml:space="preserve"> </w:t>
      </w:r>
      <w:r>
        <w:t>же</w:t>
      </w:r>
      <w:r>
        <w:rPr>
          <w:spacing w:val="-18"/>
        </w:rPr>
        <w:t xml:space="preserve"> </w:t>
      </w:r>
      <w:r>
        <w:t>время</w:t>
      </w:r>
      <w:r>
        <w:rPr>
          <w:spacing w:val="-17"/>
        </w:rPr>
        <w:t xml:space="preserve"> </w:t>
      </w:r>
      <w:r>
        <w:t>наблюдалось</w:t>
      </w:r>
      <w:r>
        <w:rPr>
          <w:spacing w:val="-18"/>
        </w:rPr>
        <w:t xml:space="preserve"> </w:t>
      </w:r>
      <w:r>
        <w:t>увеличение</w:t>
      </w:r>
      <w:r>
        <w:rPr>
          <w:spacing w:val="-17"/>
        </w:rPr>
        <w:t xml:space="preserve"> </w:t>
      </w:r>
      <w:r>
        <w:t>частоты</w:t>
      </w:r>
      <w:r>
        <w:rPr>
          <w:spacing w:val="-18"/>
        </w:rPr>
        <w:t xml:space="preserve"> </w:t>
      </w:r>
      <w:r>
        <w:t>ПС</w:t>
      </w:r>
      <w:r>
        <w:rPr>
          <w:spacing w:val="-17"/>
        </w:rPr>
        <w:t xml:space="preserve"> </w:t>
      </w:r>
      <w:r>
        <w:t>степени</w:t>
      </w:r>
      <w:r>
        <w:rPr>
          <w:spacing w:val="-18"/>
        </w:rPr>
        <w:t xml:space="preserve"> </w:t>
      </w:r>
      <w:r>
        <w:t>B</w:t>
      </w:r>
      <w:r>
        <w:rPr>
          <w:spacing w:val="-17"/>
        </w:rPr>
        <w:t xml:space="preserve"> </w:t>
      </w:r>
      <w:r>
        <w:t>и</w:t>
      </w:r>
      <w:r>
        <w:rPr>
          <w:spacing w:val="-18"/>
        </w:rPr>
        <w:t xml:space="preserve"> </w:t>
      </w:r>
      <w:r>
        <w:t>гастростаза, что, вероятно, связано с более тщательным выявлением и классификацией осложнений на фоне активного дренирования и улучшенного послеоперационного мониторинга.</w:t>
      </w:r>
    </w:p>
    <w:p w14:paraId="7971BBC8">
      <w:pPr>
        <w:pStyle w:val="7"/>
        <w:ind w:left="0" w:right="3" w:firstLine="709"/>
      </w:pPr>
      <w:r>
        <w:rPr>
          <w:spacing w:val="-2"/>
        </w:rPr>
        <w:t>Применение</w:t>
      </w:r>
      <w:r>
        <w:rPr>
          <w:spacing w:val="-5"/>
        </w:rPr>
        <w:t xml:space="preserve"> </w:t>
      </w:r>
      <w:r>
        <w:rPr>
          <w:spacing w:val="-2"/>
        </w:rPr>
        <w:t>предлагаемого</w:t>
      </w:r>
      <w:r>
        <w:rPr>
          <w:spacing w:val="-6"/>
        </w:rPr>
        <w:t xml:space="preserve"> </w:t>
      </w:r>
      <w:r>
        <w:rPr>
          <w:spacing w:val="-2"/>
        </w:rPr>
        <w:t>метода</w:t>
      </w:r>
      <w:r>
        <w:rPr>
          <w:spacing w:val="-5"/>
        </w:rPr>
        <w:t xml:space="preserve"> </w:t>
      </w:r>
      <w:r>
        <w:rPr>
          <w:spacing w:val="-2"/>
        </w:rPr>
        <w:t>двойного</w:t>
      </w:r>
      <w:r>
        <w:rPr>
          <w:spacing w:val="-6"/>
        </w:rPr>
        <w:t xml:space="preserve"> </w:t>
      </w:r>
      <w:r>
        <w:rPr>
          <w:spacing w:val="-2"/>
        </w:rPr>
        <w:t>дренирования</w:t>
      </w:r>
      <w:r>
        <w:rPr>
          <w:spacing w:val="-5"/>
        </w:rPr>
        <w:t xml:space="preserve"> </w:t>
      </w:r>
      <w:r>
        <w:rPr>
          <w:spacing w:val="-2"/>
        </w:rPr>
        <w:t>зоны ПЕА</w:t>
      </w:r>
      <w:r>
        <w:rPr>
          <w:spacing w:val="-11"/>
        </w:rPr>
        <w:t xml:space="preserve"> </w:t>
      </w:r>
      <w:r>
        <w:rPr>
          <w:spacing w:val="-2"/>
        </w:rPr>
        <w:t xml:space="preserve">после </w:t>
      </w:r>
      <w:r>
        <w:t>ГПДР позволяет достоверно снизить частоту ПС, уменьшить риск развития интраабдоминальных абсцессов и инфицированных жидкостных скоплений, предупредить ферментативный некроз тканей анастомоза, обеспечить более эффективную и своевременную эвакуацию патологического отделяемого, снизить потребность в повторных хирургических вмешательствах, включая дренирование под ультразвуковым наведением и релапаротомию, а также сократить длительность госпитализации и периода интенсивного послеоперационного лечения. Таким образом, внедрение данного метода способствует повышению надёжности реконструктивного этапа ГПДР и улучшению</w:t>
      </w:r>
      <w:r>
        <w:rPr>
          <w:spacing w:val="-18"/>
        </w:rPr>
        <w:t xml:space="preserve"> </w:t>
      </w:r>
      <w:r>
        <w:t>непосредственных</w:t>
      </w:r>
      <w:r>
        <w:rPr>
          <w:spacing w:val="-17"/>
        </w:rPr>
        <w:t xml:space="preserve"> </w:t>
      </w:r>
      <w:r>
        <w:t>результатов</w:t>
      </w:r>
      <w:r>
        <w:rPr>
          <w:spacing w:val="-17"/>
        </w:rPr>
        <w:t xml:space="preserve"> </w:t>
      </w:r>
      <w:r>
        <w:t>хирургического</w:t>
      </w:r>
      <w:r>
        <w:rPr>
          <w:spacing w:val="-15"/>
        </w:rPr>
        <w:t xml:space="preserve"> </w:t>
      </w:r>
      <w:r>
        <w:t>лечения</w:t>
      </w:r>
      <w:r>
        <w:rPr>
          <w:spacing w:val="-14"/>
        </w:rPr>
        <w:t xml:space="preserve"> </w:t>
      </w:r>
      <w:r>
        <w:t>пациентов</w:t>
      </w:r>
      <w:r>
        <w:rPr>
          <w:spacing w:val="-17"/>
        </w:rPr>
        <w:t xml:space="preserve"> </w:t>
      </w:r>
      <w:r>
        <w:t>с опухолями периампулярной зоны.</w:t>
      </w:r>
    </w:p>
    <w:p w14:paraId="1B3DE863">
      <w:pPr>
        <w:pStyle w:val="7"/>
        <w:spacing w:before="4"/>
        <w:ind w:left="0" w:firstLine="709"/>
        <w:jc w:val="left"/>
      </w:pPr>
    </w:p>
    <w:p w14:paraId="3108D3D7">
      <w:pPr>
        <w:pStyle w:val="3"/>
        <w:numPr>
          <w:ilvl w:val="2"/>
          <w:numId w:val="8"/>
        </w:numPr>
        <w:tabs>
          <w:tab w:val="left" w:pos="1674"/>
        </w:tabs>
        <w:spacing w:before="1"/>
        <w:ind w:left="0" w:right="292" w:firstLine="709"/>
        <w:rPr>
          <w:b w:val="0"/>
        </w:rPr>
      </w:pPr>
      <w:r>
        <w:rPr>
          <w:b w:val="0"/>
        </w:rPr>
        <w:t>Окутывание культи гастродуоденальной и печёночной артерии круглой связкой печени для профилактики аррозивных кровотечений</w:t>
      </w:r>
    </w:p>
    <w:p w14:paraId="3AB3A996">
      <w:pPr>
        <w:pStyle w:val="7"/>
        <w:ind w:left="0" w:right="3" w:firstLine="709"/>
      </w:pPr>
      <w:r>
        <w:t>С 2023 года в клинической практике ННЦХ имени А.Н. Сызганова разработан и внедрён метод профилактики аррозивных кровотечений — окутывание культи гастродуоденальной артерии (ГДА) и печёночной артерии круглой</w:t>
      </w:r>
      <w:r>
        <w:rPr>
          <w:spacing w:val="-13"/>
        </w:rPr>
        <w:t xml:space="preserve"> </w:t>
      </w:r>
      <w:r>
        <w:t>связкой</w:t>
      </w:r>
      <w:r>
        <w:rPr>
          <w:spacing w:val="-13"/>
        </w:rPr>
        <w:t xml:space="preserve"> </w:t>
      </w:r>
      <w:r>
        <w:t>печени.</w:t>
      </w:r>
      <w:r>
        <w:rPr>
          <w:spacing w:val="-11"/>
        </w:rPr>
        <w:t xml:space="preserve"> </w:t>
      </w:r>
      <w:r>
        <w:t>На</w:t>
      </w:r>
      <w:r>
        <w:rPr>
          <w:spacing w:val="-12"/>
        </w:rPr>
        <w:t xml:space="preserve"> </w:t>
      </w:r>
      <w:r>
        <w:t>данный</w:t>
      </w:r>
      <w:r>
        <w:rPr>
          <w:spacing w:val="-13"/>
        </w:rPr>
        <w:t xml:space="preserve"> </w:t>
      </w:r>
      <w:r>
        <w:t>метод</w:t>
      </w:r>
      <w:r>
        <w:rPr>
          <w:spacing w:val="-11"/>
        </w:rPr>
        <w:t xml:space="preserve"> </w:t>
      </w:r>
      <w:r>
        <w:t>получено</w:t>
      </w:r>
      <w:r>
        <w:rPr>
          <w:spacing w:val="-7"/>
        </w:rPr>
        <w:t xml:space="preserve"> </w:t>
      </w:r>
      <w:r>
        <w:t>свидетельство</w:t>
      </w:r>
      <w:r>
        <w:rPr>
          <w:spacing w:val="-13"/>
        </w:rPr>
        <w:t xml:space="preserve"> </w:t>
      </w:r>
      <w:r>
        <w:t>об</w:t>
      </w:r>
      <w:r>
        <w:rPr>
          <w:spacing w:val="-11"/>
        </w:rPr>
        <w:t xml:space="preserve"> </w:t>
      </w:r>
      <w:r>
        <w:t>авторском праве № 57828 от 13.05.2025 г., подтверждающее его оригинальность и приоритет разработки.</w:t>
      </w:r>
    </w:p>
    <w:p w14:paraId="197DA81A">
      <w:pPr>
        <w:pStyle w:val="7"/>
        <w:ind w:left="0" w:right="3" w:firstLine="709"/>
      </w:pPr>
      <w:r>
        <w:t>Предлагаемый приём основан на создании дополнительного анатомического и биологического барьера между сосудистыми структурами (печёночной артерией и культей ГДА) и окружающими тканями, что позволяет предупредить ферментативную аррозию сосудистой стенки при возможной несостоятельности ПЕА. Круглая связка печени, благодаря наличию соединительнотканных и жировых элементов, сохраняющемуся кровоснабжению</w:t>
      </w:r>
      <w:r>
        <w:rPr>
          <w:spacing w:val="-18"/>
        </w:rPr>
        <w:t xml:space="preserve"> </w:t>
      </w:r>
      <w:r>
        <w:t>и</w:t>
      </w:r>
      <w:r>
        <w:rPr>
          <w:spacing w:val="-11"/>
        </w:rPr>
        <w:t xml:space="preserve"> </w:t>
      </w:r>
      <w:r>
        <w:t>высокой</w:t>
      </w:r>
      <w:r>
        <w:rPr>
          <w:spacing w:val="-16"/>
        </w:rPr>
        <w:t xml:space="preserve"> </w:t>
      </w:r>
      <w:r>
        <w:t>пластичности,</w:t>
      </w:r>
      <w:r>
        <w:rPr>
          <w:spacing w:val="-14"/>
        </w:rPr>
        <w:t xml:space="preserve"> </w:t>
      </w:r>
      <w:r>
        <w:t>служит</w:t>
      </w:r>
      <w:r>
        <w:rPr>
          <w:spacing w:val="-18"/>
        </w:rPr>
        <w:t xml:space="preserve"> </w:t>
      </w:r>
      <w:r>
        <w:t>оптимальным</w:t>
      </w:r>
      <w:r>
        <w:rPr>
          <w:spacing w:val="-15"/>
        </w:rPr>
        <w:t xml:space="preserve"> </w:t>
      </w:r>
      <w:r>
        <w:t>биологическим материалом для защиты сосудистых структур.</w:t>
      </w:r>
    </w:p>
    <w:p w14:paraId="04A6A14D">
      <w:pPr>
        <w:pStyle w:val="7"/>
        <w:ind w:left="0" w:right="3" w:firstLine="709"/>
      </w:pPr>
      <w:r>
        <w:t>Создание «протективной манжеты» из круглой связки печени позволяет достичь следующих эффектов:</w:t>
      </w:r>
    </w:p>
    <w:p w14:paraId="0786AEC3">
      <w:pPr>
        <w:pStyle w:val="10"/>
        <w:numPr>
          <w:ilvl w:val="0"/>
          <w:numId w:val="20"/>
        </w:numPr>
        <w:tabs>
          <w:tab w:val="left" w:pos="851"/>
        </w:tabs>
        <w:ind w:left="1153" w:right="3" w:hanging="444"/>
        <w:rPr>
          <w:sz w:val="28"/>
        </w:rPr>
      </w:pPr>
      <w:r>
        <w:rPr>
          <w:sz w:val="28"/>
        </w:rPr>
        <w:t>механическая</w:t>
      </w:r>
      <w:r>
        <w:rPr>
          <w:spacing w:val="-10"/>
          <w:sz w:val="28"/>
        </w:rPr>
        <w:t xml:space="preserve"> </w:t>
      </w:r>
      <w:r>
        <w:rPr>
          <w:sz w:val="28"/>
        </w:rPr>
        <w:t>изоляция</w:t>
      </w:r>
      <w:r>
        <w:rPr>
          <w:spacing w:val="-10"/>
          <w:sz w:val="28"/>
        </w:rPr>
        <w:t xml:space="preserve"> </w:t>
      </w:r>
      <w:r>
        <w:rPr>
          <w:sz w:val="28"/>
        </w:rPr>
        <w:t>сосудов</w:t>
      </w:r>
      <w:r>
        <w:rPr>
          <w:spacing w:val="-12"/>
          <w:sz w:val="28"/>
        </w:rPr>
        <w:t xml:space="preserve"> </w:t>
      </w:r>
      <w:r>
        <w:rPr>
          <w:sz w:val="28"/>
        </w:rPr>
        <w:t>от</w:t>
      </w:r>
      <w:r>
        <w:rPr>
          <w:spacing w:val="-12"/>
          <w:sz w:val="28"/>
        </w:rPr>
        <w:t xml:space="preserve"> </w:t>
      </w:r>
      <w:r>
        <w:rPr>
          <w:sz w:val="28"/>
        </w:rPr>
        <w:t>панкреатического</w:t>
      </w:r>
      <w:r>
        <w:rPr>
          <w:spacing w:val="-11"/>
          <w:sz w:val="28"/>
        </w:rPr>
        <w:t xml:space="preserve"> </w:t>
      </w:r>
      <w:r>
        <w:rPr>
          <w:spacing w:val="-2"/>
          <w:sz w:val="28"/>
        </w:rPr>
        <w:t>секрета;</w:t>
      </w:r>
    </w:p>
    <w:p w14:paraId="54EB33A0">
      <w:pPr>
        <w:pStyle w:val="10"/>
        <w:numPr>
          <w:ilvl w:val="0"/>
          <w:numId w:val="20"/>
        </w:numPr>
        <w:tabs>
          <w:tab w:val="left" w:pos="851"/>
        </w:tabs>
        <w:ind w:left="0" w:right="3" w:firstLine="709"/>
        <w:rPr>
          <w:sz w:val="28"/>
        </w:rPr>
      </w:pPr>
      <w:r>
        <w:rPr>
          <w:sz w:val="28"/>
        </w:rPr>
        <w:t xml:space="preserve">предотвращение контактной ферментативной деструкции сосудистой </w:t>
      </w:r>
      <w:r>
        <w:rPr>
          <w:spacing w:val="-2"/>
          <w:sz w:val="28"/>
        </w:rPr>
        <w:t>стенки;</w:t>
      </w:r>
    </w:p>
    <w:p w14:paraId="5E285139">
      <w:pPr>
        <w:pStyle w:val="10"/>
        <w:numPr>
          <w:ilvl w:val="0"/>
          <w:numId w:val="20"/>
        </w:numPr>
        <w:tabs>
          <w:tab w:val="left" w:pos="851"/>
        </w:tabs>
        <w:spacing w:line="321" w:lineRule="exact"/>
        <w:ind w:left="0" w:right="3" w:firstLine="709"/>
        <w:rPr>
          <w:sz w:val="28"/>
        </w:rPr>
      </w:pPr>
      <w:r>
        <w:rPr>
          <w:sz w:val="28"/>
        </w:rPr>
        <w:t>снижение</w:t>
      </w:r>
      <w:r>
        <w:rPr>
          <w:spacing w:val="-7"/>
          <w:sz w:val="28"/>
        </w:rPr>
        <w:t xml:space="preserve"> </w:t>
      </w:r>
      <w:r>
        <w:rPr>
          <w:sz w:val="28"/>
        </w:rPr>
        <w:t>риска</w:t>
      </w:r>
      <w:r>
        <w:rPr>
          <w:spacing w:val="-6"/>
          <w:sz w:val="28"/>
        </w:rPr>
        <w:t xml:space="preserve"> </w:t>
      </w:r>
      <w:r>
        <w:rPr>
          <w:sz w:val="28"/>
        </w:rPr>
        <w:t>вторичного</w:t>
      </w:r>
      <w:r>
        <w:rPr>
          <w:spacing w:val="-8"/>
          <w:sz w:val="28"/>
        </w:rPr>
        <w:t xml:space="preserve"> </w:t>
      </w:r>
      <w:r>
        <w:rPr>
          <w:sz w:val="28"/>
        </w:rPr>
        <w:t>воспаления</w:t>
      </w:r>
      <w:r>
        <w:rPr>
          <w:spacing w:val="-5"/>
          <w:sz w:val="28"/>
        </w:rPr>
        <w:t xml:space="preserve"> </w:t>
      </w:r>
      <w:r>
        <w:rPr>
          <w:sz w:val="28"/>
        </w:rPr>
        <w:t>и</w:t>
      </w:r>
      <w:r>
        <w:rPr>
          <w:spacing w:val="-7"/>
          <w:sz w:val="28"/>
        </w:rPr>
        <w:t xml:space="preserve"> </w:t>
      </w:r>
      <w:r>
        <w:rPr>
          <w:sz w:val="28"/>
        </w:rPr>
        <w:t>некроза</w:t>
      </w:r>
      <w:r>
        <w:rPr>
          <w:spacing w:val="-6"/>
          <w:sz w:val="28"/>
        </w:rPr>
        <w:t xml:space="preserve"> </w:t>
      </w:r>
      <w:r>
        <w:rPr>
          <w:spacing w:val="-2"/>
          <w:sz w:val="28"/>
        </w:rPr>
        <w:t>тканей;</w:t>
      </w:r>
    </w:p>
    <w:p w14:paraId="4BC0D837">
      <w:pPr>
        <w:pStyle w:val="10"/>
        <w:numPr>
          <w:ilvl w:val="0"/>
          <w:numId w:val="20"/>
        </w:numPr>
        <w:tabs>
          <w:tab w:val="left" w:pos="851"/>
          <w:tab w:val="left" w:pos="6946"/>
        </w:tabs>
        <w:spacing w:before="67"/>
        <w:ind w:left="0" w:right="3" w:firstLine="709"/>
        <w:rPr>
          <w:sz w:val="28"/>
        </w:rPr>
      </w:pPr>
      <w:r>
        <w:rPr>
          <w:sz w:val="28"/>
        </w:rPr>
        <w:t>улучшение трофики окружающих тканей за счёт сохранённого кровоснабжения связки.</w:t>
      </w:r>
    </w:p>
    <w:p w14:paraId="40338E06">
      <w:pPr>
        <w:pStyle w:val="7"/>
        <w:tabs>
          <w:tab w:val="left" w:pos="6946"/>
        </w:tabs>
        <w:spacing w:line="321" w:lineRule="exact"/>
        <w:ind w:left="0" w:right="3" w:firstLine="709"/>
      </w:pPr>
      <w:r>
        <w:t>Технические</w:t>
      </w:r>
      <w:r>
        <w:rPr>
          <w:spacing w:val="-13"/>
        </w:rPr>
        <w:t xml:space="preserve"> </w:t>
      </w:r>
      <w:r>
        <w:t>особенности</w:t>
      </w:r>
      <w:r>
        <w:rPr>
          <w:spacing w:val="-14"/>
        </w:rPr>
        <w:t xml:space="preserve"> </w:t>
      </w:r>
      <w:r>
        <w:t>выполнения</w:t>
      </w:r>
      <w:r>
        <w:rPr>
          <w:spacing w:val="-12"/>
        </w:rPr>
        <w:t xml:space="preserve"> </w:t>
      </w:r>
      <w:r>
        <w:rPr>
          <w:spacing w:val="-2"/>
        </w:rPr>
        <w:t>метода</w:t>
      </w:r>
    </w:p>
    <w:p w14:paraId="14DC4011">
      <w:pPr>
        <w:pStyle w:val="7"/>
        <w:tabs>
          <w:tab w:val="left" w:pos="6946"/>
        </w:tabs>
        <w:ind w:left="0" w:right="3" w:firstLine="709"/>
      </w:pPr>
      <w:r>
        <w:t>Пересечение ГДА обычно выполняют перевязыванием и отдельным прошиванием</w:t>
      </w:r>
      <w:r>
        <w:rPr>
          <w:spacing w:val="-2"/>
        </w:rPr>
        <w:t xml:space="preserve"> </w:t>
      </w:r>
      <w:r>
        <w:t>культи</w:t>
      </w:r>
      <w:r>
        <w:rPr>
          <w:spacing w:val="-3"/>
        </w:rPr>
        <w:t xml:space="preserve"> </w:t>
      </w:r>
      <w:r>
        <w:t>ГДА. После</w:t>
      </w:r>
      <w:r>
        <w:rPr>
          <w:spacing w:val="-2"/>
        </w:rPr>
        <w:t xml:space="preserve"> </w:t>
      </w:r>
      <w:r>
        <w:t>завершения</w:t>
      </w:r>
      <w:r>
        <w:rPr>
          <w:spacing w:val="-2"/>
        </w:rPr>
        <w:t xml:space="preserve"> </w:t>
      </w:r>
      <w:r>
        <w:t>ГПДР</w:t>
      </w:r>
      <w:r>
        <w:rPr>
          <w:spacing w:val="-4"/>
        </w:rPr>
        <w:t xml:space="preserve"> </w:t>
      </w:r>
      <w:r>
        <w:t>производится</w:t>
      </w:r>
      <w:r>
        <w:rPr>
          <w:spacing w:val="-2"/>
        </w:rPr>
        <w:t xml:space="preserve"> </w:t>
      </w:r>
      <w:r>
        <w:t>мобилизация круглой связки печени. Последнюю отделяют от нижней поверхности печени, тщательно сохраняя питающие сосуды и жировую клетчатку. Оптимальная длина мобилизованного фрагмента составляет 10–15 см, что обеспечивает достаточную свободу манипуляций без натяжения.</w:t>
      </w:r>
    </w:p>
    <w:p w14:paraId="60929561">
      <w:pPr>
        <w:pStyle w:val="7"/>
        <w:tabs>
          <w:tab w:val="left" w:pos="6946"/>
        </w:tabs>
        <w:spacing w:before="4"/>
        <w:ind w:left="0" w:right="3" w:firstLine="709"/>
      </w:pPr>
      <w:r>
        <w:t>Подготовленную</w:t>
      </w:r>
      <w:r>
        <w:rPr>
          <w:spacing w:val="-1"/>
        </w:rPr>
        <w:t xml:space="preserve"> </w:t>
      </w:r>
      <w:r>
        <w:t>круглую</w:t>
      </w:r>
      <w:r>
        <w:rPr>
          <w:spacing w:val="-1"/>
        </w:rPr>
        <w:t xml:space="preserve"> </w:t>
      </w:r>
      <w:r>
        <w:t>связку</w:t>
      </w:r>
      <w:r>
        <w:rPr>
          <w:spacing w:val="-3"/>
        </w:rPr>
        <w:t xml:space="preserve"> </w:t>
      </w:r>
      <w:r>
        <w:t>печени на питающей ножке проводят</w:t>
      </w:r>
      <w:r>
        <w:rPr>
          <w:spacing w:val="-1"/>
        </w:rPr>
        <w:t xml:space="preserve"> </w:t>
      </w:r>
      <w:r>
        <w:t>под собственной</w:t>
      </w:r>
      <w:r>
        <w:rPr>
          <w:spacing w:val="-18"/>
        </w:rPr>
        <w:t xml:space="preserve"> </w:t>
      </w:r>
      <w:r>
        <w:t>печёночной</w:t>
      </w:r>
      <w:r>
        <w:rPr>
          <w:spacing w:val="-17"/>
        </w:rPr>
        <w:t xml:space="preserve"> </w:t>
      </w:r>
      <w:r>
        <w:t>артерией</w:t>
      </w:r>
      <w:r>
        <w:rPr>
          <w:spacing w:val="-18"/>
        </w:rPr>
        <w:t xml:space="preserve"> </w:t>
      </w:r>
      <w:r>
        <w:t>и</w:t>
      </w:r>
      <w:r>
        <w:rPr>
          <w:spacing w:val="-17"/>
        </w:rPr>
        <w:t xml:space="preserve"> </w:t>
      </w:r>
      <w:r>
        <w:t>культей</w:t>
      </w:r>
      <w:r>
        <w:rPr>
          <w:spacing w:val="-18"/>
        </w:rPr>
        <w:t xml:space="preserve"> </w:t>
      </w:r>
      <w:r>
        <w:t>ГДА,</w:t>
      </w:r>
      <w:r>
        <w:rPr>
          <w:spacing w:val="-17"/>
        </w:rPr>
        <w:t xml:space="preserve"> </w:t>
      </w:r>
      <w:r>
        <w:t>после</w:t>
      </w:r>
      <w:r>
        <w:rPr>
          <w:spacing w:val="-18"/>
        </w:rPr>
        <w:t xml:space="preserve"> </w:t>
      </w:r>
      <w:r>
        <w:t>чего</w:t>
      </w:r>
      <w:r>
        <w:rPr>
          <w:spacing w:val="-17"/>
        </w:rPr>
        <w:t xml:space="preserve"> </w:t>
      </w:r>
      <w:r>
        <w:t>мягко</w:t>
      </w:r>
      <w:r>
        <w:rPr>
          <w:spacing w:val="-18"/>
        </w:rPr>
        <w:t xml:space="preserve"> </w:t>
      </w:r>
      <w:r>
        <w:t>оборачивают вокруг сосудов и фиксируют двумя-тремя узловыми швами из рассасывающегося материала. Формируется эластичная, хорошо адаптированная «манжета» из аутоткани, обеспечивающая надёжную защиту сосудов от ферментативного воздействия.</w:t>
      </w:r>
    </w:p>
    <w:p w14:paraId="727995D5">
      <w:pPr>
        <w:pStyle w:val="7"/>
        <w:tabs>
          <w:tab w:val="left" w:pos="6946"/>
        </w:tabs>
        <w:spacing w:before="4"/>
        <w:ind w:left="0" w:right="3" w:firstLine="709"/>
      </w:pPr>
    </w:p>
    <w:p w14:paraId="3D76064A">
      <w:pPr>
        <w:pStyle w:val="7"/>
        <w:tabs>
          <w:tab w:val="left" w:pos="6946"/>
        </w:tabs>
        <w:spacing w:before="4"/>
        <w:ind w:left="0" w:right="3" w:firstLine="709"/>
      </w:pPr>
    </w:p>
    <w:p w14:paraId="73DC0CBC">
      <w:pPr>
        <w:pStyle w:val="7"/>
        <w:tabs>
          <w:tab w:val="left" w:pos="6946"/>
        </w:tabs>
        <w:spacing w:before="4"/>
        <w:ind w:left="0" w:right="3" w:firstLine="709"/>
      </w:pPr>
    </w:p>
    <w:p w14:paraId="5BE18FEA">
      <w:pPr>
        <w:pStyle w:val="7"/>
        <w:tabs>
          <w:tab w:val="left" w:pos="6946"/>
        </w:tabs>
        <w:spacing w:before="4"/>
        <w:ind w:left="0" w:right="3" w:firstLine="709"/>
      </w:pPr>
    </w:p>
    <w:p w14:paraId="775AFB84">
      <w:pPr>
        <w:pStyle w:val="7"/>
        <w:ind w:left="0" w:firstLine="0"/>
        <w:jc w:val="left"/>
      </w:pPr>
    </w:p>
    <w:p w14:paraId="786FEC4A">
      <w:pPr>
        <w:pStyle w:val="7"/>
        <w:ind w:left="0" w:firstLine="0"/>
        <w:jc w:val="left"/>
      </w:pPr>
      <w:r>
        <w:rPr>
          <w:lang w:eastAsia="ru-RU"/>
        </w:rPr>
        <mc:AlternateContent>
          <mc:Choice Requires="wpg">
            <w:drawing>
              <wp:anchor distT="0" distB="0" distL="0" distR="0" simplePos="0" relativeHeight="251673600" behindDoc="0" locked="0" layoutInCell="1" allowOverlap="1">
                <wp:simplePos x="0" y="0"/>
                <wp:positionH relativeFrom="page">
                  <wp:posOffset>1733550</wp:posOffset>
                </wp:positionH>
                <wp:positionV relativeFrom="paragraph">
                  <wp:posOffset>3810</wp:posOffset>
                </wp:positionV>
                <wp:extent cx="4832985" cy="6000750"/>
                <wp:effectExtent l="0" t="0" r="5715" b="0"/>
                <wp:wrapNone/>
                <wp:docPr id="183" name="Group 183"/>
                <wp:cNvGraphicFramePr/>
                <a:graphic xmlns:a="http://schemas.openxmlformats.org/drawingml/2006/main">
                  <a:graphicData uri="http://schemas.microsoft.com/office/word/2010/wordprocessingGroup">
                    <wpg:wgp>
                      <wpg:cNvGrpSpPr/>
                      <wpg:grpSpPr>
                        <a:xfrm>
                          <a:off x="0" y="0"/>
                          <a:ext cx="4832985" cy="6000750"/>
                          <a:chOff x="0" y="0"/>
                          <a:chExt cx="4832985" cy="3383279"/>
                        </a:xfrm>
                      </wpg:grpSpPr>
                      <pic:pic xmlns:pic="http://schemas.openxmlformats.org/drawingml/2006/picture">
                        <pic:nvPicPr>
                          <pic:cNvPr id="184" name="Image 184" descr="C:\Users\03XO-ORD11\Desktop\рис 1.jpg"/>
                          <pic:cNvPicPr/>
                        </pic:nvPicPr>
                        <pic:blipFill>
                          <a:blip r:embed="rId59" cstate="print"/>
                          <a:stretch>
                            <a:fillRect/>
                          </a:stretch>
                        </pic:blipFill>
                        <pic:spPr>
                          <a:xfrm>
                            <a:off x="358140" y="0"/>
                            <a:ext cx="3781425" cy="3383279"/>
                          </a:xfrm>
                          <a:prstGeom prst="rect">
                            <a:avLst/>
                          </a:prstGeom>
                        </pic:spPr>
                      </pic:pic>
                      <wps:wsp>
                        <wps:cNvPr id="185" name="Graphic 185"/>
                        <wps:cNvSpPr/>
                        <wps:spPr>
                          <a:xfrm>
                            <a:off x="3014345" y="1227772"/>
                            <a:ext cx="1478280" cy="1270"/>
                          </a:xfrm>
                          <a:custGeom>
                            <a:avLst/>
                            <a:gdLst/>
                            <a:ahLst/>
                            <a:cxnLst/>
                            <a:rect l="l" t="t" r="r" b="b"/>
                            <a:pathLst>
                              <a:path w="1478280">
                                <a:moveTo>
                                  <a:pt x="0" y="0"/>
                                </a:moveTo>
                                <a:lnTo>
                                  <a:pt x="1478279" y="0"/>
                                </a:lnTo>
                              </a:path>
                            </a:pathLst>
                          </a:custGeom>
                          <a:ln w="15875">
                            <a:solidFill>
                              <a:srgbClr val="000000"/>
                            </a:solidFill>
                            <a:prstDash val="solid"/>
                          </a:ln>
                        </wps:spPr>
                        <wps:bodyPr wrap="square" lIns="0" tIns="0" rIns="0" bIns="0" rtlCol="0">
                          <a:noAutofit/>
                        </wps:bodyPr>
                      </wps:wsp>
                      <wps:wsp>
                        <wps:cNvPr id="186" name="Graphic 186"/>
                        <wps:cNvSpPr/>
                        <wps:spPr>
                          <a:xfrm>
                            <a:off x="2847339" y="1766570"/>
                            <a:ext cx="1666239" cy="1270"/>
                          </a:xfrm>
                          <a:custGeom>
                            <a:avLst/>
                            <a:gdLst/>
                            <a:ahLst/>
                            <a:cxnLst/>
                            <a:rect l="l" t="t" r="r" b="b"/>
                            <a:pathLst>
                              <a:path w="1666239">
                                <a:moveTo>
                                  <a:pt x="0" y="0"/>
                                </a:moveTo>
                                <a:lnTo>
                                  <a:pt x="1666240" y="0"/>
                                </a:lnTo>
                              </a:path>
                            </a:pathLst>
                          </a:custGeom>
                          <a:ln w="25400">
                            <a:solidFill>
                              <a:srgbClr val="000000"/>
                            </a:solidFill>
                            <a:prstDash val="solid"/>
                          </a:ln>
                        </wps:spPr>
                        <wps:bodyPr wrap="square" lIns="0" tIns="0" rIns="0" bIns="0" rtlCol="0">
                          <a:noAutofit/>
                        </wps:bodyPr>
                      </wps:wsp>
                      <wps:wsp>
                        <wps:cNvPr id="187" name="Graphic 187"/>
                        <wps:cNvSpPr/>
                        <wps:spPr>
                          <a:xfrm>
                            <a:off x="3197225" y="2075497"/>
                            <a:ext cx="1254760" cy="1270"/>
                          </a:xfrm>
                          <a:custGeom>
                            <a:avLst/>
                            <a:gdLst/>
                            <a:ahLst/>
                            <a:cxnLst/>
                            <a:rect l="l" t="t" r="r" b="b"/>
                            <a:pathLst>
                              <a:path w="1254760">
                                <a:moveTo>
                                  <a:pt x="0" y="0"/>
                                </a:moveTo>
                                <a:lnTo>
                                  <a:pt x="1254760" y="0"/>
                                </a:lnTo>
                              </a:path>
                            </a:pathLst>
                          </a:custGeom>
                          <a:ln w="15875">
                            <a:solidFill>
                              <a:srgbClr val="000000"/>
                            </a:solidFill>
                            <a:prstDash val="solid"/>
                          </a:ln>
                        </wps:spPr>
                        <wps:bodyPr wrap="square" lIns="0" tIns="0" rIns="0" bIns="0" rtlCol="0">
                          <a:noAutofit/>
                        </wps:bodyPr>
                      </wps:wsp>
                      <wps:wsp>
                        <wps:cNvPr id="188" name="Graphic 188"/>
                        <wps:cNvSpPr/>
                        <wps:spPr>
                          <a:xfrm>
                            <a:off x="3175" y="2061210"/>
                            <a:ext cx="4484370" cy="1074420"/>
                          </a:xfrm>
                          <a:custGeom>
                            <a:avLst/>
                            <a:gdLst/>
                            <a:ahLst/>
                            <a:cxnLst/>
                            <a:rect l="l" t="t" r="r" b="b"/>
                            <a:pathLst>
                              <a:path w="4484370" h="1074420">
                                <a:moveTo>
                                  <a:pt x="2636520" y="0"/>
                                </a:moveTo>
                                <a:lnTo>
                                  <a:pt x="4484370" y="552450"/>
                                </a:lnTo>
                              </a:path>
                              <a:path w="4484370" h="1074420">
                                <a:moveTo>
                                  <a:pt x="2313940" y="426719"/>
                                </a:moveTo>
                                <a:lnTo>
                                  <a:pt x="4428490" y="1074419"/>
                                </a:lnTo>
                              </a:path>
                              <a:path w="4484370" h="1074420">
                                <a:moveTo>
                                  <a:pt x="2135504" y="598804"/>
                                </a:moveTo>
                                <a:lnTo>
                                  <a:pt x="16509" y="855979"/>
                                </a:lnTo>
                              </a:path>
                              <a:path w="4484370" h="1074420">
                                <a:moveTo>
                                  <a:pt x="1290955" y="409575"/>
                                </a:moveTo>
                                <a:lnTo>
                                  <a:pt x="0" y="810894"/>
                                </a:lnTo>
                              </a:path>
                            </a:pathLst>
                          </a:custGeom>
                          <a:ln w="6350">
                            <a:solidFill>
                              <a:srgbClr val="000000"/>
                            </a:solidFill>
                            <a:prstDash val="solid"/>
                          </a:ln>
                        </wps:spPr>
                        <wps:bodyPr wrap="square" lIns="0" tIns="0" rIns="0" bIns="0" rtlCol="0">
                          <a:noAutofit/>
                        </wps:bodyPr>
                      </wps:wsp>
                      <wps:wsp>
                        <wps:cNvPr id="189" name="Graphic 189"/>
                        <wps:cNvSpPr/>
                        <wps:spPr>
                          <a:xfrm>
                            <a:off x="4267835" y="1927859"/>
                            <a:ext cx="565150" cy="1386205"/>
                          </a:xfrm>
                          <a:custGeom>
                            <a:avLst/>
                            <a:gdLst/>
                            <a:ahLst/>
                            <a:cxnLst/>
                            <a:rect l="l" t="t" r="r" b="b"/>
                            <a:pathLst>
                              <a:path w="565150" h="1386205">
                                <a:moveTo>
                                  <a:pt x="323850" y="1043305"/>
                                </a:moveTo>
                                <a:lnTo>
                                  <a:pt x="0" y="1043305"/>
                                </a:lnTo>
                                <a:lnTo>
                                  <a:pt x="0" y="1386205"/>
                                </a:lnTo>
                                <a:lnTo>
                                  <a:pt x="323850" y="1386205"/>
                                </a:lnTo>
                                <a:lnTo>
                                  <a:pt x="323850" y="1043305"/>
                                </a:lnTo>
                                <a:close/>
                              </a:path>
                              <a:path w="565150" h="1386205">
                                <a:moveTo>
                                  <a:pt x="565150" y="0"/>
                                </a:moveTo>
                                <a:lnTo>
                                  <a:pt x="184150" y="0"/>
                                </a:lnTo>
                                <a:lnTo>
                                  <a:pt x="184150" y="304800"/>
                                </a:lnTo>
                                <a:lnTo>
                                  <a:pt x="565150" y="304800"/>
                                </a:lnTo>
                                <a:lnTo>
                                  <a:pt x="565150" y="0"/>
                                </a:lnTo>
                                <a:close/>
                              </a:path>
                            </a:pathLst>
                          </a:custGeom>
                          <a:solidFill>
                            <a:srgbClr val="FFFFFF"/>
                          </a:solidFill>
                        </wps:spPr>
                        <wps:bodyPr wrap="square" lIns="0" tIns="0" rIns="0" bIns="0" rtlCol="0">
                          <a:noAutofit/>
                        </wps:bodyPr>
                      </wps:wsp>
                      <wps:wsp>
                        <wps:cNvPr id="190" name="Textbox 190"/>
                        <wps:cNvSpPr txBox="1"/>
                        <wps:spPr>
                          <a:xfrm>
                            <a:off x="4607686" y="1116529"/>
                            <a:ext cx="101600" cy="196215"/>
                          </a:xfrm>
                          <a:prstGeom prst="rect">
                            <a:avLst/>
                          </a:prstGeom>
                        </wps:spPr>
                        <wps:txbx>
                          <w:txbxContent>
                            <w:p w14:paraId="6CBBD5F6">
                              <w:pPr>
                                <w:spacing w:line="308" w:lineRule="exact"/>
                                <w:rPr>
                                  <w:sz w:val="28"/>
                                </w:rPr>
                              </w:pPr>
                              <w:r>
                                <w:rPr>
                                  <w:spacing w:val="-10"/>
                                  <w:sz w:val="28"/>
                                </w:rPr>
                                <w:t>1</w:t>
                              </w:r>
                            </w:p>
                          </w:txbxContent>
                        </wps:txbx>
                        <wps:bodyPr wrap="square" lIns="0" tIns="0" rIns="0" bIns="0" rtlCol="0">
                          <a:noAutofit/>
                        </wps:bodyPr>
                      </wps:wsp>
                      <wps:wsp>
                        <wps:cNvPr id="191" name="Textbox 191"/>
                        <wps:cNvSpPr txBox="1"/>
                        <wps:spPr>
                          <a:xfrm>
                            <a:off x="4601590" y="1665169"/>
                            <a:ext cx="128905" cy="516255"/>
                          </a:xfrm>
                          <a:prstGeom prst="rect">
                            <a:avLst/>
                          </a:prstGeom>
                        </wps:spPr>
                        <wps:txbx>
                          <w:txbxContent>
                            <w:p w14:paraId="58A405FA">
                              <w:pPr>
                                <w:spacing w:line="309" w:lineRule="exact"/>
                                <w:ind w:left="43"/>
                                <w:rPr>
                                  <w:sz w:val="28"/>
                                </w:rPr>
                              </w:pPr>
                              <w:r>
                                <w:rPr>
                                  <w:spacing w:val="-10"/>
                                  <w:sz w:val="28"/>
                                </w:rPr>
                                <w:t>2</w:t>
                              </w:r>
                            </w:p>
                            <w:p w14:paraId="2786269B">
                              <w:pPr>
                                <w:spacing w:before="182" w:line="322" w:lineRule="exact"/>
                                <w:rPr>
                                  <w:sz w:val="28"/>
                                </w:rPr>
                              </w:pPr>
                              <w:r>
                                <w:rPr>
                                  <w:spacing w:val="-10"/>
                                  <w:sz w:val="28"/>
                                </w:rPr>
                                <w:t>3</w:t>
                              </w:r>
                            </w:p>
                          </w:txbxContent>
                        </wps:txbx>
                        <wps:bodyPr wrap="square" lIns="0" tIns="0" rIns="0" bIns="0" rtlCol="0">
                          <a:noAutofit/>
                        </wps:bodyPr>
                      </wps:wsp>
                      <wps:wsp>
                        <wps:cNvPr id="192" name="Textbox 192"/>
                        <wps:cNvSpPr txBox="1"/>
                        <wps:spPr>
                          <a:xfrm>
                            <a:off x="4616830" y="2585919"/>
                            <a:ext cx="101600" cy="196215"/>
                          </a:xfrm>
                          <a:prstGeom prst="rect">
                            <a:avLst/>
                          </a:prstGeom>
                        </wps:spPr>
                        <wps:txbx>
                          <w:txbxContent>
                            <w:p w14:paraId="3D3D0C59">
                              <w:pPr>
                                <w:spacing w:line="308" w:lineRule="exact"/>
                                <w:rPr>
                                  <w:sz w:val="28"/>
                                </w:rPr>
                              </w:pPr>
                              <w:r>
                                <w:rPr>
                                  <w:spacing w:val="-10"/>
                                  <w:sz w:val="28"/>
                                </w:rPr>
                                <w:t>4</w:t>
                              </w:r>
                            </w:p>
                          </w:txbxContent>
                        </wps:txbx>
                        <wps:bodyPr wrap="square" lIns="0" tIns="0" rIns="0" bIns="0" rtlCol="0">
                          <a:noAutofit/>
                        </wps:bodyPr>
                      </wps:wsp>
                      <wps:wsp>
                        <wps:cNvPr id="193" name="Textbox 193"/>
                        <wps:cNvSpPr txBox="1"/>
                        <wps:spPr>
                          <a:xfrm>
                            <a:off x="4385183" y="3028260"/>
                            <a:ext cx="101600" cy="196215"/>
                          </a:xfrm>
                          <a:prstGeom prst="rect">
                            <a:avLst/>
                          </a:prstGeom>
                        </wps:spPr>
                        <wps:txbx>
                          <w:txbxContent>
                            <w:p w14:paraId="73784F05">
                              <w:pPr>
                                <w:spacing w:line="308" w:lineRule="exact"/>
                                <w:rPr>
                                  <w:sz w:val="28"/>
                                </w:rPr>
                              </w:pPr>
                              <w:r>
                                <w:rPr>
                                  <w:spacing w:val="-10"/>
                                  <w:sz w:val="28"/>
                                </w:rPr>
                                <w:t>5</w:t>
                              </w:r>
                            </w:p>
                          </w:txbxContent>
                        </wps:txbx>
                        <wps:bodyPr wrap="square" lIns="0" tIns="0" rIns="0" bIns="0" rtlCol="0">
                          <a:noAutofit/>
                        </wps:bodyPr>
                      </wps:wsp>
                    </wpg:wgp>
                  </a:graphicData>
                </a:graphic>
              </wp:anchor>
            </w:drawing>
          </mc:Choice>
          <mc:Fallback>
            <w:pict>
              <v:group id="Group 183" o:spid="_x0000_s1026" o:spt="203" style="position:absolute;left:0pt;margin-left:136.5pt;margin-top:0.3pt;height:472.5pt;width:380.55pt;mso-position-horizontal-relative:page;z-index:251673600;mso-width-relative:page;mso-height-relative:page;" coordsize="4832985,3383279" o:gfxdata="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2QEAA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">
                <o:lock v:ext="edit" aspectratio="f"/>
                <v:shape id="Image 184" o:spid="_x0000_s1026" o:spt="75" alt="C:\Users\03XO-ORD11\Desktop\рис 1.jpg" type="#_x0000_t75" style="position:absolute;left:358140;top:0;height:3383279;width:3781425;" filled="f" o:preferrelative="t" stroked="f" coordsize="21600,21600" o:gfxdata="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R16AugAAANwA&#10;AAAPAAAAAAAAAAEAIAAAACIAAABkcnMvZG93bnJldi54bWxQSwECFAAUAAAACACHTuJAMy8FnjsA&#10;AAA5AAAAEAAAAAAAAAABACAAAAAJAQAAZHJzL3NoYXBleG1sLnhtbFBLBQYAAAAABgAGAFsBAACz&#10;AwAAAAA=&#10;">
                  <v:fill on="f" focussize="0,0"/>
                  <v:stroke on="f"/>
                  <v:imagedata r:id="rId59" o:title=""/>
                  <o:lock v:ext="edit" aspectratio="f"/>
                </v:shape>
                <v:shape id="Graphic 185" o:spid="_x0000_s1026" o:spt="100" style="position:absolute;left:3014345;top:1227772;height:1270;width:1478280;" filled="f" stroked="t" coordsize="1478280,1" o:gfxdata="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5yJoi8AAAA&#10;3AAAAA8AAAAAAAAAAQAgAAAAIgAAAGRycy9kb3ducmV2LnhtbFBLAQIUABQAAAAIAIdO4kAzLwWe&#10;OwAAADkAAAAQAAAAAAAAAAEAIAAAAAsBAABkcnMvc2hhcGV4bWwueG1sUEsFBgAAAAAGAAYAWwEA&#10;ALUDAAAAAA==&#10;" path="m0,0l1478279,0e">
                  <v:fill on="f" focussize="0,0"/>
                  <v:stroke weight="1.25pt" color="#000000" joinstyle="round"/>
                  <v:imagedata o:title=""/>
                  <o:lock v:ext="edit" aspectratio="f"/>
                  <v:textbox inset="0mm,0mm,0mm,0mm"/>
                </v:shape>
                <v:shape id="Graphic 186" o:spid="_x0000_s1026" o:spt="100" style="position:absolute;left:2847339;top:1766570;height:1270;width:1666239;" filled="f" stroked="t" coordsize="1666239,1" o:gfxdata="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PpTy8AAAA&#10;3AAAAA8AAAAAAAAAAQAgAAAAIgAAAGRycy9kb3ducmV2LnhtbFBLAQIUABQAAAAIAIdO4kAzLwWe&#10;OwAAADkAAAAQAAAAAAAAAAEAIAAAAAsBAABkcnMvc2hhcGV4bWwueG1sUEsFBgAAAAAGAAYAWwEA&#10;ALUDAAAAAA==&#10;" path="m0,0l1666240,0e">
                  <v:fill on="f" focussize="0,0"/>
                  <v:stroke weight="2pt" color="#000000" joinstyle="round"/>
                  <v:imagedata o:title=""/>
                  <o:lock v:ext="edit" aspectratio="f"/>
                  <v:textbox inset="0mm,0mm,0mm,0mm"/>
                </v:shape>
                <v:shape id="Graphic 187" o:spid="_x0000_s1026" o:spt="100" style="position:absolute;left:3197225;top:2075497;height:1270;width:1254760;" filled="f" stroked="t" coordsize="1254760,1" o:gfxdata="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Jy8TbsAAADc&#10;AAAADwAAAAAAAAABACAAAAAiAAAAZHJzL2Rvd25yZXYueG1sUEsBAhQAFAAAAAgAh07iQDMvBZ47&#10;AAAAOQAAABAAAAAAAAAAAQAgAAAACgEAAGRycy9zaGFwZXhtbC54bWxQSwUGAAAAAAYABgBbAQAA&#10;tAMAAAAA&#10;" path="m0,0l1254760,0e">
                  <v:fill on="f" focussize="0,0"/>
                  <v:stroke weight="1.25pt" color="#000000" joinstyle="round"/>
                  <v:imagedata o:title=""/>
                  <o:lock v:ext="edit" aspectratio="f"/>
                  <v:textbox inset="0mm,0mm,0mm,0mm"/>
                </v:shape>
                <v:shape id="Graphic 188" o:spid="_x0000_s1026" o:spt="100" style="position:absolute;left:3175;top:2061210;height:1074420;width:4484370;" filled="f" stroked="t" coordsize="4484370,1074420" o:gfxdata="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QWplm/&#10;AAAA3AAAAA8AAAAAAAAAAQAgAAAAIgAAAGRycy9kb3ducmV2LnhtbFBLAQIUABQAAAAIAIdO4kAz&#10;LwWeOwAAADkAAAAQAAAAAAAAAAEAIAAAAA4BAABkcnMvc2hhcGV4bWwueG1sUEsFBgAAAAAGAAYA&#10;WwEAALgDAAAAAA==&#10;" path="m2636520,0l4484370,552450em2313940,426719l4428490,1074419em2135504,598804l16509,855979em1290955,409575l0,810894e">
                  <v:fill on="f" focussize="0,0"/>
                  <v:stroke weight="0.5pt" color="#000000" joinstyle="round"/>
                  <v:imagedata o:title=""/>
                  <o:lock v:ext="edit" aspectratio="f"/>
                  <v:textbox inset="0mm,0mm,0mm,0mm"/>
                </v:shape>
                <v:shape id="Graphic 189" o:spid="_x0000_s1026" o:spt="100" style="position:absolute;left:4267835;top:1927859;height:1386205;width:565150;" fillcolor="#FFFFFF" filled="t" stroked="f" coordsize="565150,1386205" o:gfxdata="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sln3y8AAAA&#10;3AAAAA8AAAAAAAAAAQAgAAAAIgAAAGRycy9kb3ducmV2LnhtbFBLAQIUABQAAAAIAIdO4kAzLwWe&#10;OwAAADkAAAAQAAAAAAAAAAEAIAAAAAsBAABkcnMvc2hhcGV4bWwueG1sUEsFBgAAAAAGAAYAWwEA&#10;ALUDAAAAAA==&#10;" path="m323850,1043305l0,1043305,0,1386205,323850,1386205,323850,1043305xem565150,0l184150,0,184150,304800,565150,304800,565150,0xe">
                  <v:fill on="t" focussize="0,0"/>
                  <v:stroke on="f"/>
                  <v:imagedata o:title=""/>
                  <o:lock v:ext="edit" aspectratio="f"/>
                  <v:textbox inset="0mm,0mm,0mm,0mm"/>
                </v:shape>
                <v:shape id="Textbox 190" o:spid="_x0000_s1026" o:spt="202" type="#_x0000_t202" style="position:absolute;left:4607686;top:1116529;height:196215;width:101600;" filled="f" stroked="f" coordsize="21600,21600" o:gfxdata="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w+W/&#10;AAAA3AAAAA8AAAAAAAAAAQAgAAAAIgAAAGRycy9kb3ducmV2LnhtbFBLAQIUABQAAAAIAIdO4kAz&#10;LwWeOwAAADkAAAAQAAAAAAAAAAEAIAAAAA4BAABkcnMvc2hhcGV4bWwueG1sUEsFBgAAAAAGAAYA&#10;WwEAALgDAAAAAA==&#10;">
                  <v:fill on="f" focussize="0,0"/>
                  <v:stroke on="f"/>
                  <v:imagedata o:title=""/>
                  <o:lock v:ext="edit" aspectratio="f"/>
                  <v:textbox inset="0mm,0mm,0mm,0mm">
                    <w:txbxContent>
                      <w:p w14:paraId="6CBBD5F6">
                        <w:pPr>
                          <w:spacing w:line="308" w:lineRule="exact"/>
                          <w:rPr>
                            <w:sz w:val="28"/>
                          </w:rPr>
                        </w:pPr>
                        <w:r>
                          <w:rPr>
                            <w:spacing w:val="-10"/>
                            <w:sz w:val="28"/>
                          </w:rPr>
                          <w:t>1</w:t>
                        </w:r>
                      </w:p>
                    </w:txbxContent>
                  </v:textbox>
                </v:shape>
                <v:shape id="Textbox 191" o:spid="_x0000_s1026" o:spt="202" type="#_x0000_t202" style="position:absolute;left:4601590;top:1665169;height:516255;width:128905;" filled="f" stroked="f" coordsize="21600,21600" o:gfxdata="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DGZn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8A405FA">
                        <w:pPr>
                          <w:spacing w:line="309" w:lineRule="exact"/>
                          <w:ind w:left="43"/>
                          <w:rPr>
                            <w:sz w:val="28"/>
                          </w:rPr>
                        </w:pPr>
                        <w:r>
                          <w:rPr>
                            <w:spacing w:val="-10"/>
                            <w:sz w:val="28"/>
                          </w:rPr>
                          <w:t>2</w:t>
                        </w:r>
                      </w:p>
                      <w:p w14:paraId="2786269B">
                        <w:pPr>
                          <w:spacing w:before="182" w:line="322" w:lineRule="exact"/>
                          <w:rPr>
                            <w:sz w:val="28"/>
                          </w:rPr>
                        </w:pPr>
                        <w:r>
                          <w:rPr>
                            <w:spacing w:val="-10"/>
                            <w:sz w:val="28"/>
                          </w:rPr>
                          <w:t>3</w:t>
                        </w:r>
                      </w:p>
                    </w:txbxContent>
                  </v:textbox>
                </v:shape>
                <v:shape id="Textbox 192" o:spid="_x0000_s1026" o:spt="202" type="#_x0000_t202" style="position:absolute;left:4616830;top:2585919;height:196215;width:101600;" filled="f" stroked="f" coordsize="21600,21600" o:gfxdata="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BT4C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3D3D0C59">
                        <w:pPr>
                          <w:spacing w:line="308" w:lineRule="exact"/>
                          <w:rPr>
                            <w:sz w:val="28"/>
                          </w:rPr>
                        </w:pPr>
                        <w:r>
                          <w:rPr>
                            <w:spacing w:val="-10"/>
                            <w:sz w:val="28"/>
                          </w:rPr>
                          <w:t>4</w:t>
                        </w:r>
                      </w:p>
                    </w:txbxContent>
                  </v:textbox>
                </v:shape>
                <v:shape id="Textbox 193" o:spid="_x0000_s1026" o:spt="202" type="#_x0000_t202" style="position:absolute;left:4385183;top:3028260;height:196215;width:101600;" filled="f" stroked="f" coordsize="21600,21600" o:gfxdata="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9YXZK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73784F05">
                        <w:pPr>
                          <w:spacing w:line="308" w:lineRule="exact"/>
                          <w:rPr>
                            <w:sz w:val="28"/>
                          </w:rPr>
                        </w:pPr>
                        <w:r>
                          <w:rPr>
                            <w:spacing w:val="-10"/>
                            <w:sz w:val="28"/>
                          </w:rPr>
                          <w:t>5</w:t>
                        </w:r>
                      </w:p>
                    </w:txbxContent>
                  </v:textbox>
                </v:shape>
              </v:group>
            </w:pict>
          </mc:Fallback>
        </mc:AlternateContent>
      </w:r>
    </w:p>
    <w:p w14:paraId="78C8BE1A">
      <w:pPr>
        <w:pStyle w:val="7"/>
        <w:ind w:left="0" w:firstLine="0"/>
        <w:jc w:val="left"/>
      </w:pPr>
    </w:p>
    <w:p w14:paraId="4831E8F3">
      <w:pPr>
        <w:pStyle w:val="7"/>
        <w:ind w:left="0" w:firstLine="0"/>
        <w:jc w:val="left"/>
      </w:pPr>
    </w:p>
    <w:p w14:paraId="3DC295B5">
      <w:pPr>
        <w:pStyle w:val="7"/>
        <w:ind w:left="0" w:firstLine="0"/>
        <w:jc w:val="left"/>
      </w:pPr>
    </w:p>
    <w:p w14:paraId="6CF61C04">
      <w:pPr>
        <w:pStyle w:val="7"/>
        <w:ind w:left="0" w:firstLine="0"/>
        <w:jc w:val="left"/>
      </w:pPr>
    </w:p>
    <w:p w14:paraId="389DA86F">
      <w:pPr>
        <w:pStyle w:val="7"/>
        <w:ind w:left="0" w:firstLine="0"/>
        <w:jc w:val="left"/>
      </w:pPr>
    </w:p>
    <w:p w14:paraId="13538238">
      <w:pPr>
        <w:pStyle w:val="7"/>
        <w:ind w:left="0" w:firstLine="0"/>
        <w:jc w:val="left"/>
      </w:pPr>
    </w:p>
    <w:p w14:paraId="05B7544C">
      <w:pPr>
        <w:pStyle w:val="7"/>
        <w:ind w:left="0" w:firstLine="0"/>
        <w:jc w:val="left"/>
      </w:pPr>
    </w:p>
    <w:p w14:paraId="652992B1">
      <w:pPr>
        <w:pStyle w:val="7"/>
        <w:ind w:left="0" w:firstLine="0"/>
        <w:jc w:val="left"/>
      </w:pPr>
    </w:p>
    <w:p w14:paraId="06ED7B27">
      <w:pPr>
        <w:pStyle w:val="7"/>
        <w:ind w:left="0" w:firstLine="0"/>
        <w:jc w:val="left"/>
      </w:pPr>
    </w:p>
    <w:p w14:paraId="5F9A3B64">
      <w:pPr>
        <w:pStyle w:val="7"/>
        <w:ind w:left="0" w:firstLine="0"/>
        <w:jc w:val="left"/>
      </w:pPr>
    </w:p>
    <w:p w14:paraId="3AE55C52">
      <w:pPr>
        <w:pStyle w:val="7"/>
        <w:ind w:left="0" w:firstLine="0"/>
        <w:jc w:val="left"/>
      </w:pPr>
    </w:p>
    <w:p w14:paraId="0C138C56">
      <w:pPr>
        <w:pStyle w:val="7"/>
        <w:spacing w:before="268"/>
        <w:ind w:left="0" w:firstLine="0"/>
        <w:jc w:val="left"/>
      </w:pPr>
    </w:p>
    <w:p w14:paraId="44DCC8FB">
      <w:pPr>
        <w:pStyle w:val="7"/>
        <w:ind w:left="35" w:firstLine="0"/>
        <w:jc w:val="left"/>
        <w:rPr>
          <w:spacing w:val="-10"/>
          <w:lang w:val="kk-KZ"/>
        </w:rPr>
      </w:pPr>
    </w:p>
    <w:p w14:paraId="411131BE">
      <w:pPr>
        <w:pStyle w:val="7"/>
        <w:ind w:left="35" w:firstLine="0"/>
        <w:jc w:val="left"/>
        <w:rPr>
          <w:spacing w:val="-10"/>
          <w:lang w:val="kk-KZ"/>
        </w:rPr>
      </w:pPr>
    </w:p>
    <w:p w14:paraId="720C12D3">
      <w:pPr>
        <w:pStyle w:val="7"/>
        <w:ind w:left="35" w:firstLine="0"/>
        <w:jc w:val="left"/>
        <w:rPr>
          <w:spacing w:val="-10"/>
          <w:lang w:val="kk-KZ"/>
        </w:rPr>
      </w:pPr>
    </w:p>
    <w:p w14:paraId="7BEBD344">
      <w:pPr>
        <w:pStyle w:val="7"/>
        <w:ind w:left="35" w:firstLine="0"/>
        <w:jc w:val="left"/>
        <w:rPr>
          <w:spacing w:val="-10"/>
          <w:lang w:val="kk-KZ"/>
        </w:rPr>
      </w:pPr>
    </w:p>
    <w:p w14:paraId="371ED771">
      <w:pPr>
        <w:pStyle w:val="7"/>
        <w:ind w:left="35" w:firstLine="0"/>
        <w:jc w:val="left"/>
        <w:rPr>
          <w:spacing w:val="-10"/>
          <w:lang w:val="kk-KZ"/>
        </w:rPr>
      </w:pPr>
    </w:p>
    <w:p w14:paraId="536C2CFA">
      <w:pPr>
        <w:pStyle w:val="7"/>
        <w:ind w:left="35" w:firstLine="0"/>
        <w:jc w:val="left"/>
        <w:rPr>
          <w:spacing w:val="-10"/>
          <w:lang w:val="kk-KZ"/>
        </w:rPr>
      </w:pPr>
    </w:p>
    <w:p w14:paraId="2595171C">
      <w:pPr>
        <w:pStyle w:val="7"/>
        <w:ind w:left="35" w:firstLine="0"/>
        <w:jc w:val="left"/>
        <w:rPr>
          <w:spacing w:val="-10"/>
          <w:lang w:val="kk-KZ"/>
        </w:rPr>
      </w:pPr>
    </w:p>
    <w:p w14:paraId="683DAADB">
      <w:pPr>
        <w:pStyle w:val="7"/>
        <w:ind w:left="35" w:firstLine="0"/>
        <w:jc w:val="left"/>
        <w:rPr>
          <w:spacing w:val="-10"/>
          <w:lang w:val="kk-KZ"/>
        </w:rPr>
      </w:pPr>
    </w:p>
    <w:p w14:paraId="78E77DDE">
      <w:pPr>
        <w:pStyle w:val="7"/>
        <w:ind w:left="35" w:firstLine="0"/>
        <w:jc w:val="left"/>
        <w:rPr>
          <w:spacing w:val="-10"/>
          <w:lang w:val="kk-KZ"/>
        </w:rPr>
      </w:pPr>
    </w:p>
    <w:p w14:paraId="702A0102">
      <w:pPr>
        <w:pStyle w:val="7"/>
        <w:ind w:left="35" w:firstLine="0"/>
        <w:jc w:val="left"/>
        <w:rPr>
          <w:spacing w:val="-10"/>
          <w:lang w:val="kk-KZ"/>
        </w:rPr>
      </w:pPr>
    </w:p>
    <w:p w14:paraId="380B238E">
      <w:pPr>
        <w:pStyle w:val="7"/>
        <w:ind w:left="35" w:firstLine="0"/>
        <w:jc w:val="left"/>
        <w:rPr>
          <w:spacing w:val="-10"/>
          <w:lang w:val="kk-KZ"/>
        </w:rPr>
      </w:pPr>
    </w:p>
    <w:p w14:paraId="64FB6AD9">
      <w:pPr>
        <w:pStyle w:val="7"/>
        <w:ind w:left="35" w:firstLine="0"/>
        <w:jc w:val="left"/>
      </w:pPr>
      <w:r>
        <w:rPr>
          <w:spacing w:val="-10"/>
        </w:rPr>
        <w:t>6</w:t>
      </w:r>
    </w:p>
    <w:p w14:paraId="1C3EFC19">
      <w:pPr>
        <w:pStyle w:val="7"/>
        <w:ind w:left="0" w:firstLine="0"/>
        <w:jc w:val="left"/>
      </w:pPr>
    </w:p>
    <w:p w14:paraId="375A08D3">
      <w:pPr>
        <w:pStyle w:val="7"/>
        <w:spacing w:before="71"/>
        <w:ind w:left="0" w:firstLine="0"/>
        <w:jc w:val="left"/>
      </w:pPr>
    </w:p>
    <w:p w14:paraId="12726035">
      <w:pPr>
        <w:pStyle w:val="7"/>
        <w:ind w:left="2552" w:hanging="1843"/>
        <w:jc w:val="left"/>
        <w:rPr>
          <w:lang w:val="kk-KZ"/>
        </w:rPr>
      </w:pPr>
    </w:p>
    <w:p w14:paraId="0D7479B5">
      <w:pPr>
        <w:pStyle w:val="7"/>
        <w:ind w:left="2552" w:hanging="1843"/>
        <w:jc w:val="left"/>
        <w:rPr>
          <w:lang w:val="kk-KZ"/>
        </w:rPr>
      </w:pPr>
    </w:p>
    <w:p w14:paraId="6E5333AA">
      <w:pPr>
        <w:pStyle w:val="7"/>
        <w:ind w:left="2552" w:hanging="1843"/>
        <w:jc w:val="left"/>
        <w:rPr>
          <w:lang w:val="kk-KZ"/>
        </w:rPr>
      </w:pPr>
    </w:p>
    <w:p w14:paraId="141153E8">
      <w:pPr>
        <w:pStyle w:val="7"/>
        <w:ind w:left="0" w:firstLine="0"/>
        <w:jc w:val="center"/>
      </w:pPr>
      <w:r>
        <w:t>Рисунок</w:t>
      </w:r>
      <w:r>
        <w:rPr>
          <w:spacing w:val="-7"/>
        </w:rPr>
        <w:t xml:space="preserve"> </w:t>
      </w:r>
      <w:r>
        <w:t>26</w:t>
      </w:r>
      <w:r>
        <w:rPr>
          <w:spacing w:val="-5"/>
        </w:rPr>
        <w:t xml:space="preserve"> </w:t>
      </w:r>
      <w:r>
        <w:t>-</w:t>
      </w:r>
      <w:r>
        <w:rPr>
          <w:spacing w:val="-7"/>
        </w:rPr>
        <w:t xml:space="preserve"> </w:t>
      </w:r>
      <w:r>
        <w:t>Схематическое</w:t>
      </w:r>
      <w:r>
        <w:rPr>
          <w:spacing w:val="-5"/>
        </w:rPr>
        <w:t xml:space="preserve"> </w:t>
      </w:r>
      <w:r>
        <w:t>изображение</w:t>
      </w:r>
      <w:r>
        <w:rPr>
          <w:spacing w:val="-5"/>
        </w:rPr>
        <w:t xml:space="preserve"> </w:t>
      </w:r>
      <w:r>
        <w:t>окутывания</w:t>
      </w:r>
      <w:r>
        <w:rPr>
          <w:spacing w:val="-5"/>
        </w:rPr>
        <w:t xml:space="preserve"> </w:t>
      </w:r>
      <w:r>
        <w:t>культи</w:t>
      </w:r>
      <w:r>
        <w:rPr>
          <w:spacing w:val="-6"/>
        </w:rPr>
        <w:t xml:space="preserve"> </w:t>
      </w:r>
      <w:r>
        <w:t>ГДА</w:t>
      </w:r>
      <w:r>
        <w:rPr>
          <w:spacing w:val="-9"/>
        </w:rPr>
        <w:t xml:space="preserve"> </w:t>
      </w:r>
      <w:r>
        <w:t>и печеночной артерии круглой связкой печени</w:t>
      </w:r>
    </w:p>
    <w:p w14:paraId="4C3953DE">
      <w:pPr>
        <w:pStyle w:val="7"/>
        <w:spacing w:line="322" w:lineRule="exact"/>
        <w:ind w:left="991" w:firstLine="0"/>
        <w:jc w:val="left"/>
        <w:rPr>
          <w:lang w:val="kk-KZ"/>
        </w:rPr>
      </w:pPr>
    </w:p>
    <w:p w14:paraId="77CCA92B">
      <w:pPr>
        <w:pStyle w:val="7"/>
        <w:spacing w:line="322" w:lineRule="exact"/>
        <w:ind w:left="991" w:hanging="991"/>
        <w:jc w:val="left"/>
      </w:pPr>
      <w:r>
        <w:t>Метод</w:t>
      </w:r>
      <w:r>
        <w:rPr>
          <w:spacing w:val="-5"/>
        </w:rPr>
        <w:t xml:space="preserve"> </w:t>
      </w:r>
      <w:r>
        <w:t>поясняется</w:t>
      </w:r>
      <w:r>
        <w:rPr>
          <w:spacing w:val="-5"/>
        </w:rPr>
        <w:t xml:space="preserve"> </w:t>
      </w:r>
      <w:r>
        <w:t>на</w:t>
      </w:r>
      <w:r>
        <w:rPr>
          <w:spacing w:val="-5"/>
        </w:rPr>
        <w:t xml:space="preserve"> </w:t>
      </w:r>
      <w:r>
        <w:t>рисунках</w:t>
      </w:r>
      <w:r>
        <w:rPr>
          <w:spacing w:val="-10"/>
        </w:rPr>
        <w:t xml:space="preserve"> </w:t>
      </w:r>
      <w:r>
        <w:t>26–27,</w:t>
      </w:r>
      <w:r>
        <w:rPr>
          <w:spacing w:val="-4"/>
        </w:rPr>
        <w:t xml:space="preserve"> где:</w:t>
      </w:r>
    </w:p>
    <w:p w14:paraId="0182D82D">
      <w:pPr>
        <w:pStyle w:val="10"/>
        <w:numPr>
          <w:ilvl w:val="0"/>
          <w:numId w:val="21"/>
        </w:numPr>
        <w:tabs>
          <w:tab w:val="left" w:pos="1202"/>
        </w:tabs>
        <w:spacing w:line="322" w:lineRule="exact"/>
        <w:ind w:hanging="211"/>
        <w:rPr>
          <w:sz w:val="28"/>
        </w:rPr>
      </w:pPr>
      <w:r>
        <w:rPr>
          <w:sz w:val="28"/>
        </w:rPr>
        <w:t xml:space="preserve">– </w:t>
      </w:r>
      <w:r>
        <w:rPr>
          <w:spacing w:val="-2"/>
          <w:sz w:val="28"/>
        </w:rPr>
        <w:t>аорта;</w:t>
      </w:r>
    </w:p>
    <w:p w14:paraId="13ABEC13">
      <w:pPr>
        <w:pStyle w:val="10"/>
        <w:numPr>
          <w:ilvl w:val="0"/>
          <w:numId w:val="21"/>
        </w:numPr>
        <w:tabs>
          <w:tab w:val="left" w:pos="1202"/>
        </w:tabs>
        <w:spacing w:line="322" w:lineRule="exact"/>
        <w:ind w:hanging="211"/>
        <w:rPr>
          <w:sz w:val="28"/>
        </w:rPr>
      </w:pPr>
      <w:r>
        <w:rPr>
          <w:sz w:val="28"/>
        </w:rPr>
        <w:t>–</w:t>
      </w:r>
      <w:r>
        <w:rPr>
          <w:spacing w:val="-7"/>
          <w:sz w:val="28"/>
        </w:rPr>
        <w:t xml:space="preserve"> </w:t>
      </w:r>
      <w:r>
        <w:rPr>
          <w:sz w:val="28"/>
        </w:rPr>
        <w:t>чревный</w:t>
      </w:r>
      <w:r>
        <w:rPr>
          <w:spacing w:val="-7"/>
          <w:sz w:val="28"/>
        </w:rPr>
        <w:t xml:space="preserve"> </w:t>
      </w:r>
      <w:r>
        <w:rPr>
          <w:spacing w:val="-2"/>
          <w:sz w:val="28"/>
        </w:rPr>
        <w:t>ствол;</w:t>
      </w:r>
    </w:p>
    <w:p w14:paraId="458C5172">
      <w:pPr>
        <w:pStyle w:val="10"/>
        <w:numPr>
          <w:ilvl w:val="0"/>
          <w:numId w:val="21"/>
        </w:numPr>
        <w:tabs>
          <w:tab w:val="left" w:pos="1202"/>
        </w:tabs>
        <w:ind w:hanging="211"/>
        <w:rPr>
          <w:sz w:val="28"/>
        </w:rPr>
      </w:pPr>
      <w:r>
        <w:rPr>
          <w:sz w:val="28"/>
        </w:rPr>
        <w:t>–</w:t>
      </w:r>
      <w:r>
        <w:rPr>
          <w:spacing w:val="-7"/>
          <w:sz w:val="28"/>
        </w:rPr>
        <w:t xml:space="preserve"> </w:t>
      </w:r>
      <w:r>
        <w:rPr>
          <w:sz w:val="28"/>
        </w:rPr>
        <w:t>селезёночная</w:t>
      </w:r>
      <w:r>
        <w:rPr>
          <w:spacing w:val="-6"/>
          <w:sz w:val="28"/>
        </w:rPr>
        <w:t xml:space="preserve"> </w:t>
      </w:r>
      <w:r>
        <w:rPr>
          <w:spacing w:val="-2"/>
          <w:sz w:val="28"/>
        </w:rPr>
        <w:t>артерия;</w:t>
      </w:r>
    </w:p>
    <w:p w14:paraId="331D5EC4">
      <w:pPr>
        <w:pStyle w:val="10"/>
        <w:numPr>
          <w:ilvl w:val="0"/>
          <w:numId w:val="21"/>
        </w:numPr>
        <w:tabs>
          <w:tab w:val="left" w:pos="1202"/>
        </w:tabs>
        <w:spacing w:line="322" w:lineRule="exact"/>
        <w:ind w:hanging="211"/>
        <w:rPr>
          <w:sz w:val="28"/>
        </w:rPr>
      </w:pPr>
      <w:r>
        <w:rPr>
          <w:sz w:val="28"/>
        </w:rPr>
        <w:t>–</w:t>
      </w:r>
      <w:r>
        <w:rPr>
          <w:spacing w:val="-6"/>
          <w:sz w:val="28"/>
        </w:rPr>
        <w:t xml:space="preserve"> </w:t>
      </w:r>
      <w:r>
        <w:rPr>
          <w:sz w:val="28"/>
        </w:rPr>
        <w:t>общая</w:t>
      </w:r>
      <w:r>
        <w:rPr>
          <w:spacing w:val="-5"/>
          <w:sz w:val="28"/>
        </w:rPr>
        <w:t xml:space="preserve"> </w:t>
      </w:r>
      <w:r>
        <w:rPr>
          <w:sz w:val="28"/>
        </w:rPr>
        <w:t>печёночная</w:t>
      </w:r>
      <w:r>
        <w:rPr>
          <w:spacing w:val="-4"/>
          <w:sz w:val="28"/>
        </w:rPr>
        <w:t xml:space="preserve"> </w:t>
      </w:r>
      <w:r>
        <w:rPr>
          <w:spacing w:val="-2"/>
          <w:sz w:val="28"/>
        </w:rPr>
        <w:t>артерия;</w:t>
      </w:r>
    </w:p>
    <w:p w14:paraId="08C946FE">
      <w:pPr>
        <w:pStyle w:val="10"/>
        <w:numPr>
          <w:ilvl w:val="0"/>
          <w:numId w:val="21"/>
        </w:numPr>
        <w:tabs>
          <w:tab w:val="left" w:pos="1202"/>
        </w:tabs>
        <w:spacing w:line="322" w:lineRule="exact"/>
        <w:ind w:hanging="211"/>
        <w:rPr>
          <w:sz w:val="28"/>
        </w:rPr>
      </w:pPr>
      <w:r>
        <w:rPr>
          <w:sz w:val="28"/>
        </w:rPr>
        <w:t>–</w:t>
      </w:r>
      <w:r>
        <w:rPr>
          <w:spacing w:val="-7"/>
          <w:sz w:val="28"/>
        </w:rPr>
        <w:t xml:space="preserve"> </w:t>
      </w:r>
      <w:r>
        <w:rPr>
          <w:sz w:val="28"/>
        </w:rPr>
        <w:t>культя</w:t>
      </w:r>
      <w:r>
        <w:rPr>
          <w:spacing w:val="-5"/>
          <w:sz w:val="28"/>
        </w:rPr>
        <w:t xml:space="preserve"> </w:t>
      </w:r>
      <w:r>
        <w:rPr>
          <w:spacing w:val="-4"/>
          <w:sz w:val="28"/>
        </w:rPr>
        <w:t>ГДА;</w:t>
      </w:r>
    </w:p>
    <w:p w14:paraId="2CB5442F">
      <w:pPr>
        <w:pStyle w:val="10"/>
        <w:numPr>
          <w:ilvl w:val="0"/>
          <w:numId w:val="21"/>
        </w:numPr>
        <w:tabs>
          <w:tab w:val="left" w:pos="1202"/>
        </w:tabs>
        <w:spacing w:line="322" w:lineRule="exact"/>
        <w:ind w:hanging="211"/>
        <w:rPr>
          <w:sz w:val="28"/>
        </w:rPr>
      </w:pPr>
      <w:r>
        <w:rPr>
          <w:sz w:val="28"/>
        </w:rPr>
        <w:t>–</w:t>
      </w:r>
      <w:r>
        <w:rPr>
          <w:spacing w:val="-7"/>
          <w:sz w:val="28"/>
        </w:rPr>
        <w:t xml:space="preserve"> </w:t>
      </w:r>
      <w:r>
        <w:rPr>
          <w:sz w:val="28"/>
        </w:rPr>
        <w:t>круглая</w:t>
      </w:r>
      <w:r>
        <w:rPr>
          <w:spacing w:val="-5"/>
          <w:sz w:val="28"/>
        </w:rPr>
        <w:t xml:space="preserve"> </w:t>
      </w:r>
      <w:r>
        <w:rPr>
          <w:sz w:val="28"/>
        </w:rPr>
        <w:t>связка</w:t>
      </w:r>
      <w:r>
        <w:rPr>
          <w:spacing w:val="-6"/>
          <w:sz w:val="28"/>
        </w:rPr>
        <w:t xml:space="preserve"> </w:t>
      </w:r>
      <w:r>
        <w:rPr>
          <w:spacing w:val="-2"/>
          <w:sz w:val="28"/>
        </w:rPr>
        <w:t>печени.</w:t>
      </w:r>
    </w:p>
    <w:p w14:paraId="4105849C">
      <w:pPr>
        <w:pStyle w:val="10"/>
        <w:spacing w:line="322" w:lineRule="exact"/>
        <w:jc w:val="left"/>
        <w:rPr>
          <w:sz w:val="28"/>
        </w:rPr>
        <w:sectPr>
          <w:pgSz w:w="11910" w:h="16840"/>
          <w:pgMar w:top="1134" w:right="567" w:bottom="1134" w:left="1701" w:header="0" w:footer="936" w:gutter="0"/>
          <w:cols w:space="720" w:num="1"/>
        </w:sectPr>
      </w:pPr>
    </w:p>
    <w:p w14:paraId="0BBD1DBB">
      <w:pPr>
        <w:pStyle w:val="7"/>
        <w:ind w:left="0" w:firstLine="0"/>
        <w:jc w:val="center"/>
        <w:rPr>
          <w:sz w:val="20"/>
        </w:rPr>
      </w:pPr>
      <w:r>
        <w:rPr>
          <w:sz w:val="20"/>
          <w:lang w:eastAsia="ru-RU"/>
        </w:rPr>
        <w:drawing>
          <wp:inline distT="0" distB="0" distL="0" distR="0">
            <wp:extent cx="3634740" cy="3018790"/>
            <wp:effectExtent l="0" t="0" r="0" b="0"/>
            <wp:docPr id="194" name="Image 194" descr="C:\Users\03XO-ORD11\Desktop\рис 2.png"/>
            <wp:cNvGraphicFramePr/>
            <a:graphic xmlns:a="http://schemas.openxmlformats.org/drawingml/2006/main">
              <a:graphicData uri="http://schemas.openxmlformats.org/drawingml/2006/picture">
                <pic:pic xmlns:pic="http://schemas.openxmlformats.org/drawingml/2006/picture">
                  <pic:nvPicPr>
                    <pic:cNvPr id="194" name="Image 194" descr="C:\Users\03XO-ORD11\Desktop\рис 2.png"/>
                    <pic:cNvPicPr/>
                  </pic:nvPicPr>
                  <pic:blipFill>
                    <a:blip r:embed="rId60" cstate="print"/>
                    <a:stretch>
                      <a:fillRect/>
                    </a:stretch>
                  </pic:blipFill>
                  <pic:spPr>
                    <a:xfrm>
                      <a:off x="0" y="0"/>
                      <a:ext cx="3634837" cy="3018853"/>
                    </a:xfrm>
                    <a:prstGeom prst="rect">
                      <a:avLst/>
                    </a:prstGeom>
                  </pic:spPr>
                </pic:pic>
              </a:graphicData>
            </a:graphic>
          </wp:inline>
        </w:drawing>
      </w:r>
    </w:p>
    <w:p w14:paraId="712A463A">
      <w:pPr>
        <w:pStyle w:val="7"/>
        <w:spacing w:before="10" w:after="7"/>
        <w:ind w:left="0" w:firstLine="0"/>
        <w:jc w:val="center"/>
      </w:pPr>
      <w:r>
        <w:rPr>
          <w:spacing w:val="-5"/>
          <w:lang w:val="kk-KZ"/>
        </w:rPr>
        <w:t>а</w:t>
      </w:r>
      <w:r>
        <w:rPr>
          <w:spacing w:val="-5"/>
        </w:rPr>
        <w:t>)</w:t>
      </w:r>
    </w:p>
    <w:p w14:paraId="7DD52138">
      <w:pPr>
        <w:pStyle w:val="7"/>
        <w:ind w:left="0" w:firstLine="0"/>
        <w:jc w:val="center"/>
        <w:rPr>
          <w:sz w:val="20"/>
        </w:rPr>
      </w:pPr>
      <w:r>
        <w:rPr>
          <w:sz w:val="20"/>
          <w:lang w:eastAsia="ru-RU"/>
        </w:rPr>
        <w:drawing>
          <wp:inline distT="0" distB="0" distL="0" distR="0">
            <wp:extent cx="3552190" cy="3417570"/>
            <wp:effectExtent l="0" t="0" r="0" b="0"/>
            <wp:docPr id="195" name="Image 195" descr="C:\Users\03XO-ORD11\Desktop\рис 5.jpg"/>
            <wp:cNvGraphicFramePr/>
            <a:graphic xmlns:a="http://schemas.openxmlformats.org/drawingml/2006/main">
              <a:graphicData uri="http://schemas.openxmlformats.org/drawingml/2006/picture">
                <pic:pic xmlns:pic="http://schemas.openxmlformats.org/drawingml/2006/picture">
                  <pic:nvPicPr>
                    <pic:cNvPr id="195" name="Image 195" descr="C:\Users\03XO-ORD11\Desktop\рис 5.jpg"/>
                    <pic:cNvPicPr/>
                  </pic:nvPicPr>
                  <pic:blipFill>
                    <a:blip r:embed="rId61" cstate="print"/>
                    <a:stretch>
                      <a:fillRect/>
                    </a:stretch>
                  </pic:blipFill>
                  <pic:spPr>
                    <a:xfrm>
                      <a:off x="0" y="0"/>
                      <a:ext cx="3552774" cy="3417570"/>
                    </a:xfrm>
                    <a:prstGeom prst="rect">
                      <a:avLst/>
                    </a:prstGeom>
                  </pic:spPr>
                </pic:pic>
              </a:graphicData>
            </a:graphic>
          </wp:inline>
        </w:drawing>
      </w:r>
    </w:p>
    <w:p w14:paraId="74684ED0">
      <w:pPr>
        <w:pStyle w:val="7"/>
        <w:spacing w:before="12" w:line="322" w:lineRule="exact"/>
        <w:ind w:left="2398" w:hanging="2398"/>
        <w:jc w:val="center"/>
        <w:rPr>
          <w:spacing w:val="-5"/>
        </w:rPr>
      </w:pPr>
      <w:r>
        <w:rPr>
          <w:spacing w:val="-5"/>
          <w:lang w:val="kk-KZ"/>
        </w:rPr>
        <w:t>б</w:t>
      </w:r>
      <w:r>
        <w:rPr>
          <w:spacing w:val="-5"/>
        </w:rPr>
        <w:t>)</w:t>
      </w:r>
    </w:p>
    <w:p w14:paraId="60A469F0">
      <w:pPr>
        <w:pStyle w:val="7"/>
        <w:spacing w:before="12" w:line="322" w:lineRule="exact"/>
        <w:ind w:left="2398" w:firstLine="0"/>
        <w:jc w:val="left"/>
      </w:pPr>
    </w:p>
    <w:p w14:paraId="1E80F714">
      <w:pPr>
        <w:pStyle w:val="7"/>
        <w:ind w:left="0" w:right="144" w:firstLine="0"/>
        <w:jc w:val="center"/>
      </w:pPr>
      <w:r>
        <w:t>Рисунок 27 - А) – Оборачивание связки вокруг сосудов; Б)</w:t>
      </w:r>
      <w:r>
        <w:rPr>
          <w:spacing w:val="-9"/>
        </w:rPr>
        <w:t xml:space="preserve"> </w:t>
      </w:r>
      <w:r>
        <w:t>–</w:t>
      </w:r>
      <w:r>
        <w:rPr>
          <w:spacing w:val="-7"/>
        </w:rPr>
        <w:t xml:space="preserve"> </w:t>
      </w:r>
      <w:r>
        <w:t>Фиксация</w:t>
      </w:r>
      <w:r>
        <w:rPr>
          <w:spacing w:val="-3"/>
        </w:rPr>
        <w:t xml:space="preserve"> </w:t>
      </w:r>
      <w:r>
        <w:t>«манжеты»</w:t>
      </w:r>
      <w:r>
        <w:rPr>
          <w:spacing w:val="-11"/>
        </w:rPr>
        <w:t xml:space="preserve"> </w:t>
      </w:r>
      <w:r>
        <w:t>двумя-тремя</w:t>
      </w:r>
      <w:r>
        <w:rPr>
          <w:spacing w:val="-3"/>
        </w:rPr>
        <w:t xml:space="preserve"> </w:t>
      </w:r>
      <w:r>
        <w:t>узловыми</w:t>
      </w:r>
      <w:r>
        <w:rPr>
          <w:spacing w:val="-8"/>
        </w:rPr>
        <w:t xml:space="preserve"> </w:t>
      </w:r>
      <w:r>
        <w:t>швами</w:t>
      </w:r>
    </w:p>
    <w:p w14:paraId="54937A67">
      <w:pPr>
        <w:pStyle w:val="7"/>
        <w:spacing w:before="4"/>
        <w:ind w:left="1418" w:right="144" w:hanging="971"/>
        <w:jc w:val="center"/>
      </w:pPr>
    </w:p>
    <w:p w14:paraId="38CBADD7">
      <w:pPr>
        <w:pStyle w:val="7"/>
        <w:tabs>
          <w:tab w:val="left" w:pos="5245"/>
          <w:tab w:val="left" w:pos="5670"/>
          <w:tab w:val="left" w:pos="6379"/>
        </w:tabs>
        <w:ind w:left="0" w:right="3" w:firstLine="709"/>
      </w:pPr>
      <w:r>
        <w:rPr>
          <w:i/>
        </w:rPr>
        <w:t xml:space="preserve">Клинический пример. </w:t>
      </w:r>
      <w:r>
        <w:t>Пациент М., 1955 г.р., поступил в ННЦХ имени А.Н. Сызганова с опухолью БДС. Пациенту выполнена ГПДР. В процессе вмешательства после пересечения ГДА произведено окутывание культи ГДА и печёночной артерии мобилизованной круглой связкой печени. Реконструктивный этап включал формирование ПЕА, ГЕА и ГЭА.</w:t>
      </w:r>
    </w:p>
    <w:p w14:paraId="78D8E493">
      <w:pPr>
        <w:pStyle w:val="7"/>
        <w:sectPr>
          <w:pgSz w:w="11910" w:h="16840"/>
          <w:pgMar w:top="1134" w:right="567" w:bottom="1134" w:left="1701" w:header="0" w:footer="936" w:gutter="0"/>
          <w:cols w:space="720" w:num="1"/>
        </w:sectPr>
      </w:pPr>
    </w:p>
    <w:p w14:paraId="33C5C294">
      <w:pPr>
        <w:pStyle w:val="7"/>
        <w:ind w:left="0" w:firstLine="0"/>
        <w:jc w:val="center"/>
        <w:rPr>
          <w:sz w:val="20"/>
        </w:rPr>
      </w:pPr>
      <w:r>
        <w:rPr>
          <w:sz w:val="20"/>
          <w:lang w:eastAsia="ru-RU"/>
        </w:rPr>
        <w:drawing>
          <wp:inline distT="0" distB="0" distL="0" distR="0">
            <wp:extent cx="3906520" cy="3376930"/>
            <wp:effectExtent l="0" t="0" r="0" b="0"/>
            <wp:docPr id="196" name="Image 196"/>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62" cstate="print"/>
                    <a:stretch>
                      <a:fillRect/>
                    </a:stretch>
                  </pic:blipFill>
                  <pic:spPr>
                    <a:xfrm>
                      <a:off x="0" y="0"/>
                      <a:ext cx="3909837" cy="3379513"/>
                    </a:xfrm>
                    <a:prstGeom prst="rect">
                      <a:avLst/>
                    </a:prstGeom>
                  </pic:spPr>
                </pic:pic>
              </a:graphicData>
            </a:graphic>
          </wp:inline>
        </w:drawing>
      </w:r>
    </w:p>
    <w:p w14:paraId="44C68640">
      <w:pPr>
        <w:pStyle w:val="7"/>
        <w:spacing w:before="289"/>
        <w:ind w:left="0" w:right="4" w:firstLine="0"/>
        <w:jc w:val="center"/>
      </w:pPr>
      <w:r>
        <w:t>Рисунок</w:t>
      </w:r>
      <w:r>
        <w:rPr>
          <w:spacing w:val="-10"/>
        </w:rPr>
        <w:t xml:space="preserve"> </w:t>
      </w:r>
      <w:r>
        <w:t>28</w:t>
      </w:r>
      <w:r>
        <w:rPr>
          <w:spacing w:val="-9"/>
        </w:rPr>
        <w:t xml:space="preserve"> </w:t>
      </w:r>
      <w:r>
        <w:t>—</w:t>
      </w:r>
      <w:r>
        <w:rPr>
          <w:spacing w:val="-5"/>
        </w:rPr>
        <w:t xml:space="preserve"> </w:t>
      </w:r>
      <w:r>
        <w:t>Интраоперационное</w:t>
      </w:r>
      <w:r>
        <w:rPr>
          <w:spacing w:val="-9"/>
        </w:rPr>
        <w:t xml:space="preserve"> </w:t>
      </w:r>
      <w:r>
        <w:t>фото</w:t>
      </w:r>
      <w:r>
        <w:rPr>
          <w:spacing w:val="-5"/>
        </w:rPr>
        <w:t xml:space="preserve"> </w:t>
      </w:r>
      <w:r>
        <w:t>культи ГДА и печеночной артерии</w:t>
      </w:r>
    </w:p>
    <w:p w14:paraId="0F1920F7">
      <w:pPr>
        <w:pStyle w:val="7"/>
        <w:spacing w:before="73"/>
        <w:ind w:left="0" w:firstLine="0"/>
        <w:jc w:val="left"/>
        <w:rPr>
          <w:sz w:val="20"/>
        </w:rPr>
      </w:pPr>
      <w:r>
        <w:rPr>
          <w:sz w:val="20"/>
          <w:lang w:eastAsia="ru-RU"/>
        </w:rPr>
        <w:drawing>
          <wp:anchor distT="0" distB="0" distL="0" distR="0" simplePos="0" relativeHeight="251695104" behindDoc="1" locked="0" layoutInCell="1" allowOverlap="1">
            <wp:simplePos x="0" y="0"/>
            <wp:positionH relativeFrom="page">
              <wp:posOffset>2233930</wp:posOffset>
            </wp:positionH>
            <wp:positionV relativeFrom="paragraph">
              <wp:posOffset>202565</wp:posOffset>
            </wp:positionV>
            <wp:extent cx="4000500" cy="3376930"/>
            <wp:effectExtent l="0" t="0" r="0" b="0"/>
            <wp:wrapTopAndBottom/>
            <wp:docPr id="197" name="Image 197"/>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63" cstate="print"/>
                    <a:stretch>
                      <a:fillRect/>
                    </a:stretch>
                  </pic:blipFill>
                  <pic:spPr>
                    <a:xfrm>
                      <a:off x="0" y="0"/>
                      <a:ext cx="4000500" cy="3376930"/>
                    </a:xfrm>
                    <a:prstGeom prst="rect">
                      <a:avLst/>
                    </a:prstGeom>
                  </pic:spPr>
                </pic:pic>
              </a:graphicData>
            </a:graphic>
          </wp:anchor>
        </w:drawing>
      </w:r>
    </w:p>
    <w:p w14:paraId="0D2E8DC2">
      <w:pPr>
        <w:pStyle w:val="7"/>
        <w:spacing w:before="227"/>
        <w:ind w:left="0" w:right="1077" w:firstLine="0"/>
        <w:jc w:val="center"/>
        <w:rPr>
          <w:lang w:val="kk-KZ"/>
        </w:rPr>
      </w:pPr>
    </w:p>
    <w:p w14:paraId="268B4833">
      <w:pPr>
        <w:pStyle w:val="7"/>
        <w:spacing w:before="227"/>
        <w:ind w:left="0" w:right="1077" w:firstLine="0"/>
        <w:jc w:val="center"/>
        <w:rPr>
          <w:lang w:val="kk-KZ"/>
        </w:rPr>
        <w:sectPr>
          <w:pgSz w:w="11910" w:h="16840"/>
          <w:pgMar w:top="1120" w:right="283" w:bottom="1200" w:left="1275" w:header="0" w:footer="935" w:gutter="0"/>
          <w:cols w:space="720" w:num="1"/>
        </w:sectPr>
      </w:pPr>
      <w:r>
        <w:t>Рисунок</w:t>
      </w:r>
      <w:r>
        <w:rPr>
          <w:spacing w:val="-7"/>
        </w:rPr>
        <w:t xml:space="preserve"> </w:t>
      </w:r>
      <w:r>
        <w:t>29</w:t>
      </w:r>
      <w:r>
        <w:rPr>
          <w:spacing w:val="-5"/>
        </w:rPr>
        <w:t xml:space="preserve"> </w:t>
      </w:r>
      <w:r>
        <w:t>—</w:t>
      </w:r>
      <w:r>
        <w:rPr>
          <w:spacing w:val="-1"/>
        </w:rPr>
        <w:t xml:space="preserve"> </w:t>
      </w:r>
      <w:r>
        <w:t>Интраоперационный</w:t>
      </w:r>
      <w:r>
        <w:rPr>
          <w:spacing w:val="-6"/>
        </w:rPr>
        <w:t xml:space="preserve"> </w:t>
      </w:r>
      <w:r>
        <w:t>этап окутывания</w:t>
      </w:r>
      <w:r>
        <w:rPr>
          <w:spacing w:val="-5"/>
        </w:rPr>
        <w:t xml:space="preserve"> </w:t>
      </w:r>
      <w:r>
        <w:t>культи</w:t>
      </w:r>
      <w:r>
        <w:rPr>
          <w:spacing w:val="-6"/>
        </w:rPr>
        <w:t xml:space="preserve"> </w:t>
      </w:r>
      <w:r>
        <w:t>ГДА</w:t>
      </w:r>
      <w:r>
        <w:rPr>
          <w:spacing w:val="-10"/>
        </w:rPr>
        <w:t xml:space="preserve"> </w:t>
      </w:r>
      <w:r>
        <w:t>и печечночной артерии круглой связкой печени, А) общий вид сохраненного круглого связки печени</w:t>
      </w:r>
      <w:r>
        <w:rPr>
          <w:lang w:val="kk-KZ"/>
        </w:rPr>
        <w:t>, лист 1</w:t>
      </w:r>
    </w:p>
    <w:p w14:paraId="485DA41E">
      <w:pPr>
        <w:pStyle w:val="7"/>
        <w:ind w:left="0" w:firstLine="0"/>
        <w:jc w:val="center"/>
        <w:rPr>
          <w:sz w:val="20"/>
        </w:rPr>
      </w:pPr>
      <w:r>
        <w:rPr>
          <w:sz w:val="20"/>
          <w:lang w:eastAsia="ru-RU"/>
        </w:rPr>
        <w:drawing>
          <wp:inline distT="0" distB="0" distL="0" distR="0">
            <wp:extent cx="3758565" cy="2914650"/>
            <wp:effectExtent l="0" t="0" r="0" b="0"/>
            <wp:docPr id="198" name="Image 198"/>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64" cstate="print"/>
                    <a:stretch>
                      <a:fillRect/>
                    </a:stretch>
                  </pic:blipFill>
                  <pic:spPr>
                    <a:xfrm>
                      <a:off x="0" y="0"/>
                      <a:ext cx="3758661" cy="2914745"/>
                    </a:xfrm>
                    <a:prstGeom prst="rect">
                      <a:avLst/>
                    </a:prstGeom>
                  </pic:spPr>
                </pic:pic>
              </a:graphicData>
            </a:graphic>
          </wp:inline>
        </w:drawing>
      </w:r>
    </w:p>
    <w:p w14:paraId="4B6DF9B3">
      <w:pPr>
        <w:pStyle w:val="7"/>
        <w:spacing w:before="236"/>
        <w:ind w:left="0" w:firstLine="0"/>
        <w:jc w:val="center"/>
      </w:pPr>
      <w:r>
        <w:rPr>
          <w:lang w:val="kk-KZ"/>
        </w:rPr>
        <w:t>б</w:t>
      </w:r>
      <w:r>
        <w:t>)</w:t>
      </w:r>
      <w:r>
        <w:rPr>
          <w:spacing w:val="-8"/>
        </w:rPr>
        <w:t xml:space="preserve"> </w:t>
      </w:r>
      <w:r>
        <w:t>Интраоперационный</w:t>
      </w:r>
      <w:r>
        <w:rPr>
          <w:spacing w:val="-11"/>
        </w:rPr>
        <w:t xml:space="preserve"> </w:t>
      </w:r>
      <w:r>
        <w:t>этап</w:t>
      </w:r>
      <w:r>
        <w:rPr>
          <w:spacing w:val="-10"/>
        </w:rPr>
        <w:t xml:space="preserve"> </w:t>
      </w:r>
      <w:r>
        <w:t>подготовки</w:t>
      </w:r>
      <w:r>
        <w:rPr>
          <w:spacing w:val="-11"/>
        </w:rPr>
        <w:t xml:space="preserve"> </w:t>
      </w:r>
      <w:r>
        <w:t>круглой</w:t>
      </w:r>
      <w:r>
        <w:rPr>
          <w:spacing w:val="-11"/>
        </w:rPr>
        <w:t xml:space="preserve"> </w:t>
      </w:r>
      <w:r>
        <w:t>связки</w:t>
      </w:r>
      <w:r>
        <w:rPr>
          <w:spacing w:val="-11"/>
        </w:rPr>
        <w:t xml:space="preserve"> </w:t>
      </w:r>
      <w:r>
        <w:rPr>
          <w:spacing w:val="-2"/>
        </w:rPr>
        <w:t>печени</w:t>
      </w:r>
    </w:p>
    <w:p w14:paraId="551129F5">
      <w:pPr>
        <w:pStyle w:val="7"/>
        <w:spacing w:before="5"/>
        <w:ind w:left="0" w:firstLine="0"/>
        <w:jc w:val="left"/>
        <w:rPr>
          <w:sz w:val="20"/>
        </w:rPr>
      </w:pPr>
      <w:r>
        <w:rPr>
          <w:sz w:val="20"/>
          <w:lang w:eastAsia="ru-RU"/>
        </w:rPr>
        <w:drawing>
          <wp:anchor distT="0" distB="0" distL="0" distR="0" simplePos="0" relativeHeight="251696128" behindDoc="1" locked="0" layoutInCell="1" allowOverlap="1">
            <wp:simplePos x="0" y="0"/>
            <wp:positionH relativeFrom="page">
              <wp:posOffset>2317750</wp:posOffset>
            </wp:positionH>
            <wp:positionV relativeFrom="paragraph">
              <wp:posOffset>164465</wp:posOffset>
            </wp:positionV>
            <wp:extent cx="3704590" cy="2866390"/>
            <wp:effectExtent l="0" t="0" r="0" b="0"/>
            <wp:wrapTopAndBottom/>
            <wp:docPr id="199" name="Image 199"/>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65" cstate="print"/>
                    <a:stretch>
                      <a:fillRect/>
                    </a:stretch>
                  </pic:blipFill>
                  <pic:spPr>
                    <a:xfrm>
                      <a:off x="0" y="0"/>
                      <a:ext cx="3704590" cy="2866390"/>
                    </a:xfrm>
                    <a:prstGeom prst="rect">
                      <a:avLst/>
                    </a:prstGeom>
                  </pic:spPr>
                </pic:pic>
              </a:graphicData>
            </a:graphic>
          </wp:anchor>
        </w:drawing>
      </w:r>
    </w:p>
    <w:p w14:paraId="75C0B2BE">
      <w:pPr>
        <w:pStyle w:val="7"/>
        <w:ind w:left="991" w:right="291" w:firstLine="163"/>
        <w:rPr>
          <w:lang w:val="kk-KZ"/>
        </w:rPr>
      </w:pPr>
    </w:p>
    <w:p w14:paraId="0E83855B">
      <w:pPr>
        <w:pStyle w:val="7"/>
        <w:ind w:left="991" w:right="291" w:firstLine="163"/>
        <w:jc w:val="center"/>
      </w:pPr>
      <w:r>
        <w:rPr>
          <w:lang w:val="kk-KZ"/>
        </w:rPr>
        <w:t>в</w:t>
      </w:r>
      <w:r>
        <w:t>) Интраоперационный этап фиксации круглой связки печени</w:t>
      </w:r>
    </w:p>
    <w:p w14:paraId="669FB65E">
      <w:pPr>
        <w:pStyle w:val="7"/>
        <w:ind w:left="991" w:right="291" w:firstLine="163"/>
      </w:pPr>
    </w:p>
    <w:p w14:paraId="4D7D3EF5">
      <w:pPr>
        <w:pStyle w:val="7"/>
        <w:ind w:left="0" w:right="3" w:firstLine="0"/>
        <w:jc w:val="center"/>
        <w:rPr>
          <w:lang w:val="kk-KZ"/>
        </w:rPr>
      </w:pPr>
      <w:r>
        <w:t>Рисунок</w:t>
      </w:r>
      <w:r>
        <w:rPr>
          <w:spacing w:val="-7"/>
        </w:rPr>
        <w:t xml:space="preserve"> </w:t>
      </w:r>
      <w:r>
        <w:t>29</w:t>
      </w:r>
      <w:r>
        <w:rPr>
          <w:lang w:val="kk-KZ"/>
        </w:rPr>
        <w:t>, лист 2</w:t>
      </w:r>
    </w:p>
    <w:p w14:paraId="666B1C7E">
      <w:pPr>
        <w:pStyle w:val="7"/>
        <w:ind w:left="0" w:right="3" w:firstLine="709"/>
        <w:rPr>
          <w:lang w:val="kk-KZ"/>
        </w:rPr>
      </w:pPr>
    </w:p>
    <w:p w14:paraId="18242AD6">
      <w:pPr>
        <w:pStyle w:val="7"/>
        <w:ind w:left="0" w:right="3" w:firstLine="709"/>
      </w:pPr>
      <w:r>
        <w:rPr>
          <w:spacing w:val="-5"/>
        </w:rPr>
        <w:t xml:space="preserve"> </w:t>
      </w:r>
      <w:r>
        <w:t>Послеоперационный</w:t>
      </w:r>
      <w:r>
        <w:rPr>
          <w:spacing w:val="47"/>
          <w:w w:val="150"/>
        </w:rPr>
        <w:t xml:space="preserve"> </w:t>
      </w:r>
      <w:r>
        <w:t>период</w:t>
      </w:r>
      <w:r>
        <w:rPr>
          <w:spacing w:val="50"/>
          <w:w w:val="150"/>
        </w:rPr>
        <w:t xml:space="preserve"> </w:t>
      </w:r>
      <w:r>
        <w:t>протекал</w:t>
      </w:r>
      <w:r>
        <w:rPr>
          <w:spacing w:val="48"/>
          <w:w w:val="150"/>
        </w:rPr>
        <w:t xml:space="preserve"> </w:t>
      </w:r>
      <w:r>
        <w:t>без</w:t>
      </w:r>
      <w:r>
        <w:rPr>
          <w:spacing w:val="48"/>
          <w:w w:val="150"/>
        </w:rPr>
        <w:t xml:space="preserve"> </w:t>
      </w:r>
      <w:r>
        <w:t>признаков</w:t>
      </w:r>
      <w:r>
        <w:rPr>
          <w:spacing w:val="46"/>
          <w:w w:val="150"/>
        </w:rPr>
        <w:t xml:space="preserve"> </w:t>
      </w:r>
      <w:r>
        <w:t>кровотечения</w:t>
      </w:r>
      <w:r>
        <w:rPr>
          <w:spacing w:val="49"/>
          <w:w w:val="150"/>
        </w:rPr>
        <w:t xml:space="preserve"> </w:t>
      </w:r>
      <w:r>
        <w:rPr>
          <w:spacing w:val="-5"/>
        </w:rPr>
        <w:t>или</w:t>
      </w:r>
      <w:r>
        <w:t xml:space="preserve"> несостоятельности анастомозов. Отмечалось умеренное отделяемое по</w:t>
      </w:r>
      <w:r>
        <w:rPr>
          <w:spacing w:val="-1"/>
        </w:rPr>
        <w:t xml:space="preserve"> </w:t>
      </w:r>
      <w:r>
        <w:t>дренажу (30–40 мл/сут) с амилазной активностью 350 Ед/л. Пациент выписан на 13-е сутки после операции в удовлетворительном состоянии.</w:t>
      </w:r>
    </w:p>
    <w:p w14:paraId="3E8C22CB">
      <w:pPr>
        <w:pStyle w:val="7"/>
        <w:ind w:left="0" w:right="3" w:firstLine="709"/>
      </w:pPr>
      <w:r>
        <w:t>Разработанный метод профилактики аррозивных кровотечений был применён у 120 больных, перенёсших ГПДР по поводу опухолей периампулярной зоны. С момента внедрения методики (с 2023 года) в клинической практике центра не зарегистрировано ни одного случая аррозивного кровотечения из культи ГДА и печеночной артерии, что свидетельствует о высокой воспроизводимости и безопасности предложенного способа (табл. 24).</w:t>
      </w:r>
    </w:p>
    <w:p w14:paraId="51FC91ED">
      <w:pPr>
        <w:pStyle w:val="7"/>
        <w:spacing w:before="67"/>
        <w:ind w:left="0" w:firstLine="0"/>
        <w:jc w:val="left"/>
        <w:rPr>
          <w:lang w:val="kk-KZ"/>
        </w:rPr>
      </w:pPr>
    </w:p>
    <w:p w14:paraId="531AC79B">
      <w:pPr>
        <w:pStyle w:val="7"/>
        <w:spacing w:before="67"/>
        <w:ind w:left="0" w:firstLine="0"/>
        <w:jc w:val="left"/>
      </w:pPr>
      <w:r>
        <w:t>Таблица</w:t>
      </w:r>
      <w:r>
        <w:rPr>
          <w:spacing w:val="-3"/>
        </w:rPr>
        <w:t xml:space="preserve"> </w:t>
      </w:r>
      <w:r>
        <w:t>24</w:t>
      </w:r>
      <w:r>
        <w:rPr>
          <w:spacing w:val="-1"/>
        </w:rPr>
        <w:t xml:space="preserve"> </w:t>
      </w:r>
      <w:r>
        <w:t>-</w:t>
      </w:r>
      <w:r>
        <w:rPr>
          <w:spacing w:val="-5"/>
        </w:rPr>
        <w:t xml:space="preserve"> </w:t>
      </w:r>
      <w:r>
        <w:t>Характеристика</w:t>
      </w:r>
      <w:r>
        <w:rPr>
          <w:spacing w:val="-1"/>
        </w:rPr>
        <w:t xml:space="preserve"> </w:t>
      </w:r>
      <w:r>
        <w:t>послеоперационных</w:t>
      </w:r>
      <w:r>
        <w:rPr>
          <w:spacing w:val="-8"/>
        </w:rPr>
        <w:t xml:space="preserve"> </w:t>
      </w:r>
      <w:r>
        <w:t>осложнений</w:t>
      </w:r>
      <w:r>
        <w:rPr>
          <w:spacing w:val="-4"/>
        </w:rPr>
        <w:t xml:space="preserve"> </w:t>
      </w:r>
      <w:r>
        <w:t>после</w:t>
      </w:r>
      <w:r>
        <w:rPr>
          <w:spacing w:val="-3"/>
        </w:rPr>
        <w:t xml:space="preserve"> </w:t>
      </w:r>
      <w:r>
        <w:t>ГПДР</w:t>
      </w:r>
      <w:r>
        <w:rPr>
          <w:spacing w:val="-5"/>
        </w:rPr>
        <w:t xml:space="preserve"> </w:t>
      </w:r>
      <w:r>
        <w:t>до</w:t>
      </w:r>
      <w:r>
        <w:rPr>
          <w:spacing w:val="-4"/>
        </w:rPr>
        <w:t xml:space="preserve"> </w:t>
      </w:r>
      <w:r>
        <w:t>и после применения метода окутывания сосудов круглой связкой печени</w:t>
      </w:r>
    </w:p>
    <w:p w14:paraId="45686A50">
      <w:pPr>
        <w:pStyle w:val="7"/>
        <w:ind w:left="0" w:firstLine="0"/>
        <w:jc w:val="left"/>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02"/>
        <w:gridCol w:w="2552"/>
        <w:gridCol w:w="2410"/>
        <w:gridCol w:w="1275"/>
      </w:tblGrid>
      <w:tr w14:paraId="1A250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3402" w:type="dxa"/>
          </w:tcPr>
          <w:p w14:paraId="51C35335">
            <w:pPr>
              <w:pStyle w:val="11"/>
              <w:spacing w:before="156" w:line="240" w:lineRule="auto"/>
              <w:ind w:left="1003"/>
              <w:jc w:val="left"/>
              <w:rPr>
                <w:sz w:val="28"/>
                <w:szCs w:val="28"/>
              </w:rPr>
            </w:pPr>
            <w:r>
              <w:rPr>
                <w:spacing w:val="-2"/>
                <w:sz w:val="28"/>
                <w:szCs w:val="28"/>
              </w:rPr>
              <w:t>Показатели</w:t>
            </w:r>
          </w:p>
        </w:tc>
        <w:tc>
          <w:tcPr>
            <w:tcW w:w="2552" w:type="dxa"/>
          </w:tcPr>
          <w:p w14:paraId="4D5BF16B">
            <w:pPr>
              <w:pStyle w:val="11"/>
              <w:spacing w:line="322" w:lineRule="exact"/>
              <w:ind w:left="835" w:right="318" w:hanging="505"/>
              <w:jc w:val="left"/>
              <w:rPr>
                <w:sz w:val="28"/>
                <w:szCs w:val="28"/>
              </w:rPr>
            </w:pPr>
            <w:r>
              <w:rPr>
                <w:sz w:val="28"/>
                <w:szCs w:val="28"/>
              </w:rPr>
              <w:t>Без</w:t>
            </w:r>
            <w:r>
              <w:rPr>
                <w:spacing w:val="-18"/>
                <w:sz w:val="28"/>
                <w:szCs w:val="28"/>
              </w:rPr>
              <w:t xml:space="preserve"> </w:t>
            </w:r>
            <w:r>
              <w:rPr>
                <w:sz w:val="28"/>
                <w:szCs w:val="28"/>
              </w:rPr>
              <w:t>окутывания n = 150</w:t>
            </w:r>
          </w:p>
        </w:tc>
        <w:tc>
          <w:tcPr>
            <w:tcW w:w="2410" w:type="dxa"/>
          </w:tcPr>
          <w:p w14:paraId="5B49758E">
            <w:pPr>
              <w:pStyle w:val="11"/>
              <w:spacing w:line="322" w:lineRule="exact"/>
              <w:ind w:left="729" w:right="233" w:hanging="491"/>
              <w:jc w:val="left"/>
              <w:rPr>
                <w:sz w:val="28"/>
                <w:szCs w:val="28"/>
              </w:rPr>
            </w:pPr>
            <w:r>
              <w:rPr>
                <w:sz w:val="28"/>
                <w:szCs w:val="28"/>
              </w:rPr>
              <w:t>С</w:t>
            </w:r>
            <w:r>
              <w:rPr>
                <w:spacing w:val="-18"/>
                <w:sz w:val="28"/>
                <w:szCs w:val="28"/>
              </w:rPr>
              <w:t xml:space="preserve"> </w:t>
            </w:r>
            <w:r>
              <w:rPr>
                <w:sz w:val="28"/>
                <w:szCs w:val="28"/>
              </w:rPr>
              <w:t>окутыванием n = 120</w:t>
            </w:r>
          </w:p>
        </w:tc>
        <w:tc>
          <w:tcPr>
            <w:tcW w:w="1275" w:type="dxa"/>
            <w:vMerge w:val="restart"/>
          </w:tcPr>
          <w:p w14:paraId="2C2FA0B4">
            <w:pPr>
              <w:pStyle w:val="11"/>
              <w:spacing w:before="26" w:line="240" w:lineRule="auto"/>
              <w:jc w:val="left"/>
              <w:rPr>
                <w:sz w:val="28"/>
                <w:szCs w:val="28"/>
              </w:rPr>
            </w:pPr>
          </w:p>
          <w:p w14:paraId="3A34E43F">
            <w:pPr>
              <w:pStyle w:val="11"/>
              <w:spacing w:line="240" w:lineRule="auto"/>
              <w:ind w:left="286"/>
              <w:jc w:val="left"/>
              <w:rPr>
                <w:sz w:val="28"/>
                <w:szCs w:val="28"/>
              </w:rPr>
            </w:pPr>
            <w:r>
              <w:rPr>
                <w:spacing w:val="-2"/>
                <w:sz w:val="28"/>
                <w:szCs w:val="28"/>
              </w:rPr>
              <w:t>P-value</w:t>
            </w:r>
          </w:p>
        </w:tc>
      </w:tr>
      <w:tr w14:paraId="1A0FA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02" w:type="dxa"/>
          </w:tcPr>
          <w:p w14:paraId="19FC5B11">
            <w:pPr>
              <w:pStyle w:val="11"/>
              <w:spacing w:line="315" w:lineRule="exact"/>
              <w:ind w:left="10"/>
              <w:rPr>
                <w:sz w:val="28"/>
                <w:szCs w:val="28"/>
              </w:rPr>
            </w:pPr>
            <w:r>
              <w:rPr>
                <w:spacing w:val="-2"/>
                <w:sz w:val="28"/>
                <w:szCs w:val="28"/>
              </w:rPr>
              <w:t>Период</w:t>
            </w:r>
          </w:p>
        </w:tc>
        <w:tc>
          <w:tcPr>
            <w:tcW w:w="2552" w:type="dxa"/>
          </w:tcPr>
          <w:p w14:paraId="013E6B34">
            <w:pPr>
              <w:pStyle w:val="11"/>
              <w:spacing w:line="315" w:lineRule="exact"/>
              <w:ind w:left="10" w:right="1"/>
              <w:rPr>
                <w:sz w:val="28"/>
                <w:szCs w:val="28"/>
              </w:rPr>
            </w:pPr>
            <w:r>
              <w:rPr>
                <w:sz w:val="28"/>
                <w:szCs w:val="28"/>
              </w:rPr>
              <w:t>2019</w:t>
            </w:r>
            <w:r>
              <w:rPr>
                <w:spacing w:val="-6"/>
                <w:sz w:val="28"/>
                <w:szCs w:val="28"/>
              </w:rPr>
              <w:t xml:space="preserve"> </w:t>
            </w:r>
            <w:r>
              <w:rPr>
                <w:sz w:val="28"/>
                <w:szCs w:val="28"/>
              </w:rPr>
              <w:t>-2022</w:t>
            </w:r>
            <w:r>
              <w:rPr>
                <w:spacing w:val="-6"/>
                <w:sz w:val="28"/>
                <w:szCs w:val="28"/>
              </w:rPr>
              <w:t xml:space="preserve"> </w:t>
            </w:r>
            <w:r>
              <w:rPr>
                <w:spacing w:val="-5"/>
                <w:sz w:val="28"/>
                <w:szCs w:val="28"/>
              </w:rPr>
              <w:t>гг.</w:t>
            </w:r>
          </w:p>
        </w:tc>
        <w:tc>
          <w:tcPr>
            <w:tcW w:w="2410" w:type="dxa"/>
          </w:tcPr>
          <w:p w14:paraId="52A35D11">
            <w:pPr>
              <w:pStyle w:val="11"/>
              <w:spacing w:line="315" w:lineRule="exact"/>
              <w:ind w:left="9" w:right="1"/>
              <w:rPr>
                <w:sz w:val="28"/>
                <w:szCs w:val="28"/>
              </w:rPr>
            </w:pPr>
            <w:r>
              <w:rPr>
                <w:sz w:val="28"/>
                <w:szCs w:val="28"/>
              </w:rPr>
              <w:t>2023-2025</w:t>
            </w:r>
            <w:r>
              <w:rPr>
                <w:spacing w:val="-10"/>
                <w:sz w:val="28"/>
                <w:szCs w:val="28"/>
              </w:rPr>
              <w:t xml:space="preserve"> </w:t>
            </w:r>
            <w:r>
              <w:rPr>
                <w:spacing w:val="-5"/>
                <w:sz w:val="28"/>
                <w:szCs w:val="28"/>
              </w:rPr>
              <w:t>гг.</w:t>
            </w:r>
          </w:p>
        </w:tc>
        <w:tc>
          <w:tcPr>
            <w:tcW w:w="1275" w:type="dxa"/>
            <w:vMerge w:val="continue"/>
            <w:tcBorders>
              <w:top w:val="nil"/>
            </w:tcBorders>
          </w:tcPr>
          <w:p w14:paraId="60363156">
            <w:pPr>
              <w:rPr>
                <w:sz w:val="28"/>
                <w:szCs w:val="28"/>
              </w:rPr>
            </w:pPr>
          </w:p>
        </w:tc>
      </w:tr>
      <w:tr w14:paraId="47379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3402" w:type="dxa"/>
          </w:tcPr>
          <w:p w14:paraId="655009D6">
            <w:pPr>
              <w:pStyle w:val="11"/>
              <w:spacing w:line="240" w:lineRule="auto"/>
              <w:ind w:left="110" w:right="468"/>
              <w:jc w:val="left"/>
              <w:rPr>
                <w:sz w:val="28"/>
                <w:szCs w:val="28"/>
              </w:rPr>
            </w:pPr>
            <w:r>
              <w:rPr>
                <w:sz w:val="28"/>
                <w:szCs w:val="28"/>
              </w:rPr>
              <w:t>Панкреатический</w:t>
            </w:r>
            <w:r>
              <w:rPr>
                <w:spacing w:val="-18"/>
                <w:sz w:val="28"/>
                <w:szCs w:val="28"/>
              </w:rPr>
              <w:t xml:space="preserve"> </w:t>
            </w:r>
            <w:r>
              <w:rPr>
                <w:sz w:val="28"/>
                <w:szCs w:val="28"/>
              </w:rPr>
              <w:t>свищ Степень A</w:t>
            </w:r>
          </w:p>
          <w:p w14:paraId="72351E52">
            <w:pPr>
              <w:pStyle w:val="11"/>
              <w:spacing w:line="322" w:lineRule="exact"/>
              <w:ind w:left="110" w:right="1072"/>
              <w:jc w:val="left"/>
              <w:rPr>
                <w:sz w:val="28"/>
                <w:szCs w:val="28"/>
              </w:rPr>
            </w:pPr>
            <w:r>
              <w:rPr>
                <w:sz w:val="28"/>
                <w:szCs w:val="28"/>
              </w:rPr>
              <w:t>Степень</w:t>
            </w:r>
            <w:r>
              <w:rPr>
                <w:spacing w:val="-18"/>
                <w:sz w:val="28"/>
                <w:szCs w:val="28"/>
              </w:rPr>
              <w:t xml:space="preserve"> </w:t>
            </w:r>
            <w:r>
              <w:rPr>
                <w:sz w:val="28"/>
                <w:szCs w:val="28"/>
              </w:rPr>
              <w:t xml:space="preserve">B </w:t>
            </w:r>
          </w:p>
          <w:p w14:paraId="4A96463C">
            <w:pPr>
              <w:pStyle w:val="11"/>
              <w:spacing w:line="322" w:lineRule="exact"/>
              <w:ind w:left="110" w:right="1072"/>
              <w:jc w:val="left"/>
              <w:rPr>
                <w:sz w:val="28"/>
                <w:szCs w:val="28"/>
              </w:rPr>
            </w:pPr>
            <w:r>
              <w:rPr>
                <w:sz w:val="28"/>
                <w:szCs w:val="28"/>
              </w:rPr>
              <w:t>Степень</w:t>
            </w:r>
            <w:r>
              <w:rPr>
                <w:spacing w:val="-11"/>
                <w:sz w:val="28"/>
                <w:szCs w:val="28"/>
              </w:rPr>
              <w:t xml:space="preserve"> </w:t>
            </w:r>
            <w:r>
              <w:rPr>
                <w:spacing w:val="-12"/>
                <w:sz w:val="28"/>
                <w:szCs w:val="28"/>
              </w:rPr>
              <w:t>C</w:t>
            </w:r>
          </w:p>
        </w:tc>
        <w:tc>
          <w:tcPr>
            <w:tcW w:w="2552" w:type="dxa"/>
          </w:tcPr>
          <w:p w14:paraId="0211506E">
            <w:pPr>
              <w:pStyle w:val="11"/>
              <w:spacing w:before="290" w:line="322" w:lineRule="exact"/>
              <w:ind w:left="638"/>
              <w:jc w:val="left"/>
              <w:rPr>
                <w:sz w:val="28"/>
                <w:szCs w:val="28"/>
              </w:rPr>
            </w:pPr>
            <w:r>
              <w:rPr>
                <w:sz w:val="28"/>
                <w:szCs w:val="28"/>
              </w:rPr>
              <w:t>24</w:t>
            </w:r>
            <w:r>
              <w:rPr>
                <w:spacing w:val="-1"/>
                <w:sz w:val="28"/>
                <w:szCs w:val="28"/>
              </w:rPr>
              <w:t xml:space="preserve"> </w:t>
            </w:r>
            <w:r>
              <w:rPr>
                <w:spacing w:val="-2"/>
                <w:sz w:val="28"/>
                <w:szCs w:val="28"/>
              </w:rPr>
              <w:t>(16,0%)</w:t>
            </w:r>
          </w:p>
          <w:p w14:paraId="6D473D43">
            <w:pPr>
              <w:pStyle w:val="11"/>
              <w:spacing w:line="240" w:lineRule="auto"/>
              <w:ind w:left="638"/>
              <w:jc w:val="left"/>
              <w:rPr>
                <w:sz w:val="28"/>
                <w:szCs w:val="28"/>
              </w:rPr>
            </w:pPr>
            <w:r>
              <w:rPr>
                <w:sz w:val="28"/>
                <w:szCs w:val="28"/>
              </w:rPr>
              <w:t>34</w:t>
            </w:r>
            <w:r>
              <w:rPr>
                <w:spacing w:val="-1"/>
                <w:sz w:val="28"/>
                <w:szCs w:val="28"/>
              </w:rPr>
              <w:t xml:space="preserve"> </w:t>
            </w:r>
            <w:r>
              <w:rPr>
                <w:spacing w:val="-2"/>
                <w:sz w:val="28"/>
                <w:szCs w:val="28"/>
              </w:rPr>
              <w:t>(22,7%)</w:t>
            </w:r>
          </w:p>
          <w:p w14:paraId="6106211C">
            <w:pPr>
              <w:pStyle w:val="11"/>
              <w:spacing w:line="240" w:lineRule="auto"/>
              <w:ind w:left="705"/>
              <w:jc w:val="left"/>
              <w:rPr>
                <w:sz w:val="28"/>
                <w:szCs w:val="28"/>
              </w:rPr>
            </w:pPr>
            <w:r>
              <w:rPr>
                <w:sz w:val="28"/>
                <w:szCs w:val="28"/>
              </w:rPr>
              <w:t>10</w:t>
            </w:r>
            <w:r>
              <w:rPr>
                <w:spacing w:val="-1"/>
                <w:sz w:val="28"/>
                <w:szCs w:val="28"/>
              </w:rPr>
              <w:t xml:space="preserve"> </w:t>
            </w:r>
            <w:r>
              <w:rPr>
                <w:spacing w:val="-2"/>
                <w:sz w:val="28"/>
                <w:szCs w:val="28"/>
              </w:rPr>
              <w:t>(6,7%)</w:t>
            </w:r>
          </w:p>
        </w:tc>
        <w:tc>
          <w:tcPr>
            <w:tcW w:w="2410" w:type="dxa"/>
          </w:tcPr>
          <w:p w14:paraId="433123FC">
            <w:pPr>
              <w:pStyle w:val="11"/>
              <w:spacing w:before="290" w:line="322" w:lineRule="exact"/>
              <w:ind w:left="9" w:right="5"/>
              <w:rPr>
                <w:sz w:val="28"/>
                <w:szCs w:val="28"/>
              </w:rPr>
            </w:pPr>
            <w:r>
              <w:rPr>
                <w:sz w:val="28"/>
                <w:szCs w:val="28"/>
              </w:rPr>
              <w:t>10</w:t>
            </w:r>
            <w:r>
              <w:rPr>
                <w:spacing w:val="-1"/>
                <w:sz w:val="28"/>
                <w:szCs w:val="28"/>
              </w:rPr>
              <w:t xml:space="preserve"> </w:t>
            </w:r>
            <w:r>
              <w:rPr>
                <w:spacing w:val="-2"/>
                <w:sz w:val="28"/>
                <w:szCs w:val="28"/>
              </w:rPr>
              <w:t>(8,4%)</w:t>
            </w:r>
          </w:p>
          <w:p w14:paraId="4F3E5B34">
            <w:pPr>
              <w:pStyle w:val="11"/>
              <w:spacing w:line="240" w:lineRule="auto"/>
              <w:ind w:left="9" w:right="1"/>
              <w:rPr>
                <w:sz w:val="28"/>
                <w:szCs w:val="28"/>
              </w:rPr>
            </w:pPr>
            <w:r>
              <w:rPr>
                <w:sz w:val="28"/>
                <w:szCs w:val="28"/>
              </w:rPr>
              <w:t>36</w:t>
            </w:r>
            <w:r>
              <w:rPr>
                <w:spacing w:val="-1"/>
                <w:sz w:val="28"/>
                <w:szCs w:val="28"/>
              </w:rPr>
              <w:t xml:space="preserve"> </w:t>
            </w:r>
            <w:r>
              <w:rPr>
                <w:spacing w:val="-2"/>
                <w:sz w:val="28"/>
                <w:szCs w:val="28"/>
              </w:rPr>
              <w:t>(30,0%)</w:t>
            </w:r>
          </w:p>
          <w:p w14:paraId="263DBFDF">
            <w:pPr>
              <w:pStyle w:val="11"/>
              <w:spacing w:line="240" w:lineRule="auto"/>
              <w:ind w:left="9"/>
              <w:rPr>
                <w:sz w:val="28"/>
                <w:szCs w:val="28"/>
              </w:rPr>
            </w:pPr>
            <w:r>
              <w:rPr>
                <w:sz w:val="28"/>
                <w:szCs w:val="28"/>
              </w:rPr>
              <w:t xml:space="preserve">0 </w:t>
            </w:r>
            <w:r>
              <w:rPr>
                <w:spacing w:val="-4"/>
                <w:sz w:val="28"/>
                <w:szCs w:val="28"/>
              </w:rPr>
              <w:t>(0%)</w:t>
            </w:r>
          </w:p>
        </w:tc>
        <w:tc>
          <w:tcPr>
            <w:tcW w:w="1275" w:type="dxa"/>
          </w:tcPr>
          <w:p w14:paraId="29F689A8">
            <w:pPr>
              <w:pStyle w:val="11"/>
              <w:spacing w:before="150" w:line="240" w:lineRule="auto"/>
              <w:jc w:val="left"/>
              <w:rPr>
                <w:sz w:val="28"/>
                <w:szCs w:val="28"/>
              </w:rPr>
            </w:pPr>
          </w:p>
          <w:p w14:paraId="720BBBFC">
            <w:pPr>
              <w:pStyle w:val="11"/>
              <w:spacing w:before="1" w:line="240" w:lineRule="auto"/>
              <w:ind w:left="15" w:right="10"/>
              <w:rPr>
                <w:sz w:val="28"/>
                <w:szCs w:val="28"/>
              </w:rPr>
            </w:pPr>
            <w:r>
              <w:rPr>
                <w:spacing w:val="-2"/>
                <w:sz w:val="28"/>
                <w:szCs w:val="28"/>
              </w:rPr>
              <w:t>0,002</w:t>
            </w:r>
            <w:r>
              <w:rPr>
                <w:spacing w:val="-2"/>
                <w:sz w:val="28"/>
                <w:szCs w:val="28"/>
                <w:vertAlign w:val="superscript"/>
              </w:rPr>
              <w:t>**</w:t>
            </w:r>
          </w:p>
        </w:tc>
      </w:tr>
      <w:tr w14:paraId="238CA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3402" w:type="dxa"/>
          </w:tcPr>
          <w:p w14:paraId="3AAC914B">
            <w:pPr>
              <w:pStyle w:val="11"/>
              <w:spacing w:before="25" w:line="240" w:lineRule="auto"/>
              <w:ind w:left="110"/>
              <w:jc w:val="left"/>
              <w:rPr>
                <w:sz w:val="28"/>
                <w:szCs w:val="28"/>
              </w:rPr>
            </w:pPr>
            <w:r>
              <w:rPr>
                <w:spacing w:val="-2"/>
                <w:sz w:val="28"/>
                <w:szCs w:val="28"/>
              </w:rPr>
              <w:t>Кровотечение</w:t>
            </w:r>
          </w:p>
        </w:tc>
        <w:tc>
          <w:tcPr>
            <w:tcW w:w="2552" w:type="dxa"/>
          </w:tcPr>
          <w:p w14:paraId="094EC3B7">
            <w:pPr>
              <w:pStyle w:val="11"/>
              <w:spacing w:before="25" w:line="240" w:lineRule="auto"/>
              <w:ind w:left="10" w:right="5"/>
              <w:rPr>
                <w:sz w:val="28"/>
                <w:szCs w:val="28"/>
              </w:rPr>
            </w:pPr>
            <w:r>
              <w:rPr>
                <w:sz w:val="28"/>
                <w:szCs w:val="28"/>
              </w:rPr>
              <w:t>10</w:t>
            </w:r>
            <w:r>
              <w:rPr>
                <w:spacing w:val="-1"/>
                <w:sz w:val="28"/>
                <w:szCs w:val="28"/>
              </w:rPr>
              <w:t xml:space="preserve"> </w:t>
            </w:r>
            <w:r>
              <w:rPr>
                <w:spacing w:val="-2"/>
                <w:sz w:val="28"/>
                <w:szCs w:val="28"/>
              </w:rPr>
              <w:t>(6,7%)</w:t>
            </w:r>
          </w:p>
        </w:tc>
        <w:tc>
          <w:tcPr>
            <w:tcW w:w="2410" w:type="dxa"/>
          </w:tcPr>
          <w:p w14:paraId="2DB6F250">
            <w:pPr>
              <w:pStyle w:val="11"/>
              <w:spacing w:before="25" w:line="240" w:lineRule="auto"/>
              <w:ind w:left="9"/>
              <w:rPr>
                <w:sz w:val="28"/>
                <w:szCs w:val="28"/>
              </w:rPr>
            </w:pPr>
            <w:r>
              <w:rPr>
                <w:sz w:val="28"/>
                <w:szCs w:val="28"/>
              </w:rPr>
              <w:t xml:space="preserve">0 </w:t>
            </w:r>
            <w:r>
              <w:rPr>
                <w:spacing w:val="-4"/>
                <w:sz w:val="28"/>
                <w:szCs w:val="28"/>
              </w:rPr>
              <w:t>(0%)</w:t>
            </w:r>
          </w:p>
        </w:tc>
        <w:tc>
          <w:tcPr>
            <w:tcW w:w="1275" w:type="dxa"/>
          </w:tcPr>
          <w:p w14:paraId="5E7AAEB1">
            <w:pPr>
              <w:pStyle w:val="11"/>
              <w:spacing w:before="25" w:line="240" w:lineRule="auto"/>
              <w:ind w:left="15" w:right="10"/>
              <w:rPr>
                <w:sz w:val="28"/>
                <w:szCs w:val="28"/>
              </w:rPr>
            </w:pPr>
            <w:r>
              <w:rPr>
                <w:spacing w:val="-2"/>
                <w:sz w:val="28"/>
                <w:szCs w:val="28"/>
              </w:rPr>
              <w:t>0,003</w:t>
            </w:r>
            <w:r>
              <w:rPr>
                <w:spacing w:val="-2"/>
                <w:sz w:val="28"/>
                <w:szCs w:val="28"/>
                <w:vertAlign w:val="superscript"/>
              </w:rPr>
              <w:t>**</w:t>
            </w:r>
          </w:p>
        </w:tc>
      </w:tr>
      <w:tr w14:paraId="19DC2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3402" w:type="dxa"/>
          </w:tcPr>
          <w:p w14:paraId="672309D0">
            <w:pPr>
              <w:pStyle w:val="11"/>
              <w:spacing w:before="36" w:line="240" w:lineRule="auto"/>
              <w:ind w:left="110"/>
              <w:jc w:val="left"/>
              <w:rPr>
                <w:sz w:val="28"/>
                <w:szCs w:val="28"/>
              </w:rPr>
            </w:pPr>
            <w:r>
              <w:rPr>
                <w:spacing w:val="-2"/>
                <w:sz w:val="28"/>
                <w:szCs w:val="28"/>
              </w:rPr>
              <w:t>Релапаротомия</w:t>
            </w:r>
          </w:p>
        </w:tc>
        <w:tc>
          <w:tcPr>
            <w:tcW w:w="2552" w:type="dxa"/>
          </w:tcPr>
          <w:p w14:paraId="463C56D7">
            <w:pPr>
              <w:pStyle w:val="11"/>
              <w:spacing w:before="36" w:line="240" w:lineRule="auto"/>
              <w:ind w:left="10"/>
              <w:rPr>
                <w:sz w:val="28"/>
                <w:szCs w:val="28"/>
              </w:rPr>
            </w:pPr>
            <w:r>
              <w:rPr>
                <w:sz w:val="28"/>
                <w:szCs w:val="28"/>
              </w:rPr>
              <w:t xml:space="preserve">9 </w:t>
            </w:r>
            <w:r>
              <w:rPr>
                <w:spacing w:val="-2"/>
                <w:sz w:val="28"/>
                <w:szCs w:val="28"/>
              </w:rPr>
              <w:t>(6,0%)</w:t>
            </w:r>
          </w:p>
        </w:tc>
        <w:tc>
          <w:tcPr>
            <w:tcW w:w="2410" w:type="dxa"/>
          </w:tcPr>
          <w:p w14:paraId="13DC4DA0">
            <w:pPr>
              <w:pStyle w:val="11"/>
              <w:spacing w:before="36" w:line="240" w:lineRule="auto"/>
              <w:ind w:left="9"/>
              <w:rPr>
                <w:sz w:val="28"/>
                <w:szCs w:val="28"/>
              </w:rPr>
            </w:pPr>
            <w:r>
              <w:rPr>
                <w:sz w:val="28"/>
                <w:szCs w:val="28"/>
              </w:rPr>
              <w:t xml:space="preserve">0 </w:t>
            </w:r>
            <w:r>
              <w:rPr>
                <w:spacing w:val="-4"/>
                <w:sz w:val="28"/>
                <w:szCs w:val="28"/>
              </w:rPr>
              <w:t>(0%)</w:t>
            </w:r>
          </w:p>
        </w:tc>
        <w:tc>
          <w:tcPr>
            <w:tcW w:w="1275" w:type="dxa"/>
          </w:tcPr>
          <w:p w14:paraId="059AAC99">
            <w:pPr>
              <w:pStyle w:val="11"/>
              <w:spacing w:before="36" w:line="240" w:lineRule="auto"/>
              <w:ind w:left="15" w:right="10"/>
              <w:rPr>
                <w:sz w:val="28"/>
                <w:szCs w:val="28"/>
              </w:rPr>
            </w:pPr>
            <w:r>
              <w:rPr>
                <w:spacing w:val="-2"/>
                <w:sz w:val="28"/>
                <w:szCs w:val="28"/>
              </w:rPr>
              <w:t>0,005</w:t>
            </w:r>
            <w:r>
              <w:rPr>
                <w:spacing w:val="-2"/>
                <w:sz w:val="28"/>
                <w:szCs w:val="28"/>
                <w:vertAlign w:val="superscript"/>
              </w:rPr>
              <w:t>**</w:t>
            </w:r>
          </w:p>
        </w:tc>
      </w:tr>
      <w:tr w14:paraId="1BC87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3402" w:type="dxa"/>
          </w:tcPr>
          <w:p w14:paraId="2E28250B">
            <w:pPr>
              <w:pStyle w:val="11"/>
              <w:spacing w:before="156" w:line="240" w:lineRule="auto"/>
              <w:ind w:left="110"/>
              <w:jc w:val="left"/>
              <w:rPr>
                <w:sz w:val="28"/>
                <w:szCs w:val="28"/>
              </w:rPr>
            </w:pPr>
            <w:r>
              <w:rPr>
                <w:spacing w:val="-2"/>
                <w:sz w:val="28"/>
                <w:szCs w:val="28"/>
              </w:rPr>
              <w:t>Гастростаз</w:t>
            </w:r>
          </w:p>
        </w:tc>
        <w:tc>
          <w:tcPr>
            <w:tcW w:w="2552" w:type="dxa"/>
          </w:tcPr>
          <w:p w14:paraId="5521DCD4">
            <w:pPr>
              <w:pStyle w:val="11"/>
              <w:spacing w:before="295" w:line="240" w:lineRule="auto"/>
              <w:ind w:left="10"/>
              <w:rPr>
                <w:sz w:val="28"/>
                <w:szCs w:val="28"/>
              </w:rPr>
            </w:pPr>
            <w:r>
              <w:rPr>
                <w:sz w:val="28"/>
                <w:szCs w:val="28"/>
              </w:rPr>
              <w:t xml:space="preserve">7 </w:t>
            </w:r>
            <w:r>
              <w:rPr>
                <w:spacing w:val="-2"/>
                <w:sz w:val="28"/>
                <w:szCs w:val="28"/>
              </w:rPr>
              <w:t>(4,7%)</w:t>
            </w:r>
          </w:p>
        </w:tc>
        <w:tc>
          <w:tcPr>
            <w:tcW w:w="2410" w:type="dxa"/>
          </w:tcPr>
          <w:p w14:paraId="0F2195F3">
            <w:pPr>
              <w:pStyle w:val="11"/>
              <w:spacing w:before="295" w:line="240" w:lineRule="auto"/>
              <w:ind w:left="9" w:right="1"/>
              <w:rPr>
                <w:sz w:val="28"/>
                <w:szCs w:val="28"/>
              </w:rPr>
            </w:pPr>
            <w:r>
              <w:rPr>
                <w:sz w:val="28"/>
                <w:szCs w:val="28"/>
              </w:rPr>
              <w:t>12</w:t>
            </w:r>
            <w:r>
              <w:rPr>
                <w:spacing w:val="-1"/>
                <w:sz w:val="28"/>
                <w:szCs w:val="28"/>
              </w:rPr>
              <w:t xml:space="preserve"> </w:t>
            </w:r>
            <w:r>
              <w:rPr>
                <w:spacing w:val="-2"/>
                <w:sz w:val="28"/>
                <w:szCs w:val="28"/>
              </w:rPr>
              <w:t>(10,0%)</w:t>
            </w:r>
          </w:p>
        </w:tc>
        <w:tc>
          <w:tcPr>
            <w:tcW w:w="1275" w:type="dxa"/>
          </w:tcPr>
          <w:p w14:paraId="16823218">
            <w:pPr>
              <w:pStyle w:val="11"/>
              <w:spacing w:before="319" w:line="309" w:lineRule="exact"/>
              <w:ind w:left="15" w:right="10"/>
              <w:rPr>
                <w:sz w:val="28"/>
                <w:szCs w:val="28"/>
              </w:rPr>
            </w:pPr>
            <w:r>
              <w:rPr>
                <w:spacing w:val="-4"/>
                <w:sz w:val="28"/>
                <w:szCs w:val="28"/>
              </w:rPr>
              <w:t>0,143</w:t>
            </w:r>
          </w:p>
        </w:tc>
      </w:tr>
      <w:tr w14:paraId="45608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3402" w:type="dxa"/>
          </w:tcPr>
          <w:p w14:paraId="74EF67E2">
            <w:pPr>
              <w:pStyle w:val="11"/>
              <w:spacing w:before="74" w:line="240" w:lineRule="auto"/>
              <w:ind w:left="110"/>
              <w:jc w:val="left"/>
              <w:rPr>
                <w:sz w:val="28"/>
                <w:szCs w:val="28"/>
              </w:rPr>
            </w:pPr>
            <w:r>
              <w:rPr>
                <w:sz w:val="28"/>
                <w:szCs w:val="28"/>
              </w:rPr>
              <w:t>Билиарный</w:t>
            </w:r>
            <w:r>
              <w:rPr>
                <w:spacing w:val="-11"/>
                <w:sz w:val="28"/>
                <w:szCs w:val="28"/>
              </w:rPr>
              <w:t xml:space="preserve"> </w:t>
            </w:r>
            <w:r>
              <w:rPr>
                <w:spacing w:val="-4"/>
                <w:sz w:val="28"/>
                <w:szCs w:val="28"/>
              </w:rPr>
              <w:t>свищ</w:t>
            </w:r>
          </w:p>
        </w:tc>
        <w:tc>
          <w:tcPr>
            <w:tcW w:w="2552" w:type="dxa"/>
          </w:tcPr>
          <w:p w14:paraId="1F714B1B">
            <w:pPr>
              <w:pStyle w:val="11"/>
              <w:spacing w:before="74" w:line="240" w:lineRule="auto"/>
              <w:ind w:left="10"/>
              <w:rPr>
                <w:sz w:val="28"/>
                <w:szCs w:val="28"/>
              </w:rPr>
            </w:pPr>
            <w:r>
              <w:rPr>
                <w:sz w:val="28"/>
                <w:szCs w:val="28"/>
              </w:rPr>
              <w:t xml:space="preserve">3 </w:t>
            </w:r>
            <w:r>
              <w:rPr>
                <w:spacing w:val="-2"/>
                <w:sz w:val="28"/>
                <w:szCs w:val="28"/>
              </w:rPr>
              <w:t>(2,0%)</w:t>
            </w:r>
          </w:p>
        </w:tc>
        <w:tc>
          <w:tcPr>
            <w:tcW w:w="2410" w:type="dxa"/>
          </w:tcPr>
          <w:p w14:paraId="585B03FA">
            <w:pPr>
              <w:pStyle w:val="11"/>
              <w:spacing w:before="74" w:line="240" w:lineRule="auto"/>
              <w:ind w:left="9"/>
              <w:rPr>
                <w:sz w:val="28"/>
                <w:szCs w:val="28"/>
              </w:rPr>
            </w:pPr>
            <w:r>
              <w:rPr>
                <w:sz w:val="28"/>
                <w:szCs w:val="28"/>
              </w:rPr>
              <w:t xml:space="preserve">3 </w:t>
            </w:r>
            <w:r>
              <w:rPr>
                <w:spacing w:val="-2"/>
                <w:sz w:val="28"/>
                <w:szCs w:val="28"/>
              </w:rPr>
              <w:t>(2,5%)</w:t>
            </w:r>
          </w:p>
        </w:tc>
        <w:tc>
          <w:tcPr>
            <w:tcW w:w="1275" w:type="dxa"/>
          </w:tcPr>
          <w:p w14:paraId="36B47E5D">
            <w:pPr>
              <w:pStyle w:val="11"/>
              <w:spacing w:before="74" w:line="240" w:lineRule="auto"/>
              <w:ind w:left="15" w:right="10"/>
              <w:rPr>
                <w:sz w:val="28"/>
                <w:szCs w:val="28"/>
              </w:rPr>
            </w:pPr>
            <w:r>
              <w:rPr>
                <w:spacing w:val="-4"/>
                <w:sz w:val="28"/>
                <w:szCs w:val="28"/>
              </w:rPr>
              <w:t>1,000</w:t>
            </w:r>
          </w:p>
        </w:tc>
      </w:tr>
      <w:tr w14:paraId="4C06E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3402" w:type="dxa"/>
          </w:tcPr>
          <w:p w14:paraId="23700A70">
            <w:pPr>
              <w:pStyle w:val="11"/>
              <w:spacing w:before="108" w:line="240" w:lineRule="auto"/>
              <w:ind w:left="110"/>
              <w:jc w:val="left"/>
              <w:rPr>
                <w:sz w:val="28"/>
                <w:szCs w:val="28"/>
              </w:rPr>
            </w:pPr>
            <w:r>
              <w:rPr>
                <w:sz w:val="28"/>
                <w:szCs w:val="28"/>
              </w:rPr>
              <w:t>Госпитальная</w:t>
            </w:r>
            <w:r>
              <w:rPr>
                <w:spacing w:val="-16"/>
                <w:sz w:val="28"/>
                <w:szCs w:val="28"/>
              </w:rPr>
              <w:t xml:space="preserve"> </w:t>
            </w:r>
            <w:r>
              <w:rPr>
                <w:spacing w:val="-2"/>
                <w:sz w:val="28"/>
                <w:szCs w:val="28"/>
              </w:rPr>
              <w:t>летальность</w:t>
            </w:r>
          </w:p>
        </w:tc>
        <w:tc>
          <w:tcPr>
            <w:tcW w:w="2552" w:type="dxa"/>
          </w:tcPr>
          <w:p w14:paraId="1C4D3757">
            <w:pPr>
              <w:pStyle w:val="11"/>
              <w:spacing w:before="108" w:line="240" w:lineRule="auto"/>
              <w:ind w:left="10" w:right="5"/>
              <w:rPr>
                <w:sz w:val="28"/>
                <w:szCs w:val="28"/>
              </w:rPr>
            </w:pPr>
            <w:r>
              <w:rPr>
                <w:sz w:val="28"/>
                <w:szCs w:val="28"/>
              </w:rPr>
              <w:t>14</w:t>
            </w:r>
            <w:r>
              <w:rPr>
                <w:spacing w:val="-1"/>
                <w:sz w:val="28"/>
                <w:szCs w:val="28"/>
              </w:rPr>
              <w:t xml:space="preserve"> </w:t>
            </w:r>
            <w:r>
              <w:rPr>
                <w:spacing w:val="-2"/>
                <w:sz w:val="28"/>
                <w:szCs w:val="28"/>
              </w:rPr>
              <w:t>(9,4%)</w:t>
            </w:r>
          </w:p>
        </w:tc>
        <w:tc>
          <w:tcPr>
            <w:tcW w:w="2410" w:type="dxa"/>
          </w:tcPr>
          <w:p w14:paraId="5950D77A">
            <w:pPr>
              <w:pStyle w:val="11"/>
              <w:spacing w:before="108" w:line="240" w:lineRule="auto"/>
              <w:ind w:left="9"/>
              <w:rPr>
                <w:sz w:val="28"/>
                <w:szCs w:val="28"/>
              </w:rPr>
            </w:pPr>
            <w:r>
              <w:rPr>
                <w:sz w:val="28"/>
                <w:szCs w:val="28"/>
              </w:rPr>
              <w:t xml:space="preserve">0 </w:t>
            </w:r>
            <w:r>
              <w:rPr>
                <w:spacing w:val="-4"/>
                <w:sz w:val="28"/>
                <w:szCs w:val="28"/>
              </w:rPr>
              <w:t>(0%)</w:t>
            </w:r>
          </w:p>
        </w:tc>
        <w:tc>
          <w:tcPr>
            <w:tcW w:w="1275" w:type="dxa"/>
          </w:tcPr>
          <w:p w14:paraId="0D67391E">
            <w:pPr>
              <w:pStyle w:val="11"/>
              <w:spacing w:before="108" w:line="240" w:lineRule="auto"/>
              <w:ind w:left="15"/>
              <w:rPr>
                <w:sz w:val="28"/>
                <w:szCs w:val="28"/>
              </w:rPr>
            </w:pPr>
            <w:r>
              <w:rPr>
                <w:spacing w:val="-2"/>
                <w:sz w:val="28"/>
                <w:szCs w:val="28"/>
              </w:rPr>
              <w:t>&lt;0,001</w:t>
            </w:r>
            <w:r>
              <w:rPr>
                <w:spacing w:val="-2"/>
                <w:sz w:val="28"/>
                <w:szCs w:val="28"/>
                <w:vertAlign w:val="superscript"/>
              </w:rPr>
              <w:t>***</w:t>
            </w:r>
          </w:p>
        </w:tc>
      </w:tr>
      <w:tr w14:paraId="63AB8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9639" w:type="dxa"/>
            <w:gridSpan w:val="4"/>
          </w:tcPr>
          <w:p w14:paraId="3FC780F8">
            <w:pPr>
              <w:pStyle w:val="11"/>
              <w:spacing w:line="242" w:lineRule="auto"/>
              <w:ind w:left="110" w:right="132" w:firstLine="457"/>
              <w:jc w:val="both"/>
              <w:rPr>
                <w:sz w:val="28"/>
                <w:szCs w:val="28"/>
              </w:rPr>
            </w:pPr>
            <w:r>
              <w:rPr>
                <w:sz w:val="28"/>
                <w:szCs w:val="28"/>
              </w:rPr>
              <w:t>Примечание.</w:t>
            </w:r>
            <w:r>
              <w:rPr>
                <w:spacing w:val="80"/>
                <w:sz w:val="28"/>
                <w:szCs w:val="28"/>
              </w:rPr>
              <w:t xml:space="preserve"> </w:t>
            </w:r>
            <w:r>
              <w:rPr>
                <w:sz w:val="28"/>
                <w:szCs w:val="28"/>
              </w:rPr>
              <w:t>Для</w:t>
            </w:r>
            <w:r>
              <w:rPr>
                <w:spacing w:val="40"/>
                <w:sz w:val="28"/>
                <w:szCs w:val="28"/>
              </w:rPr>
              <w:t xml:space="preserve"> </w:t>
            </w:r>
            <w:r>
              <w:rPr>
                <w:sz w:val="28"/>
                <w:szCs w:val="28"/>
              </w:rPr>
              <w:t>сравнения</w:t>
            </w:r>
            <w:r>
              <w:rPr>
                <w:spacing w:val="40"/>
                <w:sz w:val="28"/>
                <w:szCs w:val="28"/>
              </w:rPr>
              <w:t xml:space="preserve"> </w:t>
            </w:r>
            <w:r>
              <w:rPr>
                <w:sz w:val="28"/>
                <w:szCs w:val="28"/>
              </w:rPr>
              <w:t>частоты</w:t>
            </w:r>
            <w:r>
              <w:rPr>
                <w:spacing w:val="80"/>
                <w:sz w:val="28"/>
                <w:szCs w:val="28"/>
              </w:rPr>
              <w:t xml:space="preserve"> </w:t>
            </w:r>
            <w:r>
              <w:rPr>
                <w:sz w:val="28"/>
                <w:szCs w:val="28"/>
              </w:rPr>
              <w:t>осложнений</w:t>
            </w:r>
            <w:r>
              <w:rPr>
                <w:spacing w:val="74"/>
                <w:sz w:val="28"/>
                <w:szCs w:val="28"/>
              </w:rPr>
              <w:t xml:space="preserve"> </w:t>
            </w:r>
            <w:r>
              <w:rPr>
                <w:sz w:val="28"/>
                <w:szCs w:val="28"/>
              </w:rPr>
              <w:t>между</w:t>
            </w:r>
            <w:r>
              <w:rPr>
                <w:spacing w:val="73"/>
                <w:sz w:val="28"/>
                <w:szCs w:val="28"/>
              </w:rPr>
              <w:t xml:space="preserve"> </w:t>
            </w:r>
            <w:r>
              <w:rPr>
                <w:sz w:val="28"/>
                <w:szCs w:val="28"/>
              </w:rPr>
              <w:t>группами</w:t>
            </w:r>
            <w:r>
              <w:rPr>
                <w:spacing w:val="74"/>
                <w:sz w:val="28"/>
                <w:szCs w:val="28"/>
              </w:rPr>
              <w:t xml:space="preserve"> </w:t>
            </w:r>
            <w:r>
              <w:rPr>
                <w:sz w:val="28"/>
                <w:szCs w:val="28"/>
              </w:rPr>
              <w:t>применялся</w:t>
            </w:r>
            <w:r>
              <w:rPr>
                <w:spacing w:val="77"/>
                <w:sz w:val="28"/>
                <w:szCs w:val="28"/>
              </w:rPr>
              <w:t xml:space="preserve"> </w:t>
            </w:r>
            <w:r>
              <w:rPr>
                <w:sz w:val="28"/>
                <w:szCs w:val="28"/>
              </w:rPr>
              <w:t>критерий</w:t>
            </w:r>
            <w:r>
              <w:rPr>
                <w:spacing w:val="74"/>
                <w:sz w:val="28"/>
                <w:szCs w:val="28"/>
              </w:rPr>
              <w:t xml:space="preserve"> </w:t>
            </w:r>
            <w:r>
              <w:rPr>
                <w:sz w:val="28"/>
                <w:szCs w:val="28"/>
              </w:rPr>
              <w:t>χ² Пирсона;</w:t>
            </w:r>
            <w:r>
              <w:rPr>
                <w:spacing w:val="-16"/>
                <w:sz w:val="28"/>
                <w:szCs w:val="28"/>
              </w:rPr>
              <w:t xml:space="preserve"> </w:t>
            </w:r>
            <w:r>
              <w:rPr>
                <w:sz w:val="28"/>
                <w:szCs w:val="28"/>
              </w:rPr>
              <w:t>при</w:t>
            </w:r>
            <w:r>
              <w:rPr>
                <w:spacing w:val="-14"/>
                <w:sz w:val="28"/>
                <w:szCs w:val="28"/>
              </w:rPr>
              <w:t xml:space="preserve"> </w:t>
            </w:r>
            <w:r>
              <w:rPr>
                <w:sz w:val="28"/>
                <w:szCs w:val="28"/>
              </w:rPr>
              <w:t>ожидаемых</w:t>
            </w:r>
            <w:r>
              <w:rPr>
                <w:spacing w:val="-14"/>
                <w:sz w:val="28"/>
                <w:szCs w:val="28"/>
              </w:rPr>
              <w:t xml:space="preserve"> </w:t>
            </w:r>
            <w:r>
              <w:rPr>
                <w:sz w:val="28"/>
                <w:szCs w:val="28"/>
              </w:rPr>
              <w:t>частотах</w:t>
            </w:r>
            <w:r>
              <w:rPr>
                <w:spacing w:val="-13"/>
                <w:sz w:val="28"/>
                <w:szCs w:val="28"/>
              </w:rPr>
              <w:t xml:space="preserve"> </w:t>
            </w:r>
            <w:r>
              <w:rPr>
                <w:sz w:val="28"/>
                <w:szCs w:val="28"/>
              </w:rPr>
              <w:t>&lt;5</w:t>
            </w:r>
            <w:r>
              <w:rPr>
                <w:spacing w:val="-14"/>
                <w:sz w:val="28"/>
                <w:szCs w:val="28"/>
              </w:rPr>
              <w:t xml:space="preserve"> </w:t>
            </w:r>
            <w:r>
              <w:rPr>
                <w:sz w:val="28"/>
                <w:szCs w:val="28"/>
              </w:rPr>
              <w:t>—</w:t>
            </w:r>
            <w:r>
              <w:rPr>
                <w:spacing w:val="-14"/>
                <w:sz w:val="28"/>
                <w:szCs w:val="28"/>
              </w:rPr>
              <w:t xml:space="preserve"> </w:t>
            </w:r>
            <w:r>
              <w:rPr>
                <w:sz w:val="28"/>
                <w:szCs w:val="28"/>
              </w:rPr>
              <w:t>точный</w:t>
            </w:r>
            <w:r>
              <w:rPr>
                <w:spacing w:val="-14"/>
                <w:sz w:val="28"/>
                <w:szCs w:val="28"/>
              </w:rPr>
              <w:t xml:space="preserve"> </w:t>
            </w:r>
            <w:r>
              <w:rPr>
                <w:sz w:val="28"/>
                <w:szCs w:val="28"/>
              </w:rPr>
              <w:t>критерий</w:t>
            </w:r>
            <w:r>
              <w:rPr>
                <w:spacing w:val="-13"/>
                <w:sz w:val="28"/>
                <w:szCs w:val="28"/>
              </w:rPr>
              <w:t xml:space="preserve"> </w:t>
            </w:r>
            <w:r>
              <w:rPr>
                <w:sz w:val="28"/>
                <w:szCs w:val="28"/>
              </w:rPr>
              <w:t>Фишера.</w:t>
            </w:r>
            <w:r>
              <w:rPr>
                <w:spacing w:val="-14"/>
                <w:sz w:val="28"/>
                <w:szCs w:val="28"/>
              </w:rPr>
              <w:t xml:space="preserve"> </w:t>
            </w:r>
            <w:r>
              <w:rPr>
                <w:sz w:val="28"/>
                <w:szCs w:val="28"/>
              </w:rPr>
              <w:t>Уровни</w:t>
            </w:r>
            <w:r>
              <w:rPr>
                <w:spacing w:val="-14"/>
                <w:sz w:val="28"/>
                <w:szCs w:val="28"/>
              </w:rPr>
              <w:t xml:space="preserve"> </w:t>
            </w:r>
            <w:r>
              <w:rPr>
                <w:sz w:val="28"/>
                <w:szCs w:val="28"/>
              </w:rPr>
              <w:t>значимости:</w:t>
            </w:r>
            <w:r>
              <w:rPr>
                <w:spacing w:val="-12"/>
                <w:sz w:val="28"/>
                <w:szCs w:val="28"/>
              </w:rPr>
              <w:t xml:space="preserve"> </w:t>
            </w:r>
            <w:r>
              <w:rPr>
                <w:sz w:val="28"/>
                <w:szCs w:val="28"/>
              </w:rPr>
              <w:t>*</w:t>
            </w:r>
            <w:r>
              <w:rPr>
                <w:spacing w:val="-13"/>
                <w:sz w:val="28"/>
                <w:szCs w:val="28"/>
              </w:rPr>
              <w:t xml:space="preserve"> </w:t>
            </w:r>
            <w:r>
              <w:rPr>
                <w:sz w:val="28"/>
                <w:szCs w:val="28"/>
              </w:rPr>
              <w:t>—</w:t>
            </w:r>
            <w:r>
              <w:rPr>
                <w:spacing w:val="-12"/>
                <w:sz w:val="28"/>
                <w:szCs w:val="28"/>
              </w:rPr>
              <w:t xml:space="preserve"> </w:t>
            </w:r>
            <w:r>
              <w:rPr>
                <w:spacing w:val="-2"/>
                <w:sz w:val="28"/>
                <w:szCs w:val="28"/>
              </w:rPr>
              <w:t xml:space="preserve">p&lt;0,05; </w:t>
            </w:r>
            <w:r>
              <w:rPr>
                <w:sz w:val="28"/>
                <w:szCs w:val="28"/>
              </w:rPr>
              <w:t>**</w:t>
            </w:r>
            <w:r>
              <w:rPr>
                <w:spacing w:val="-9"/>
                <w:sz w:val="28"/>
                <w:szCs w:val="28"/>
              </w:rPr>
              <w:t xml:space="preserve"> </w:t>
            </w:r>
            <w:r>
              <w:rPr>
                <w:sz w:val="28"/>
                <w:szCs w:val="28"/>
              </w:rPr>
              <w:t>— p&lt;0,01;</w:t>
            </w:r>
            <w:r>
              <w:rPr>
                <w:spacing w:val="2"/>
                <w:sz w:val="28"/>
                <w:szCs w:val="28"/>
              </w:rPr>
              <w:t xml:space="preserve"> </w:t>
            </w:r>
            <w:r>
              <w:rPr>
                <w:sz w:val="28"/>
                <w:szCs w:val="28"/>
              </w:rPr>
              <w:t>***</w:t>
            </w:r>
            <w:r>
              <w:rPr>
                <w:spacing w:val="-4"/>
                <w:sz w:val="28"/>
                <w:szCs w:val="28"/>
              </w:rPr>
              <w:t xml:space="preserve"> </w:t>
            </w:r>
            <w:r>
              <w:rPr>
                <w:sz w:val="28"/>
                <w:szCs w:val="28"/>
              </w:rPr>
              <w:t>—</w:t>
            </w:r>
            <w:r>
              <w:rPr>
                <w:spacing w:val="1"/>
                <w:sz w:val="28"/>
                <w:szCs w:val="28"/>
              </w:rPr>
              <w:t xml:space="preserve"> </w:t>
            </w:r>
            <w:r>
              <w:rPr>
                <w:spacing w:val="-2"/>
                <w:sz w:val="28"/>
                <w:szCs w:val="28"/>
              </w:rPr>
              <w:t>p&lt;0,001.</w:t>
            </w:r>
          </w:p>
        </w:tc>
      </w:tr>
    </w:tbl>
    <w:p w14:paraId="46EB4E3F">
      <w:pPr>
        <w:pStyle w:val="7"/>
        <w:spacing w:before="318"/>
        <w:ind w:left="0" w:right="3" w:firstLine="709"/>
      </w:pPr>
      <w:r>
        <w:t>В таблице 24 представлена сравнительная характеристика послеоперационных осложнений у пациентов после ГПДР в зависимости от применения</w:t>
      </w:r>
      <w:r>
        <w:rPr>
          <w:spacing w:val="-18"/>
        </w:rPr>
        <w:t xml:space="preserve"> </w:t>
      </w:r>
      <w:r>
        <w:t>метода</w:t>
      </w:r>
      <w:r>
        <w:rPr>
          <w:spacing w:val="-17"/>
        </w:rPr>
        <w:t xml:space="preserve"> </w:t>
      </w:r>
      <w:r>
        <w:t>окутывания</w:t>
      </w:r>
      <w:r>
        <w:rPr>
          <w:spacing w:val="-18"/>
        </w:rPr>
        <w:t xml:space="preserve"> </w:t>
      </w:r>
      <w:r>
        <w:t>магистральных</w:t>
      </w:r>
      <w:r>
        <w:rPr>
          <w:spacing w:val="-17"/>
        </w:rPr>
        <w:t xml:space="preserve"> </w:t>
      </w:r>
      <w:r>
        <w:t>сосудов</w:t>
      </w:r>
      <w:r>
        <w:rPr>
          <w:spacing w:val="-18"/>
        </w:rPr>
        <w:t xml:space="preserve"> </w:t>
      </w:r>
      <w:r>
        <w:t>круглой</w:t>
      </w:r>
      <w:r>
        <w:rPr>
          <w:spacing w:val="-17"/>
        </w:rPr>
        <w:t xml:space="preserve"> </w:t>
      </w:r>
      <w:r>
        <w:t>связкой</w:t>
      </w:r>
      <w:r>
        <w:rPr>
          <w:spacing w:val="-18"/>
        </w:rPr>
        <w:t xml:space="preserve"> </w:t>
      </w:r>
      <w:r>
        <w:t>печени. Сравнивались</w:t>
      </w:r>
      <w:r>
        <w:rPr>
          <w:spacing w:val="-10"/>
        </w:rPr>
        <w:t xml:space="preserve"> </w:t>
      </w:r>
      <w:r>
        <w:t>два</w:t>
      </w:r>
      <w:r>
        <w:rPr>
          <w:spacing w:val="-8"/>
        </w:rPr>
        <w:t xml:space="preserve"> </w:t>
      </w:r>
      <w:r>
        <w:t>временных</w:t>
      </w:r>
      <w:r>
        <w:rPr>
          <w:spacing w:val="-12"/>
        </w:rPr>
        <w:t xml:space="preserve"> </w:t>
      </w:r>
      <w:r>
        <w:t>периода:</w:t>
      </w:r>
      <w:r>
        <w:rPr>
          <w:spacing w:val="-13"/>
        </w:rPr>
        <w:t xml:space="preserve"> </w:t>
      </w:r>
      <w:r>
        <w:t>2019–2022</w:t>
      </w:r>
      <w:r>
        <w:rPr>
          <w:spacing w:val="-8"/>
        </w:rPr>
        <w:t xml:space="preserve"> </w:t>
      </w:r>
      <w:r>
        <w:t>гг.</w:t>
      </w:r>
      <w:r>
        <w:rPr>
          <w:spacing w:val="-6"/>
        </w:rPr>
        <w:t xml:space="preserve"> </w:t>
      </w:r>
      <w:r>
        <w:t>(без</w:t>
      </w:r>
      <w:r>
        <w:rPr>
          <w:spacing w:val="-8"/>
        </w:rPr>
        <w:t xml:space="preserve"> </w:t>
      </w:r>
      <w:r>
        <w:t>окутывания,</w:t>
      </w:r>
      <w:r>
        <w:rPr>
          <w:spacing w:val="-6"/>
        </w:rPr>
        <w:t xml:space="preserve"> </w:t>
      </w:r>
      <w:r>
        <w:t>n</w:t>
      </w:r>
      <w:r>
        <w:rPr>
          <w:spacing w:val="-12"/>
        </w:rPr>
        <w:t xml:space="preserve"> </w:t>
      </w:r>
      <w:r>
        <w:t>=</w:t>
      </w:r>
      <w:r>
        <w:rPr>
          <w:spacing w:val="-7"/>
        </w:rPr>
        <w:t xml:space="preserve"> </w:t>
      </w:r>
      <w:r>
        <w:t>150)</w:t>
      </w:r>
      <w:r>
        <w:rPr>
          <w:spacing w:val="-10"/>
        </w:rPr>
        <w:t xml:space="preserve"> </w:t>
      </w:r>
      <w:r>
        <w:t>и 2023–2025 гг. (с окутыванием, n = 120).</w:t>
      </w:r>
    </w:p>
    <w:p w14:paraId="4C259303">
      <w:pPr>
        <w:pStyle w:val="7"/>
        <w:spacing w:before="3"/>
        <w:ind w:left="0" w:right="3" w:firstLine="709"/>
      </w:pPr>
      <w:r>
        <w:t>Как показано в таблице 24, применение разработанного способа укрытия культи ГДА и начального отдела собственной печёночной артерии круглой связкой печени позволило полностью предотвратить развитие аррозивных кровотечений из культи ГДА и исключить необходимость повторных хирургических вмешательств.</w:t>
      </w:r>
    </w:p>
    <w:p w14:paraId="5885C8E8">
      <w:pPr>
        <w:pStyle w:val="7"/>
        <w:ind w:left="0" w:right="3" w:firstLine="709"/>
      </w:pPr>
      <w:r>
        <w:t>Анализ частоты ПС показал статистически значимые различия между группами (p = 0,002). В группе без окутывания свищи степени A, B и C регистрировались в 16,0%, 22,7% и 6,7% случаев соответственно. После внедрения</w:t>
      </w:r>
      <w:r>
        <w:rPr>
          <w:spacing w:val="-18"/>
        </w:rPr>
        <w:t xml:space="preserve"> </w:t>
      </w:r>
      <w:r>
        <w:t>метода</w:t>
      </w:r>
      <w:r>
        <w:rPr>
          <w:spacing w:val="-17"/>
        </w:rPr>
        <w:t xml:space="preserve"> </w:t>
      </w:r>
      <w:r>
        <w:t>окутывания</w:t>
      </w:r>
      <w:r>
        <w:rPr>
          <w:spacing w:val="-18"/>
        </w:rPr>
        <w:t xml:space="preserve"> </w:t>
      </w:r>
      <w:r>
        <w:t>отмечено</w:t>
      </w:r>
      <w:r>
        <w:rPr>
          <w:spacing w:val="-17"/>
        </w:rPr>
        <w:t xml:space="preserve"> </w:t>
      </w:r>
      <w:r>
        <w:t>снижение</w:t>
      </w:r>
      <w:r>
        <w:rPr>
          <w:spacing w:val="-18"/>
        </w:rPr>
        <w:t xml:space="preserve"> </w:t>
      </w:r>
      <w:r>
        <w:t>частоты</w:t>
      </w:r>
      <w:r>
        <w:rPr>
          <w:spacing w:val="-17"/>
        </w:rPr>
        <w:t xml:space="preserve"> </w:t>
      </w:r>
      <w:r>
        <w:t>свищей</w:t>
      </w:r>
      <w:r>
        <w:rPr>
          <w:spacing w:val="-18"/>
        </w:rPr>
        <w:t xml:space="preserve"> </w:t>
      </w:r>
      <w:r>
        <w:t>степени</w:t>
      </w:r>
      <w:r>
        <w:rPr>
          <w:spacing w:val="-17"/>
        </w:rPr>
        <w:t xml:space="preserve"> </w:t>
      </w:r>
      <w:r>
        <w:t>A</w:t>
      </w:r>
      <w:r>
        <w:rPr>
          <w:spacing w:val="-18"/>
        </w:rPr>
        <w:t xml:space="preserve"> </w:t>
      </w:r>
      <w:r>
        <w:t>(до 8,4%) и полное отсутствие свищей степени C (0%), при одновременном увеличении доли свищей степени B (30,0%). Эти данные указывают на выраженное снижение наиболее тяжелых форм ПС при использовании окутывания сосудов.</w:t>
      </w:r>
    </w:p>
    <w:p w14:paraId="1F795EED">
      <w:pPr>
        <w:pStyle w:val="7"/>
        <w:spacing w:before="1"/>
        <w:ind w:left="0" w:right="3" w:firstLine="709"/>
      </w:pPr>
      <w:r>
        <w:t>Частота послеоперационных кровотечений статистически значимо снизилась после внедрения метода окутывания:</w:t>
      </w:r>
      <w:r>
        <w:rPr>
          <w:spacing w:val="-3"/>
        </w:rPr>
        <w:t xml:space="preserve"> </w:t>
      </w:r>
      <w:r>
        <w:t>с 6,7% в группе без окутывания до 0% в группе с окутыванием (p = 0,003). Аналогичная тенденция выявлена в отношении</w:t>
      </w:r>
      <w:r>
        <w:rPr>
          <w:spacing w:val="58"/>
          <w:w w:val="150"/>
        </w:rPr>
        <w:t xml:space="preserve"> </w:t>
      </w:r>
      <w:r>
        <w:t>релапаротомий,</w:t>
      </w:r>
      <w:r>
        <w:rPr>
          <w:spacing w:val="56"/>
          <w:w w:val="150"/>
        </w:rPr>
        <w:t xml:space="preserve"> </w:t>
      </w:r>
      <w:r>
        <w:t>которые</w:t>
      </w:r>
      <w:r>
        <w:rPr>
          <w:spacing w:val="55"/>
          <w:w w:val="150"/>
        </w:rPr>
        <w:t xml:space="preserve"> </w:t>
      </w:r>
      <w:r>
        <w:t>регистрировались</w:t>
      </w:r>
      <w:r>
        <w:rPr>
          <w:spacing w:val="56"/>
          <w:w w:val="150"/>
        </w:rPr>
        <w:t xml:space="preserve"> </w:t>
      </w:r>
      <w:r>
        <w:t>у</w:t>
      </w:r>
      <w:r>
        <w:rPr>
          <w:spacing w:val="49"/>
          <w:w w:val="150"/>
        </w:rPr>
        <w:t xml:space="preserve"> </w:t>
      </w:r>
      <w:r>
        <w:t>6,0%</w:t>
      </w:r>
      <w:r>
        <w:rPr>
          <w:spacing w:val="53"/>
          <w:w w:val="150"/>
        </w:rPr>
        <w:t xml:space="preserve"> </w:t>
      </w:r>
      <w:r>
        <w:t>пациентов</w:t>
      </w:r>
      <w:r>
        <w:rPr>
          <w:spacing w:val="52"/>
          <w:w w:val="150"/>
        </w:rPr>
        <w:t xml:space="preserve"> </w:t>
      </w:r>
      <w:r>
        <w:rPr>
          <w:spacing w:val="-10"/>
        </w:rPr>
        <w:t>в</w:t>
      </w:r>
    </w:p>
    <w:p w14:paraId="0E3B5A21">
      <w:pPr>
        <w:pStyle w:val="7"/>
        <w:spacing w:before="67"/>
        <w:ind w:left="0" w:right="3" w:firstLine="0"/>
      </w:pPr>
      <w:r>
        <w:t xml:space="preserve">контрольной группе и не отмечались вовсе после применения окутывания (p = </w:t>
      </w:r>
      <w:r>
        <w:rPr>
          <w:spacing w:val="-2"/>
        </w:rPr>
        <w:t>0,005).</w:t>
      </w:r>
    </w:p>
    <w:p w14:paraId="15FD6807">
      <w:pPr>
        <w:pStyle w:val="7"/>
        <w:tabs>
          <w:tab w:val="left" w:pos="4962"/>
        </w:tabs>
        <w:ind w:left="0" w:right="3" w:firstLine="709"/>
      </w:pPr>
      <w:r>
        <w:t>Гастростаз наблюдался чаще в группе с окутыванием (10,0% против 4,7%), однако различия не достигли статистической значимости (p = 0,143). Частота билиарных свищей была сопоставимой в обеих группах (2,0% и 2,5% соответственно; p = 1,000), что свидетельствует об отсутствии влияния метода окутывания на данный вид осложнений.</w:t>
      </w:r>
    </w:p>
    <w:p w14:paraId="358C8552">
      <w:pPr>
        <w:pStyle w:val="7"/>
        <w:spacing w:before="3"/>
        <w:ind w:left="0" w:right="3" w:firstLine="0"/>
      </w:pPr>
      <w:r>
        <w:t>Особо значимым является показатель госпитальной летальности: в группе без окутывания летальность составила 9,4%, тогда как после внедрения метода окутывания сосудов круглой связкой печени летальных исходов не зарегистрировано (0%), что сопровождалось высоко статистически значимым различием между группами (p &lt; 0,001).</w:t>
      </w:r>
    </w:p>
    <w:p w14:paraId="6AE37E24">
      <w:pPr>
        <w:pStyle w:val="7"/>
        <w:ind w:left="0" w:right="3" w:firstLine="0"/>
      </w:pPr>
      <w:r>
        <w:t>Полное отсутствие летальных исходов и геморрагических осложнений в группе пациентов с использованием данного приёма указывает на его высокую профилактическую</w:t>
      </w:r>
      <w:r>
        <w:rPr>
          <w:spacing w:val="-9"/>
        </w:rPr>
        <w:t xml:space="preserve"> </w:t>
      </w:r>
      <w:r>
        <w:t>эффективность.</w:t>
      </w:r>
      <w:r>
        <w:rPr>
          <w:spacing w:val="-5"/>
        </w:rPr>
        <w:t xml:space="preserve"> </w:t>
      </w:r>
      <w:r>
        <w:t>Предполагается,</w:t>
      </w:r>
      <w:r>
        <w:rPr>
          <w:spacing w:val="-5"/>
        </w:rPr>
        <w:t xml:space="preserve"> </w:t>
      </w:r>
      <w:r>
        <w:t>что</w:t>
      </w:r>
      <w:r>
        <w:rPr>
          <w:spacing w:val="-8"/>
        </w:rPr>
        <w:t xml:space="preserve"> </w:t>
      </w:r>
      <w:r>
        <w:t>использование</w:t>
      </w:r>
      <w:r>
        <w:rPr>
          <w:spacing w:val="-7"/>
        </w:rPr>
        <w:t xml:space="preserve"> </w:t>
      </w:r>
      <w:r>
        <w:t>круглой связки печени создаёт механический барьер, защищающий сосудистые структуры от действия панкреатических ферментов при возможной несостоятельности ПЕА.</w:t>
      </w:r>
    </w:p>
    <w:p w14:paraId="346B25BD">
      <w:pPr>
        <w:pStyle w:val="7"/>
        <w:spacing w:before="2"/>
        <w:ind w:left="0" w:right="3" w:firstLine="709"/>
      </w:pPr>
      <w:r>
        <w:t>Наблюдаемое</w:t>
      </w:r>
      <w:r>
        <w:rPr>
          <w:spacing w:val="-10"/>
        </w:rPr>
        <w:t xml:space="preserve"> </w:t>
      </w:r>
      <w:r>
        <w:t>повышение</w:t>
      </w:r>
      <w:r>
        <w:rPr>
          <w:spacing w:val="-10"/>
        </w:rPr>
        <w:t xml:space="preserve"> </w:t>
      </w:r>
      <w:r>
        <w:t>частоты</w:t>
      </w:r>
      <w:r>
        <w:rPr>
          <w:spacing w:val="-10"/>
        </w:rPr>
        <w:t xml:space="preserve"> </w:t>
      </w:r>
      <w:r>
        <w:t>гастростаза</w:t>
      </w:r>
      <w:r>
        <w:rPr>
          <w:spacing w:val="-9"/>
        </w:rPr>
        <w:t xml:space="preserve"> </w:t>
      </w:r>
      <w:r>
        <w:t>в</w:t>
      </w:r>
      <w:r>
        <w:rPr>
          <w:spacing w:val="-12"/>
        </w:rPr>
        <w:t xml:space="preserve"> </w:t>
      </w:r>
      <w:r>
        <w:t>группе</w:t>
      </w:r>
      <w:r>
        <w:rPr>
          <w:spacing w:val="-10"/>
        </w:rPr>
        <w:t xml:space="preserve"> </w:t>
      </w:r>
      <w:r>
        <w:t>с</w:t>
      </w:r>
      <w:r>
        <w:rPr>
          <w:spacing w:val="-10"/>
        </w:rPr>
        <w:t xml:space="preserve"> </w:t>
      </w:r>
      <w:r>
        <w:t>укрытием</w:t>
      </w:r>
      <w:r>
        <w:rPr>
          <w:spacing w:val="-9"/>
        </w:rPr>
        <w:t xml:space="preserve"> </w:t>
      </w:r>
      <w:r>
        <w:t>сосудов не носило статистически достоверного характера и, вероятно, связано с индивидуальными</w:t>
      </w:r>
      <w:r>
        <w:rPr>
          <w:spacing w:val="-17"/>
        </w:rPr>
        <w:t xml:space="preserve"> </w:t>
      </w:r>
      <w:r>
        <w:t>особенностями</w:t>
      </w:r>
      <w:r>
        <w:rPr>
          <w:spacing w:val="-17"/>
        </w:rPr>
        <w:t xml:space="preserve"> </w:t>
      </w:r>
      <w:r>
        <w:t>пациентов</w:t>
      </w:r>
      <w:r>
        <w:rPr>
          <w:spacing w:val="-18"/>
        </w:rPr>
        <w:t xml:space="preserve"> </w:t>
      </w:r>
      <w:r>
        <w:t>и</w:t>
      </w:r>
      <w:r>
        <w:rPr>
          <w:spacing w:val="-16"/>
        </w:rPr>
        <w:t xml:space="preserve"> </w:t>
      </w:r>
      <w:r>
        <w:t>вариациями</w:t>
      </w:r>
      <w:r>
        <w:rPr>
          <w:spacing w:val="-17"/>
        </w:rPr>
        <w:t xml:space="preserve"> </w:t>
      </w:r>
      <w:r>
        <w:t xml:space="preserve">послеоперационного </w:t>
      </w:r>
      <w:r>
        <w:rPr>
          <w:spacing w:val="-2"/>
        </w:rPr>
        <w:t>течения.</w:t>
      </w:r>
    </w:p>
    <w:p w14:paraId="0D93847A">
      <w:pPr>
        <w:pStyle w:val="7"/>
        <w:ind w:left="0" w:right="3" w:firstLine="709"/>
      </w:pPr>
      <w:r>
        <w:t>Предложенный</w:t>
      </w:r>
      <w:r>
        <w:rPr>
          <w:spacing w:val="-17"/>
        </w:rPr>
        <w:t xml:space="preserve"> </w:t>
      </w:r>
      <w:r>
        <w:t>способ</w:t>
      </w:r>
      <w:r>
        <w:rPr>
          <w:spacing w:val="-14"/>
        </w:rPr>
        <w:t xml:space="preserve"> </w:t>
      </w:r>
      <w:r>
        <w:t>профилактики</w:t>
      </w:r>
      <w:r>
        <w:rPr>
          <w:spacing w:val="-15"/>
        </w:rPr>
        <w:t xml:space="preserve"> </w:t>
      </w:r>
      <w:r>
        <w:t>аррозивных</w:t>
      </w:r>
      <w:r>
        <w:rPr>
          <w:spacing w:val="-18"/>
        </w:rPr>
        <w:t xml:space="preserve"> </w:t>
      </w:r>
      <w:r>
        <w:t>кровотечений</w:t>
      </w:r>
      <w:r>
        <w:rPr>
          <w:spacing w:val="-15"/>
        </w:rPr>
        <w:t xml:space="preserve"> </w:t>
      </w:r>
      <w:r>
        <w:t>отличается простотой выполнения, не требует дополнительных расходных материалов и может быть внедрён в практику</w:t>
      </w:r>
      <w:r>
        <w:rPr>
          <w:spacing w:val="-1"/>
        </w:rPr>
        <w:t xml:space="preserve"> </w:t>
      </w:r>
      <w:r>
        <w:t>любой хирургической клиники. Использование круглой связки печени в качестве естественного аутотрансплантата обеспечивает биологическую совместимость, отсутствие иммунной реакции и долговечную механическую защиту сосудов.</w:t>
      </w:r>
    </w:p>
    <w:p w14:paraId="6F4DF45D">
      <w:pPr>
        <w:pStyle w:val="7"/>
        <w:ind w:left="0" w:right="3" w:firstLine="709"/>
      </w:pPr>
      <w:r>
        <w:t>В отличие от ранее описанных методов (укрытие сальником, фрагментом брюшины, синтетическими материалами), применение круглой связки печени исключает</w:t>
      </w:r>
      <w:r>
        <w:rPr>
          <w:spacing w:val="-17"/>
        </w:rPr>
        <w:t xml:space="preserve"> </w:t>
      </w:r>
      <w:r>
        <w:t>риск</w:t>
      </w:r>
      <w:r>
        <w:rPr>
          <w:spacing w:val="-16"/>
        </w:rPr>
        <w:t xml:space="preserve"> </w:t>
      </w:r>
      <w:r>
        <w:t>ишемизации,</w:t>
      </w:r>
      <w:r>
        <w:rPr>
          <w:spacing w:val="-13"/>
        </w:rPr>
        <w:t xml:space="preserve"> </w:t>
      </w:r>
      <w:r>
        <w:t>не</w:t>
      </w:r>
      <w:r>
        <w:rPr>
          <w:spacing w:val="-14"/>
        </w:rPr>
        <w:t xml:space="preserve"> </w:t>
      </w:r>
      <w:r>
        <w:t>требует</w:t>
      </w:r>
      <w:r>
        <w:rPr>
          <w:spacing w:val="-17"/>
        </w:rPr>
        <w:t xml:space="preserve"> </w:t>
      </w:r>
      <w:r>
        <w:t>дополнительной</w:t>
      </w:r>
      <w:r>
        <w:rPr>
          <w:spacing w:val="-15"/>
        </w:rPr>
        <w:t xml:space="preserve"> </w:t>
      </w:r>
      <w:r>
        <w:t>фиксации</w:t>
      </w:r>
      <w:r>
        <w:rPr>
          <w:spacing w:val="-15"/>
        </w:rPr>
        <w:t xml:space="preserve"> </w:t>
      </w:r>
      <w:r>
        <w:t>и</w:t>
      </w:r>
      <w:r>
        <w:rPr>
          <w:spacing w:val="-15"/>
        </w:rPr>
        <w:t xml:space="preserve"> </w:t>
      </w:r>
      <w:r>
        <w:t>полностью сохраняет анатомическую целостность окружающих структур.</w:t>
      </w:r>
    </w:p>
    <w:p w14:paraId="1CA48EE5">
      <w:pPr>
        <w:pStyle w:val="7"/>
        <w:spacing w:before="1"/>
        <w:ind w:left="0" w:right="3" w:firstLine="709"/>
      </w:pPr>
      <w:r>
        <w:t xml:space="preserve">Таким образом, данный метод позволяет значительно снизить риск аррозивных кровотечений, улучшить результаты хирургического лечения больных с опухолями периампулярной зоны и повысить общую безопасность </w:t>
      </w:r>
      <w:r>
        <w:rPr>
          <w:spacing w:val="-2"/>
        </w:rPr>
        <w:t>ГПДР.</w:t>
      </w:r>
    </w:p>
    <w:p w14:paraId="700AAB73">
      <w:pPr>
        <w:pStyle w:val="7"/>
        <w:ind w:left="0" w:right="3" w:firstLine="709"/>
      </w:pPr>
      <w:r>
        <w:t xml:space="preserve">В заключении внедрение предложенных модификаций позволило достичь существенного снижения частоты ПС и кровотечений, а также уменьшить летальность после ГПДР. Использование двойного дренирования в сочетании с укрытием сосудистой культи круглой связкой печени обеспечивает надёжную профилактику тяжёлых осложнений и повышает общую безопасность </w:t>
      </w:r>
      <w:r>
        <w:rPr>
          <w:spacing w:val="-2"/>
        </w:rPr>
        <w:t>вмешательства.</w:t>
      </w:r>
    </w:p>
    <w:p w14:paraId="646046D2">
      <w:pPr>
        <w:pStyle w:val="7"/>
        <w:spacing w:before="2"/>
        <w:ind w:left="0" w:right="3" w:firstLine="0"/>
      </w:pPr>
      <w:r>
        <w:t xml:space="preserve">          Разработанная методика получила авторское свидетельство, и может быть рекомендована к применению в хирургических клиниках, выполняющих высокий объём ГПДР.</w:t>
      </w:r>
    </w:p>
    <w:p w14:paraId="5C89E3CB">
      <w:pPr>
        <w:pStyle w:val="7"/>
        <w:spacing w:before="67"/>
        <w:ind w:left="0" w:right="3" w:firstLine="709"/>
      </w:pPr>
      <w:r>
        <w:t>Проведённая работа обосновала и клинически подтвердила эффективность комплексного</w:t>
      </w:r>
      <w:r>
        <w:rPr>
          <w:spacing w:val="-13"/>
        </w:rPr>
        <w:t xml:space="preserve"> </w:t>
      </w:r>
      <w:r>
        <w:t>подхода</w:t>
      </w:r>
      <w:r>
        <w:rPr>
          <w:spacing w:val="-17"/>
        </w:rPr>
        <w:t xml:space="preserve"> </w:t>
      </w:r>
      <w:r>
        <w:t>к</w:t>
      </w:r>
      <w:r>
        <w:rPr>
          <w:spacing w:val="-18"/>
        </w:rPr>
        <w:t xml:space="preserve"> </w:t>
      </w:r>
      <w:r>
        <w:t>профилактике</w:t>
      </w:r>
      <w:r>
        <w:rPr>
          <w:spacing w:val="-11"/>
        </w:rPr>
        <w:t xml:space="preserve"> </w:t>
      </w:r>
      <w:r>
        <w:t>ПС</w:t>
      </w:r>
      <w:r>
        <w:rPr>
          <w:spacing w:val="-15"/>
        </w:rPr>
        <w:t xml:space="preserve"> </w:t>
      </w:r>
      <w:r>
        <w:t>и</w:t>
      </w:r>
      <w:r>
        <w:rPr>
          <w:spacing w:val="-17"/>
        </w:rPr>
        <w:t xml:space="preserve"> </w:t>
      </w:r>
      <w:r>
        <w:t>связанных</w:t>
      </w:r>
      <w:r>
        <w:rPr>
          <w:spacing w:val="-17"/>
        </w:rPr>
        <w:t xml:space="preserve"> </w:t>
      </w:r>
      <w:r>
        <w:t>осложнений</w:t>
      </w:r>
      <w:r>
        <w:rPr>
          <w:spacing w:val="-16"/>
        </w:rPr>
        <w:t xml:space="preserve"> </w:t>
      </w:r>
      <w:r>
        <w:t>после</w:t>
      </w:r>
      <w:r>
        <w:rPr>
          <w:spacing w:val="-17"/>
        </w:rPr>
        <w:t xml:space="preserve"> </w:t>
      </w:r>
      <w:r>
        <w:t>ГПДР у пациентов группы высокого риска (мягкая железа, ПП ≤5 мм). Разработанная модификация</w:t>
      </w:r>
      <w:r>
        <w:rPr>
          <w:spacing w:val="-18"/>
        </w:rPr>
        <w:t xml:space="preserve"> </w:t>
      </w:r>
      <w:r>
        <w:t>протоково-слизистого</w:t>
      </w:r>
      <w:r>
        <w:rPr>
          <w:spacing w:val="-17"/>
        </w:rPr>
        <w:t xml:space="preserve"> </w:t>
      </w:r>
      <w:r>
        <w:t>ПЕА</w:t>
      </w:r>
      <w:r>
        <w:rPr>
          <w:spacing w:val="-18"/>
        </w:rPr>
        <w:t xml:space="preserve"> </w:t>
      </w:r>
      <w:r>
        <w:t>—</w:t>
      </w:r>
      <w:r>
        <w:rPr>
          <w:spacing w:val="-17"/>
        </w:rPr>
        <w:t xml:space="preserve"> </w:t>
      </w:r>
      <w:r>
        <w:t>с</w:t>
      </w:r>
      <w:r>
        <w:rPr>
          <w:spacing w:val="-18"/>
        </w:rPr>
        <w:t xml:space="preserve"> </w:t>
      </w:r>
      <w:r>
        <w:t>двумя</w:t>
      </w:r>
      <w:r>
        <w:rPr>
          <w:spacing w:val="-17"/>
        </w:rPr>
        <w:t xml:space="preserve"> </w:t>
      </w:r>
      <w:r>
        <w:t>транспаренхиматозными</w:t>
      </w:r>
      <w:r>
        <w:rPr>
          <w:spacing w:val="-18"/>
        </w:rPr>
        <w:t xml:space="preserve"> </w:t>
      </w:r>
      <w:r>
        <w:t>П- образными швами, обязательным дренированием ПП — обеспечила механически устойчивый и герметичный анастомоз, что сопровождалось снижением частоты КЗ-ПС до ≤10% и уменьшением потребности в повторных операциях. Внедрение двойного дренирования зоны ПЕА статистически достоверно уменьшило внутрибрюшного скопления жидкости и гнойно- септических</w:t>
      </w:r>
      <w:r>
        <w:rPr>
          <w:spacing w:val="-5"/>
        </w:rPr>
        <w:t xml:space="preserve"> </w:t>
      </w:r>
      <w:r>
        <w:t>осложнений, а укрытие культи ГДА</w:t>
      </w:r>
      <w:r>
        <w:rPr>
          <w:spacing w:val="-4"/>
        </w:rPr>
        <w:t xml:space="preserve"> </w:t>
      </w:r>
      <w:r>
        <w:t>и печёночной артерии круглой связкой</w:t>
      </w:r>
      <w:r>
        <w:rPr>
          <w:spacing w:val="-14"/>
        </w:rPr>
        <w:t xml:space="preserve"> </w:t>
      </w:r>
      <w:r>
        <w:t>печени</w:t>
      </w:r>
      <w:r>
        <w:rPr>
          <w:spacing w:val="-13"/>
        </w:rPr>
        <w:t xml:space="preserve"> </w:t>
      </w:r>
      <w:r>
        <w:t>практически</w:t>
      </w:r>
      <w:r>
        <w:rPr>
          <w:spacing w:val="-13"/>
        </w:rPr>
        <w:t xml:space="preserve"> </w:t>
      </w:r>
      <w:r>
        <w:t>исключило</w:t>
      </w:r>
      <w:r>
        <w:rPr>
          <w:spacing w:val="-9"/>
        </w:rPr>
        <w:t xml:space="preserve"> </w:t>
      </w:r>
      <w:r>
        <w:t>аррозивные</w:t>
      </w:r>
      <w:r>
        <w:rPr>
          <w:spacing w:val="-12"/>
        </w:rPr>
        <w:t xml:space="preserve"> </w:t>
      </w:r>
      <w:r>
        <w:t>кровотечения</w:t>
      </w:r>
      <w:r>
        <w:rPr>
          <w:spacing w:val="-12"/>
        </w:rPr>
        <w:t xml:space="preserve"> </w:t>
      </w:r>
      <w:r>
        <w:t>и</w:t>
      </w:r>
      <w:r>
        <w:rPr>
          <w:spacing w:val="-13"/>
        </w:rPr>
        <w:t xml:space="preserve"> </w:t>
      </w:r>
      <w:r>
        <w:t>связанный</w:t>
      </w:r>
      <w:r>
        <w:rPr>
          <w:spacing w:val="-13"/>
        </w:rPr>
        <w:t xml:space="preserve"> </w:t>
      </w:r>
      <w:r>
        <w:t>с ними</w:t>
      </w:r>
      <w:r>
        <w:rPr>
          <w:spacing w:val="-10"/>
        </w:rPr>
        <w:t xml:space="preserve"> </w:t>
      </w:r>
      <w:r>
        <w:t>летальный</w:t>
      </w:r>
      <w:r>
        <w:rPr>
          <w:spacing w:val="-10"/>
        </w:rPr>
        <w:t xml:space="preserve"> </w:t>
      </w:r>
      <w:r>
        <w:t>исход.</w:t>
      </w:r>
      <w:r>
        <w:rPr>
          <w:spacing w:val="-4"/>
        </w:rPr>
        <w:t xml:space="preserve"> </w:t>
      </w:r>
      <w:r>
        <w:t>Предложенные</w:t>
      </w:r>
      <w:r>
        <w:rPr>
          <w:spacing w:val="-9"/>
        </w:rPr>
        <w:t xml:space="preserve"> </w:t>
      </w:r>
      <w:r>
        <w:t>решения</w:t>
      </w:r>
      <w:r>
        <w:rPr>
          <w:spacing w:val="-10"/>
        </w:rPr>
        <w:t xml:space="preserve"> </w:t>
      </w:r>
      <w:r>
        <w:t>запатентованы,</w:t>
      </w:r>
      <w:r>
        <w:rPr>
          <w:spacing w:val="-8"/>
        </w:rPr>
        <w:t xml:space="preserve"> </w:t>
      </w:r>
      <w:r>
        <w:t>технологически воспроизводимы, не требуют дефицитных ресурсов и могут быть масштабированы в специализированных центрах. Ограничения исследования (одноцентровый, исторически-сравнительный дизайн) определяют необходимость многоцентровой проспективной валидации, однако текущие данные убедительно свидетельствуют, что сочетание модифицированного протоково-слизистого ПЕА, двойного дренирования и сосудистой защиты круглой связкой печени достоверно повышает безопасность ГПДР и улучшает непосредственные результаты лечения.</w:t>
      </w:r>
    </w:p>
    <w:p w14:paraId="30F4C61A">
      <w:pPr>
        <w:pStyle w:val="7"/>
        <w:spacing w:before="5"/>
        <w:ind w:left="0" w:right="3" w:firstLine="709"/>
      </w:pPr>
      <w:r>
        <w:t>Резюмируя раздел 3.4, обоснован и внедрён комплексный подход к профилактике ПС и ассоциированных осложнений после ГПДР, сформированный на основании ретроспективного анализа и клинической апробации в 2016–2025 гг. Показано, что наибольший риск КЗ-ПС, гнойно- септических</w:t>
      </w:r>
      <w:r>
        <w:rPr>
          <w:spacing w:val="-5"/>
        </w:rPr>
        <w:t xml:space="preserve"> </w:t>
      </w:r>
      <w:r>
        <w:t>осложнений</w:t>
      </w:r>
      <w:r>
        <w:rPr>
          <w:spacing w:val="-5"/>
        </w:rPr>
        <w:t xml:space="preserve"> </w:t>
      </w:r>
      <w:r>
        <w:t>и</w:t>
      </w:r>
      <w:r>
        <w:rPr>
          <w:spacing w:val="-5"/>
        </w:rPr>
        <w:t xml:space="preserve"> </w:t>
      </w:r>
      <w:r>
        <w:t>аррозивных кровотечений</w:t>
      </w:r>
      <w:r>
        <w:rPr>
          <w:spacing w:val="-1"/>
        </w:rPr>
        <w:t xml:space="preserve"> </w:t>
      </w:r>
      <w:r>
        <w:t>характерен</w:t>
      </w:r>
      <w:r>
        <w:rPr>
          <w:spacing w:val="-5"/>
        </w:rPr>
        <w:t xml:space="preserve"> </w:t>
      </w:r>
      <w:r>
        <w:t>для</w:t>
      </w:r>
      <w:r>
        <w:rPr>
          <w:spacing w:val="-4"/>
        </w:rPr>
        <w:t xml:space="preserve"> </w:t>
      </w:r>
      <w:r>
        <w:t>пациентов с мягкой консистенцией ПЖ и малым диаметром ПП, при которых</w:t>
      </w:r>
      <w:r>
        <w:rPr>
          <w:spacing w:val="-5"/>
        </w:rPr>
        <w:t xml:space="preserve"> </w:t>
      </w:r>
      <w:r>
        <w:t xml:space="preserve">стандартные варианты ПЕА не обеспечивают достаточной механической устойчивости </w:t>
      </w:r>
      <w:r>
        <w:rPr>
          <w:spacing w:val="-2"/>
        </w:rPr>
        <w:t>анастомоза.</w:t>
      </w:r>
    </w:p>
    <w:p w14:paraId="3960A7BE">
      <w:pPr>
        <w:pStyle w:val="7"/>
        <w:ind w:left="0" w:right="3" w:firstLine="709"/>
        <w:rPr>
          <w:lang w:val="kk-KZ"/>
        </w:rPr>
      </w:pPr>
      <w:r>
        <w:t xml:space="preserve">Ключевым элементом профилактики стала модифицированная протоково- слизистая ПЕА с двумя транспанкреатическими П-образными швами, прецизионным протоково-слизистым сопоставлением и обязательным внутренним стентированием, обеспечивающая стабильность и герметичность анастомоза в неблагоприятных тканевых условиях. Дополнительно внедрены метод двойного дренирования зоны ПЕА для эффективной декомпрессии и раннего мониторинга, а также окутывание культи ГДА и печёночной артерии круглой связкой печени для профилактики ферментативных аррозивных </w:t>
      </w:r>
      <w:r>
        <w:rPr>
          <w:spacing w:val="-2"/>
        </w:rPr>
        <w:t>кровотечений.</w:t>
      </w:r>
      <w:r>
        <w:t xml:space="preserve"> Сформированный</w:t>
      </w:r>
      <w:r>
        <w:rPr>
          <w:spacing w:val="-4"/>
        </w:rPr>
        <w:t xml:space="preserve"> </w:t>
      </w:r>
      <w:r>
        <w:t>комплекс</w:t>
      </w:r>
      <w:r>
        <w:rPr>
          <w:spacing w:val="-4"/>
        </w:rPr>
        <w:t xml:space="preserve"> </w:t>
      </w:r>
      <w:r>
        <w:t>мер</w:t>
      </w:r>
      <w:r>
        <w:rPr>
          <w:spacing w:val="-4"/>
        </w:rPr>
        <w:t xml:space="preserve"> </w:t>
      </w:r>
      <w:r>
        <w:t>продемонстрировал</w:t>
      </w:r>
      <w:r>
        <w:rPr>
          <w:spacing w:val="-4"/>
        </w:rPr>
        <w:t xml:space="preserve"> </w:t>
      </w:r>
      <w:r>
        <w:t>снижение</w:t>
      </w:r>
      <w:r>
        <w:rPr>
          <w:spacing w:val="-4"/>
        </w:rPr>
        <w:t xml:space="preserve"> </w:t>
      </w:r>
      <w:r>
        <w:t>частоты</w:t>
      </w:r>
      <w:r>
        <w:rPr>
          <w:spacing w:val="-4"/>
        </w:rPr>
        <w:t xml:space="preserve"> </w:t>
      </w:r>
      <w:r>
        <w:t>КЗ- ПС, релапаротомий, гнойно-септических и геморрагических осложнений и госпитальной летальности, что указывает на повышение безопасности реконструктивного этапа ГПДР. Несмотря на одноцентровый и исторически- сравнительный характер исследования, полученные результаты обосновывают целесообразность внедрения разработанного подхода в специализированной хирургической практике.</w:t>
      </w:r>
    </w:p>
    <w:p w14:paraId="39E4869E">
      <w:pPr>
        <w:pStyle w:val="7"/>
        <w:ind w:left="0" w:right="3" w:firstLine="709"/>
        <w:rPr>
          <w:lang w:val="kk-KZ"/>
        </w:rPr>
      </w:pPr>
    </w:p>
    <w:p w14:paraId="4C0FE4C3">
      <w:pPr>
        <w:pStyle w:val="3"/>
        <w:numPr>
          <w:ilvl w:val="1"/>
          <w:numId w:val="8"/>
        </w:numPr>
        <w:tabs>
          <w:tab w:val="left" w:pos="1440"/>
        </w:tabs>
        <w:spacing w:before="72"/>
        <w:ind w:left="0" w:right="3" w:firstLine="709"/>
      </w:pPr>
      <w:r>
        <w:t>Результаты применения стандартного и модифицированного ПЕА после ГПДР</w:t>
      </w:r>
    </w:p>
    <w:p w14:paraId="478D7705">
      <w:pPr>
        <w:pStyle w:val="10"/>
        <w:numPr>
          <w:ilvl w:val="2"/>
          <w:numId w:val="8"/>
        </w:numPr>
        <w:tabs>
          <w:tab w:val="left" w:pos="1621"/>
        </w:tabs>
        <w:ind w:left="0" w:right="3" w:firstLine="709"/>
        <w:rPr>
          <w:sz w:val="28"/>
        </w:rPr>
      </w:pPr>
      <w:r>
        <w:rPr>
          <w:sz w:val="28"/>
        </w:rPr>
        <w:t>Общая</w:t>
      </w:r>
      <w:r>
        <w:rPr>
          <w:spacing w:val="-13"/>
          <w:sz w:val="28"/>
        </w:rPr>
        <w:t xml:space="preserve"> </w:t>
      </w:r>
      <w:r>
        <w:rPr>
          <w:sz w:val="28"/>
        </w:rPr>
        <w:t>клинико-интраоперационная</w:t>
      </w:r>
      <w:r>
        <w:rPr>
          <w:spacing w:val="-9"/>
          <w:sz w:val="28"/>
        </w:rPr>
        <w:t xml:space="preserve"> </w:t>
      </w:r>
      <w:r>
        <w:rPr>
          <w:sz w:val="28"/>
        </w:rPr>
        <w:t>характеристика</w:t>
      </w:r>
      <w:r>
        <w:rPr>
          <w:spacing w:val="-11"/>
          <w:sz w:val="28"/>
        </w:rPr>
        <w:t xml:space="preserve"> </w:t>
      </w:r>
      <w:r>
        <w:rPr>
          <w:sz w:val="28"/>
        </w:rPr>
        <w:t>пациентов</w:t>
      </w:r>
      <w:r>
        <w:rPr>
          <w:spacing w:val="-12"/>
          <w:sz w:val="28"/>
        </w:rPr>
        <w:t xml:space="preserve"> </w:t>
      </w:r>
      <w:r>
        <w:rPr>
          <w:sz w:val="28"/>
        </w:rPr>
        <w:t>в группах стандартного и модифицированного ПЕА</w:t>
      </w:r>
    </w:p>
    <w:p w14:paraId="191BE4FE">
      <w:pPr>
        <w:pStyle w:val="7"/>
        <w:ind w:left="0" w:right="3" w:firstLine="709"/>
      </w:pPr>
      <w:r>
        <w:t>Подгруппа пациентов была разделена на две сравнительные группы в зависимости от применённого типа ПЕА: стандартного и модифицированного. Для оценки сопоставимости клинического и интраоперационного профиля изучаемых</w:t>
      </w:r>
      <w:r>
        <w:rPr>
          <w:spacing w:val="-11"/>
        </w:rPr>
        <w:t xml:space="preserve"> </w:t>
      </w:r>
      <w:r>
        <w:t>когорт</w:t>
      </w:r>
      <w:r>
        <w:rPr>
          <w:spacing w:val="-9"/>
        </w:rPr>
        <w:t xml:space="preserve"> </w:t>
      </w:r>
      <w:r>
        <w:t>выполнен</w:t>
      </w:r>
      <w:r>
        <w:rPr>
          <w:spacing w:val="-8"/>
        </w:rPr>
        <w:t xml:space="preserve"> </w:t>
      </w:r>
      <w:r>
        <w:t>анализ</w:t>
      </w:r>
      <w:r>
        <w:rPr>
          <w:spacing w:val="-7"/>
        </w:rPr>
        <w:t xml:space="preserve"> </w:t>
      </w:r>
      <w:r>
        <w:t>демографических</w:t>
      </w:r>
      <w:r>
        <w:rPr>
          <w:spacing w:val="-11"/>
        </w:rPr>
        <w:t xml:space="preserve"> </w:t>
      </w:r>
      <w:r>
        <w:t>характеристик,</w:t>
      </w:r>
      <w:r>
        <w:rPr>
          <w:spacing w:val="-5"/>
        </w:rPr>
        <w:t xml:space="preserve"> </w:t>
      </w:r>
      <w:r>
        <w:t>структуры сопутствующей патологии, а также интраоперационных показателей.</w:t>
      </w:r>
    </w:p>
    <w:p w14:paraId="5E2CA682">
      <w:pPr>
        <w:pStyle w:val="7"/>
        <w:spacing w:before="320"/>
        <w:ind w:left="0" w:firstLine="0"/>
        <w:jc w:val="left"/>
      </w:pPr>
      <w:r>
        <w:t>Таблица</w:t>
      </w:r>
      <w:r>
        <w:rPr>
          <w:spacing w:val="40"/>
        </w:rPr>
        <w:t xml:space="preserve"> </w:t>
      </w:r>
      <w:r>
        <w:t>25</w:t>
      </w:r>
      <w:r>
        <w:rPr>
          <w:spacing w:val="40"/>
        </w:rPr>
        <w:t xml:space="preserve"> </w:t>
      </w:r>
      <w:r>
        <w:t>-</w:t>
      </w:r>
      <w:r>
        <w:rPr>
          <w:spacing w:val="40"/>
        </w:rPr>
        <w:t xml:space="preserve"> </w:t>
      </w:r>
      <w:r>
        <w:t>Сравнительная</w:t>
      </w:r>
      <w:r>
        <w:rPr>
          <w:spacing w:val="40"/>
        </w:rPr>
        <w:t xml:space="preserve"> </w:t>
      </w:r>
      <w:r>
        <w:t>клинико-</w:t>
      </w:r>
      <w:r>
        <w:rPr>
          <w:spacing w:val="40"/>
        </w:rPr>
        <w:t xml:space="preserve"> </w:t>
      </w:r>
      <w:r>
        <w:t>и</w:t>
      </w:r>
      <w:r>
        <w:rPr>
          <w:spacing w:val="40"/>
        </w:rPr>
        <w:t xml:space="preserve"> </w:t>
      </w:r>
      <w:r>
        <w:t>интраоперационная</w:t>
      </w:r>
      <w:r>
        <w:rPr>
          <w:spacing w:val="40"/>
        </w:rPr>
        <w:t xml:space="preserve"> </w:t>
      </w:r>
      <w:r>
        <w:t>характеристика пациентов в группах стандартного и модифицированного ПЕА.</w:t>
      </w:r>
    </w:p>
    <w:p w14:paraId="71FCB8F1">
      <w:pPr>
        <w:pStyle w:val="7"/>
        <w:spacing w:before="30"/>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4"/>
        <w:gridCol w:w="2268"/>
        <w:gridCol w:w="2835"/>
        <w:gridCol w:w="992"/>
      </w:tblGrid>
      <w:tr w14:paraId="1A299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544" w:type="dxa"/>
          </w:tcPr>
          <w:p w14:paraId="074FEF17">
            <w:pPr>
              <w:pStyle w:val="11"/>
              <w:spacing w:before="314" w:line="309" w:lineRule="exact"/>
              <w:ind w:left="1161"/>
              <w:jc w:val="left"/>
              <w:rPr>
                <w:sz w:val="24"/>
                <w:szCs w:val="24"/>
              </w:rPr>
            </w:pPr>
            <w:r>
              <w:rPr>
                <w:spacing w:val="-2"/>
                <w:sz w:val="24"/>
                <w:szCs w:val="24"/>
              </w:rPr>
              <w:t>Показатели</w:t>
            </w:r>
          </w:p>
        </w:tc>
        <w:tc>
          <w:tcPr>
            <w:tcW w:w="2268" w:type="dxa"/>
          </w:tcPr>
          <w:p w14:paraId="2093EA72">
            <w:pPr>
              <w:pStyle w:val="11"/>
              <w:spacing w:line="315" w:lineRule="exact"/>
              <w:ind w:left="15" w:right="6"/>
              <w:rPr>
                <w:sz w:val="24"/>
                <w:szCs w:val="24"/>
              </w:rPr>
            </w:pPr>
            <w:r>
              <w:rPr>
                <w:spacing w:val="-2"/>
                <w:sz w:val="24"/>
                <w:szCs w:val="24"/>
              </w:rPr>
              <w:t>Стандартный</w:t>
            </w:r>
          </w:p>
          <w:p w14:paraId="6595EDE1">
            <w:pPr>
              <w:pStyle w:val="11"/>
              <w:spacing w:line="309" w:lineRule="exact"/>
              <w:ind w:left="15" w:right="8"/>
              <w:rPr>
                <w:sz w:val="24"/>
                <w:szCs w:val="24"/>
              </w:rPr>
            </w:pPr>
            <w:r>
              <w:rPr>
                <w:spacing w:val="-2"/>
                <w:sz w:val="24"/>
                <w:szCs w:val="24"/>
              </w:rPr>
              <w:t>(n=179)</w:t>
            </w:r>
          </w:p>
        </w:tc>
        <w:tc>
          <w:tcPr>
            <w:tcW w:w="2835" w:type="dxa"/>
          </w:tcPr>
          <w:p w14:paraId="43D3C21B">
            <w:pPr>
              <w:pStyle w:val="11"/>
              <w:spacing w:line="315" w:lineRule="exact"/>
              <w:ind w:left="10" w:right="6"/>
              <w:rPr>
                <w:sz w:val="24"/>
                <w:szCs w:val="24"/>
              </w:rPr>
            </w:pPr>
            <w:r>
              <w:rPr>
                <w:spacing w:val="-2"/>
                <w:sz w:val="24"/>
                <w:szCs w:val="24"/>
              </w:rPr>
              <w:t>Модифицированный</w:t>
            </w:r>
          </w:p>
          <w:p w14:paraId="2DCA58D5">
            <w:pPr>
              <w:pStyle w:val="11"/>
              <w:spacing w:line="309" w:lineRule="exact"/>
              <w:ind w:left="10" w:right="2"/>
              <w:rPr>
                <w:sz w:val="24"/>
                <w:szCs w:val="24"/>
              </w:rPr>
            </w:pPr>
            <w:r>
              <w:rPr>
                <w:spacing w:val="-2"/>
                <w:sz w:val="24"/>
                <w:szCs w:val="24"/>
              </w:rPr>
              <w:t>(n=141)</w:t>
            </w:r>
          </w:p>
        </w:tc>
        <w:tc>
          <w:tcPr>
            <w:tcW w:w="992" w:type="dxa"/>
          </w:tcPr>
          <w:p w14:paraId="46BEA0BF">
            <w:pPr>
              <w:pStyle w:val="11"/>
              <w:spacing w:before="314" w:line="309" w:lineRule="exact"/>
              <w:ind w:left="120"/>
              <w:jc w:val="left"/>
              <w:rPr>
                <w:sz w:val="24"/>
                <w:szCs w:val="24"/>
              </w:rPr>
            </w:pPr>
            <w:r>
              <w:rPr>
                <w:spacing w:val="-2"/>
                <w:sz w:val="24"/>
                <w:szCs w:val="24"/>
              </w:rPr>
              <w:t>P-value</w:t>
            </w:r>
          </w:p>
        </w:tc>
      </w:tr>
      <w:tr w14:paraId="497EA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544" w:type="dxa"/>
          </w:tcPr>
          <w:p w14:paraId="478C4764">
            <w:pPr>
              <w:pStyle w:val="11"/>
              <w:spacing w:line="301" w:lineRule="exact"/>
              <w:ind w:left="288" w:right="278"/>
              <w:rPr>
                <w:sz w:val="24"/>
                <w:szCs w:val="24"/>
              </w:rPr>
            </w:pPr>
            <w:r>
              <w:rPr>
                <w:spacing w:val="-10"/>
                <w:sz w:val="24"/>
                <w:szCs w:val="24"/>
              </w:rPr>
              <w:t>1</w:t>
            </w:r>
          </w:p>
        </w:tc>
        <w:tc>
          <w:tcPr>
            <w:tcW w:w="2268" w:type="dxa"/>
          </w:tcPr>
          <w:p w14:paraId="6B9BA0A4">
            <w:pPr>
              <w:pStyle w:val="11"/>
              <w:spacing w:line="301" w:lineRule="exact"/>
              <w:ind w:left="15"/>
              <w:rPr>
                <w:sz w:val="24"/>
                <w:szCs w:val="24"/>
              </w:rPr>
            </w:pPr>
            <w:r>
              <w:rPr>
                <w:spacing w:val="-10"/>
                <w:sz w:val="24"/>
                <w:szCs w:val="24"/>
              </w:rPr>
              <w:t>2</w:t>
            </w:r>
          </w:p>
        </w:tc>
        <w:tc>
          <w:tcPr>
            <w:tcW w:w="2835" w:type="dxa"/>
          </w:tcPr>
          <w:p w14:paraId="4C6EA133">
            <w:pPr>
              <w:pStyle w:val="11"/>
              <w:spacing w:line="301" w:lineRule="exact"/>
              <w:ind w:left="10" w:right="4"/>
              <w:rPr>
                <w:sz w:val="24"/>
                <w:szCs w:val="24"/>
              </w:rPr>
            </w:pPr>
            <w:r>
              <w:rPr>
                <w:spacing w:val="-10"/>
                <w:sz w:val="24"/>
                <w:szCs w:val="24"/>
              </w:rPr>
              <w:t>3</w:t>
            </w:r>
          </w:p>
        </w:tc>
        <w:tc>
          <w:tcPr>
            <w:tcW w:w="992" w:type="dxa"/>
          </w:tcPr>
          <w:p w14:paraId="4B2AF17A">
            <w:pPr>
              <w:pStyle w:val="11"/>
              <w:spacing w:line="301" w:lineRule="exact"/>
              <w:ind w:left="12"/>
              <w:rPr>
                <w:sz w:val="24"/>
                <w:szCs w:val="24"/>
              </w:rPr>
            </w:pPr>
            <w:r>
              <w:rPr>
                <w:spacing w:val="-10"/>
                <w:sz w:val="24"/>
                <w:szCs w:val="24"/>
              </w:rPr>
              <w:t>4</w:t>
            </w:r>
          </w:p>
        </w:tc>
      </w:tr>
      <w:tr w14:paraId="7864E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544" w:type="dxa"/>
          </w:tcPr>
          <w:p w14:paraId="1AFBB61D">
            <w:pPr>
              <w:pStyle w:val="11"/>
              <w:spacing w:line="301" w:lineRule="exact"/>
              <w:ind w:left="144"/>
              <w:jc w:val="left"/>
              <w:rPr>
                <w:sz w:val="24"/>
                <w:szCs w:val="24"/>
              </w:rPr>
            </w:pPr>
            <w:r>
              <w:rPr>
                <w:sz w:val="24"/>
                <w:szCs w:val="24"/>
              </w:rPr>
              <w:t>Возраст,</w:t>
            </w:r>
            <w:r>
              <w:rPr>
                <w:spacing w:val="-2"/>
                <w:sz w:val="24"/>
                <w:szCs w:val="24"/>
              </w:rPr>
              <w:t xml:space="preserve"> </w:t>
            </w:r>
            <w:r>
              <w:rPr>
                <w:sz w:val="24"/>
                <w:szCs w:val="24"/>
              </w:rPr>
              <w:t>годы,</w:t>
            </w:r>
            <w:r>
              <w:rPr>
                <w:spacing w:val="-1"/>
                <w:sz w:val="24"/>
                <w:szCs w:val="24"/>
              </w:rPr>
              <w:t xml:space="preserve"> </w:t>
            </w:r>
            <w:r>
              <w:rPr>
                <w:sz w:val="24"/>
                <w:szCs w:val="24"/>
              </w:rPr>
              <w:t>Me</w:t>
            </w:r>
            <w:r>
              <w:rPr>
                <w:spacing w:val="-7"/>
                <w:sz w:val="24"/>
                <w:szCs w:val="24"/>
              </w:rPr>
              <w:t xml:space="preserve"> </w:t>
            </w:r>
            <w:r>
              <w:rPr>
                <w:spacing w:val="-2"/>
                <w:sz w:val="24"/>
                <w:szCs w:val="24"/>
              </w:rPr>
              <w:t>[Q1;Q3]</w:t>
            </w:r>
          </w:p>
        </w:tc>
        <w:tc>
          <w:tcPr>
            <w:tcW w:w="2268" w:type="dxa"/>
          </w:tcPr>
          <w:p w14:paraId="458639AC">
            <w:pPr>
              <w:pStyle w:val="11"/>
              <w:spacing w:line="301" w:lineRule="exact"/>
              <w:ind w:left="15" w:right="4"/>
              <w:rPr>
                <w:sz w:val="24"/>
                <w:szCs w:val="24"/>
              </w:rPr>
            </w:pPr>
            <w:r>
              <w:rPr>
                <w:sz w:val="24"/>
                <w:szCs w:val="24"/>
              </w:rPr>
              <w:t>60,0</w:t>
            </w:r>
            <w:r>
              <w:rPr>
                <w:spacing w:val="-4"/>
                <w:sz w:val="24"/>
                <w:szCs w:val="24"/>
              </w:rPr>
              <w:t xml:space="preserve"> </w:t>
            </w:r>
            <w:r>
              <w:rPr>
                <w:sz w:val="24"/>
                <w:szCs w:val="24"/>
              </w:rPr>
              <w:t>[52,0;</w:t>
            </w:r>
            <w:r>
              <w:rPr>
                <w:spacing w:val="-4"/>
                <w:sz w:val="24"/>
                <w:szCs w:val="24"/>
              </w:rPr>
              <w:t xml:space="preserve"> </w:t>
            </w:r>
            <w:r>
              <w:rPr>
                <w:spacing w:val="-2"/>
                <w:sz w:val="24"/>
                <w:szCs w:val="24"/>
              </w:rPr>
              <w:t>65,5]</w:t>
            </w:r>
          </w:p>
        </w:tc>
        <w:tc>
          <w:tcPr>
            <w:tcW w:w="2835" w:type="dxa"/>
          </w:tcPr>
          <w:p w14:paraId="495F4BBB">
            <w:pPr>
              <w:pStyle w:val="11"/>
              <w:spacing w:line="301" w:lineRule="exact"/>
              <w:ind w:left="10"/>
              <w:rPr>
                <w:sz w:val="24"/>
                <w:szCs w:val="24"/>
              </w:rPr>
            </w:pPr>
            <w:r>
              <w:rPr>
                <w:sz w:val="24"/>
                <w:szCs w:val="24"/>
              </w:rPr>
              <w:t>62,0</w:t>
            </w:r>
            <w:r>
              <w:rPr>
                <w:spacing w:val="-4"/>
                <w:sz w:val="24"/>
                <w:szCs w:val="24"/>
              </w:rPr>
              <w:t xml:space="preserve"> </w:t>
            </w:r>
            <w:r>
              <w:rPr>
                <w:sz w:val="24"/>
                <w:szCs w:val="24"/>
              </w:rPr>
              <w:t>[56,5;</w:t>
            </w:r>
            <w:r>
              <w:rPr>
                <w:spacing w:val="-4"/>
                <w:sz w:val="24"/>
                <w:szCs w:val="24"/>
              </w:rPr>
              <w:t xml:space="preserve"> </w:t>
            </w:r>
            <w:r>
              <w:rPr>
                <w:spacing w:val="-2"/>
                <w:sz w:val="24"/>
                <w:szCs w:val="24"/>
              </w:rPr>
              <w:t>68,0]</w:t>
            </w:r>
          </w:p>
        </w:tc>
        <w:tc>
          <w:tcPr>
            <w:tcW w:w="992" w:type="dxa"/>
          </w:tcPr>
          <w:p w14:paraId="67E93360">
            <w:pPr>
              <w:pStyle w:val="11"/>
              <w:spacing w:line="301" w:lineRule="exact"/>
              <w:ind w:left="188"/>
              <w:jc w:val="left"/>
              <w:rPr>
                <w:sz w:val="24"/>
                <w:szCs w:val="24"/>
              </w:rPr>
            </w:pPr>
            <w:r>
              <w:rPr>
                <w:spacing w:val="-2"/>
                <w:sz w:val="24"/>
                <w:szCs w:val="24"/>
              </w:rPr>
              <w:t>0,008</w:t>
            </w:r>
            <w:r>
              <w:rPr>
                <w:spacing w:val="-2"/>
                <w:sz w:val="24"/>
                <w:szCs w:val="24"/>
                <w:vertAlign w:val="superscript"/>
              </w:rPr>
              <w:t>*</w:t>
            </w:r>
          </w:p>
        </w:tc>
      </w:tr>
      <w:tr w14:paraId="57569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3544" w:type="dxa"/>
          </w:tcPr>
          <w:p w14:paraId="50F3A444">
            <w:pPr>
              <w:pStyle w:val="11"/>
              <w:spacing w:line="319" w:lineRule="exact"/>
              <w:ind w:right="925"/>
              <w:jc w:val="right"/>
              <w:rPr>
                <w:sz w:val="24"/>
                <w:szCs w:val="24"/>
              </w:rPr>
            </w:pPr>
            <w:r>
              <w:rPr>
                <w:sz w:val="24"/>
                <w:szCs w:val="24"/>
              </w:rPr>
              <w:t>Пол,</w:t>
            </w:r>
            <w:r>
              <w:rPr>
                <w:spacing w:val="3"/>
                <w:sz w:val="24"/>
                <w:szCs w:val="24"/>
              </w:rPr>
              <w:t xml:space="preserve"> </w:t>
            </w:r>
            <w:r>
              <w:rPr>
                <w:sz w:val="24"/>
                <w:szCs w:val="24"/>
              </w:rPr>
              <w:t>n</w:t>
            </w:r>
            <w:r>
              <w:rPr>
                <w:spacing w:val="-7"/>
                <w:sz w:val="24"/>
                <w:szCs w:val="24"/>
              </w:rPr>
              <w:t xml:space="preserve"> </w:t>
            </w:r>
            <w:r>
              <w:rPr>
                <w:sz w:val="24"/>
                <w:szCs w:val="24"/>
              </w:rPr>
              <w:t>(%)</w:t>
            </w:r>
            <w:r>
              <w:rPr>
                <w:spacing w:val="-3"/>
                <w:sz w:val="24"/>
                <w:szCs w:val="24"/>
              </w:rPr>
              <w:t xml:space="preserve"> </w:t>
            </w:r>
            <w:r>
              <w:rPr>
                <w:sz w:val="24"/>
                <w:szCs w:val="24"/>
              </w:rPr>
              <w:t>-</w:t>
            </w:r>
            <w:r>
              <w:rPr>
                <w:spacing w:val="-4"/>
                <w:sz w:val="24"/>
                <w:szCs w:val="24"/>
              </w:rPr>
              <w:t xml:space="preserve"> </w:t>
            </w:r>
            <w:r>
              <w:rPr>
                <w:spacing w:val="-2"/>
                <w:sz w:val="24"/>
                <w:szCs w:val="24"/>
              </w:rPr>
              <w:t>мужчины</w:t>
            </w:r>
          </w:p>
          <w:p w14:paraId="2DF1AD3B">
            <w:pPr>
              <w:pStyle w:val="11"/>
              <w:ind w:right="881"/>
              <w:jc w:val="right"/>
              <w:rPr>
                <w:sz w:val="24"/>
                <w:szCs w:val="24"/>
              </w:rPr>
            </w:pPr>
            <w:r>
              <w:rPr>
                <w:sz w:val="24"/>
                <w:szCs w:val="24"/>
              </w:rPr>
              <w:t>-</w:t>
            </w:r>
            <w:r>
              <w:rPr>
                <w:spacing w:val="-1"/>
                <w:sz w:val="24"/>
                <w:szCs w:val="24"/>
              </w:rPr>
              <w:t xml:space="preserve"> </w:t>
            </w:r>
            <w:r>
              <w:rPr>
                <w:spacing w:val="-2"/>
                <w:sz w:val="24"/>
                <w:szCs w:val="24"/>
              </w:rPr>
              <w:t>женщины</w:t>
            </w:r>
          </w:p>
        </w:tc>
        <w:tc>
          <w:tcPr>
            <w:tcW w:w="2268" w:type="dxa"/>
          </w:tcPr>
          <w:p w14:paraId="2B8F72D2">
            <w:pPr>
              <w:pStyle w:val="11"/>
              <w:spacing w:line="319" w:lineRule="exact"/>
              <w:ind w:left="590"/>
              <w:jc w:val="left"/>
              <w:rPr>
                <w:sz w:val="24"/>
                <w:szCs w:val="24"/>
              </w:rPr>
            </w:pPr>
            <w:r>
              <w:rPr>
                <w:sz w:val="24"/>
                <w:szCs w:val="24"/>
              </w:rPr>
              <w:t>74</w:t>
            </w:r>
            <w:r>
              <w:rPr>
                <w:spacing w:val="-2"/>
                <w:sz w:val="24"/>
                <w:szCs w:val="24"/>
              </w:rPr>
              <w:t xml:space="preserve"> (41,3%)</w:t>
            </w:r>
          </w:p>
          <w:p w14:paraId="3934B995">
            <w:pPr>
              <w:pStyle w:val="11"/>
              <w:ind w:left="480"/>
              <w:jc w:val="left"/>
              <w:rPr>
                <w:sz w:val="24"/>
                <w:szCs w:val="24"/>
              </w:rPr>
            </w:pPr>
            <w:r>
              <w:rPr>
                <w:sz w:val="24"/>
                <w:szCs w:val="24"/>
              </w:rPr>
              <w:t>105</w:t>
            </w:r>
            <w:r>
              <w:rPr>
                <w:spacing w:val="-4"/>
                <w:sz w:val="24"/>
                <w:szCs w:val="24"/>
              </w:rPr>
              <w:t xml:space="preserve"> </w:t>
            </w:r>
            <w:r>
              <w:rPr>
                <w:spacing w:val="-2"/>
                <w:sz w:val="24"/>
                <w:szCs w:val="24"/>
              </w:rPr>
              <w:t>(58,7%)</w:t>
            </w:r>
          </w:p>
        </w:tc>
        <w:tc>
          <w:tcPr>
            <w:tcW w:w="2835" w:type="dxa"/>
          </w:tcPr>
          <w:p w14:paraId="36C0540F">
            <w:pPr>
              <w:pStyle w:val="11"/>
              <w:spacing w:line="319" w:lineRule="exact"/>
              <w:ind w:left="639"/>
              <w:jc w:val="left"/>
              <w:rPr>
                <w:sz w:val="24"/>
                <w:szCs w:val="24"/>
              </w:rPr>
            </w:pPr>
            <w:r>
              <w:rPr>
                <w:sz w:val="24"/>
                <w:szCs w:val="24"/>
              </w:rPr>
              <w:t>75</w:t>
            </w:r>
            <w:r>
              <w:rPr>
                <w:spacing w:val="-2"/>
                <w:sz w:val="24"/>
                <w:szCs w:val="24"/>
              </w:rPr>
              <w:t xml:space="preserve"> (53,2%)</w:t>
            </w:r>
          </w:p>
          <w:p w14:paraId="0B658F81">
            <w:pPr>
              <w:pStyle w:val="11"/>
              <w:ind w:left="639"/>
              <w:jc w:val="left"/>
              <w:rPr>
                <w:sz w:val="24"/>
                <w:szCs w:val="24"/>
              </w:rPr>
            </w:pPr>
            <w:r>
              <w:rPr>
                <w:sz w:val="24"/>
                <w:szCs w:val="24"/>
              </w:rPr>
              <w:t>66</w:t>
            </w:r>
            <w:r>
              <w:rPr>
                <w:spacing w:val="-2"/>
                <w:sz w:val="24"/>
                <w:szCs w:val="24"/>
              </w:rPr>
              <w:t xml:space="preserve"> (46,8%)</w:t>
            </w:r>
          </w:p>
        </w:tc>
        <w:tc>
          <w:tcPr>
            <w:tcW w:w="992" w:type="dxa"/>
          </w:tcPr>
          <w:p w14:paraId="523F095A">
            <w:pPr>
              <w:pStyle w:val="11"/>
              <w:spacing w:before="156" w:line="240" w:lineRule="auto"/>
              <w:ind w:left="140"/>
              <w:jc w:val="left"/>
              <w:rPr>
                <w:sz w:val="24"/>
                <w:szCs w:val="24"/>
              </w:rPr>
            </w:pPr>
            <w:r>
              <w:rPr>
                <w:spacing w:val="-2"/>
                <w:sz w:val="24"/>
                <w:szCs w:val="24"/>
              </w:rPr>
              <w:t>0,035</w:t>
            </w:r>
            <w:r>
              <w:rPr>
                <w:spacing w:val="-2"/>
                <w:sz w:val="24"/>
                <w:szCs w:val="24"/>
                <w:vertAlign w:val="superscript"/>
              </w:rPr>
              <w:t>**</w:t>
            </w:r>
          </w:p>
        </w:tc>
      </w:tr>
      <w:tr w14:paraId="779DF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544" w:type="dxa"/>
          </w:tcPr>
          <w:p w14:paraId="2F2F78BD">
            <w:pPr>
              <w:pStyle w:val="11"/>
              <w:spacing w:line="315" w:lineRule="exact"/>
              <w:ind w:left="283"/>
              <w:jc w:val="left"/>
              <w:rPr>
                <w:sz w:val="24"/>
                <w:szCs w:val="24"/>
              </w:rPr>
            </w:pPr>
            <w:r>
              <w:rPr>
                <w:spacing w:val="-2"/>
                <w:sz w:val="24"/>
                <w:szCs w:val="24"/>
              </w:rPr>
              <w:t>Ишемическая</w:t>
            </w:r>
            <w:r>
              <w:rPr>
                <w:spacing w:val="2"/>
                <w:sz w:val="24"/>
                <w:szCs w:val="24"/>
              </w:rPr>
              <w:t xml:space="preserve"> </w:t>
            </w:r>
            <w:r>
              <w:rPr>
                <w:spacing w:val="-2"/>
                <w:sz w:val="24"/>
                <w:szCs w:val="24"/>
              </w:rPr>
              <w:t>болезнь</w:t>
            </w:r>
          </w:p>
          <w:p w14:paraId="4B37B237">
            <w:pPr>
              <w:pStyle w:val="11"/>
              <w:ind w:left="283"/>
              <w:jc w:val="left"/>
              <w:rPr>
                <w:sz w:val="24"/>
                <w:szCs w:val="24"/>
              </w:rPr>
            </w:pPr>
            <w:r>
              <w:rPr>
                <w:sz w:val="24"/>
                <w:szCs w:val="24"/>
              </w:rPr>
              <w:t>сердца, n</w:t>
            </w:r>
            <w:r>
              <w:rPr>
                <w:spacing w:val="-6"/>
                <w:sz w:val="24"/>
                <w:szCs w:val="24"/>
              </w:rPr>
              <w:t xml:space="preserve"> </w:t>
            </w:r>
            <w:r>
              <w:rPr>
                <w:spacing w:val="-5"/>
                <w:sz w:val="24"/>
                <w:szCs w:val="24"/>
              </w:rPr>
              <w:t>(%)</w:t>
            </w:r>
          </w:p>
        </w:tc>
        <w:tc>
          <w:tcPr>
            <w:tcW w:w="2268" w:type="dxa"/>
          </w:tcPr>
          <w:p w14:paraId="32BCD3BA">
            <w:pPr>
              <w:pStyle w:val="11"/>
              <w:spacing w:before="314"/>
              <w:ind w:left="15" w:right="8"/>
              <w:rPr>
                <w:sz w:val="24"/>
                <w:szCs w:val="24"/>
              </w:rPr>
            </w:pPr>
            <w:r>
              <w:rPr>
                <w:sz w:val="24"/>
                <w:szCs w:val="24"/>
              </w:rPr>
              <w:t>86</w:t>
            </w:r>
            <w:r>
              <w:rPr>
                <w:spacing w:val="-2"/>
                <w:sz w:val="24"/>
                <w:szCs w:val="24"/>
              </w:rPr>
              <w:t xml:space="preserve"> (48,0%)</w:t>
            </w:r>
          </w:p>
        </w:tc>
        <w:tc>
          <w:tcPr>
            <w:tcW w:w="2835" w:type="dxa"/>
          </w:tcPr>
          <w:p w14:paraId="1113680E">
            <w:pPr>
              <w:pStyle w:val="11"/>
              <w:spacing w:before="314"/>
              <w:ind w:left="10" w:right="2"/>
              <w:rPr>
                <w:sz w:val="24"/>
                <w:szCs w:val="24"/>
              </w:rPr>
            </w:pPr>
            <w:r>
              <w:rPr>
                <w:sz w:val="24"/>
                <w:szCs w:val="24"/>
              </w:rPr>
              <w:t>54</w:t>
            </w:r>
            <w:r>
              <w:rPr>
                <w:spacing w:val="-2"/>
                <w:sz w:val="24"/>
                <w:szCs w:val="24"/>
              </w:rPr>
              <w:t xml:space="preserve"> (38,3%)</w:t>
            </w:r>
          </w:p>
        </w:tc>
        <w:tc>
          <w:tcPr>
            <w:tcW w:w="992" w:type="dxa"/>
          </w:tcPr>
          <w:p w14:paraId="308BA0A0">
            <w:pPr>
              <w:pStyle w:val="11"/>
              <w:spacing w:before="314"/>
              <w:ind w:left="140"/>
              <w:jc w:val="left"/>
              <w:rPr>
                <w:sz w:val="24"/>
                <w:szCs w:val="24"/>
              </w:rPr>
            </w:pPr>
            <w:r>
              <w:rPr>
                <w:spacing w:val="-2"/>
                <w:sz w:val="24"/>
                <w:szCs w:val="24"/>
              </w:rPr>
              <w:t>0,002</w:t>
            </w:r>
            <w:r>
              <w:rPr>
                <w:spacing w:val="-2"/>
                <w:sz w:val="24"/>
                <w:szCs w:val="24"/>
                <w:vertAlign w:val="superscript"/>
              </w:rPr>
              <w:t>**</w:t>
            </w:r>
          </w:p>
        </w:tc>
      </w:tr>
      <w:tr w14:paraId="33117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trPr>
        <w:tc>
          <w:tcPr>
            <w:tcW w:w="3544" w:type="dxa"/>
          </w:tcPr>
          <w:p w14:paraId="01D31A56">
            <w:pPr>
              <w:pStyle w:val="11"/>
              <w:spacing w:before="79" w:line="240" w:lineRule="auto"/>
              <w:ind w:left="144"/>
              <w:jc w:val="left"/>
              <w:rPr>
                <w:sz w:val="24"/>
                <w:szCs w:val="24"/>
              </w:rPr>
            </w:pPr>
            <w:r>
              <w:rPr>
                <w:sz w:val="24"/>
                <w:szCs w:val="24"/>
              </w:rPr>
              <w:t>Сахарный</w:t>
            </w:r>
            <w:r>
              <w:rPr>
                <w:spacing w:val="-5"/>
                <w:sz w:val="24"/>
                <w:szCs w:val="24"/>
              </w:rPr>
              <w:t xml:space="preserve"> </w:t>
            </w:r>
            <w:r>
              <w:rPr>
                <w:sz w:val="24"/>
                <w:szCs w:val="24"/>
              </w:rPr>
              <w:t>диабет,</w:t>
            </w:r>
            <w:r>
              <w:rPr>
                <w:spacing w:val="-2"/>
                <w:sz w:val="24"/>
                <w:szCs w:val="24"/>
              </w:rPr>
              <w:t xml:space="preserve"> </w:t>
            </w:r>
            <w:r>
              <w:rPr>
                <w:sz w:val="24"/>
                <w:szCs w:val="24"/>
              </w:rPr>
              <w:t>n</w:t>
            </w:r>
            <w:r>
              <w:rPr>
                <w:spacing w:val="-9"/>
                <w:sz w:val="24"/>
                <w:szCs w:val="24"/>
              </w:rPr>
              <w:t xml:space="preserve"> </w:t>
            </w:r>
            <w:r>
              <w:rPr>
                <w:spacing w:val="-5"/>
                <w:sz w:val="24"/>
                <w:szCs w:val="24"/>
              </w:rPr>
              <w:t>(%)</w:t>
            </w:r>
          </w:p>
        </w:tc>
        <w:tc>
          <w:tcPr>
            <w:tcW w:w="2268" w:type="dxa"/>
          </w:tcPr>
          <w:p w14:paraId="1AA61336">
            <w:pPr>
              <w:pStyle w:val="11"/>
              <w:spacing w:before="165"/>
              <w:ind w:left="15" w:right="8"/>
              <w:rPr>
                <w:sz w:val="24"/>
                <w:szCs w:val="24"/>
              </w:rPr>
            </w:pPr>
            <w:r>
              <w:rPr>
                <w:sz w:val="24"/>
                <w:szCs w:val="24"/>
              </w:rPr>
              <w:t>38</w:t>
            </w:r>
            <w:r>
              <w:rPr>
                <w:spacing w:val="-1"/>
                <w:sz w:val="24"/>
                <w:szCs w:val="24"/>
              </w:rPr>
              <w:t xml:space="preserve"> </w:t>
            </w:r>
            <w:r>
              <w:rPr>
                <w:spacing w:val="-2"/>
                <w:sz w:val="24"/>
                <w:szCs w:val="24"/>
              </w:rPr>
              <w:t>(21,3%)</w:t>
            </w:r>
          </w:p>
        </w:tc>
        <w:tc>
          <w:tcPr>
            <w:tcW w:w="2835" w:type="dxa"/>
          </w:tcPr>
          <w:p w14:paraId="703BBA69">
            <w:pPr>
              <w:pStyle w:val="11"/>
              <w:spacing w:before="165"/>
              <w:ind w:left="10" w:right="2"/>
              <w:rPr>
                <w:sz w:val="24"/>
                <w:szCs w:val="24"/>
              </w:rPr>
            </w:pPr>
            <w:r>
              <w:rPr>
                <w:sz w:val="24"/>
                <w:szCs w:val="24"/>
              </w:rPr>
              <w:t>26</w:t>
            </w:r>
            <w:r>
              <w:rPr>
                <w:spacing w:val="-2"/>
                <w:sz w:val="24"/>
                <w:szCs w:val="24"/>
              </w:rPr>
              <w:t xml:space="preserve"> (18,4%)</w:t>
            </w:r>
          </w:p>
        </w:tc>
        <w:tc>
          <w:tcPr>
            <w:tcW w:w="992" w:type="dxa"/>
          </w:tcPr>
          <w:p w14:paraId="3E6B3D0A">
            <w:pPr>
              <w:pStyle w:val="11"/>
              <w:spacing w:before="79" w:line="240" w:lineRule="auto"/>
              <w:ind w:left="140"/>
              <w:jc w:val="left"/>
              <w:rPr>
                <w:sz w:val="24"/>
                <w:szCs w:val="24"/>
              </w:rPr>
            </w:pPr>
            <w:r>
              <w:rPr>
                <w:spacing w:val="-2"/>
                <w:sz w:val="24"/>
                <w:szCs w:val="24"/>
              </w:rPr>
              <w:t>0,536</w:t>
            </w:r>
            <w:r>
              <w:rPr>
                <w:spacing w:val="-2"/>
                <w:sz w:val="24"/>
                <w:szCs w:val="24"/>
                <w:vertAlign w:val="superscript"/>
              </w:rPr>
              <w:t>**</w:t>
            </w:r>
          </w:p>
        </w:tc>
      </w:tr>
      <w:tr w14:paraId="04799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3544" w:type="dxa"/>
          </w:tcPr>
          <w:p w14:paraId="40CA3903">
            <w:pPr>
              <w:pStyle w:val="11"/>
              <w:spacing w:before="112" w:line="240" w:lineRule="auto"/>
              <w:ind w:left="144"/>
              <w:jc w:val="left"/>
              <w:rPr>
                <w:sz w:val="24"/>
                <w:szCs w:val="24"/>
              </w:rPr>
            </w:pPr>
            <w:r>
              <w:rPr>
                <w:sz w:val="24"/>
                <w:szCs w:val="24"/>
              </w:rPr>
              <w:t>Билиарная</w:t>
            </w:r>
            <w:r>
              <w:rPr>
                <w:spacing w:val="-6"/>
                <w:sz w:val="24"/>
                <w:szCs w:val="24"/>
              </w:rPr>
              <w:t xml:space="preserve"> </w:t>
            </w:r>
            <w:r>
              <w:rPr>
                <w:sz w:val="24"/>
                <w:szCs w:val="24"/>
              </w:rPr>
              <w:t>обструкция,</w:t>
            </w:r>
            <w:r>
              <w:rPr>
                <w:spacing w:val="-5"/>
                <w:sz w:val="24"/>
                <w:szCs w:val="24"/>
              </w:rPr>
              <w:t xml:space="preserve"> </w:t>
            </w:r>
            <w:r>
              <w:rPr>
                <w:sz w:val="24"/>
                <w:szCs w:val="24"/>
              </w:rPr>
              <w:t>n</w:t>
            </w:r>
            <w:r>
              <w:rPr>
                <w:spacing w:val="-11"/>
                <w:sz w:val="24"/>
                <w:szCs w:val="24"/>
              </w:rPr>
              <w:t xml:space="preserve"> </w:t>
            </w:r>
            <w:r>
              <w:rPr>
                <w:spacing w:val="-5"/>
                <w:sz w:val="24"/>
                <w:szCs w:val="24"/>
              </w:rPr>
              <w:t>(%)</w:t>
            </w:r>
          </w:p>
        </w:tc>
        <w:tc>
          <w:tcPr>
            <w:tcW w:w="2268" w:type="dxa"/>
          </w:tcPr>
          <w:p w14:paraId="28F9EC80">
            <w:pPr>
              <w:pStyle w:val="11"/>
              <w:spacing w:before="228"/>
              <w:ind w:left="15" w:right="9"/>
              <w:rPr>
                <w:sz w:val="24"/>
                <w:szCs w:val="24"/>
              </w:rPr>
            </w:pPr>
            <w:r>
              <w:rPr>
                <w:sz w:val="24"/>
                <w:szCs w:val="24"/>
              </w:rPr>
              <w:t>137</w:t>
            </w:r>
            <w:r>
              <w:rPr>
                <w:spacing w:val="-4"/>
                <w:sz w:val="24"/>
                <w:szCs w:val="24"/>
              </w:rPr>
              <w:t xml:space="preserve"> </w:t>
            </w:r>
            <w:r>
              <w:rPr>
                <w:spacing w:val="-2"/>
                <w:sz w:val="24"/>
                <w:szCs w:val="24"/>
              </w:rPr>
              <w:t>(76,5%)</w:t>
            </w:r>
          </w:p>
        </w:tc>
        <w:tc>
          <w:tcPr>
            <w:tcW w:w="2835" w:type="dxa"/>
          </w:tcPr>
          <w:p w14:paraId="16F2BE1F">
            <w:pPr>
              <w:pStyle w:val="11"/>
              <w:spacing w:before="228"/>
              <w:ind w:left="10" w:right="2"/>
              <w:rPr>
                <w:sz w:val="24"/>
                <w:szCs w:val="24"/>
              </w:rPr>
            </w:pPr>
            <w:r>
              <w:rPr>
                <w:sz w:val="24"/>
                <w:szCs w:val="24"/>
              </w:rPr>
              <w:t>96</w:t>
            </w:r>
            <w:r>
              <w:rPr>
                <w:spacing w:val="-2"/>
                <w:sz w:val="24"/>
                <w:szCs w:val="24"/>
              </w:rPr>
              <w:t xml:space="preserve"> (68,1%)</w:t>
            </w:r>
          </w:p>
        </w:tc>
        <w:tc>
          <w:tcPr>
            <w:tcW w:w="992" w:type="dxa"/>
          </w:tcPr>
          <w:p w14:paraId="79747A02">
            <w:pPr>
              <w:pStyle w:val="11"/>
              <w:spacing w:before="112" w:line="240" w:lineRule="auto"/>
              <w:ind w:left="231"/>
              <w:jc w:val="left"/>
              <w:rPr>
                <w:sz w:val="24"/>
                <w:szCs w:val="24"/>
              </w:rPr>
            </w:pPr>
            <w:r>
              <w:rPr>
                <w:spacing w:val="-4"/>
                <w:sz w:val="24"/>
                <w:szCs w:val="24"/>
              </w:rPr>
              <w:t>0,092</w:t>
            </w:r>
          </w:p>
        </w:tc>
      </w:tr>
      <w:tr w14:paraId="781DB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544" w:type="dxa"/>
          </w:tcPr>
          <w:p w14:paraId="4846089F">
            <w:pPr>
              <w:pStyle w:val="11"/>
              <w:spacing w:before="156" w:line="240" w:lineRule="auto"/>
              <w:ind w:left="144"/>
              <w:jc w:val="left"/>
              <w:rPr>
                <w:sz w:val="24"/>
                <w:szCs w:val="24"/>
              </w:rPr>
            </w:pPr>
            <w:r>
              <w:rPr>
                <w:sz w:val="24"/>
                <w:szCs w:val="24"/>
              </w:rPr>
              <w:t>Обструкция</w:t>
            </w:r>
            <w:r>
              <w:rPr>
                <w:spacing w:val="-2"/>
                <w:sz w:val="24"/>
                <w:szCs w:val="24"/>
              </w:rPr>
              <w:t xml:space="preserve"> </w:t>
            </w:r>
            <w:r>
              <w:rPr>
                <w:sz w:val="24"/>
                <w:szCs w:val="24"/>
              </w:rPr>
              <w:t>ПП,</w:t>
            </w:r>
            <w:r>
              <w:rPr>
                <w:spacing w:val="-5"/>
                <w:sz w:val="24"/>
                <w:szCs w:val="24"/>
              </w:rPr>
              <w:t xml:space="preserve"> </w:t>
            </w:r>
            <w:r>
              <w:rPr>
                <w:sz w:val="24"/>
                <w:szCs w:val="24"/>
              </w:rPr>
              <w:t>n</w:t>
            </w:r>
            <w:r>
              <w:rPr>
                <w:spacing w:val="-11"/>
                <w:sz w:val="24"/>
                <w:szCs w:val="24"/>
              </w:rPr>
              <w:t xml:space="preserve"> </w:t>
            </w:r>
            <w:r>
              <w:rPr>
                <w:spacing w:val="-5"/>
                <w:sz w:val="24"/>
                <w:szCs w:val="24"/>
              </w:rPr>
              <w:t>(%)</w:t>
            </w:r>
          </w:p>
        </w:tc>
        <w:tc>
          <w:tcPr>
            <w:tcW w:w="2268" w:type="dxa"/>
          </w:tcPr>
          <w:p w14:paraId="41C586D7">
            <w:pPr>
              <w:pStyle w:val="11"/>
              <w:spacing w:before="314"/>
              <w:ind w:left="15" w:right="8"/>
              <w:rPr>
                <w:sz w:val="24"/>
                <w:szCs w:val="24"/>
              </w:rPr>
            </w:pPr>
            <w:r>
              <w:rPr>
                <w:sz w:val="24"/>
                <w:szCs w:val="24"/>
              </w:rPr>
              <w:t>67</w:t>
            </w:r>
            <w:r>
              <w:rPr>
                <w:spacing w:val="-2"/>
                <w:sz w:val="24"/>
                <w:szCs w:val="24"/>
              </w:rPr>
              <w:t xml:space="preserve"> (37,4%)</w:t>
            </w:r>
          </w:p>
        </w:tc>
        <w:tc>
          <w:tcPr>
            <w:tcW w:w="2835" w:type="dxa"/>
          </w:tcPr>
          <w:p w14:paraId="51D2C018">
            <w:pPr>
              <w:pStyle w:val="11"/>
              <w:spacing w:line="315" w:lineRule="exact"/>
              <w:ind w:left="10" w:right="2"/>
              <w:rPr>
                <w:sz w:val="24"/>
                <w:szCs w:val="24"/>
              </w:rPr>
            </w:pPr>
            <w:r>
              <w:rPr>
                <w:sz w:val="24"/>
                <w:szCs w:val="24"/>
              </w:rPr>
              <w:t>76</w:t>
            </w:r>
            <w:r>
              <w:rPr>
                <w:spacing w:val="-2"/>
                <w:sz w:val="24"/>
                <w:szCs w:val="24"/>
              </w:rPr>
              <w:t xml:space="preserve"> (53,9%)</w:t>
            </w:r>
          </w:p>
        </w:tc>
        <w:tc>
          <w:tcPr>
            <w:tcW w:w="992" w:type="dxa"/>
          </w:tcPr>
          <w:p w14:paraId="1D203854">
            <w:pPr>
              <w:pStyle w:val="11"/>
              <w:spacing w:before="156" w:line="240" w:lineRule="auto"/>
              <w:ind w:left="140"/>
              <w:jc w:val="left"/>
              <w:rPr>
                <w:sz w:val="24"/>
                <w:szCs w:val="24"/>
              </w:rPr>
            </w:pPr>
            <w:r>
              <w:rPr>
                <w:spacing w:val="-2"/>
                <w:sz w:val="24"/>
                <w:szCs w:val="24"/>
              </w:rPr>
              <w:t>0,003</w:t>
            </w:r>
            <w:r>
              <w:rPr>
                <w:spacing w:val="-2"/>
                <w:sz w:val="24"/>
                <w:szCs w:val="24"/>
                <w:vertAlign w:val="superscript"/>
              </w:rPr>
              <w:t>**</w:t>
            </w:r>
          </w:p>
        </w:tc>
      </w:tr>
      <w:tr w14:paraId="7C61D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3544" w:type="dxa"/>
          </w:tcPr>
          <w:p w14:paraId="284EABBC">
            <w:pPr>
              <w:pStyle w:val="11"/>
              <w:spacing w:line="319" w:lineRule="exact"/>
              <w:ind w:left="144"/>
              <w:jc w:val="left"/>
              <w:rPr>
                <w:sz w:val="24"/>
                <w:szCs w:val="24"/>
              </w:rPr>
            </w:pPr>
            <w:r>
              <w:rPr>
                <w:sz w:val="24"/>
                <w:szCs w:val="24"/>
              </w:rPr>
              <w:t>Консистенция</w:t>
            </w:r>
            <w:r>
              <w:rPr>
                <w:spacing w:val="-4"/>
                <w:sz w:val="24"/>
                <w:szCs w:val="24"/>
              </w:rPr>
              <w:t xml:space="preserve"> </w:t>
            </w:r>
            <w:r>
              <w:rPr>
                <w:sz w:val="24"/>
                <w:szCs w:val="24"/>
              </w:rPr>
              <w:t>ПЖ,</w:t>
            </w:r>
            <w:r>
              <w:rPr>
                <w:spacing w:val="-4"/>
                <w:sz w:val="24"/>
                <w:szCs w:val="24"/>
              </w:rPr>
              <w:t xml:space="preserve"> </w:t>
            </w:r>
            <w:r>
              <w:rPr>
                <w:sz w:val="24"/>
                <w:szCs w:val="24"/>
              </w:rPr>
              <w:t>n</w:t>
            </w:r>
            <w:r>
              <w:rPr>
                <w:spacing w:val="-12"/>
                <w:sz w:val="24"/>
                <w:szCs w:val="24"/>
              </w:rPr>
              <w:t xml:space="preserve"> </w:t>
            </w:r>
            <w:r>
              <w:rPr>
                <w:spacing w:val="-5"/>
                <w:sz w:val="24"/>
                <w:szCs w:val="24"/>
              </w:rPr>
              <w:t>(%)</w:t>
            </w:r>
          </w:p>
          <w:p w14:paraId="6D1F1027">
            <w:pPr>
              <w:pStyle w:val="11"/>
              <w:numPr>
                <w:ilvl w:val="0"/>
                <w:numId w:val="22"/>
              </w:numPr>
              <w:tabs>
                <w:tab w:val="left" w:pos="2058"/>
              </w:tabs>
              <w:spacing w:line="322" w:lineRule="exact"/>
              <w:ind w:left="2058" w:hanging="162"/>
              <w:jc w:val="left"/>
              <w:rPr>
                <w:sz w:val="24"/>
                <w:szCs w:val="24"/>
              </w:rPr>
            </w:pPr>
            <w:r>
              <w:rPr>
                <w:spacing w:val="-2"/>
                <w:sz w:val="24"/>
                <w:szCs w:val="24"/>
              </w:rPr>
              <w:t>мягкая</w:t>
            </w:r>
          </w:p>
          <w:p w14:paraId="5BBBA599">
            <w:pPr>
              <w:pStyle w:val="11"/>
              <w:numPr>
                <w:ilvl w:val="0"/>
                <w:numId w:val="22"/>
              </w:numPr>
              <w:tabs>
                <w:tab w:val="left" w:pos="2063"/>
              </w:tabs>
              <w:ind w:left="2063" w:hanging="162"/>
              <w:jc w:val="left"/>
              <w:rPr>
                <w:sz w:val="24"/>
                <w:szCs w:val="24"/>
              </w:rPr>
            </w:pPr>
            <w:r>
              <w:rPr>
                <w:spacing w:val="-2"/>
                <w:sz w:val="24"/>
                <w:szCs w:val="24"/>
              </w:rPr>
              <w:t>плотная</w:t>
            </w:r>
          </w:p>
        </w:tc>
        <w:tc>
          <w:tcPr>
            <w:tcW w:w="2268" w:type="dxa"/>
          </w:tcPr>
          <w:p w14:paraId="48CCBB1E">
            <w:pPr>
              <w:pStyle w:val="11"/>
              <w:spacing w:before="319" w:line="322" w:lineRule="exact"/>
              <w:ind w:left="571"/>
              <w:jc w:val="left"/>
              <w:rPr>
                <w:sz w:val="24"/>
                <w:szCs w:val="24"/>
              </w:rPr>
            </w:pPr>
            <w:r>
              <w:rPr>
                <w:sz w:val="24"/>
                <w:szCs w:val="24"/>
              </w:rPr>
              <w:t>92</w:t>
            </w:r>
            <w:r>
              <w:rPr>
                <w:spacing w:val="-2"/>
                <w:sz w:val="24"/>
                <w:szCs w:val="24"/>
              </w:rPr>
              <w:t xml:space="preserve"> (51,4%)</w:t>
            </w:r>
          </w:p>
          <w:p w14:paraId="7133543F">
            <w:pPr>
              <w:pStyle w:val="11"/>
              <w:ind w:left="552"/>
              <w:jc w:val="left"/>
              <w:rPr>
                <w:sz w:val="24"/>
                <w:szCs w:val="24"/>
              </w:rPr>
            </w:pPr>
            <w:r>
              <w:rPr>
                <w:sz w:val="24"/>
                <w:szCs w:val="24"/>
              </w:rPr>
              <w:t>87</w:t>
            </w:r>
            <w:r>
              <w:rPr>
                <w:spacing w:val="-2"/>
                <w:sz w:val="24"/>
                <w:szCs w:val="24"/>
              </w:rPr>
              <w:t xml:space="preserve"> (48,6%)</w:t>
            </w:r>
          </w:p>
        </w:tc>
        <w:tc>
          <w:tcPr>
            <w:tcW w:w="2835" w:type="dxa"/>
          </w:tcPr>
          <w:p w14:paraId="5933F9BC">
            <w:pPr>
              <w:pStyle w:val="11"/>
              <w:spacing w:before="319" w:line="322" w:lineRule="exact"/>
              <w:ind w:left="706"/>
              <w:jc w:val="left"/>
              <w:rPr>
                <w:sz w:val="24"/>
                <w:szCs w:val="24"/>
              </w:rPr>
            </w:pPr>
            <w:r>
              <w:rPr>
                <w:sz w:val="24"/>
                <w:szCs w:val="24"/>
              </w:rPr>
              <w:t>71</w:t>
            </w:r>
            <w:r>
              <w:rPr>
                <w:spacing w:val="-2"/>
                <w:sz w:val="24"/>
                <w:szCs w:val="24"/>
              </w:rPr>
              <w:t xml:space="preserve"> (50,4%)</w:t>
            </w:r>
          </w:p>
          <w:p w14:paraId="3A007D16">
            <w:pPr>
              <w:pStyle w:val="11"/>
              <w:ind w:left="639"/>
              <w:jc w:val="left"/>
              <w:rPr>
                <w:sz w:val="24"/>
                <w:szCs w:val="24"/>
              </w:rPr>
            </w:pPr>
            <w:r>
              <w:rPr>
                <w:sz w:val="24"/>
                <w:szCs w:val="24"/>
              </w:rPr>
              <w:t>70</w:t>
            </w:r>
            <w:r>
              <w:rPr>
                <w:spacing w:val="-2"/>
                <w:sz w:val="24"/>
                <w:szCs w:val="24"/>
              </w:rPr>
              <w:t xml:space="preserve"> (49,6%)</w:t>
            </w:r>
          </w:p>
        </w:tc>
        <w:tc>
          <w:tcPr>
            <w:tcW w:w="992" w:type="dxa"/>
          </w:tcPr>
          <w:p w14:paraId="3FCB7C06">
            <w:pPr>
              <w:pStyle w:val="11"/>
              <w:spacing w:before="319" w:line="240" w:lineRule="auto"/>
              <w:ind w:left="149"/>
              <w:jc w:val="left"/>
              <w:rPr>
                <w:sz w:val="24"/>
                <w:szCs w:val="24"/>
              </w:rPr>
            </w:pPr>
            <w:r>
              <w:rPr>
                <w:spacing w:val="-4"/>
                <w:sz w:val="24"/>
                <w:szCs w:val="24"/>
              </w:rPr>
              <w:t>0,853</w:t>
            </w:r>
          </w:p>
        </w:tc>
      </w:tr>
      <w:tr w14:paraId="0D8E6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6" w:hRule="atLeast"/>
        </w:trPr>
        <w:tc>
          <w:tcPr>
            <w:tcW w:w="3544" w:type="dxa"/>
          </w:tcPr>
          <w:p w14:paraId="4FFC208E">
            <w:pPr>
              <w:pStyle w:val="11"/>
              <w:spacing w:line="315" w:lineRule="exact"/>
              <w:ind w:left="144"/>
              <w:jc w:val="left"/>
              <w:rPr>
                <w:sz w:val="24"/>
                <w:szCs w:val="24"/>
              </w:rPr>
            </w:pPr>
            <w:r>
              <w:rPr>
                <w:sz w:val="24"/>
                <w:szCs w:val="24"/>
              </w:rPr>
              <w:t>Локализация,</w:t>
            </w:r>
            <w:r>
              <w:rPr>
                <w:spacing w:val="-2"/>
                <w:sz w:val="24"/>
                <w:szCs w:val="24"/>
              </w:rPr>
              <w:t xml:space="preserve"> </w:t>
            </w:r>
            <w:r>
              <w:rPr>
                <w:sz w:val="24"/>
                <w:szCs w:val="24"/>
              </w:rPr>
              <w:t>n</w:t>
            </w:r>
            <w:r>
              <w:rPr>
                <w:spacing w:val="-7"/>
                <w:sz w:val="24"/>
                <w:szCs w:val="24"/>
              </w:rPr>
              <w:t xml:space="preserve"> </w:t>
            </w:r>
            <w:r>
              <w:rPr>
                <w:sz w:val="24"/>
                <w:szCs w:val="24"/>
              </w:rPr>
              <w:t xml:space="preserve">(%):  </w:t>
            </w:r>
            <w:r>
              <w:rPr>
                <w:spacing w:val="-9"/>
                <w:sz w:val="24"/>
                <w:szCs w:val="24"/>
              </w:rPr>
              <w:t xml:space="preserve"> </w:t>
            </w:r>
            <w:r>
              <w:rPr>
                <w:spacing w:val="-5"/>
                <w:sz w:val="24"/>
                <w:szCs w:val="24"/>
              </w:rPr>
              <w:t>ГПЖ</w:t>
            </w:r>
          </w:p>
          <w:p w14:paraId="41C37161">
            <w:pPr>
              <w:pStyle w:val="11"/>
              <w:spacing w:line="322" w:lineRule="exact"/>
              <w:ind w:right="517"/>
              <w:jc w:val="both"/>
              <w:rPr>
                <w:spacing w:val="-4"/>
                <w:sz w:val="24"/>
                <w:szCs w:val="24"/>
              </w:rPr>
            </w:pPr>
            <w:r>
              <w:rPr>
                <w:spacing w:val="-4"/>
                <w:sz w:val="24"/>
                <w:szCs w:val="24"/>
              </w:rPr>
              <w:t xml:space="preserve">                                          БДС </w:t>
            </w:r>
          </w:p>
          <w:p w14:paraId="3F77C2BB">
            <w:pPr>
              <w:pStyle w:val="11"/>
              <w:spacing w:line="322" w:lineRule="exact"/>
              <w:ind w:right="517"/>
              <w:jc w:val="both"/>
              <w:rPr>
                <w:spacing w:val="-4"/>
                <w:sz w:val="24"/>
                <w:szCs w:val="24"/>
              </w:rPr>
            </w:pPr>
            <w:r>
              <w:rPr>
                <w:spacing w:val="-4"/>
                <w:sz w:val="24"/>
                <w:szCs w:val="24"/>
              </w:rPr>
              <w:t xml:space="preserve">                                          ТОХ </w:t>
            </w:r>
          </w:p>
          <w:p w14:paraId="1679CB05">
            <w:pPr>
              <w:pStyle w:val="11"/>
              <w:spacing w:line="322" w:lineRule="exact"/>
              <w:ind w:right="517"/>
              <w:jc w:val="both"/>
              <w:rPr>
                <w:sz w:val="24"/>
                <w:szCs w:val="24"/>
              </w:rPr>
            </w:pPr>
            <w:r>
              <w:rPr>
                <w:spacing w:val="-5"/>
                <w:sz w:val="24"/>
                <w:szCs w:val="24"/>
              </w:rPr>
              <w:t xml:space="preserve">                                           ДПК</w:t>
            </w:r>
          </w:p>
        </w:tc>
        <w:tc>
          <w:tcPr>
            <w:tcW w:w="2268" w:type="dxa"/>
          </w:tcPr>
          <w:p w14:paraId="596E33B7">
            <w:pPr>
              <w:pStyle w:val="11"/>
              <w:spacing w:line="315" w:lineRule="exact"/>
              <w:ind w:left="552"/>
              <w:jc w:val="left"/>
              <w:rPr>
                <w:sz w:val="24"/>
                <w:szCs w:val="24"/>
              </w:rPr>
            </w:pPr>
            <w:r>
              <w:rPr>
                <w:sz w:val="24"/>
                <w:szCs w:val="24"/>
              </w:rPr>
              <w:t>99</w:t>
            </w:r>
            <w:r>
              <w:rPr>
                <w:spacing w:val="-2"/>
                <w:sz w:val="24"/>
                <w:szCs w:val="24"/>
              </w:rPr>
              <w:t xml:space="preserve"> (55,3%)</w:t>
            </w:r>
          </w:p>
          <w:p w14:paraId="73C2D675">
            <w:pPr>
              <w:pStyle w:val="11"/>
              <w:spacing w:line="322" w:lineRule="exact"/>
              <w:ind w:left="552"/>
              <w:jc w:val="left"/>
              <w:rPr>
                <w:sz w:val="24"/>
                <w:szCs w:val="24"/>
              </w:rPr>
            </w:pPr>
            <w:r>
              <w:rPr>
                <w:sz w:val="24"/>
                <w:szCs w:val="24"/>
              </w:rPr>
              <w:t>67</w:t>
            </w:r>
            <w:r>
              <w:rPr>
                <w:spacing w:val="-2"/>
                <w:sz w:val="24"/>
                <w:szCs w:val="24"/>
              </w:rPr>
              <w:t xml:space="preserve"> (37,4%)</w:t>
            </w:r>
          </w:p>
          <w:p w14:paraId="14AA44B0">
            <w:pPr>
              <w:pStyle w:val="11"/>
              <w:spacing w:line="322" w:lineRule="exact"/>
              <w:ind w:left="691"/>
              <w:jc w:val="left"/>
              <w:rPr>
                <w:sz w:val="24"/>
                <w:szCs w:val="24"/>
              </w:rPr>
            </w:pPr>
            <w:r>
              <w:rPr>
                <w:sz w:val="24"/>
                <w:szCs w:val="24"/>
              </w:rPr>
              <w:t>7</w:t>
            </w:r>
            <w:r>
              <w:rPr>
                <w:spacing w:val="-1"/>
                <w:sz w:val="24"/>
                <w:szCs w:val="24"/>
              </w:rPr>
              <w:t xml:space="preserve"> </w:t>
            </w:r>
            <w:r>
              <w:rPr>
                <w:spacing w:val="-2"/>
                <w:sz w:val="24"/>
                <w:szCs w:val="24"/>
              </w:rPr>
              <w:t>(3,9%)</w:t>
            </w:r>
          </w:p>
          <w:p w14:paraId="6319C2EA">
            <w:pPr>
              <w:pStyle w:val="11"/>
              <w:ind w:left="691"/>
              <w:jc w:val="left"/>
              <w:rPr>
                <w:sz w:val="24"/>
                <w:szCs w:val="24"/>
              </w:rPr>
            </w:pPr>
            <w:r>
              <w:rPr>
                <w:sz w:val="24"/>
                <w:szCs w:val="24"/>
              </w:rPr>
              <w:t>6</w:t>
            </w:r>
            <w:r>
              <w:rPr>
                <w:spacing w:val="-1"/>
                <w:sz w:val="24"/>
                <w:szCs w:val="24"/>
              </w:rPr>
              <w:t xml:space="preserve"> </w:t>
            </w:r>
            <w:r>
              <w:rPr>
                <w:spacing w:val="-2"/>
                <w:sz w:val="24"/>
                <w:szCs w:val="24"/>
              </w:rPr>
              <w:t>(3,4%)</w:t>
            </w:r>
          </w:p>
        </w:tc>
        <w:tc>
          <w:tcPr>
            <w:tcW w:w="2835" w:type="dxa"/>
          </w:tcPr>
          <w:p w14:paraId="6E5786F0">
            <w:pPr>
              <w:pStyle w:val="11"/>
              <w:spacing w:line="315" w:lineRule="exact"/>
              <w:ind w:left="740"/>
              <w:jc w:val="left"/>
              <w:rPr>
                <w:sz w:val="24"/>
                <w:szCs w:val="24"/>
              </w:rPr>
            </w:pPr>
            <w:r>
              <w:rPr>
                <w:sz w:val="24"/>
                <w:szCs w:val="24"/>
              </w:rPr>
              <w:t>79</w:t>
            </w:r>
            <w:r>
              <w:rPr>
                <w:spacing w:val="-2"/>
                <w:sz w:val="24"/>
                <w:szCs w:val="24"/>
              </w:rPr>
              <w:t xml:space="preserve"> (56%)</w:t>
            </w:r>
          </w:p>
          <w:p w14:paraId="2EE08FA9">
            <w:pPr>
              <w:pStyle w:val="11"/>
              <w:spacing w:line="322" w:lineRule="exact"/>
              <w:ind w:left="639"/>
              <w:jc w:val="left"/>
              <w:rPr>
                <w:sz w:val="24"/>
                <w:szCs w:val="24"/>
              </w:rPr>
            </w:pPr>
            <w:r>
              <w:rPr>
                <w:sz w:val="24"/>
                <w:szCs w:val="24"/>
              </w:rPr>
              <w:t>47</w:t>
            </w:r>
            <w:r>
              <w:rPr>
                <w:spacing w:val="-2"/>
                <w:sz w:val="24"/>
                <w:szCs w:val="24"/>
              </w:rPr>
              <w:t xml:space="preserve"> (33,3%)</w:t>
            </w:r>
          </w:p>
          <w:p w14:paraId="77F42494">
            <w:pPr>
              <w:pStyle w:val="11"/>
              <w:spacing w:line="322" w:lineRule="exact"/>
              <w:ind w:left="706"/>
              <w:jc w:val="left"/>
              <w:rPr>
                <w:sz w:val="24"/>
                <w:szCs w:val="24"/>
              </w:rPr>
            </w:pPr>
            <w:r>
              <w:rPr>
                <w:sz w:val="24"/>
                <w:szCs w:val="24"/>
              </w:rPr>
              <w:t>12</w:t>
            </w:r>
            <w:r>
              <w:rPr>
                <w:spacing w:val="-2"/>
                <w:sz w:val="24"/>
                <w:szCs w:val="24"/>
              </w:rPr>
              <w:t xml:space="preserve"> (8,5%)</w:t>
            </w:r>
          </w:p>
          <w:p w14:paraId="6C2C27F7">
            <w:pPr>
              <w:pStyle w:val="11"/>
              <w:ind w:left="778"/>
              <w:jc w:val="left"/>
              <w:rPr>
                <w:sz w:val="24"/>
                <w:szCs w:val="24"/>
              </w:rPr>
            </w:pPr>
            <w:r>
              <w:rPr>
                <w:sz w:val="24"/>
                <w:szCs w:val="24"/>
              </w:rPr>
              <w:t>3</w:t>
            </w:r>
            <w:r>
              <w:rPr>
                <w:spacing w:val="-1"/>
                <w:sz w:val="24"/>
                <w:szCs w:val="24"/>
              </w:rPr>
              <w:t xml:space="preserve"> </w:t>
            </w:r>
            <w:r>
              <w:rPr>
                <w:spacing w:val="-2"/>
                <w:sz w:val="24"/>
                <w:szCs w:val="24"/>
              </w:rPr>
              <w:t>(2,1%)</w:t>
            </w:r>
          </w:p>
        </w:tc>
        <w:tc>
          <w:tcPr>
            <w:tcW w:w="992" w:type="dxa"/>
          </w:tcPr>
          <w:p w14:paraId="750625A4">
            <w:pPr>
              <w:pStyle w:val="11"/>
              <w:spacing w:before="156" w:line="240" w:lineRule="auto"/>
              <w:jc w:val="left"/>
              <w:rPr>
                <w:sz w:val="24"/>
                <w:szCs w:val="24"/>
              </w:rPr>
            </w:pPr>
          </w:p>
          <w:p w14:paraId="07DEE89C">
            <w:pPr>
              <w:pStyle w:val="11"/>
              <w:spacing w:line="240" w:lineRule="auto"/>
              <w:ind w:left="149"/>
              <w:jc w:val="left"/>
              <w:rPr>
                <w:sz w:val="24"/>
                <w:szCs w:val="24"/>
              </w:rPr>
            </w:pPr>
            <w:r>
              <w:rPr>
                <w:spacing w:val="-4"/>
                <w:sz w:val="24"/>
                <w:szCs w:val="24"/>
              </w:rPr>
              <w:t>0,307</w:t>
            </w:r>
          </w:p>
        </w:tc>
      </w:tr>
      <w:tr w14:paraId="204D3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639" w:type="dxa"/>
            <w:gridSpan w:val="4"/>
          </w:tcPr>
          <w:p w14:paraId="2C464EE3">
            <w:pPr>
              <w:pStyle w:val="11"/>
              <w:spacing w:line="301" w:lineRule="exact"/>
              <w:ind w:left="283"/>
              <w:jc w:val="left"/>
              <w:rPr>
                <w:sz w:val="24"/>
                <w:szCs w:val="24"/>
              </w:rPr>
            </w:pPr>
            <w:r>
              <w:rPr>
                <w:spacing w:val="-2"/>
                <w:sz w:val="24"/>
                <w:szCs w:val="24"/>
              </w:rPr>
              <w:t>Лабораторные</w:t>
            </w:r>
            <w:r>
              <w:rPr>
                <w:spacing w:val="5"/>
                <w:sz w:val="24"/>
                <w:szCs w:val="24"/>
              </w:rPr>
              <w:t xml:space="preserve"> </w:t>
            </w:r>
            <w:r>
              <w:rPr>
                <w:spacing w:val="-2"/>
                <w:sz w:val="24"/>
                <w:szCs w:val="24"/>
              </w:rPr>
              <w:t>показатели</w:t>
            </w:r>
          </w:p>
        </w:tc>
      </w:tr>
      <w:tr w14:paraId="717BA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3544" w:type="dxa"/>
          </w:tcPr>
          <w:p w14:paraId="4C63AB70">
            <w:pPr>
              <w:pStyle w:val="11"/>
              <w:spacing w:line="306" w:lineRule="exact"/>
              <w:ind w:left="144"/>
              <w:jc w:val="left"/>
              <w:rPr>
                <w:sz w:val="24"/>
                <w:szCs w:val="24"/>
                <w:lang w:val="en-US"/>
              </w:rPr>
            </w:pPr>
            <w:r>
              <w:rPr>
                <w:sz w:val="24"/>
                <w:szCs w:val="24"/>
                <w:lang w:val="en-US"/>
              </w:rPr>
              <w:t>CA</w:t>
            </w:r>
            <w:r>
              <w:rPr>
                <w:spacing w:val="-9"/>
                <w:sz w:val="24"/>
                <w:szCs w:val="24"/>
                <w:lang w:val="en-US"/>
              </w:rPr>
              <w:t xml:space="preserve"> </w:t>
            </w:r>
            <w:r>
              <w:rPr>
                <w:sz w:val="24"/>
                <w:szCs w:val="24"/>
                <w:lang w:val="en-US"/>
              </w:rPr>
              <w:t>19-9,</w:t>
            </w:r>
            <w:r>
              <w:rPr>
                <w:spacing w:val="-2"/>
                <w:sz w:val="24"/>
                <w:szCs w:val="24"/>
                <w:lang w:val="en-US"/>
              </w:rPr>
              <w:t xml:space="preserve"> </w:t>
            </w:r>
            <w:r>
              <w:rPr>
                <w:sz w:val="24"/>
                <w:szCs w:val="24"/>
                <w:lang w:val="en-US"/>
              </w:rPr>
              <w:t>U/ml,</w:t>
            </w:r>
            <w:r>
              <w:rPr>
                <w:spacing w:val="-2"/>
                <w:sz w:val="24"/>
                <w:szCs w:val="24"/>
                <w:lang w:val="en-US"/>
              </w:rPr>
              <w:t xml:space="preserve"> </w:t>
            </w:r>
            <w:r>
              <w:rPr>
                <w:sz w:val="24"/>
                <w:szCs w:val="24"/>
                <w:lang w:val="en-US"/>
              </w:rPr>
              <w:t>Me</w:t>
            </w:r>
            <w:r>
              <w:rPr>
                <w:spacing w:val="-3"/>
                <w:sz w:val="24"/>
                <w:szCs w:val="24"/>
                <w:lang w:val="en-US"/>
              </w:rPr>
              <w:t xml:space="preserve"> </w:t>
            </w:r>
            <w:r>
              <w:rPr>
                <w:spacing w:val="-2"/>
                <w:sz w:val="24"/>
                <w:szCs w:val="24"/>
                <w:lang w:val="en-US"/>
              </w:rPr>
              <w:t>[Q1;Q3]</w:t>
            </w:r>
          </w:p>
        </w:tc>
        <w:tc>
          <w:tcPr>
            <w:tcW w:w="2268" w:type="dxa"/>
          </w:tcPr>
          <w:p w14:paraId="26B4D4B6">
            <w:pPr>
              <w:pStyle w:val="11"/>
              <w:spacing w:line="306" w:lineRule="exact"/>
              <w:ind w:left="15" w:right="10"/>
              <w:rPr>
                <w:sz w:val="24"/>
                <w:szCs w:val="24"/>
              </w:rPr>
            </w:pPr>
            <w:r>
              <w:rPr>
                <w:sz w:val="24"/>
                <w:szCs w:val="24"/>
              </w:rPr>
              <w:t>35,1</w:t>
            </w:r>
            <w:r>
              <w:rPr>
                <w:spacing w:val="-4"/>
                <w:sz w:val="24"/>
                <w:szCs w:val="24"/>
              </w:rPr>
              <w:t xml:space="preserve"> </w:t>
            </w:r>
            <w:r>
              <w:rPr>
                <w:sz w:val="24"/>
                <w:szCs w:val="24"/>
              </w:rPr>
              <w:t>[10,0;</w:t>
            </w:r>
            <w:r>
              <w:rPr>
                <w:spacing w:val="-4"/>
                <w:sz w:val="24"/>
                <w:szCs w:val="24"/>
              </w:rPr>
              <w:t xml:space="preserve"> </w:t>
            </w:r>
            <w:r>
              <w:rPr>
                <w:spacing w:val="-2"/>
                <w:sz w:val="24"/>
                <w:szCs w:val="24"/>
              </w:rPr>
              <w:t>204,9]</w:t>
            </w:r>
          </w:p>
        </w:tc>
        <w:tc>
          <w:tcPr>
            <w:tcW w:w="2835" w:type="dxa"/>
          </w:tcPr>
          <w:p w14:paraId="0251089D">
            <w:pPr>
              <w:pStyle w:val="11"/>
              <w:spacing w:line="306" w:lineRule="exact"/>
              <w:ind w:left="54"/>
              <w:rPr>
                <w:sz w:val="24"/>
                <w:szCs w:val="24"/>
              </w:rPr>
            </w:pPr>
            <w:r>
              <w:rPr>
                <w:sz w:val="24"/>
                <w:szCs w:val="24"/>
              </w:rPr>
              <w:t>57,9</w:t>
            </w:r>
            <w:r>
              <w:rPr>
                <w:spacing w:val="-4"/>
                <w:sz w:val="24"/>
                <w:szCs w:val="24"/>
              </w:rPr>
              <w:t xml:space="preserve"> </w:t>
            </w:r>
            <w:r>
              <w:rPr>
                <w:sz w:val="24"/>
                <w:szCs w:val="24"/>
              </w:rPr>
              <w:t>[16,8;</w:t>
            </w:r>
            <w:r>
              <w:rPr>
                <w:spacing w:val="-4"/>
                <w:sz w:val="24"/>
                <w:szCs w:val="24"/>
              </w:rPr>
              <w:t xml:space="preserve"> </w:t>
            </w:r>
            <w:r>
              <w:rPr>
                <w:spacing w:val="-2"/>
                <w:sz w:val="24"/>
                <w:szCs w:val="24"/>
              </w:rPr>
              <w:t>117,9]</w:t>
            </w:r>
          </w:p>
        </w:tc>
        <w:tc>
          <w:tcPr>
            <w:tcW w:w="992" w:type="dxa"/>
          </w:tcPr>
          <w:p w14:paraId="79C40EE0">
            <w:pPr>
              <w:pStyle w:val="11"/>
              <w:spacing w:line="306" w:lineRule="exact"/>
              <w:ind w:left="231"/>
              <w:jc w:val="left"/>
              <w:rPr>
                <w:sz w:val="24"/>
                <w:szCs w:val="24"/>
              </w:rPr>
            </w:pPr>
            <w:r>
              <w:rPr>
                <w:spacing w:val="-4"/>
                <w:sz w:val="24"/>
                <w:szCs w:val="24"/>
              </w:rPr>
              <w:t>0,932</w:t>
            </w:r>
          </w:p>
        </w:tc>
      </w:tr>
      <w:tr w14:paraId="43A69C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544" w:type="dxa"/>
          </w:tcPr>
          <w:p w14:paraId="30FB1474">
            <w:pPr>
              <w:pStyle w:val="11"/>
              <w:spacing w:line="302" w:lineRule="exact"/>
              <w:ind w:left="144"/>
              <w:jc w:val="left"/>
              <w:rPr>
                <w:sz w:val="24"/>
                <w:szCs w:val="24"/>
              </w:rPr>
            </w:pPr>
            <w:r>
              <w:rPr>
                <w:sz w:val="24"/>
                <w:szCs w:val="24"/>
              </w:rPr>
              <w:t>Гемоглобин,</w:t>
            </w:r>
            <w:r>
              <w:rPr>
                <w:spacing w:val="-3"/>
                <w:sz w:val="24"/>
                <w:szCs w:val="24"/>
              </w:rPr>
              <w:t xml:space="preserve"> </w:t>
            </w:r>
            <w:r>
              <w:rPr>
                <w:sz w:val="24"/>
                <w:szCs w:val="24"/>
              </w:rPr>
              <w:t>г/л,</w:t>
            </w:r>
            <w:r>
              <w:rPr>
                <w:spacing w:val="-8"/>
                <w:sz w:val="24"/>
                <w:szCs w:val="24"/>
              </w:rPr>
              <w:t xml:space="preserve"> </w:t>
            </w:r>
            <w:r>
              <w:rPr>
                <w:sz w:val="24"/>
                <w:szCs w:val="24"/>
              </w:rPr>
              <w:t>Me</w:t>
            </w:r>
            <w:r>
              <w:rPr>
                <w:spacing w:val="-1"/>
                <w:sz w:val="24"/>
                <w:szCs w:val="24"/>
              </w:rPr>
              <w:t xml:space="preserve"> </w:t>
            </w:r>
            <w:r>
              <w:rPr>
                <w:spacing w:val="-2"/>
                <w:sz w:val="24"/>
                <w:szCs w:val="24"/>
              </w:rPr>
              <w:t>[Q1;Q3]</w:t>
            </w:r>
          </w:p>
        </w:tc>
        <w:tc>
          <w:tcPr>
            <w:tcW w:w="2268" w:type="dxa"/>
          </w:tcPr>
          <w:p w14:paraId="2B4C8347">
            <w:pPr>
              <w:pStyle w:val="11"/>
              <w:spacing w:line="302" w:lineRule="exact"/>
              <w:ind w:left="15" w:right="10"/>
              <w:rPr>
                <w:sz w:val="24"/>
                <w:szCs w:val="24"/>
              </w:rPr>
            </w:pPr>
            <w:r>
              <w:rPr>
                <w:sz w:val="24"/>
                <w:szCs w:val="24"/>
              </w:rPr>
              <w:t>123,9</w:t>
            </w:r>
            <w:r>
              <w:rPr>
                <w:spacing w:val="-6"/>
                <w:sz w:val="24"/>
                <w:szCs w:val="24"/>
              </w:rPr>
              <w:t xml:space="preserve"> </w:t>
            </w:r>
            <w:r>
              <w:rPr>
                <w:sz w:val="24"/>
                <w:szCs w:val="24"/>
              </w:rPr>
              <w:t>[109,0;</w:t>
            </w:r>
            <w:r>
              <w:rPr>
                <w:spacing w:val="-5"/>
                <w:sz w:val="24"/>
                <w:szCs w:val="24"/>
              </w:rPr>
              <w:t xml:space="preserve"> </w:t>
            </w:r>
            <w:r>
              <w:rPr>
                <w:spacing w:val="-2"/>
                <w:sz w:val="24"/>
                <w:szCs w:val="24"/>
              </w:rPr>
              <w:t>132,4]</w:t>
            </w:r>
          </w:p>
        </w:tc>
        <w:tc>
          <w:tcPr>
            <w:tcW w:w="2835" w:type="dxa"/>
          </w:tcPr>
          <w:p w14:paraId="31550C2B">
            <w:pPr>
              <w:pStyle w:val="11"/>
              <w:spacing w:line="302" w:lineRule="exact"/>
              <w:ind w:left="10" w:right="4"/>
              <w:rPr>
                <w:sz w:val="24"/>
                <w:szCs w:val="24"/>
              </w:rPr>
            </w:pPr>
            <w:r>
              <w:rPr>
                <w:sz w:val="24"/>
                <w:szCs w:val="24"/>
              </w:rPr>
              <w:t>127,0</w:t>
            </w:r>
            <w:r>
              <w:rPr>
                <w:spacing w:val="-6"/>
                <w:sz w:val="24"/>
                <w:szCs w:val="24"/>
              </w:rPr>
              <w:t xml:space="preserve"> </w:t>
            </w:r>
            <w:r>
              <w:rPr>
                <w:sz w:val="24"/>
                <w:szCs w:val="24"/>
              </w:rPr>
              <w:t>[117,0;</w:t>
            </w:r>
            <w:r>
              <w:rPr>
                <w:spacing w:val="-5"/>
                <w:sz w:val="24"/>
                <w:szCs w:val="24"/>
              </w:rPr>
              <w:t xml:space="preserve"> </w:t>
            </w:r>
            <w:r>
              <w:rPr>
                <w:spacing w:val="-2"/>
                <w:sz w:val="24"/>
                <w:szCs w:val="24"/>
              </w:rPr>
              <w:t>136,8]</w:t>
            </w:r>
          </w:p>
        </w:tc>
        <w:tc>
          <w:tcPr>
            <w:tcW w:w="992" w:type="dxa"/>
          </w:tcPr>
          <w:p w14:paraId="26C08B24">
            <w:pPr>
              <w:pStyle w:val="11"/>
              <w:spacing w:line="302" w:lineRule="exact"/>
              <w:ind w:left="188"/>
              <w:jc w:val="left"/>
              <w:rPr>
                <w:sz w:val="24"/>
                <w:szCs w:val="24"/>
              </w:rPr>
            </w:pPr>
            <w:r>
              <w:rPr>
                <w:spacing w:val="-2"/>
                <w:sz w:val="24"/>
                <w:szCs w:val="24"/>
              </w:rPr>
              <w:t>0,029</w:t>
            </w:r>
            <w:r>
              <w:rPr>
                <w:spacing w:val="-2"/>
                <w:sz w:val="24"/>
                <w:szCs w:val="24"/>
                <w:vertAlign w:val="superscript"/>
              </w:rPr>
              <w:t>*</w:t>
            </w:r>
          </w:p>
        </w:tc>
      </w:tr>
      <w:tr w14:paraId="485D8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544" w:type="dxa"/>
            <w:tcBorders>
              <w:bottom w:val="single" w:color="000000" w:sz="4" w:space="0"/>
            </w:tcBorders>
          </w:tcPr>
          <w:p w14:paraId="69CBCBD9">
            <w:pPr>
              <w:pStyle w:val="11"/>
              <w:spacing w:line="301" w:lineRule="exact"/>
              <w:ind w:left="144"/>
              <w:jc w:val="left"/>
              <w:rPr>
                <w:sz w:val="24"/>
                <w:szCs w:val="24"/>
              </w:rPr>
            </w:pPr>
            <w:r>
              <w:rPr>
                <w:sz w:val="24"/>
                <w:szCs w:val="24"/>
              </w:rPr>
              <w:t>Альбумин,</w:t>
            </w:r>
            <w:r>
              <w:rPr>
                <w:spacing w:val="-4"/>
                <w:sz w:val="24"/>
                <w:szCs w:val="24"/>
              </w:rPr>
              <w:t xml:space="preserve"> </w:t>
            </w:r>
            <w:r>
              <w:rPr>
                <w:sz w:val="24"/>
                <w:szCs w:val="24"/>
              </w:rPr>
              <w:t>г/л,</w:t>
            </w:r>
            <w:r>
              <w:rPr>
                <w:spacing w:val="-4"/>
                <w:sz w:val="24"/>
                <w:szCs w:val="24"/>
              </w:rPr>
              <w:t xml:space="preserve"> </w:t>
            </w:r>
            <w:r>
              <w:rPr>
                <w:sz w:val="24"/>
                <w:szCs w:val="24"/>
              </w:rPr>
              <w:t>Me</w:t>
            </w:r>
            <w:r>
              <w:rPr>
                <w:spacing w:val="-5"/>
                <w:sz w:val="24"/>
                <w:szCs w:val="24"/>
              </w:rPr>
              <w:t xml:space="preserve"> </w:t>
            </w:r>
            <w:r>
              <w:rPr>
                <w:spacing w:val="-2"/>
                <w:sz w:val="24"/>
                <w:szCs w:val="24"/>
              </w:rPr>
              <w:t>[Q1;Q3]</w:t>
            </w:r>
          </w:p>
        </w:tc>
        <w:tc>
          <w:tcPr>
            <w:tcW w:w="2268" w:type="dxa"/>
            <w:tcBorders>
              <w:bottom w:val="single" w:color="000000" w:sz="4" w:space="0"/>
            </w:tcBorders>
          </w:tcPr>
          <w:p w14:paraId="4A584442">
            <w:pPr>
              <w:pStyle w:val="11"/>
              <w:spacing w:line="301" w:lineRule="exact"/>
              <w:ind w:left="15" w:right="4"/>
              <w:rPr>
                <w:sz w:val="24"/>
                <w:szCs w:val="24"/>
              </w:rPr>
            </w:pPr>
            <w:r>
              <w:rPr>
                <w:sz w:val="24"/>
                <w:szCs w:val="24"/>
              </w:rPr>
              <w:t>57,6</w:t>
            </w:r>
            <w:r>
              <w:rPr>
                <w:spacing w:val="-4"/>
                <w:sz w:val="24"/>
                <w:szCs w:val="24"/>
              </w:rPr>
              <w:t xml:space="preserve"> </w:t>
            </w:r>
            <w:r>
              <w:rPr>
                <w:sz w:val="24"/>
                <w:szCs w:val="24"/>
              </w:rPr>
              <w:t>[39,9;</w:t>
            </w:r>
            <w:r>
              <w:rPr>
                <w:spacing w:val="-4"/>
                <w:sz w:val="24"/>
                <w:szCs w:val="24"/>
              </w:rPr>
              <w:t xml:space="preserve"> </w:t>
            </w:r>
            <w:r>
              <w:rPr>
                <w:spacing w:val="-2"/>
                <w:sz w:val="24"/>
                <w:szCs w:val="24"/>
              </w:rPr>
              <w:t>66,0]</w:t>
            </w:r>
          </w:p>
        </w:tc>
        <w:tc>
          <w:tcPr>
            <w:tcW w:w="2835" w:type="dxa"/>
            <w:tcBorders>
              <w:bottom w:val="single" w:color="000000" w:sz="4" w:space="0"/>
            </w:tcBorders>
          </w:tcPr>
          <w:p w14:paraId="373F7E8E">
            <w:pPr>
              <w:pStyle w:val="11"/>
              <w:spacing w:line="301" w:lineRule="exact"/>
              <w:ind w:left="10"/>
              <w:rPr>
                <w:sz w:val="24"/>
                <w:szCs w:val="24"/>
              </w:rPr>
            </w:pPr>
            <w:r>
              <w:rPr>
                <w:sz w:val="24"/>
                <w:szCs w:val="24"/>
              </w:rPr>
              <w:t>40,1</w:t>
            </w:r>
            <w:r>
              <w:rPr>
                <w:spacing w:val="-4"/>
                <w:sz w:val="24"/>
                <w:szCs w:val="24"/>
              </w:rPr>
              <w:t xml:space="preserve"> </w:t>
            </w:r>
            <w:r>
              <w:rPr>
                <w:sz w:val="24"/>
                <w:szCs w:val="24"/>
              </w:rPr>
              <w:t>[36,9;</w:t>
            </w:r>
            <w:r>
              <w:rPr>
                <w:spacing w:val="-4"/>
                <w:sz w:val="24"/>
                <w:szCs w:val="24"/>
              </w:rPr>
              <w:t xml:space="preserve"> </w:t>
            </w:r>
            <w:r>
              <w:rPr>
                <w:spacing w:val="-2"/>
                <w:sz w:val="24"/>
                <w:szCs w:val="24"/>
              </w:rPr>
              <w:t>44,8]</w:t>
            </w:r>
          </w:p>
        </w:tc>
        <w:tc>
          <w:tcPr>
            <w:tcW w:w="992" w:type="dxa"/>
            <w:tcBorders>
              <w:bottom w:val="single" w:color="000000" w:sz="4" w:space="0"/>
            </w:tcBorders>
          </w:tcPr>
          <w:p w14:paraId="19E6DA9D">
            <w:pPr>
              <w:pStyle w:val="11"/>
              <w:spacing w:line="301" w:lineRule="exact"/>
              <w:ind w:left="231"/>
              <w:jc w:val="left"/>
              <w:rPr>
                <w:sz w:val="24"/>
                <w:szCs w:val="24"/>
              </w:rPr>
            </w:pPr>
            <w:r>
              <w:rPr>
                <w:spacing w:val="-4"/>
                <w:sz w:val="24"/>
                <w:szCs w:val="24"/>
              </w:rPr>
              <w:t>0,907</w:t>
            </w:r>
          </w:p>
        </w:tc>
      </w:tr>
      <w:tr w14:paraId="43534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544" w:type="dxa"/>
            <w:tcBorders>
              <w:bottom w:val="nil"/>
            </w:tcBorders>
          </w:tcPr>
          <w:p w14:paraId="4745FF27">
            <w:pPr>
              <w:pStyle w:val="11"/>
              <w:spacing w:line="315" w:lineRule="exact"/>
              <w:ind w:left="283"/>
              <w:jc w:val="left"/>
              <w:rPr>
                <w:sz w:val="24"/>
                <w:szCs w:val="24"/>
              </w:rPr>
            </w:pPr>
            <w:r>
              <w:rPr>
                <w:sz w:val="24"/>
                <w:szCs w:val="24"/>
              </w:rPr>
              <w:t>Общий</w:t>
            </w:r>
            <w:r>
              <w:rPr>
                <w:spacing w:val="-6"/>
                <w:sz w:val="24"/>
                <w:szCs w:val="24"/>
              </w:rPr>
              <w:t xml:space="preserve"> </w:t>
            </w:r>
            <w:r>
              <w:rPr>
                <w:spacing w:val="-2"/>
                <w:sz w:val="24"/>
                <w:szCs w:val="24"/>
              </w:rPr>
              <w:t>билирубин,</w:t>
            </w:r>
          </w:p>
          <w:p w14:paraId="635A560E">
            <w:pPr>
              <w:pStyle w:val="11"/>
              <w:ind w:left="283"/>
              <w:jc w:val="left"/>
              <w:rPr>
                <w:sz w:val="24"/>
                <w:szCs w:val="24"/>
              </w:rPr>
            </w:pPr>
            <w:r>
              <w:rPr>
                <w:sz w:val="24"/>
                <w:szCs w:val="24"/>
              </w:rPr>
              <w:t>мкмоль/л,</w:t>
            </w:r>
            <w:r>
              <w:rPr>
                <w:spacing w:val="-6"/>
                <w:sz w:val="24"/>
                <w:szCs w:val="24"/>
              </w:rPr>
              <w:t xml:space="preserve"> </w:t>
            </w:r>
            <w:r>
              <w:rPr>
                <w:sz w:val="24"/>
                <w:szCs w:val="24"/>
                <w:lang w:val="en-US"/>
              </w:rPr>
              <w:t>Me</w:t>
            </w:r>
            <w:r>
              <w:rPr>
                <w:spacing w:val="-7"/>
                <w:sz w:val="24"/>
                <w:szCs w:val="24"/>
              </w:rPr>
              <w:t xml:space="preserve"> </w:t>
            </w:r>
            <w:r>
              <w:rPr>
                <w:spacing w:val="-2"/>
                <w:sz w:val="24"/>
                <w:szCs w:val="24"/>
              </w:rPr>
              <w:t>[</w:t>
            </w:r>
            <w:r>
              <w:rPr>
                <w:spacing w:val="-2"/>
                <w:sz w:val="24"/>
                <w:szCs w:val="24"/>
                <w:lang w:val="en-US"/>
              </w:rPr>
              <w:t>Q</w:t>
            </w:r>
            <w:r>
              <w:rPr>
                <w:spacing w:val="-2"/>
                <w:sz w:val="24"/>
                <w:szCs w:val="24"/>
              </w:rPr>
              <w:t>1;</w:t>
            </w:r>
            <w:r>
              <w:rPr>
                <w:spacing w:val="-2"/>
                <w:sz w:val="24"/>
                <w:szCs w:val="24"/>
                <w:lang w:val="en-US"/>
              </w:rPr>
              <w:t>Q</w:t>
            </w:r>
            <w:r>
              <w:rPr>
                <w:spacing w:val="-2"/>
                <w:sz w:val="24"/>
                <w:szCs w:val="24"/>
              </w:rPr>
              <w:t>3]</w:t>
            </w:r>
          </w:p>
        </w:tc>
        <w:tc>
          <w:tcPr>
            <w:tcW w:w="2268" w:type="dxa"/>
            <w:tcBorders>
              <w:bottom w:val="nil"/>
            </w:tcBorders>
          </w:tcPr>
          <w:p w14:paraId="1BA43D97">
            <w:pPr>
              <w:pStyle w:val="11"/>
              <w:spacing w:before="314"/>
              <w:ind w:left="15" w:right="4"/>
              <w:rPr>
                <w:sz w:val="24"/>
                <w:szCs w:val="24"/>
              </w:rPr>
            </w:pPr>
            <w:r>
              <w:rPr>
                <w:sz w:val="24"/>
                <w:szCs w:val="24"/>
              </w:rPr>
              <w:t>41,8</w:t>
            </w:r>
            <w:r>
              <w:rPr>
                <w:spacing w:val="-4"/>
                <w:sz w:val="24"/>
                <w:szCs w:val="24"/>
              </w:rPr>
              <w:t xml:space="preserve"> </w:t>
            </w:r>
            <w:r>
              <w:rPr>
                <w:sz w:val="24"/>
                <w:szCs w:val="24"/>
              </w:rPr>
              <w:t>[18,0;</w:t>
            </w:r>
            <w:r>
              <w:rPr>
                <w:spacing w:val="-4"/>
                <w:sz w:val="24"/>
                <w:szCs w:val="24"/>
              </w:rPr>
              <w:t xml:space="preserve"> </w:t>
            </w:r>
            <w:r>
              <w:rPr>
                <w:spacing w:val="-2"/>
                <w:sz w:val="24"/>
                <w:szCs w:val="24"/>
              </w:rPr>
              <w:t>83,2]</w:t>
            </w:r>
          </w:p>
        </w:tc>
        <w:tc>
          <w:tcPr>
            <w:tcW w:w="2835" w:type="dxa"/>
            <w:tcBorders>
              <w:bottom w:val="nil"/>
            </w:tcBorders>
          </w:tcPr>
          <w:p w14:paraId="06DB8FEB">
            <w:pPr>
              <w:pStyle w:val="11"/>
              <w:spacing w:before="314"/>
              <w:ind w:left="10"/>
              <w:rPr>
                <w:sz w:val="24"/>
                <w:szCs w:val="24"/>
              </w:rPr>
            </w:pPr>
            <w:r>
              <w:rPr>
                <w:sz w:val="24"/>
                <w:szCs w:val="24"/>
              </w:rPr>
              <w:t>42,2</w:t>
            </w:r>
            <w:r>
              <w:rPr>
                <w:spacing w:val="-4"/>
                <w:sz w:val="24"/>
                <w:szCs w:val="24"/>
              </w:rPr>
              <w:t xml:space="preserve"> </w:t>
            </w:r>
            <w:r>
              <w:rPr>
                <w:sz w:val="24"/>
                <w:szCs w:val="24"/>
              </w:rPr>
              <w:t>[25,1;</w:t>
            </w:r>
            <w:r>
              <w:rPr>
                <w:spacing w:val="-4"/>
                <w:sz w:val="24"/>
                <w:szCs w:val="24"/>
              </w:rPr>
              <w:t xml:space="preserve"> </w:t>
            </w:r>
            <w:r>
              <w:rPr>
                <w:spacing w:val="-2"/>
                <w:sz w:val="24"/>
                <w:szCs w:val="24"/>
              </w:rPr>
              <w:t>66,5]</w:t>
            </w:r>
          </w:p>
        </w:tc>
        <w:tc>
          <w:tcPr>
            <w:tcW w:w="992" w:type="dxa"/>
            <w:tcBorders>
              <w:bottom w:val="nil"/>
            </w:tcBorders>
          </w:tcPr>
          <w:p w14:paraId="302CD77B">
            <w:pPr>
              <w:pStyle w:val="11"/>
              <w:spacing w:before="314"/>
              <w:ind w:left="231"/>
              <w:jc w:val="left"/>
              <w:rPr>
                <w:sz w:val="24"/>
                <w:szCs w:val="24"/>
              </w:rPr>
            </w:pPr>
            <w:r>
              <w:rPr>
                <w:spacing w:val="-4"/>
                <w:sz w:val="24"/>
                <w:szCs w:val="24"/>
              </w:rPr>
              <w:t>0,486</w:t>
            </w:r>
          </w:p>
        </w:tc>
      </w:tr>
    </w:tbl>
    <w:p w14:paraId="6D5DC88B"/>
    <w:p w14:paraId="41E3779A">
      <w:pPr>
        <w:tabs>
          <w:tab w:val="left" w:pos="4111"/>
          <w:tab w:val="left" w:pos="4820"/>
          <w:tab w:val="left" w:pos="5245"/>
          <w:tab w:val="left" w:pos="6521"/>
          <w:tab w:val="left" w:pos="7088"/>
        </w:tabs>
        <w:rPr>
          <w:sz w:val="28"/>
          <w:szCs w:val="28"/>
        </w:rPr>
      </w:pPr>
      <w:r>
        <w:rPr>
          <w:sz w:val="28"/>
          <w:szCs w:val="28"/>
        </w:rPr>
        <w:t>Продолжение таблицы 25</w:t>
      </w:r>
    </w:p>
    <w:p w14:paraId="4E703991"/>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44"/>
        <w:gridCol w:w="2268"/>
        <w:gridCol w:w="2835"/>
        <w:gridCol w:w="992"/>
      </w:tblGrid>
      <w:tr w14:paraId="743DD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3544" w:type="dxa"/>
          </w:tcPr>
          <w:p w14:paraId="425D5BB9">
            <w:pPr>
              <w:pStyle w:val="11"/>
              <w:spacing w:line="336" w:lineRule="exact"/>
              <w:ind w:left="283"/>
              <w:jc w:val="left"/>
              <w:rPr>
                <w:sz w:val="28"/>
                <w:szCs w:val="28"/>
              </w:rPr>
            </w:pPr>
            <w:r>
              <w:rPr>
                <w:sz w:val="28"/>
                <w:szCs w:val="28"/>
              </w:rPr>
              <w:t>1</w:t>
            </w:r>
          </w:p>
        </w:tc>
        <w:tc>
          <w:tcPr>
            <w:tcW w:w="2268" w:type="dxa"/>
          </w:tcPr>
          <w:p w14:paraId="12949F34">
            <w:pPr>
              <w:pStyle w:val="11"/>
              <w:spacing w:before="36" w:line="240" w:lineRule="auto"/>
              <w:jc w:val="left"/>
              <w:rPr>
                <w:sz w:val="24"/>
                <w:szCs w:val="24"/>
              </w:rPr>
            </w:pPr>
            <w:r>
              <w:rPr>
                <w:sz w:val="24"/>
                <w:szCs w:val="24"/>
              </w:rPr>
              <w:t>2</w:t>
            </w:r>
          </w:p>
        </w:tc>
        <w:tc>
          <w:tcPr>
            <w:tcW w:w="2835" w:type="dxa"/>
          </w:tcPr>
          <w:p w14:paraId="6AAC3CF1">
            <w:pPr>
              <w:pStyle w:val="11"/>
              <w:spacing w:before="36" w:line="240" w:lineRule="auto"/>
              <w:jc w:val="left"/>
              <w:rPr>
                <w:sz w:val="24"/>
                <w:szCs w:val="24"/>
              </w:rPr>
            </w:pPr>
            <w:r>
              <w:rPr>
                <w:sz w:val="24"/>
                <w:szCs w:val="24"/>
              </w:rPr>
              <w:t>3</w:t>
            </w:r>
          </w:p>
        </w:tc>
        <w:tc>
          <w:tcPr>
            <w:tcW w:w="992" w:type="dxa"/>
          </w:tcPr>
          <w:p w14:paraId="6CAAEC73">
            <w:pPr>
              <w:pStyle w:val="11"/>
              <w:spacing w:before="17" w:line="240" w:lineRule="auto"/>
              <w:jc w:val="left"/>
              <w:rPr>
                <w:sz w:val="24"/>
                <w:szCs w:val="24"/>
              </w:rPr>
            </w:pPr>
            <w:r>
              <w:rPr>
                <w:sz w:val="24"/>
                <w:szCs w:val="24"/>
              </w:rPr>
              <w:t>4</w:t>
            </w:r>
          </w:p>
        </w:tc>
      </w:tr>
      <w:tr w14:paraId="2B3CB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3544" w:type="dxa"/>
          </w:tcPr>
          <w:p w14:paraId="047F76A0">
            <w:pPr>
              <w:pStyle w:val="11"/>
              <w:spacing w:line="336" w:lineRule="exact"/>
              <w:ind w:left="283"/>
              <w:jc w:val="left"/>
              <w:rPr>
                <w:sz w:val="24"/>
                <w:szCs w:val="24"/>
              </w:rPr>
            </w:pPr>
            <w:r>
              <w:rPr>
                <w:sz w:val="28"/>
                <w:szCs w:val="28"/>
              </w:rPr>
              <w:tab/>
            </w:r>
            <w:r>
              <w:rPr>
                <w:sz w:val="24"/>
                <w:szCs w:val="24"/>
              </w:rPr>
              <w:t>Прямой билирубин, мкмоль/л,</w:t>
            </w:r>
            <w:r>
              <w:rPr>
                <w:spacing w:val="-18"/>
                <w:sz w:val="24"/>
                <w:szCs w:val="24"/>
              </w:rPr>
              <w:t xml:space="preserve"> </w:t>
            </w:r>
            <w:r>
              <w:rPr>
                <w:sz w:val="24"/>
                <w:szCs w:val="24"/>
              </w:rPr>
              <w:t>Me</w:t>
            </w:r>
            <w:r>
              <w:rPr>
                <w:spacing w:val="-17"/>
                <w:sz w:val="24"/>
                <w:szCs w:val="24"/>
              </w:rPr>
              <w:t xml:space="preserve"> </w:t>
            </w:r>
            <w:r>
              <w:rPr>
                <w:sz w:val="24"/>
                <w:szCs w:val="24"/>
              </w:rPr>
              <w:t>[Q1;Q3]</w:t>
            </w:r>
          </w:p>
        </w:tc>
        <w:tc>
          <w:tcPr>
            <w:tcW w:w="2268" w:type="dxa"/>
          </w:tcPr>
          <w:p w14:paraId="28F69B7D">
            <w:pPr>
              <w:pStyle w:val="11"/>
              <w:spacing w:before="36" w:line="240" w:lineRule="auto"/>
              <w:jc w:val="left"/>
              <w:rPr>
                <w:sz w:val="24"/>
                <w:szCs w:val="24"/>
              </w:rPr>
            </w:pPr>
          </w:p>
          <w:p w14:paraId="17B7C934">
            <w:pPr>
              <w:pStyle w:val="11"/>
              <w:ind w:left="15" w:right="4"/>
              <w:rPr>
                <w:sz w:val="24"/>
                <w:szCs w:val="24"/>
              </w:rPr>
            </w:pPr>
            <w:r>
              <w:rPr>
                <w:sz w:val="24"/>
                <w:szCs w:val="24"/>
              </w:rPr>
              <w:t>34,6</w:t>
            </w:r>
            <w:r>
              <w:rPr>
                <w:spacing w:val="-3"/>
                <w:sz w:val="24"/>
                <w:szCs w:val="24"/>
              </w:rPr>
              <w:t xml:space="preserve"> </w:t>
            </w:r>
            <w:r>
              <w:rPr>
                <w:sz w:val="24"/>
                <w:szCs w:val="24"/>
              </w:rPr>
              <w:t>[12,3;</w:t>
            </w:r>
            <w:r>
              <w:rPr>
                <w:spacing w:val="-4"/>
                <w:sz w:val="24"/>
                <w:szCs w:val="24"/>
              </w:rPr>
              <w:t xml:space="preserve"> </w:t>
            </w:r>
            <w:r>
              <w:rPr>
                <w:spacing w:val="-2"/>
                <w:sz w:val="24"/>
                <w:szCs w:val="24"/>
              </w:rPr>
              <w:t>73,7]</w:t>
            </w:r>
          </w:p>
        </w:tc>
        <w:tc>
          <w:tcPr>
            <w:tcW w:w="2835" w:type="dxa"/>
          </w:tcPr>
          <w:p w14:paraId="00AE8B9D">
            <w:pPr>
              <w:pStyle w:val="11"/>
              <w:spacing w:before="36" w:line="240" w:lineRule="auto"/>
              <w:jc w:val="left"/>
              <w:rPr>
                <w:sz w:val="24"/>
                <w:szCs w:val="24"/>
              </w:rPr>
            </w:pPr>
          </w:p>
          <w:p w14:paraId="432EB098">
            <w:pPr>
              <w:pStyle w:val="11"/>
              <w:ind w:left="10"/>
              <w:rPr>
                <w:sz w:val="24"/>
                <w:szCs w:val="24"/>
              </w:rPr>
            </w:pPr>
            <w:r>
              <w:rPr>
                <w:sz w:val="24"/>
                <w:szCs w:val="24"/>
              </w:rPr>
              <w:t>36,2</w:t>
            </w:r>
            <w:r>
              <w:rPr>
                <w:spacing w:val="-4"/>
                <w:sz w:val="24"/>
                <w:szCs w:val="24"/>
              </w:rPr>
              <w:t xml:space="preserve"> </w:t>
            </w:r>
            <w:r>
              <w:rPr>
                <w:sz w:val="24"/>
                <w:szCs w:val="24"/>
              </w:rPr>
              <w:t>[17,4;</w:t>
            </w:r>
            <w:r>
              <w:rPr>
                <w:spacing w:val="-4"/>
                <w:sz w:val="24"/>
                <w:szCs w:val="24"/>
              </w:rPr>
              <w:t xml:space="preserve"> </w:t>
            </w:r>
            <w:r>
              <w:rPr>
                <w:spacing w:val="-2"/>
                <w:sz w:val="24"/>
                <w:szCs w:val="24"/>
              </w:rPr>
              <w:t>50,1]</w:t>
            </w:r>
          </w:p>
        </w:tc>
        <w:tc>
          <w:tcPr>
            <w:tcW w:w="992" w:type="dxa"/>
          </w:tcPr>
          <w:p w14:paraId="713997A6">
            <w:pPr>
              <w:pStyle w:val="11"/>
              <w:spacing w:before="17" w:line="240" w:lineRule="auto"/>
              <w:jc w:val="left"/>
              <w:rPr>
                <w:sz w:val="24"/>
                <w:szCs w:val="24"/>
              </w:rPr>
            </w:pPr>
          </w:p>
          <w:p w14:paraId="497BBE34">
            <w:pPr>
              <w:pStyle w:val="11"/>
              <w:spacing w:line="240" w:lineRule="auto"/>
              <w:ind w:left="231"/>
              <w:jc w:val="left"/>
              <w:rPr>
                <w:sz w:val="24"/>
                <w:szCs w:val="24"/>
              </w:rPr>
            </w:pPr>
            <w:r>
              <w:rPr>
                <w:spacing w:val="-4"/>
                <w:sz w:val="24"/>
                <w:szCs w:val="24"/>
              </w:rPr>
              <w:t>0,861</w:t>
            </w:r>
          </w:p>
        </w:tc>
      </w:tr>
      <w:tr w14:paraId="7B1D40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544" w:type="dxa"/>
          </w:tcPr>
          <w:p w14:paraId="535183E1">
            <w:pPr>
              <w:pStyle w:val="11"/>
              <w:spacing w:line="301" w:lineRule="exact"/>
              <w:ind w:left="144"/>
              <w:jc w:val="left"/>
              <w:rPr>
                <w:sz w:val="24"/>
                <w:szCs w:val="24"/>
                <w:lang w:val="en-US"/>
              </w:rPr>
            </w:pPr>
            <w:r>
              <w:rPr>
                <w:sz w:val="24"/>
                <w:szCs w:val="24"/>
              </w:rPr>
              <w:t>АЛТ</w:t>
            </w:r>
            <w:r>
              <w:rPr>
                <w:sz w:val="24"/>
                <w:szCs w:val="24"/>
                <w:lang w:val="en-US"/>
              </w:rPr>
              <w:t>,</w:t>
            </w:r>
            <w:r>
              <w:rPr>
                <w:spacing w:val="-4"/>
                <w:sz w:val="24"/>
                <w:szCs w:val="24"/>
                <w:lang w:val="en-US"/>
              </w:rPr>
              <w:t xml:space="preserve"> </w:t>
            </w:r>
            <w:r>
              <w:rPr>
                <w:sz w:val="24"/>
                <w:szCs w:val="24"/>
              </w:rPr>
              <w:t>Ед</w:t>
            </w:r>
            <w:r>
              <w:rPr>
                <w:sz w:val="24"/>
                <w:szCs w:val="24"/>
                <w:lang w:val="en-US"/>
              </w:rPr>
              <w:t>/</w:t>
            </w:r>
            <w:r>
              <w:rPr>
                <w:sz w:val="24"/>
                <w:szCs w:val="24"/>
              </w:rPr>
              <w:t>л</w:t>
            </w:r>
            <w:r>
              <w:rPr>
                <w:sz w:val="24"/>
                <w:szCs w:val="24"/>
                <w:lang w:val="en-US"/>
              </w:rPr>
              <w:t>,</w:t>
            </w:r>
            <w:r>
              <w:rPr>
                <w:spacing w:val="-3"/>
                <w:sz w:val="24"/>
                <w:szCs w:val="24"/>
                <w:lang w:val="en-US"/>
              </w:rPr>
              <w:t xml:space="preserve"> </w:t>
            </w:r>
            <w:r>
              <w:rPr>
                <w:sz w:val="24"/>
                <w:szCs w:val="24"/>
                <w:lang w:val="en-US"/>
              </w:rPr>
              <w:t>Me</w:t>
            </w:r>
            <w:r>
              <w:rPr>
                <w:spacing w:val="-6"/>
                <w:sz w:val="24"/>
                <w:szCs w:val="24"/>
                <w:lang w:val="en-US"/>
              </w:rPr>
              <w:t xml:space="preserve"> </w:t>
            </w:r>
            <w:r>
              <w:rPr>
                <w:spacing w:val="-2"/>
                <w:sz w:val="24"/>
                <w:szCs w:val="24"/>
                <w:lang w:val="en-US"/>
              </w:rPr>
              <w:t>[Q1;Q3]</w:t>
            </w:r>
          </w:p>
        </w:tc>
        <w:tc>
          <w:tcPr>
            <w:tcW w:w="2268" w:type="dxa"/>
          </w:tcPr>
          <w:p w14:paraId="793D2654">
            <w:pPr>
              <w:pStyle w:val="11"/>
              <w:spacing w:line="301" w:lineRule="exact"/>
              <w:ind w:left="15" w:right="10"/>
              <w:rPr>
                <w:sz w:val="24"/>
                <w:szCs w:val="24"/>
              </w:rPr>
            </w:pPr>
            <w:r>
              <w:rPr>
                <w:sz w:val="24"/>
                <w:szCs w:val="24"/>
              </w:rPr>
              <w:t>72,9</w:t>
            </w:r>
            <w:r>
              <w:rPr>
                <w:spacing w:val="-4"/>
                <w:sz w:val="24"/>
                <w:szCs w:val="24"/>
              </w:rPr>
              <w:t xml:space="preserve"> </w:t>
            </w:r>
            <w:r>
              <w:rPr>
                <w:sz w:val="24"/>
                <w:szCs w:val="24"/>
              </w:rPr>
              <w:t>[35,2;</w:t>
            </w:r>
            <w:r>
              <w:rPr>
                <w:spacing w:val="-4"/>
                <w:sz w:val="24"/>
                <w:szCs w:val="24"/>
              </w:rPr>
              <w:t xml:space="preserve"> </w:t>
            </w:r>
            <w:r>
              <w:rPr>
                <w:spacing w:val="-2"/>
                <w:sz w:val="24"/>
                <w:szCs w:val="24"/>
              </w:rPr>
              <w:t>121,0]</w:t>
            </w:r>
          </w:p>
        </w:tc>
        <w:tc>
          <w:tcPr>
            <w:tcW w:w="2835" w:type="dxa"/>
          </w:tcPr>
          <w:p w14:paraId="39F44B51">
            <w:pPr>
              <w:pStyle w:val="11"/>
              <w:spacing w:line="301" w:lineRule="exact"/>
              <w:ind w:left="10" w:right="4"/>
              <w:rPr>
                <w:sz w:val="24"/>
                <w:szCs w:val="24"/>
              </w:rPr>
            </w:pPr>
            <w:r>
              <w:rPr>
                <w:sz w:val="24"/>
                <w:szCs w:val="24"/>
              </w:rPr>
              <w:t>97,8</w:t>
            </w:r>
            <w:r>
              <w:rPr>
                <w:spacing w:val="-4"/>
                <w:sz w:val="24"/>
                <w:szCs w:val="24"/>
              </w:rPr>
              <w:t xml:space="preserve"> </w:t>
            </w:r>
            <w:r>
              <w:rPr>
                <w:sz w:val="24"/>
                <w:szCs w:val="24"/>
              </w:rPr>
              <w:t>[43,8;</w:t>
            </w:r>
            <w:r>
              <w:rPr>
                <w:spacing w:val="-4"/>
                <w:sz w:val="24"/>
                <w:szCs w:val="24"/>
              </w:rPr>
              <w:t xml:space="preserve"> </w:t>
            </w:r>
            <w:r>
              <w:rPr>
                <w:spacing w:val="-2"/>
                <w:sz w:val="24"/>
                <w:szCs w:val="24"/>
              </w:rPr>
              <w:t>164,0]</w:t>
            </w:r>
          </w:p>
        </w:tc>
        <w:tc>
          <w:tcPr>
            <w:tcW w:w="992" w:type="dxa"/>
          </w:tcPr>
          <w:p w14:paraId="6BFA445B">
            <w:pPr>
              <w:pStyle w:val="11"/>
              <w:spacing w:line="301" w:lineRule="exact"/>
              <w:ind w:left="231"/>
              <w:jc w:val="left"/>
              <w:rPr>
                <w:sz w:val="24"/>
                <w:szCs w:val="24"/>
              </w:rPr>
            </w:pPr>
            <w:r>
              <w:rPr>
                <w:spacing w:val="-4"/>
                <w:sz w:val="24"/>
                <w:szCs w:val="24"/>
              </w:rPr>
              <w:t>0,068</w:t>
            </w:r>
          </w:p>
        </w:tc>
      </w:tr>
      <w:tr w14:paraId="04DD3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544" w:type="dxa"/>
          </w:tcPr>
          <w:p w14:paraId="2C3CBE9C">
            <w:pPr>
              <w:pStyle w:val="11"/>
              <w:spacing w:line="301" w:lineRule="exact"/>
              <w:ind w:left="144"/>
              <w:jc w:val="left"/>
              <w:rPr>
                <w:sz w:val="24"/>
                <w:szCs w:val="24"/>
              </w:rPr>
            </w:pPr>
            <w:r>
              <w:rPr>
                <w:sz w:val="24"/>
                <w:szCs w:val="24"/>
              </w:rPr>
              <w:t>АСТ,</w:t>
            </w:r>
            <w:r>
              <w:rPr>
                <w:spacing w:val="-2"/>
                <w:sz w:val="24"/>
                <w:szCs w:val="24"/>
              </w:rPr>
              <w:t xml:space="preserve"> </w:t>
            </w:r>
            <w:r>
              <w:rPr>
                <w:sz w:val="24"/>
                <w:szCs w:val="24"/>
              </w:rPr>
              <w:t>Ед/л,</w:t>
            </w:r>
            <w:r>
              <w:rPr>
                <w:spacing w:val="-3"/>
                <w:sz w:val="24"/>
                <w:szCs w:val="24"/>
              </w:rPr>
              <w:t xml:space="preserve"> </w:t>
            </w:r>
            <w:r>
              <w:rPr>
                <w:sz w:val="24"/>
                <w:szCs w:val="24"/>
              </w:rPr>
              <w:t>Me</w:t>
            </w:r>
            <w:r>
              <w:rPr>
                <w:spacing w:val="-4"/>
                <w:sz w:val="24"/>
                <w:szCs w:val="24"/>
              </w:rPr>
              <w:t xml:space="preserve"> </w:t>
            </w:r>
            <w:r>
              <w:rPr>
                <w:spacing w:val="-2"/>
                <w:sz w:val="24"/>
                <w:szCs w:val="24"/>
              </w:rPr>
              <w:t>[Q1;Q3]</w:t>
            </w:r>
          </w:p>
        </w:tc>
        <w:tc>
          <w:tcPr>
            <w:tcW w:w="2268" w:type="dxa"/>
          </w:tcPr>
          <w:p w14:paraId="31691EA5">
            <w:pPr>
              <w:pStyle w:val="11"/>
              <w:spacing w:line="301" w:lineRule="exact"/>
              <w:ind w:left="15" w:right="4"/>
              <w:rPr>
                <w:sz w:val="24"/>
                <w:szCs w:val="24"/>
              </w:rPr>
            </w:pPr>
            <w:r>
              <w:rPr>
                <w:sz w:val="24"/>
                <w:szCs w:val="24"/>
              </w:rPr>
              <w:t>53,0</w:t>
            </w:r>
            <w:r>
              <w:rPr>
                <w:spacing w:val="-4"/>
                <w:sz w:val="24"/>
                <w:szCs w:val="24"/>
              </w:rPr>
              <w:t xml:space="preserve"> </w:t>
            </w:r>
            <w:r>
              <w:rPr>
                <w:sz w:val="24"/>
                <w:szCs w:val="24"/>
              </w:rPr>
              <w:t>[29,2;</w:t>
            </w:r>
            <w:r>
              <w:rPr>
                <w:spacing w:val="-4"/>
                <w:sz w:val="24"/>
                <w:szCs w:val="24"/>
              </w:rPr>
              <w:t xml:space="preserve"> </w:t>
            </w:r>
            <w:r>
              <w:rPr>
                <w:spacing w:val="-2"/>
                <w:sz w:val="24"/>
                <w:szCs w:val="24"/>
              </w:rPr>
              <w:t>84,2]</w:t>
            </w:r>
          </w:p>
        </w:tc>
        <w:tc>
          <w:tcPr>
            <w:tcW w:w="2835" w:type="dxa"/>
          </w:tcPr>
          <w:p w14:paraId="28C96DB8">
            <w:pPr>
              <w:pStyle w:val="11"/>
              <w:spacing w:line="301" w:lineRule="exact"/>
              <w:ind w:left="10" w:right="4"/>
              <w:rPr>
                <w:sz w:val="24"/>
                <w:szCs w:val="24"/>
              </w:rPr>
            </w:pPr>
            <w:r>
              <w:rPr>
                <w:sz w:val="24"/>
                <w:szCs w:val="24"/>
              </w:rPr>
              <w:t>56,7</w:t>
            </w:r>
            <w:r>
              <w:rPr>
                <w:spacing w:val="-4"/>
                <w:sz w:val="24"/>
                <w:szCs w:val="24"/>
              </w:rPr>
              <w:t xml:space="preserve"> </w:t>
            </w:r>
            <w:r>
              <w:rPr>
                <w:sz w:val="24"/>
                <w:szCs w:val="24"/>
              </w:rPr>
              <w:t>[33,3;</w:t>
            </w:r>
            <w:r>
              <w:rPr>
                <w:spacing w:val="-4"/>
                <w:sz w:val="24"/>
                <w:szCs w:val="24"/>
              </w:rPr>
              <w:t xml:space="preserve"> </w:t>
            </w:r>
            <w:r>
              <w:rPr>
                <w:spacing w:val="-2"/>
                <w:sz w:val="24"/>
                <w:szCs w:val="24"/>
              </w:rPr>
              <w:t>103,0]</w:t>
            </w:r>
          </w:p>
        </w:tc>
        <w:tc>
          <w:tcPr>
            <w:tcW w:w="992" w:type="dxa"/>
          </w:tcPr>
          <w:p w14:paraId="5282F426">
            <w:pPr>
              <w:pStyle w:val="11"/>
              <w:spacing w:line="301" w:lineRule="exact"/>
              <w:ind w:left="231"/>
              <w:jc w:val="left"/>
              <w:rPr>
                <w:sz w:val="24"/>
                <w:szCs w:val="24"/>
              </w:rPr>
            </w:pPr>
            <w:r>
              <w:rPr>
                <w:spacing w:val="-4"/>
                <w:sz w:val="24"/>
                <w:szCs w:val="24"/>
              </w:rPr>
              <w:t>0,423</w:t>
            </w:r>
          </w:p>
        </w:tc>
      </w:tr>
      <w:tr w14:paraId="2EA8C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639" w:type="dxa"/>
            <w:gridSpan w:val="4"/>
          </w:tcPr>
          <w:p w14:paraId="361A6BDD">
            <w:pPr>
              <w:pStyle w:val="11"/>
              <w:spacing w:line="301" w:lineRule="exact"/>
              <w:ind w:left="283"/>
              <w:jc w:val="left"/>
              <w:rPr>
                <w:sz w:val="24"/>
                <w:szCs w:val="24"/>
              </w:rPr>
            </w:pPr>
            <w:r>
              <w:rPr>
                <w:spacing w:val="-2"/>
                <w:sz w:val="24"/>
                <w:szCs w:val="24"/>
              </w:rPr>
              <w:t>Интраоперационные</w:t>
            </w:r>
            <w:r>
              <w:rPr>
                <w:spacing w:val="8"/>
                <w:sz w:val="24"/>
                <w:szCs w:val="24"/>
              </w:rPr>
              <w:t xml:space="preserve"> </w:t>
            </w:r>
            <w:r>
              <w:rPr>
                <w:spacing w:val="-2"/>
                <w:sz w:val="24"/>
                <w:szCs w:val="24"/>
              </w:rPr>
              <w:t>показатели</w:t>
            </w:r>
          </w:p>
        </w:tc>
      </w:tr>
      <w:tr w14:paraId="75541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3544" w:type="dxa"/>
          </w:tcPr>
          <w:p w14:paraId="1AF07F3A">
            <w:pPr>
              <w:pStyle w:val="11"/>
              <w:spacing w:line="315" w:lineRule="exact"/>
              <w:ind w:left="283"/>
              <w:jc w:val="left"/>
              <w:rPr>
                <w:sz w:val="24"/>
                <w:szCs w:val="24"/>
              </w:rPr>
            </w:pPr>
            <w:r>
              <w:rPr>
                <w:sz w:val="24"/>
                <w:szCs w:val="24"/>
              </w:rPr>
              <w:t>Размер</w:t>
            </w:r>
            <w:r>
              <w:rPr>
                <w:spacing w:val="-8"/>
                <w:sz w:val="24"/>
                <w:szCs w:val="24"/>
              </w:rPr>
              <w:t xml:space="preserve"> </w:t>
            </w:r>
            <w:r>
              <w:rPr>
                <w:sz w:val="24"/>
                <w:szCs w:val="24"/>
              </w:rPr>
              <w:t>опухоли,</w:t>
            </w:r>
            <w:r>
              <w:rPr>
                <w:spacing w:val="-6"/>
                <w:sz w:val="24"/>
                <w:szCs w:val="24"/>
              </w:rPr>
              <w:t xml:space="preserve"> </w:t>
            </w:r>
            <w:r>
              <w:rPr>
                <w:sz w:val="24"/>
                <w:szCs w:val="24"/>
              </w:rPr>
              <w:t>см,</w:t>
            </w:r>
            <w:r>
              <w:rPr>
                <w:spacing w:val="-5"/>
                <w:sz w:val="24"/>
                <w:szCs w:val="24"/>
              </w:rPr>
              <w:t xml:space="preserve"> Me</w:t>
            </w:r>
          </w:p>
          <w:p w14:paraId="174D93E9">
            <w:pPr>
              <w:pStyle w:val="11"/>
              <w:spacing w:before="4"/>
              <w:ind w:left="283"/>
              <w:jc w:val="left"/>
              <w:rPr>
                <w:sz w:val="24"/>
                <w:szCs w:val="24"/>
              </w:rPr>
            </w:pPr>
            <w:r>
              <w:rPr>
                <w:spacing w:val="-2"/>
                <w:sz w:val="24"/>
                <w:szCs w:val="24"/>
              </w:rPr>
              <w:t>[Q1;Q3]</w:t>
            </w:r>
          </w:p>
        </w:tc>
        <w:tc>
          <w:tcPr>
            <w:tcW w:w="2268" w:type="dxa"/>
          </w:tcPr>
          <w:p w14:paraId="16302232">
            <w:pPr>
              <w:pStyle w:val="11"/>
              <w:spacing w:before="319"/>
              <w:ind w:left="15"/>
              <w:rPr>
                <w:sz w:val="24"/>
                <w:szCs w:val="24"/>
              </w:rPr>
            </w:pPr>
            <w:r>
              <w:rPr>
                <w:sz w:val="24"/>
                <w:szCs w:val="24"/>
              </w:rPr>
              <w:t>3,0</w:t>
            </w:r>
            <w:r>
              <w:rPr>
                <w:spacing w:val="-3"/>
                <w:sz w:val="24"/>
                <w:szCs w:val="24"/>
              </w:rPr>
              <w:t xml:space="preserve"> </w:t>
            </w:r>
            <w:r>
              <w:rPr>
                <w:sz w:val="24"/>
                <w:szCs w:val="24"/>
              </w:rPr>
              <w:t>[2,0;</w:t>
            </w:r>
            <w:r>
              <w:rPr>
                <w:spacing w:val="-2"/>
                <w:sz w:val="24"/>
                <w:szCs w:val="24"/>
              </w:rPr>
              <w:t xml:space="preserve"> </w:t>
            </w:r>
            <w:r>
              <w:rPr>
                <w:spacing w:val="-4"/>
                <w:sz w:val="24"/>
                <w:szCs w:val="24"/>
              </w:rPr>
              <w:t>4,0]</w:t>
            </w:r>
          </w:p>
        </w:tc>
        <w:tc>
          <w:tcPr>
            <w:tcW w:w="2835" w:type="dxa"/>
          </w:tcPr>
          <w:p w14:paraId="4F9C95C1">
            <w:pPr>
              <w:pStyle w:val="11"/>
              <w:spacing w:before="319"/>
              <w:ind w:left="10" w:right="3"/>
              <w:rPr>
                <w:sz w:val="24"/>
                <w:szCs w:val="24"/>
              </w:rPr>
            </w:pPr>
            <w:r>
              <w:rPr>
                <w:sz w:val="24"/>
                <w:szCs w:val="24"/>
              </w:rPr>
              <w:t>2,5</w:t>
            </w:r>
            <w:r>
              <w:rPr>
                <w:spacing w:val="-3"/>
                <w:sz w:val="24"/>
                <w:szCs w:val="24"/>
              </w:rPr>
              <w:t xml:space="preserve"> </w:t>
            </w:r>
            <w:r>
              <w:rPr>
                <w:sz w:val="24"/>
                <w:szCs w:val="24"/>
              </w:rPr>
              <w:t>[1,8;</w:t>
            </w:r>
            <w:r>
              <w:rPr>
                <w:spacing w:val="-2"/>
                <w:sz w:val="24"/>
                <w:szCs w:val="24"/>
              </w:rPr>
              <w:t xml:space="preserve"> </w:t>
            </w:r>
            <w:r>
              <w:rPr>
                <w:spacing w:val="-4"/>
                <w:sz w:val="24"/>
                <w:szCs w:val="24"/>
              </w:rPr>
              <w:t>3,4]</w:t>
            </w:r>
          </w:p>
        </w:tc>
        <w:tc>
          <w:tcPr>
            <w:tcW w:w="992" w:type="dxa"/>
          </w:tcPr>
          <w:p w14:paraId="4529F2CA">
            <w:pPr>
              <w:pStyle w:val="11"/>
              <w:spacing w:before="319"/>
              <w:ind w:left="140"/>
              <w:jc w:val="left"/>
              <w:rPr>
                <w:sz w:val="24"/>
                <w:szCs w:val="24"/>
              </w:rPr>
            </w:pPr>
            <w:r>
              <w:rPr>
                <w:spacing w:val="-2"/>
                <w:sz w:val="24"/>
                <w:szCs w:val="24"/>
              </w:rPr>
              <w:t>0,004</w:t>
            </w:r>
            <w:r>
              <w:rPr>
                <w:spacing w:val="-2"/>
                <w:sz w:val="24"/>
                <w:szCs w:val="24"/>
                <w:vertAlign w:val="superscript"/>
              </w:rPr>
              <w:t>**</w:t>
            </w:r>
          </w:p>
        </w:tc>
      </w:tr>
      <w:tr w14:paraId="5F6FB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544" w:type="dxa"/>
          </w:tcPr>
          <w:p w14:paraId="36BE612D">
            <w:pPr>
              <w:pStyle w:val="11"/>
              <w:spacing w:line="301" w:lineRule="exact"/>
              <w:ind w:left="283"/>
              <w:jc w:val="left"/>
              <w:rPr>
                <w:sz w:val="24"/>
                <w:szCs w:val="24"/>
              </w:rPr>
            </w:pPr>
            <w:r>
              <w:rPr>
                <w:sz w:val="24"/>
                <w:szCs w:val="24"/>
              </w:rPr>
              <w:t>Дренирование</w:t>
            </w:r>
            <w:r>
              <w:rPr>
                <w:spacing w:val="-5"/>
                <w:sz w:val="24"/>
                <w:szCs w:val="24"/>
              </w:rPr>
              <w:t xml:space="preserve"> </w:t>
            </w:r>
            <w:r>
              <w:rPr>
                <w:sz w:val="24"/>
                <w:szCs w:val="24"/>
              </w:rPr>
              <w:t>ПП,</w:t>
            </w:r>
            <w:r>
              <w:rPr>
                <w:spacing w:val="-7"/>
                <w:sz w:val="24"/>
                <w:szCs w:val="24"/>
              </w:rPr>
              <w:t xml:space="preserve"> </w:t>
            </w:r>
            <w:r>
              <w:rPr>
                <w:sz w:val="24"/>
                <w:szCs w:val="24"/>
              </w:rPr>
              <w:t>n</w:t>
            </w:r>
            <w:r>
              <w:rPr>
                <w:spacing w:val="-13"/>
                <w:sz w:val="24"/>
                <w:szCs w:val="24"/>
              </w:rPr>
              <w:t xml:space="preserve"> </w:t>
            </w:r>
            <w:r>
              <w:rPr>
                <w:spacing w:val="-5"/>
                <w:sz w:val="24"/>
                <w:szCs w:val="24"/>
              </w:rPr>
              <w:t>(%)</w:t>
            </w:r>
          </w:p>
        </w:tc>
        <w:tc>
          <w:tcPr>
            <w:tcW w:w="2268" w:type="dxa"/>
          </w:tcPr>
          <w:p w14:paraId="40A2DE7A">
            <w:pPr>
              <w:pStyle w:val="11"/>
              <w:spacing w:line="301" w:lineRule="exact"/>
              <w:ind w:left="15" w:right="8"/>
              <w:rPr>
                <w:sz w:val="24"/>
                <w:szCs w:val="24"/>
              </w:rPr>
            </w:pPr>
            <w:r>
              <w:rPr>
                <w:sz w:val="24"/>
                <w:szCs w:val="24"/>
              </w:rPr>
              <w:t>55</w:t>
            </w:r>
            <w:r>
              <w:rPr>
                <w:spacing w:val="-2"/>
                <w:sz w:val="24"/>
                <w:szCs w:val="24"/>
              </w:rPr>
              <w:t xml:space="preserve"> (30,7%)</w:t>
            </w:r>
          </w:p>
        </w:tc>
        <w:tc>
          <w:tcPr>
            <w:tcW w:w="2835" w:type="dxa"/>
          </w:tcPr>
          <w:p w14:paraId="433DD413">
            <w:pPr>
              <w:pStyle w:val="11"/>
              <w:spacing w:line="301" w:lineRule="exact"/>
              <w:ind w:left="10" w:right="2"/>
              <w:rPr>
                <w:sz w:val="24"/>
                <w:szCs w:val="24"/>
              </w:rPr>
            </w:pPr>
            <w:r>
              <w:rPr>
                <w:sz w:val="24"/>
                <w:szCs w:val="24"/>
              </w:rPr>
              <w:t>47</w:t>
            </w:r>
            <w:r>
              <w:rPr>
                <w:spacing w:val="-2"/>
                <w:sz w:val="24"/>
                <w:szCs w:val="24"/>
              </w:rPr>
              <w:t xml:space="preserve"> (33,4%)</w:t>
            </w:r>
          </w:p>
        </w:tc>
        <w:tc>
          <w:tcPr>
            <w:tcW w:w="992" w:type="dxa"/>
          </w:tcPr>
          <w:p w14:paraId="35FDAA01">
            <w:pPr>
              <w:pStyle w:val="11"/>
              <w:spacing w:line="301" w:lineRule="exact"/>
              <w:ind w:left="149"/>
              <w:jc w:val="left"/>
              <w:rPr>
                <w:sz w:val="24"/>
                <w:szCs w:val="24"/>
              </w:rPr>
            </w:pPr>
            <w:r>
              <w:rPr>
                <w:spacing w:val="-4"/>
                <w:sz w:val="24"/>
                <w:szCs w:val="24"/>
              </w:rPr>
              <w:t>0,729</w:t>
            </w:r>
          </w:p>
        </w:tc>
      </w:tr>
      <w:tr w14:paraId="33058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3544" w:type="dxa"/>
          </w:tcPr>
          <w:p w14:paraId="5CF2FCA4">
            <w:pPr>
              <w:pStyle w:val="11"/>
              <w:spacing w:before="7" w:line="284" w:lineRule="exact"/>
              <w:ind w:left="283"/>
              <w:jc w:val="left"/>
              <w:rPr>
                <w:sz w:val="24"/>
                <w:szCs w:val="24"/>
              </w:rPr>
            </w:pPr>
            <w:r>
              <w:rPr>
                <w:sz w:val="24"/>
                <w:szCs w:val="24"/>
              </w:rPr>
              <w:t>Время</w:t>
            </w:r>
            <w:r>
              <w:rPr>
                <w:spacing w:val="-14"/>
                <w:sz w:val="24"/>
                <w:szCs w:val="24"/>
              </w:rPr>
              <w:t xml:space="preserve"> </w:t>
            </w:r>
            <w:r>
              <w:rPr>
                <w:sz w:val="24"/>
                <w:szCs w:val="24"/>
              </w:rPr>
              <w:t>операции,</w:t>
            </w:r>
            <w:r>
              <w:rPr>
                <w:spacing w:val="-11"/>
                <w:sz w:val="24"/>
                <w:szCs w:val="24"/>
              </w:rPr>
              <w:t xml:space="preserve"> </w:t>
            </w:r>
            <w:r>
              <w:rPr>
                <w:sz w:val="24"/>
                <w:szCs w:val="24"/>
              </w:rPr>
              <w:t>мин,</w:t>
            </w:r>
            <w:r>
              <w:rPr>
                <w:spacing w:val="-15"/>
                <w:sz w:val="24"/>
                <w:szCs w:val="24"/>
              </w:rPr>
              <w:t xml:space="preserve"> </w:t>
            </w:r>
            <w:r>
              <w:rPr>
                <w:sz w:val="24"/>
                <w:szCs w:val="24"/>
              </w:rPr>
              <w:t xml:space="preserve">Me </w:t>
            </w:r>
            <w:r>
              <w:rPr>
                <w:spacing w:val="-2"/>
                <w:sz w:val="24"/>
                <w:szCs w:val="24"/>
              </w:rPr>
              <w:t>[Q1;Q3]</w:t>
            </w:r>
          </w:p>
        </w:tc>
        <w:tc>
          <w:tcPr>
            <w:tcW w:w="2268" w:type="dxa"/>
          </w:tcPr>
          <w:p w14:paraId="70D2FAD7">
            <w:pPr>
              <w:pStyle w:val="11"/>
              <w:spacing w:before="267"/>
              <w:ind w:left="15" w:right="4"/>
              <w:rPr>
                <w:sz w:val="24"/>
                <w:szCs w:val="24"/>
              </w:rPr>
            </w:pPr>
            <w:r>
              <w:rPr>
                <w:sz w:val="24"/>
                <w:szCs w:val="24"/>
              </w:rPr>
              <w:t>390</w:t>
            </w:r>
            <w:r>
              <w:rPr>
                <w:spacing w:val="-6"/>
                <w:sz w:val="24"/>
                <w:szCs w:val="24"/>
              </w:rPr>
              <w:t xml:space="preserve"> </w:t>
            </w:r>
            <w:r>
              <w:rPr>
                <w:sz w:val="24"/>
                <w:szCs w:val="24"/>
              </w:rPr>
              <w:t>[330;</w:t>
            </w:r>
            <w:r>
              <w:rPr>
                <w:spacing w:val="-5"/>
                <w:sz w:val="24"/>
                <w:szCs w:val="24"/>
              </w:rPr>
              <w:t xml:space="preserve"> </w:t>
            </w:r>
            <w:r>
              <w:rPr>
                <w:spacing w:val="-4"/>
                <w:sz w:val="24"/>
                <w:szCs w:val="24"/>
              </w:rPr>
              <w:t>455]</w:t>
            </w:r>
          </w:p>
        </w:tc>
        <w:tc>
          <w:tcPr>
            <w:tcW w:w="2835" w:type="dxa"/>
          </w:tcPr>
          <w:p w14:paraId="68EDED15">
            <w:pPr>
              <w:pStyle w:val="11"/>
              <w:spacing w:before="267"/>
              <w:ind w:left="10" w:right="8"/>
              <w:rPr>
                <w:sz w:val="24"/>
                <w:szCs w:val="24"/>
              </w:rPr>
            </w:pPr>
            <w:r>
              <w:rPr>
                <w:sz w:val="24"/>
                <w:szCs w:val="24"/>
              </w:rPr>
              <w:t>420</w:t>
            </w:r>
            <w:r>
              <w:rPr>
                <w:spacing w:val="-6"/>
                <w:sz w:val="24"/>
                <w:szCs w:val="24"/>
              </w:rPr>
              <w:t xml:space="preserve"> </w:t>
            </w:r>
            <w:r>
              <w:rPr>
                <w:sz w:val="24"/>
                <w:szCs w:val="24"/>
              </w:rPr>
              <w:t>[360;</w:t>
            </w:r>
            <w:r>
              <w:rPr>
                <w:spacing w:val="-5"/>
                <w:sz w:val="24"/>
                <w:szCs w:val="24"/>
              </w:rPr>
              <w:t xml:space="preserve"> </w:t>
            </w:r>
            <w:r>
              <w:rPr>
                <w:spacing w:val="-4"/>
                <w:sz w:val="24"/>
                <w:szCs w:val="24"/>
              </w:rPr>
              <w:t>510]</w:t>
            </w:r>
          </w:p>
        </w:tc>
        <w:tc>
          <w:tcPr>
            <w:tcW w:w="992" w:type="dxa"/>
          </w:tcPr>
          <w:p w14:paraId="0AAD3CE3">
            <w:pPr>
              <w:pStyle w:val="11"/>
              <w:spacing w:before="132" w:line="240" w:lineRule="auto"/>
              <w:ind w:left="188"/>
              <w:jc w:val="left"/>
              <w:rPr>
                <w:sz w:val="24"/>
                <w:szCs w:val="24"/>
              </w:rPr>
            </w:pPr>
            <w:r>
              <w:rPr>
                <w:spacing w:val="-2"/>
                <w:sz w:val="24"/>
                <w:szCs w:val="24"/>
              </w:rPr>
              <w:t>0,011</w:t>
            </w:r>
            <w:r>
              <w:rPr>
                <w:spacing w:val="-2"/>
                <w:sz w:val="24"/>
                <w:szCs w:val="24"/>
                <w:vertAlign w:val="superscript"/>
              </w:rPr>
              <w:t>*</w:t>
            </w:r>
          </w:p>
        </w:tc>
      </w:tr>
      <w:tr w14:paraId="36E58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3544" w:type="dxa"/>
          </w:tcPr>
          <w:p w14:paraId="760261F4">
            <w:pPr>
              <w:pStyle w:val="11"/>
              <w:spacing w:line="306" w:lineRule="exact"/>
              <w:ind w:left="144"/>
              <w:jc w:val="left"/>
              <w:rPr>
                <w:sz w:val="24"/>
                <w:szCs w:val="24"/>
              </w:rPr>
            </w:pPr>
            <w:r>
              <w:rPr>
                <w:sz w:val="24"/>
                <w:szCs w:val="24"/>
              </w:rPr>
              <w:t>Кровопотеря,</w:t>
            </w:r>
            <w:r>
              <w:rPr>
                <w:spacing w:val="-4"/>
                <w:sz w:val="24"/>
                <w:szCs w:val="24"/>
              </w:rPr>
              <w:t xml:space="preserve"> </w:t>
            </w:r>
            <w:r>
              <w:rPr>
                <w:sz w:val="24"/>
                <w:szCs w:val="24"/>
              </w:rPr>
              <w:t>мл,</w:t>
            </w:r>
            <w:r>
              <w:rPr>
                <w:spacing w:val="-3"/>
                <w:sz w:val="24"/>
                <w:szCs w:val="24"/>
              </w:rPr>
              <w:t xml:space="preserve"> </w:t>
            </w:r>
            <w:r>
              <w:rPr>
                <w:sz w:val="24"/>
                <w:szCs w:val="24"/>
              </w:rPr>
              <w:t>Me</w:t>
            </w:r>
            <w:r>
              <w:rPr>
                <w:spacing w:val="-8"/>
                <w:sz w:val="24"/>
                <w:szCs w:val="24"/>
              </w:rPr>
              <w:t xml:space="preserve"> </w:t>
            </w:r>
            <w:r>
              <w:rPr>
                <w:spacing w:val="-2"/>
                <w:sz w:val="24"/>
                <w:szCs w:val="24"/>
              </w:rPr>
              <w:t>[Q1;Q3]</w:t>
            </w:r>
          </w:p>
        </w:tc>
        <w:tc>
          <w:tcPr>
            <w:tcW w:w="2268" w:type="dxa"/>
          </w:tcPr>
          <w:p w14:paraId="5474B87D">
            <w:pPr>
              <w:pStyle w:val="11"/>
              <w:spacing w:line="306" w:lineRule="exact"/>
              <w:ind w:left="15" w:right="4"/>
              <w:rPr>
                <w:sz w:val="24"/>
                <w:szCs w:val="24"/>
              </w:rPr>
            </w:pPr>
            <w:r>
              <w:rPr>
                <w:sz w:val="24"/>
                <w:szCs w:val="24"/>
              </w:rPr>
              <w:t>380</w:t>
            </w:r>
            <w:r>
              <w:rPr>
                <w:spacing w:val="-6"/>
                <w:sz w:val="24"/>
                <w:szCs w:val="24"/>
              </w:rPr>
              <w:t xml:space="preserve"> </w:t>
            </w:r>
            <w:r>
              <w:rPr>
                <w:sz w:val="24"/>
                <w:szCs w:val="24"/>
              </w:rPr>
              <w:t>[350;</w:t>
            </w:r>
            <w:r>
              <w:rPr>
                <w:spacing w:val="-5"/>
                <w:sz w:val="24"/>
                <w:szCs w:val="24"/>
              </w:rPr>
              <w:t xml:space="preserve"> </w:t>
            </w:r>
            <w:r>
              <w:rPr>
                <w:spacing w:val="-4"/>
                <w:sz w:val="24"/>
                <w:szCs w:val="24"/>
              </w:rPr>
              <w:t>400]</w:t>
            </w:r>
          </w:p>
        </w:tc>
        <w:tc>
          <w:tcPr>
            <w:tcW w:w="2835" w:type="dxa"/>
          </w:tcPr>
          <w:p w14:paraId="1CD66E27">
            <w:pPr>
              <w:pStyle w:val="11"/>
              <w:spacing w:line="306" w:lineRule="exact"/>
              <w:ind w:left="10" w:right="8"/>
              <w:rPr>
                <w:sz w:val="24"/>
                <w:szCs w:val="24"/>
              </w:rPr>
            </w:pPr>
            <w:r>
              <w:rPr>
                <w:sz w:val="24"/>
                <w:szCs w:val="24"/>
              </w:rPr>
              <w:t>300</w:t>
            </w:r>
            <w:r>
              <w:rPr>
                <w:spacing w:val="-6"/>
                <w:sz w:val="24"/>
                <w:szCs w:val="24"/>
              </w:rPr>
              <w:t xml:space="preserve"> </w:t>
            </w:r>
            <w:r>
              <w:rPr>
                <w:sz w:val="24"/>
                <w:szCs w:val="24"/>
              </w:rPr>
              <w:t>[200;</w:t>
            </w:r>
            <w:r>
              <w:rPr>
                <w:spacing w:val="-5"/>
                <w:sz w:val="24"/>
                <w:szCs w:val="24"/>
              </w:rPr>
              <w:t xml:space="preserve"> </w:t>
            </w:r>
            <w:r>
              <w:rPr>
                <w:spacing w:val="-4"/>
                <w:sz w:val="24"/>
                <w:szCs w:val="24"/>
              </w:rPr>
              <w:t>400]</w:t>
            </w:r>
          </w:p>
        </w:tc>
        <w:tc>
          <w:tcPr>
            <w:tcW w:w="992" w:type="dxa"/>
          </w:tcPr>
          <w:p w14:paraId="694C805E">
            <w:pPr>
              <w:pStyle w:val="11"/>
              <w:spacing w:line="306" w:lineRule="exact"/>
              <w:ind w:right="-15"/>
              <w:jc w:val="right"/>
              <w:rPr>
                <w:sz w:val="24"/>
                <w:szCs w:val="24"/>
              </w:rPr>
            </w:pPr>
            <w:r>
              <w:rPr>
                <w:spacing w:val="-2"/>
                <w:sz w:val="24"/>
                <w:szCs w:val="24"/>
              </w:rPr>
              <w:t>&lt;0,001</w:t>
            </w:r>
            <w:r>
              <w:rPr>
                <w:spacing w:val="-2"/>
                <w:sz w:val="24"/>
                <w:szCs w:val="24"/>
                <w:vertAlign w:val="superscript"/>
              </w:rPr>
              <w:t>***</w:t>
            </w:r>
          </w:p>
        </w:tc>
      </w:tr>
      <w:tr w14:paraId="31FE5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544" w:type="dxa"/>
          </w:tcPr>
          <w:p w14:paraId="1F0B2049">
            <w:pPr>
              <w:pStyle w:val="11"/>
              <w:spacing w:line="315" w:lineRule="exact"/>
              <w:ind w:right="172"/>
              <w:jc w:val="right"/>
              <w:rPr>
                <w:sz w:val="24"/>
                <w:szCs w:val="24"/>
              </w:rPr>
            </w:pPr>
            <w:r>
              <w:rPr>
                <w:sz w:val="24"/>
                <w:szCs w:val="24"/>
              </w:rPr>
              <w:t>Диаметр</w:t>
            </w:r>
            <w:r>
              <w:rPr>
                <w:spacing w:val="-3"/>
                <w:sz w:val="24"/>
                <w:szCs w:val="24"/>
              </w:rPr>
              <w:t xml:space="preserve"> </w:t>
            </w:r>
            <w:r>
              <w:rPr>
                <w:sz w:val="24"/>
                <w:szCs w:val="24"/>
              </w:rPr>
              <w:t>ПП, n</w:t>
            </w:r>
            <w:r>
              <w:rPr>
                <w:spacing w:val="-6"/>
                <w:sz w:val="24"/>
                <w:szCs w:val="24"/>
              </w:rPr>
              <w:t xml:space="preserve"> </w:t>
            </w:r>
            <w:r>
              <w:rPr>
                <w:sz w:val="24"/>
                <w:szCs w:val="24"/>
              </w:rPr>
              <w:t>(%):</w:t>
            </w:r>
            <w:r>
              <w:rPr>
                <w:spacing w:val="-3"/>
                <w:sz w:val="24"/>
                <w:szCs w:val="24"/>
              </w:rPr>
              <w:t xml:space="preserve"> </w:t>
            </w:r>
            <w:r>
              <w:rPr>
                <w:sz w:val="24"/>
                <w:szCs w:val="24"/>
              </w:rPr>
              <w:t>-</w:t>
            </w:r>
            <w:r>
              <w:rPr>
                <w:spacing w:val="-2"/>
                <w:sz w:val="24"/>
                <w:szCs w:val="24"/>
              </w:rPr>
              <w:t xml:space="preserve"> </w:t>
            </w:r>
            <w:r>
              <w:rPr>
                <w:sz w:val="24"/>
                <w:szCs w:val="24"/>
              </w:rPr>
              <w:t>≤</w:t>
            </w:r>
            <w:r>
              <w:rPr>
                <w:spacing w:val="-2"/>
                <w:sz w:val="24"/>
                <w:szCs w:val="24"/>
              </w:rPr>
              <w:t xml:space="preserve"> </w:t>
            </w:r>
            <w:r>
              <w:rPr>
                <w:sz w:val="24"/>
                <w:szCs w:val="24"/>
              </w:rPr>
              <w:t>5</w:t>
            </w:r>
            <w:r>
              <w:rPr>
                <w:spacing w:val="-3"/>
                <w:sz w:val="24"/>
                <w:szCs w:val="24"/>
              </w:rPr>
              <w:t xml:space="preserve"> </w:t>
            </w:r>
            <w:r>
              <w:rPr>
                <w:spacing w:val="-5"/>
                <w:sz w:val="24"/>
                <w:szCs w:val="24"/>
              </w:rPr>
              <w:t>мм</w:t>
            </w:r>
          </w:p>
          <w:p w14:paraId="08E25861">
            <w:pPr>
              <w:pStyle w:val="11"/>
              <w:ind w:right="205"/>
              <w:jc w:val="right"/>
              <w:rPr>
                <w:sz w:val="24"/>
                <w:szCs w:val="24"/>
              </w:rPr>
            </w:pPr>
            <w:r>
              <w:rPr>
                <w:sz w:val="24"/>
                <w:szCs w:val="24"/>
              </w:rPr>
              <w:t xml:space="preserve">  -</w:t>
            </w:r>
            <w:r>
              <w:rPr>
                <w:spacing w:val="-1"/>
                <w:sz w:val="24"/>
                <w:szCs w:val="24"/>
              </w:rPr>
              <w:t xml:space="preserve"> </w:t>
            </w:r>
            <w:r>
              <w:rPr>
                <w:sz w:val="24"/>
                <w:szCs w:val="24"/>
              </w:rPr>
              <w:t>&gt;</w:t>
            </w:r>
            <w:r>
              <w:rPr>
                <w:spacing w:val="-3"/>
                <w:sz w:val="24"/>
                <w:szCs w:val="24"/>
              </w:rPr>
              <w:t xml:space="preserve"> </w:t>
            </w:r>
            <w:r>
              <w:rPr>
                <w:sz w:val="24"/>
                <w:szCs w:val="24"/>
              </w:rPr>
              <w:t xml:space="preserve">5 </w:t>
            </w:r>
            <w:r>
              <w:rPr>
                <w:spacing w:val="-5"/>
                <w:sz w:val="24"/>
                <w:szCs w:val="24"/>
              </w:rPr>
              <w:t>мм</w:t>
            </w:r>
          </w:p>
        </w:tc>
        <w:tc>
          <w:tcPr>
            <w:tcW w:w="2268" w:type="dxa"/>
          </w:tcPr>
          <w:p w14:paraId="6E653C21">
            <w:pPr>
              <w:pStyle w:val="11"/>
              <w:spacing w:line="315" w:lineRule="exact"/>
              <w:ind w:left="480"/>
              <w:jc w:val="left"/>
              <w:rPr>
                <w:sz w:val="24"/>
                <w:szCs w:val="24"/>
              </w:rPr>
            </w:pPr>
            <w:r>
              <w:rPr>
                <w:sz w:val="24"/>
                <w:szCs w:val="24"/>
              </w:rPr>
              <w:t>100</w:t>
            </w:r>
            <w:r>
              <w:rPr>
                <w:spacing w:val="-4"/>
                <w:sz w:val="24"/>
                <w:szCs w:val="24"/>
              </w:rPr>
              <w:t xml:space="preserve"> </w:t>
            </w:r>
            <w:r>
              <w:rPr>
                <w:spacing w:val="-2"/>
                <w:sz w:val="24"/>
                <w:szCs w:val="24"/>
              </w:rPr>
              <w:t>(55,9%)</w:t>
            </w:r>
          </w:p>
          <w:p w14:paraId="3CC0B559">
            <w:pPr>
              <w:pStyle w:val="11"/>
              <w:ind w:left="552"/>
              <w:jc w:val="left"/>
              <w:rPr>
                <w:sz w:val="24"/>
                <w:szCs w:val="24"/>
              </w:rPr>
            </w:pPr>
            <w:r>
              <w:rPr>
                <w:sz w:val="24"/>
                <w:szCs w:val="24"/>
              </w:rPr>
              <w:t>79</w:t>
            </w:r>
            <w:r>
              <w:rPr>
                <w:spacing w:val="-2"/>
                <w:sz w:val="24"/>
                <w:szCs w:val="24"/>
              </w:rPr>
              <w:t xml:space="preserve"> (44,1%)</w:t>
            </w:r>
          </w:p>
        </w:tc>
        <w:tc>
          <w:tcPr>
            <w:tcW w:w="2835" w:type="dxa"/>
          </w:tcPr>
          <w:p w14:paraId="47F9FECF">
            <w:pPr>
              <w:pStyle w:val="11"/>
              <w:spacing w:line="315" w:lineRule="exact"/>
              <w:ind w:left="567"/>
              <w:jc w:val="left"/>
              <w:rPr>
                <w:sz w:val="24"/>
                <w:szCs w:val="24"/>
              </w:rPr>
            </w:pPr>
            <w:r>
              <w:rPr>
                <w:sz w:val="24"/>
                <w:szCs w:val="24"/>
              </w:rPr>
              <w:t xml:space="preserve">    111</w:t>
            </w:r>
            <w:r>
              <w:rPr>
                <w:spacing w:val="-4"/>
                <w:sz w:val="24"/>
                <w:szCs w:val="24"/>
              </w:rPr>
              <w:t xml:space="preserve"> </w:t>
            </w:r>
            <w:r>
              <w:rPr>
                <w:spacing w:val="-2"/>
                <w:sz w:val="24"/>
                <w:szCs w:val="24"/>
              </w:rPr>
              <w:t>(78,7%)</w:t>
            </w:r>
          </w:p>
          <w:p w14:paraId="5CB11F1E">
            <w:pPr>
              <w:pStyle w:val="11"/>
              <w:ind w:left="639"/>
              <w:jc w:val="left"/>
              <w:rPr>
                <w:sz w:val="24"/>
                <w:szCs w:val="24"/>
              </w:rPr>
            </w:pPr>
            <w:r>
              <w:rPr>
                <w:sz w:val="24"/>
                <w:szCs w:val="24"/>
              </w:rPr>
              <w:t xml:space="preserve">     30</w:t>
            </w:r>
            <w:r>
              <w:rPr>
                <w:spacing w:val="-2"/>
                <w:sz w:val="24"/>
                <w:szCs w:val="24"/>
              </w:rPr>
              <w:t xml:space="preserve"> (21,3%)</w:t>
            </w:r>
          </w:p>
        </w:tc>
        <w:tc>
          <w:tcPr>
            <w:tcW w:w="992" w:type="dxa"/>
          </w:tcPr>
          <w:p w14:paraId="1203AC86">
            <w:pPr>
              <w:pStyle w:val="11"/>
              <w:spacing w:before="151" w:line="240" w:lineRule="auto"/>
              <w:ind w:right="-15"/>
              <w:jc w:val="right"/>
              <w:rPr>
                <w:sz w:val="24"/>
                <w:szCs w:val="24"/>
              </w:rPr>
            </w:pPr>
            <w:r>
              <w:rPr>
                <w:spacing w:val="-2"/>
                <w:sz w:val="24"/>
                <w:szCs w:val="24"/>
              </w:rPr>
              <w:t>&lt;0,001</w:t>
            </w:r>
            <w:r>
              <w:rPr>
                <w:spacing w:val="-2"/>
                <w:sz w:val="24"/>
                <w:szCs w:val="24"/>
                <w:vertAlign w:val="superscript"/>
              </w:rPr>
              <w:t>***</w:t>
            </w:r>
          </w:p>
        </w:tc>
      </w:tr>
      <w:tr w14:paraId="140FF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544" w:type="dxa"/>
          </w:tcPr>
          <w:p w14:paraId="054404C8">
            <w:pPr>
              <w:pStyle w:val="11"/>
              <w:spacing w:line="302" w:lineRule="exact"/>
              <w:ind w:left="144"/>
              <w:jc w:val="left"/>
              <w:rPr>
                <w:sz w:val="24"/>
                <w:szCs w:val="24"/>
              </w:rPr>
            </w:pPr>
            <w:r>
              <w:rPr>
                <w:sz w:val="24"/>
                <w:szCs w:val="24"/>
              </w:rPr>
              <w:t>Резекция</w:t>
            </w:r>
            <w:r>
              <w:rPr>
                <w:spacing w:val="-6"/>
                <w:sz w:val="24"/>
                <w:szCs w:val="24"/>
              </w:rPr>
              <w:t xml:space="preserve"> </w:t>
            </w:r>
            <w:r>
              <w:rPr>
                <w:sz w:val="24"/>
                <w:szCs w:val="24"/>
              </w:rPr>
              <w:t>сосудов,</w:t>
            </w:r>
            <w:r>
              <w:rPr>
                <w:spacing w:val="-4"/>
                <w:sz w:val="24"/>
                <w:szCs w:val="24"/>
              </w:rPr>
              <w:t xml:space="preserve"> </w:t>
            </w:r>
            <w:r>
              <w:rPr>
                <w:sz w:val="24"/>
                <w:szCs w:val="24"/>
              </w:rPr>
              <w:t>n</w:t>
            </w:r>
            <w:r>
              <w:rPr>
                <w:spacing w:val="-11"/>
                <w:sz w:val="24"/>
                <w:szCs w:val="24"/>
              </w:rPr>
              <w:t xml:space="preserve"> </w:t>
            </w:r>
            <w:r>
              <w:rPr>
                <w:spacing w:val="-5"/>
                <w:sz w:val="24"/>
                <w:szCs w:val="24"/>
              </w:rPr>
              <w:t>(%)</w:t>
            </w:r>
          </w:p>
        </w:tc>
        <w:tc>
          <w:tcPr>
            <w:tcW w:w="2268" w:type="dxa"/>
          </w:tcPr>
          <w:p w14:paraId="1D781BB7">
            <w:pPr>
              <w:pStyle w:val="11"/>
              <w:spacing w:line="302" w:lineRule="exact"/>
              <w:ind w:left="15" w:right="8"/>
              <w:rPr>
                <w:sz w:val="24"/>
                <w:szCs w:val="24"/>
              </w:rPr>
            </w:pPr>
            <w:r>
              <w:rPr>
                <w:sz w:val="24"/>
                <w:szCs w:val="24"/>
              </w:rPr>
              <w:t>39</w:t>
            </w:r>
            <w:r>
              <w:rPr>
                <w:spacing w:val="-2"/>
                <w:sz w:val="24"/>
                <w:szCs w:val="24"/>
              </w:rPr>
              <w:t xml:space="preserve"> (21,8%)</w:t>
            </w:r>
          </w:p>
        </w:tc>
        <w:tc>
          <w:tcPr>
            <w:tcW w:w="2835" w:type="dxa"/>
          </w:tcPr>
          <w:p w14:paraId="23CBF1A8">
            <w:pPr>
              <w:pStyle w:val="11"/>
              <w:spacing w:line="302" w:lineRule="exact"/>
              <w:ind w:left="10" w:right="2"/>
              <w:rPr>
                <w:sz w:val="24"/>
                <w:szCs w:val="24"/>
              </w:rPr>
            </w:pPr>
            <w:r>
              <w:rPr>
                <w:sz w:val="24"/>
                <w:szCs w:val="24"/>
              </w:rPr>
              <w:t>7</w:t>
            </w:r>
            <w:r>
              <w:rPr>
                <w:spacing w:val="-1"/>
                <w:sz w:val="24"/>
                <w:szCs w:val="24"/>
              </w:rPr>
              <w:t xml:space="preserve"> </w:t>
            </w:r>
            <w:r>
              <w:rPr>
                <w:spacing w:val="-4"/>
                <w:sz w:val="24"/>
                <w:szCs w:val="24"/>
              </w:rPr>
              <w:t>(5%)</w:t>
            </w:r>
          </w:p>
        </w:tc>
        <w:tc>
          <w:tcPr>
            <w:tcW w:w="992" w:type="dxa"/>
          </w:tcPr>
          <w:p w14:paraId="62027A05">
            <w:pPr>
              <w:pStyle w:val="11"/>
              <w:spacing w:line="302" w:lineRule="exact"/>
              <w:ind w:right="-15"/>
              <w:jc w:val="right"/>
              <w:rPr>
                <w:sz w:val="24"/>
                <w:szCs w:val="24"/>
              </w:rPr>
            </w:pPr>
            <w:r>
              <w:rPr>
                <w:spacing w:val="-2"/>
                <w:sz w:val="24"/>
                <w:szCs w:val="24"/>
              </w:rPr>
              <w:t>&lt;0,001</w:t>
            </w:r>
            <w:r>
              <w:rPr>
                <w:spacing w:val="-2"/>
                <w:sz w:val="24"/>
                <w:szCs w:val="24"/>
                <w:vertAlign w:val="superscript"/>
              </w:rPr>
              <w:t>***</w:t>
            </w:r>
          </w:p>
        </w:tc>
      </w:tr>
      <w:tr w14:paraId="26B54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639" w:type="dxa"/>
            <w:gridSpan w:val="4"/>
          </w:tcPr>
          <w:p w14:paraId="428295AF">
            <w:pPr>
              <w:pStyle w:val="11"/>
              <w:spacing w:line="301" w:lineRule="exact"/>
              <w:ind w:left="283"/>
              <w:jc w:val="left"/>
              <w:rPr>
                <w:sz w:val="24"/>
                <w:szCs w:val="24"/>
              </w:rPr>
            </w:pPr>
            <w:r>
              <w:rPr>
                <w:spacing w:val="-2"/>
                <w:sz w:val="24"/>
                <w:szCs w:val="24"/>
              </w:rPr>
              <w:t>Послеоперационные</w:t>
            </w:r>
            <w:r>
              <w:rPr>
                <w:spacing w:val="4"/>
                <w:sz w:val="24"/>
                <w:szCs w:val="24"/>
              </w:rPr>
              <w:t xml:space="preserve"> </w:t>
            </w:r>
            <w:r>
              <w:rPr>
                <w:spacing w:val="-2"/>
                <w:sz w:val="24"/>
                <w:szCs w:val="24"/>
              </w:rPr>
              <w:t>показатели</w:t>
            </w:r>
          </w:p>
        </w:tc>
      </w:tr>
      <w:tr w14:paraId="26CE4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544" w:type="dxa"/>
          </w:tcPr>
          <w:p w14:paraId="128B8275">
            <w:pPr>
              <w:pStyle w:val="11"/>
              <w:spacing w:line="315" w:lineRule="exact"/>
              <w:ind w:left="283"/>
              <w:jc w:val="left"/>
              <w:rPr>
                <w:sz w:val="24"/>
                <w:szCs w:val="24"/>
              </w:rPr>
            </w:pPr>
            <w:r>
              <w:rPr>
                <w:sz w:val="24"/>
                <w:szCs w:val="24"/>
              </w:rPr>
              <w:t>ААД</w:t>
            </w:r>
            <w:r>
              <w:rPr>
                <w:spacing w:val="-5"/>
                <w:sz w:val="24"/>
                <w:szCs w:val="24"/>
              </w:rPr>
              <w:t xml:space="preserve"> </w:t>
            </w:r>
            <w:r>
              <w:rPr>
                <w:sz w:val="24"/>
                <w:szCs w:val="24"/>
              </w:rPr>
              <w:t>на</w:t>
            </w:r>
            <w:r>
              <w:rPr>
                <w:spacing w:val="-5"/>
                <w:sz w:val="24"/>
                <w:szCs w:val="24"/>
              </w:rPr>
              <w:t xml:space="preserve"> </w:t>
            </w:r>
            <w:r>
              <w:rPr>
                <w:sz w:val="24"/>
                <w:szCs w:val="24"/>
              </w:rPr>
              <w:t>1-е</w:t>
            </w:r>
            <w:r>
              <w:rPr>
                <w:spacing w:val="-5"/>
                <w:sz w:val="24"/>
                <w:szCs w:val="24"/>
              </w:rPr>
              <w:t xml:space="preserve"> </w:t>
            </w:r>
            <w:r>
              <w:rPr>
                <w:sz w:val="24"/>
                <w:szCs w:val="24"/>
              </w:rPr>
              <w:t>сутки,</w:t>
            </w:r>
            <w:r>
              <w:rPr>
                <w:spacing w:val="-4"/>
                <w:sz w:val="24"/>
                <w:szCs w:val="24"/>
              </w:rPr>
              <w:t xml:space="preserve"> </w:t>
            </w:r>
            <w:r>
              <w:rPr>
                <w:sz w:val="24"/>
                <w:szCs w:val="24"/>
              </w:rPr>
              <w:t>U/L,</w:t>
            </w:r>
            <w:r>
              <w:rPr>
                <w:spacing w:val="-3"/>
                <w:sz w:val="24"/>
                <w:szCs w:val="24"/>
              </w:rPr>
              <w:t xml:space="preserve"> </w:t>
            </w:r>
            <w:r>
              <w:rPr>
                <w:spacing w:val="-5"/>
                <w:sz w:val="24"/>
                <w:szCs w:val="24"/>
              </w:rPr>
              <w:t>Me</w:t>
            </w:r>
          </w:p>
          <w:p w14:paraId="0D1873BC">
            <w:pPr>
              <w:pStyle w:val="11"/>
              <w:ind w:left="283"/>
              <w:jc w:val="left"/>
              <w:rPr>
                <w:sz w:val="24"/>
                <w:szCs w:val="24"/>
              </w:rPr>
            </w:pPr>
            <w:r>
              <w:rPr>
                <w:spacing w:val="-2"/>
                <w:sz w:val="24"/>
                <w:szCs w:val="24"/>
              </w:rPr>
              <w:t>[Q1;Q3]</w:t>
            </w:r>
          </w:p>
        </w:tc>
        <w:tc>
          <w:tcPr>
            <w:tcW w:w="2268" w:type="dxa"/>
          </w:tcPr>
          <w:p w14:paraId="7E1CB3BB">
            <w:pPr>
              <w:pStyle w:val="11"/>
              <w:spacing w:before="314"/>
              <w:ind w:left="15" w:right="10"/>
              <w:rPr>
                <w:sz w:val="24"/>
                <w:szCs w:val="24"/>
              </w:rPr>
            </w:pPr>
            <w:r>
              <w:rPr>
                <w:sz w:val="24"/>
                <w:szCs w:val="24"/>
              </w:rPr>
              <w:t>73,0</w:t>
            </w:r>
            <w:r>
              <w:rPr>
                <w:spacing w:val="-4"/>
                <w:sz w:val="24"/>
                <w:szCs w:val="24"/>
              </w:rPr>
              <w:t xml:space="preserve"> </w:t>
            </w:r>
            <w:r>
              <w:rPr>
                <w:sz w:val="24"/>
                <w:szCs w:val="24"/>
              </w:rPr>
              <w:t>[18,0;</w:t>
            </w:r>
            <w:r>
              <w:rPr>
                <w:spacing w:val="-4"/>
                <w:sz w:val="24"/>
                <w:szCs w:val="24"/>
              </w:rPr>
              <w:t xml:space="preserve"> </w:t>
            </w:r>
            <w:r>
              <w:rPr>
                <w:spacing w:val="-2"/>
                <w:sz w:val="24"/>
                <w:szCs w:val="24"/>
              </w:rPr>
              <w:t>215,0]</w:t>
            </w:r>
          </w:p>
        </w:tc>
        <w:tc>
          <w:tcPr>
            <w:tcW w:w="2835" w:type="dxa"/>
          </w:tcPr>
          <w:p w14:paraId="2E28153B">
            <w:pPr>
              <w:pStyle w:val="11"/>
              <w:spacing w:before="314"/>
              <w:ind w:left="10"/>
              <w:rPr>
                <w:sz w:val="24"/>
                <w:szCs w:val="24"/>
              </w:rPr>
            </w:pPr>
            <w:r>
              <w:rPr>
                <w:sz w:val="24"/>
                <w:szCs w:val="24"/>
              </w:rPr>
              <w:t>52,0</w:t>
            </w:r>
            <w:r>
              <w:rPr>
                <w:spacing w:val="-4"/>
                <w:sz w:val="24"/>
                <w:szCs w:val="24"/>
              </w:rPr>
              <w:t xml:space="preserve"> </w:t>
            </w:r>
            <w:r>
              <w:rPr>
                <w:sz w:val="24"/>
                <w:szCs w:val="24"/>
              </w:rPr>
              <w:t>[7,0;</w:t>
            </w:r>
            <w:r>
              <w:rPr>
                <w:spacing w:val="-3"/>
                <w:sz w:val="24"/>
                <w:szCs w:val="24"/>
              </w:rPr>
              <w:t xml:space="preserve"> </w:t>
            </w:r>
            <w:r>
              <w:rPr>
                <w:spacing w:val="-2"/>
                <w:sz w:val="24"/>
                <w:szCs w:val="24"/>
              </w:rPr>
              <w:t>218,0]</w:t>
            </w:r>
          </w:p>
        </w:tc>
        <w:tc>
          <w:tcPr>
            <w:tcW w:w="992" w:type="dxa"/>
          </w:tcPr>
          <w:p w14:paraId="52C33B7E">
            <w:pPr>
              <w:pStyle w:val="11"/>
              <w:spacing w:before="314"/>
              <w:ind w:left="231"/>
              <w:jc w:val="left"/>
              <w:rPr>
                <w:sz w:val="24"/>
                <w:szCs w:val="24"/>
              </w:rPr>
            </w:pPr>
            <w:r>
              <w:rPr>
                <w:spacing w:val="-4"/>
                <w:sz w:val="24"/>
                <w:szCs w:val="24"/>
              </w:rPr>
              <w:t>0,592</w:t>
            </w:r>
          </w:p>
        </w:tc>
      </w:tr>
      <w:tr w14:paraId="5178C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3544" w:type="dxa"/>
          </w:tcPr>
          <w:p w14:paraId="518A1513">
            <w:pPr>
              <w:pStyle w:val="11"/>
              <w:spacing w:line="322" w:lineRule="exact"/>
              <w:ind w:left="283"/>
              <w:jc w:val="left"/>
              <w:rPr>
                <w:sz w:val="24"/>
                <w:szCs w:val="24"/>
              </w:rPr>
            </w:pPr>
            <w:r>
              <w:rPr>
                <w:sz w:val="24"/>
                <w:szCs w:val="24"/>
              </w:rPr>
              <w:t>ААД</w:t>
            </w:r>
            <w:r>
              <w:rPr>
                <w:spacing w:val="-8"/>
                <w:sz w:val="24"/>
                <w:szCs w:val="24"/>
              </w:rPr>
              <w:t xml:space="preserve"> </w:t>
            </w:r>
            <w:r>
              <w:rPr>
                <w:sz w:val="24"/>
                <w:szCs w:val="24"/>
              </w:rPr>
              <w:t>на</w:t>
            </w:r>
            <w:r>
              <w:rPr>
                <w:spacing w:val="-9"/>
                <w:sz w:val="24"/>
                <w:szCs w:val="24"/>
              </w:rPr>
              <w:t xml:space="preserve"> </w:t>
            </w:r>
            <w:r>
              <w:rPr>
                <w:sz w:val="24"/>
                <w:szCs w:val="24"/>
              </w:rPr>
              <w:t>3-и</w:t>
            </w:r>
            <w:r>
              <w:rPr>
                <w:spacing w:val="-10"/>
                <w:sz w:val="24"/>
                <w:szCs w:val="24"/>
              </w:rPr>
              <w:t xml:space="preserve"> </w:t>
            </w:r>
            <w:r>
              <w:rPr>
                <w:sz w:val="24"/>
                <w:szCs w:val="24"/>
              </w:rPr>
              <w:t>сутки,</w:t>
            </w:r>
            <w:r>
              <w:rPr>
                <w:spacing w:val="-7"/>
                <w:sz w:val="24"/>
                <w:szCs w:val="24"/>
              </w:rPr>
              <w:t xml:space="preserve"> </w:t>
            </w:r>
            <w:r>
              <w:rPr>
                <w:sz w:val="24"/>
                <w:szCs w:val="24"/>
              </w:rPr>
              <w:t>U/L,</w:t>
            </w:r>
            <w:r>
              <w:rPr>
                <w:spacing w:val="-7"/>
                <w:sz w:val="24"/>
                <w:szCs w:val="24"/>
              </w:rPr>
              <w:t xml:space="preserve"> </w:t>
            </w:r>
            <w:r>
              <w:rPr>
                <w:sz w:val="24"/>
                <w:szCs w:val="24"/>
              </w:rPr>
              <w:t xml:space="preserve">Me </w:t>
            </w:r>
            <w:r>
              <w:rPr>
                <w:spacing w:val="-2"/>
                <w:sz w:val="24"/>
                <w:szCs w:val="24"/>
              </w:rPr>
              <w:t>[Q1;Q3]</w:t>
            </w:r>
          </w:p>
        </w:tc>
        <w:tc>
          <w:tcPr>
            <w:tcW w:w="2268" w:type="dxa"/>
          </w:tcPr>
          <w:p w14:paraId="39574954">
            <w:pPr>
              <w:pStyle w:val="11"/>
              <w:spacing w:before="319"/>
              <w:ind w:left="15" w:right="10"/>
              <w:rPr>
                <w:sz w:val="24"/>
                <w:szCs w:val="24"/>
              </w:rPr>
            </w:pPr>
            <w:r>
              <w:rPr>
                <w:sz w:val="24"/>
                <w:szCs w:val="24"/>
              </w:rPr>
              <w:t>85,0</w:t>
            </w:r>
            <w:r>
              <w:rPr>
                <w:spacing w:val="-4"/>
                <w:sz w:val="24"/>
                <w:szCs w:val="24"/>
              </w:rPr>
              <w:t xml:space="preserve"> </w:t>
            </w:r>
            <w:r>
              <w:rPr>
                <w:sz w:val="24"/>
                <w:szCs w:val="24"/>
              </w:rPr>
              <w:t>[15,0;</w:t>
            </w:r>
            <w:r>
              <w:rPr>
                <w:spacing w:val="-4"/>
                <w:sz w:val="24"/>
                <w:szCs w:val="24"/>
              </w:rPr>
              <w:t xml:space="preserve"> </w:t>
            </w:r>
            <w:r>
              <w:rPr>
                <w:spacing w:val="-2"/>
                <w:sz w:val="24"/>
                <w:szCs w:val="24"/>
              </w:rPr>
              <w:t>231,0]</w:t>
            </w:r>
          </w:p>
        </w:tc>
        <w:tc>
          <w:tcPr>
            <w:tcW w:w="2835" w:type="dxa"/>
          </w:tcPr>
          <w:p w14:paraId="64A4E3AB">
            <w:pPr>
              <w:pStyle w:val="11"/>
              <w:spacing w:before="319"/>
              <w:ind w:left="10" w:right="4"/>
              <w:rPr>
                <w:sz w:val="24"/>
                <w:szCs w:val="24"/>
              </w:rPr>
            </w:pPr>
            <w:r>
              <w:rPr>
                <w:sz w:val="24"/>
                <w:szCs w:val="24"/>
              </w:rPr>
              <w:t>56,5</w:t>
            </w:r>
            <w:r>
              <w:rPr>
                <w:spacing w:val="-4"/>
                <w:sz w:val="24"/>
                <w:szCs w:val="24"/>
              </w:rPr>
              <w:t xml:space="preserve"> </w:t>
            </w:r>
            <w:r>
              <w:rPr>
                <w:sz w:val="24"/>
                <w:szCs w:val="24"/>
              </w:rPr>
              <w:t>[10,0;</w:t>
            </w:r>
            <w:r>
              <w:rPr>
                <w:spacing w:val="-4"/>
                <w:sz w:val="24"/>
                <w:szCs w:val="24"/>
              </w:rPr>
              <w:t xml:space="preserve"> </w:t>
            </w:r>
            <w:r>
              <w:rPr>
                <w:spacing w:val="-2"/>
                <w:sz w:val="24"/>
                <w:szCs w:val="24"/>
              </w:rPr>
              <w:t>260,0]</w:t>
            </w:r>
          </w:p>
        </w:tc>
        <w:tc>
          <w:tcPr>
            <w:tcW w:w="992" w:type="dxa"/>
          </w:tcPr>
          <w:p w14:paraId="24BF1441">
            <w:pPr>
              <w:pStyle w:val="11"/>
              <w:spacing w:before="319"/>
              <w:ind w:left="231"/>
              <w:jc w:val="left"/>
              <w:rPr>
                <w:sz w:val="24"/>
                <w:szCs w:val="24"/>
              </w:rPr>
            </w:pPr>
            <w:r>
              <w:rPr>
                <w:spacing w:val="-4"/>
                <w:sz w:val="24"/>
                <w:szCs w:val="24"/>
              </w:rPr>
              <w:t>0,253</w:t>
            </w:r>
          </w:p>
        </w:tc>
      </w:tr>
      <w:tr w14:paraId="2159D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544" w:type="dxa"/>
          </w:tcPr>
          <w:p w14:paraId="20BC2E87">
            <w:pPr>
              <w:pStyle w:val="11"/>
              <w:spacing w:line="315" w:lineRule="exact"/>
              <w:ind w:left="283"/>
              <w:jc w:val="left"/>
              <w:rPr>
                <w:sz w:val="24"/>
                <w:szCs w:val="24"/>
              </w:rPr>
            </w:pPr>
            <w:r>
              <w:rPr>
                <w:sz w:val="24"/>
                <w:szCs w:val="24"/>
              </w:rPr>
              <w:t>ААД</w:t>
            </w:r>
            <w:r>
              <w:rPr>
                <w:spacing w:val="-5"/>
                <w:sz w:val="24"/>
                <w:szCs w:val="24"/>
              </w:rPr>
              <w:t xml:space="preserve"> </w:t>
            </w:r>
            <w:r>
              <w:rPr>
                <w:sz w:val="24"/>
                <w:szCs w:val="24"/>
              </w:rPr>
              <w:t>на</w:t>
            </w:r>
            <w:r>
              <w:rPr>
                <w:spacing w:val="-5"/>
                <w:sz w:val="24"/>
                <w:szCs w:val="24"/>
              </w:rPr>
              <w:t xml:space="preserve"> </w:t>
            </w:r>
            <w:r>
              <w:rPr>
                <w:sz w:val="24"/>
                <w:szCs w:val="24"/>
              </w:rPr>
              <w:t>5-е</w:t>
            </w:r>
            <w:r>
              <w:rPr>
                <w:spacing w:val="-5"/>
                <w:sz w:val="24"/>
                <w:szCs w:val="24"/>
              </w:rPr>
              <w:t xml:space="preserve"> </w:t>
            </w:r>
            <w:r>
              <w:rPr>
                <w:sz w:val="24"/>
                <w:szCs w:val="24"/>
              </w:rPr>
              <w:t>сутки,</w:t>
            </w:r>
            <w:r>
              <w:rPr>
                <w:spacing w:val="-4"/>
                <w:sz w:val="24"/>
                <w:szCs w:val="24"/>
              </w:rPr>
              <w:t xml:space="preserve"> </w:t>
            </w:r>
            <w:r>
              <w:rPr>
                <w:sz w:val="24"/>
                <w:szCs w:val="24"/>
              </w:rPr>
              <w:t>U/L,</w:t>
            </w:r>
            <w:r>
              <w:rPr>
                <w:spacing w:val="-3"/>
                <w:sz w:val="24"/>
                <w:szCs w:val="24"/>
              </w:rPr>
              <w:t xml:space="preserve"> </w:t>
            </w:r>
            <w:r>
              <w:rPr>
                <w:spacing w:val="-5"/>
                <w:sz w:val="24"/>
                <w:szCs w:val="24"/>
              </w:rPr>
              <w:t>Me</w:t>
            </w:r>
          </w:p>
          <w:p w14:paraId="6E51AFE8">
            <w:pPr>
              <w:pStyle w:val="11"/>
              <w:ind w:left="283"/>
              <w:jc w:val="left"/>
              <w:rPr>
                <w:sz w:val="24"/>
                <w:szCs w:val="24"/>
              </w:rPr>
            </w:pPr>
            <w:r>
              <w:rPr>
                <w:spacing w:val="-2"/>
                <w:sz w:val="24"/>
                <w:szCs w:val="24"/>
              </w:rPr>
              <w:t>[Q1;Q3]</w:t>
            </w:r>
          </w:p>
        </w:tc>
        <w:tc>
          <w:tcPr>
            <w:tcW w:w="2268" w:type="dxa"/>
          </w:tcPr>
          <w:p w14:paraId="4ED64055">
            <w:pPr>
              <w:pStyle w:val="11"/>
              <w:spacing w:before="314"/>
              <w:ind w:left="15" w:right="4"/>
              <w:rPr>
                <w:sz w:val="24"/>
                <w:szCs w:val="24"/>
              </w:rPr>
            </w:pPr>
            <w:r>
              <w:rPr>
                <w:sz w:val="24"/>
                <w:szCs w:val="24"/>
              </w:rPr>
              <w:t>71,7</w:t>
            </w:r>
            <w:r>
              <w:rPr>
                <w:spacing w:val="-4"/>
                <w:sz w:val="24"/>
                <w:szCs w:val="24"/>
              </w:rPr>
              <w:t xml:space="preserve"> </w:t>
            </w:r>
            <w:r>
              <w:rPr>
                <w:sz w:val="24"/>
                <w:szCs w:val="24"/>
              </w:rPr>
              <w:t>[5,3;</w:t>
            </w:r>
            <w:r>
              <w:rPr>
                <w:spacing w:val="-3"/>
                <w:sz w:val="24"/>
                <w:szCs w:val="24"/>
              </w:rPr>
              <w:t xml:space="preserve"> </w:t>
            </w:r>
            <w:r>
              <w:rPr>
                <w:spacing w:val="-2"/>
                <w:sz w:val="24"/>
                <w:szCs w:val="24"/>
              </w:rPr>
              <w:t>422,1]</w:t>
            </w:r>
          </w:p>
        </w:tc>
        <w:tc>
          <w:tcPr>
            <w:tcW w:w="2835" w:type="dxa"/>
          </w:tcPr>
          <w:p w14:paraId="0C6EC9D5">
            <w:pPr>
              <w:pStyle w:val="11"/>
              <w:spacing w:before="314"/>
              <w:ind w:left="10"/>
              <w:rPr>
                <w:sz w:val="24"/>
                <w:szCs w:val="24"/>
              </w:rPr>
            </w:pPr>
            <w:r>
              <w:rPr>
                <w:sz w:val="24"/>
                <w:szCs w:val="24"/>
              </w:rPr>
              <w:t>39,4</w:t>
            </w:r>
            <w:r>
              <w:rPr>
                <w:spacing w:val="-4"/>
                <w:sz w:val="24"/>
                <w:szCs w:val="24"/>
              </w:rPr>
              <w:t xml:space="preserve"> </w:t>
            </w:r>
            <w:r>
              <w:rPr>
                <w:sz w:val="24"/>
                <w:szCs w:val="24"/>
              </w:rPr>
              <w:t>[3,6;</w:t>
            </w:r>
            <w:r>
              <w:rPr>
                <w:spacing w:val="-3"/>
                <w:sz w:val="24"/>
                <w:szCs w:val="24"/>
              </w:rPr>
              <w:t xml:space="preserve"> </w:t>
            </w:r>
            <w:r>
              <w:rPr>
                <w:spacing w:val="-2"/>
                <w:sz w:val="24"/>
                <w:szCs w:val="24"/>
              </w:rPr>
              <w:t>261,6]</w:t>
            </w:r>
          </w:p>
        </w:tc>
        <w:tc>
          <w:tcPr>
            <w:tcW w:w="992" w:type="dxa"/>
          </w:tcPr>
          <w:p w14:paraId="1141B8C3">
            <w:pPr>
              <w:pStyle w:val="11"/>
              <w:spacing w:before="314"/>
              <w:ind w:left="231"/>
              <w:jc w:val="left"/>
              <w:rPr>
                <w:sz w:val="24"/>
                <w:szCs w:val="24"/>
              </w:rPr>
            </w:pPr>
            <w:r>
              <w:rPr>
                <w:spacing w:val="-4"/>
                <w:sz w:val="24"/>
                <w:szCs w:val="24"/>
              </w:rPr>
              <w:t>0,693</w:t>
            </w:r>
          </w:p>
        </w:tc>
      </w:tr>
      <w:tr w14:paraId="5AAD1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3544" w:type="dxa"/>
          </w:tcPr>
          <w:p w14:paraId="0E794A52">
            <w:pPr>
              <w:pStyle w:val="11"/>
              <w:spacing w:line="240" w:lineRule="auto"/>
              <w:ind w:left="283"/>
              <w:jc w:val="left"/>
              <w:rPr>
                <w:sz w:val="24"/>
                <w:szCs w:val="24"/>
              </w:rPr>
            </w:pPr>
            <w:r>
              <w:rPr>
                <w:spacing w:val="-2"/>
                <w:sz w:val="24"/>
                <w:szCs w:val="24"/>
              </w:rPr>
              <w:t xml:space="preserve">Длительность </w:t>
            </w:r>
            <w:r>
              <w:rPr>
                <w:sz w:val="24"/>
                <w:szCs w:val="24"/>
              </w:rPr>
              <w:t>госпитализации,</w:t>
            </w:r>
            <w:r>
              <w:rPr>
                <w:spacing w:val="-18"/>
                <w:sz w:val="24"/>
                <w:szCs w:val="24"/>
              </w:rPr>
              <w:t xml:space="preserve"> </w:t>
            </w:r>
            <w:r>
              <w:rPr>
                <w:sz w:val="24"/>
                <w:szCs w:val="24"/>
              </w:rPr>
              <w:t>дни,</w:t>
            </w:r>
            <w:r>
              <w:rPr>
                <w:spacing w:val="-17"/>
                <w:sz w:val="24"/>
                <w:szCs w:val="24"/>
              </w:rPr>
              <w:t xml:space="preserve"> </w:t>
            </w:r>
            <w:r>
              <w:rPr>
                <w:sz w:val="24"/>
                <w:szCs w:val="24"/>
              </w:rPr>
              <w:t>Me</w:t>
            </w:r>
          </w:p>
          <w:p w14:paraId="5E24EF73">
            <w:pPr>
              <w:pStyle w:val="11"/>
              <w:ind w:left="283"/>
              <w:jc w:val="left"/>
              <w:rPr>
                <w:sz w:val="24"/>
                <w:szCs w:val="24"/>
              </w:rPr>
            </w:pPr>
            <w:r>
              <w:rPr>
                <w:spacing w:val="-2"/>
                <w:sz w:val="24"/>
                <w:szCs w:val="24"/>
              </w:rPr>
              <w:t>[Q1;Q3]</w:t>
            </w:r>
          </w:p>
        </w:tc>
        <w:tc>
          <w:tcPr>
            <w:tcW w:w="2268" w:type="dxa"/>
          </w:tcPr>
          <w:p w14:paraId="4A02E971">
            <w:pPr>
              <w:pStyle w:val="11"/>
              <w:spacing w:before="314" w:line="240" w:lineRule="auto"/>
              <w:jc w:val="left"/>
              <w:rPr>
                <w:sz w:val="24"/>
                <w:szCs w:val="24"/>
              </w:rPr>
            </w:pPr>
          </w:p>
          <w:p w14:paraId="6CC265A5">
            <w:pPr>
              <w:pStyle w:val="11"/>
              <w:ind w:left="15" w:right="4"/>
              <w:rPr>
                <w:sz w:val="24"/>
                <w:szCs w:val="24"/>
              </w:rPr>
            </w:pPr>
            <w:r>
              <w:rPr>
                <w:sz w:val="24"/>
                <w:szCs w:val="24"/>
              </w:rPr>
              <w:t>25</w:t>
            </w:r>
            <w:r>
              <w:rPr>
                <w:spacing w:val="-4"/>
                <w:sz w:val="24"/>
                <w:szCs w:val="24"/>
              </w:rPr>
              <w:t xml:space="preserve"> </w:t>
            </w:r>
            <w:r>
              <w:rPr>
                <w:sz w:val="24"/>
                <w:szCs w:val="24"/>
              </w:rPr>
              <w:t>[23;</w:t>
            </w:r>
            <w:r>
              <w:rPr>
                <w:spacing w:val="-4"/>
                <w:sz w:val="24"/>
                <w:szCs w:val="24"/>
              </w:rPr>
              <w:t xml:space="preserve"> </w:t>
            </w:r>
            <w:r>
              <w:rPr>
                <w:spacing w:val="-5"/>
                <w:sz w:val="24"/>
                <w:szCs w:val="24"/>
              </w:rPr>
              <w:t>27]</w:t>
            </w:r>
          </w:p>
        </w:tc>
        <w:tc>
          <w:tcPr>
            <w:tcW w:w="2835" w:type="dxa"/>
          </w:tcPr>
          <w:p w14:paraId="78C263B9">
            <w:pPr>
              <w:pStyle w:val="11"/>
              <w:spacing w:before="314" w:line="240" w:lineRule="auto"/>
              <w:jc w:val="left"/>
              <w:rPr>
                <w:sz w:val="24"/>
                <w:szCs w:val="24"/>
              </w:rPr>
            </w:pPr>
          </w:p>
          <w:p w14:paraId="5478A8EA">
            <w:pPr>
              <w:pStyle w:val="11"/>
              <w:ind w:left="10" w:right="7"/>
              <w:rPr>
                <w:sz w:val="24"/>
                <w:szCs w:val="24"/>
              </w:rPr>
            </w:pPr>
            <w:r>
              <w:rPr>
                <w:sz w:val="24"/>
                <w:szCs w:val="24"/>
              </w:rPr>
              <w:t>16</w:t>
            </w:r>
            <w:r>
              <w:rPr>
                <w:spacing w:val="-4"/>
                <w:sz w:val="24"/>
                <w:szCs w:val="24"/>
              </w:rPr>
              <w:t xml:space="preserve"> </w:t>
            </w:r>
            <w:r>
              <w:rPr>
                <w:sz w:val="24"/>
                <w:szCs w:val="24"/>
              </w:rPr>
              <w:t>[13;</w:t>
            </w:r>
            <w:r>
              <w:rPr>
                <w:spacing w:val="-4"/>
                <w:sz w:val="24"/>
                <w:szCs w:val="24"/>
              </w:rPr>
              <w:t xml:space="preserve"> </w:t>
            </w:r>
            <w:r>
              <w:rPr>
                <w:spacing w:val="-5"/>
                <w:sz w:val="24"/>
                <w:szCs w:val="24"/>
              </w:rPr>
              <w:t>18]</w:t>
            </w:r>
          </w:p>
        </w:tc>
        <w:tc>
          <w:tcPr>
            <w:tcW w:w="992" w:type="dxa"/>
          </w:tcPr>
          <w:p w14:paraId="33F50AD3">
            <w:pPr>
              <w:pStyle w:val="11"/>
              <w:spacing w:before="314" w:line="240" w:lineRule="auto"/>
              <w:ind w:right="6"/>
              <w:jc w:val="right"/>
              <w:rPr>
                <w:sz w:val="24"/>
                <w:szCs w:val="24"/>
              </w:rPr>
            </w:pPr>
            <w:r>
              <w:rPr>
                <w:spacing w:val="-2"/>
                <w:sz w:val="24"/>
                <w:szCs w:val="24"/>
              </w:rPr>
              <w:t>&lt;0,001</w:t>
            </w:r>
            <w:r>
              <w:rPr>
                <w:spacing w:val="-2"/>
                <w:sz w:val="24"/>
                <w:szCs w:val="24"/>
                <w:vertAlign w:val="superscript"/>
              </w:rPr>
              <w:t>***</w:t>
            </w:r>
          </w:p>
        </w:tc>
      </w:tr>
      <w:tr w14:paraId="01C9C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639" w:type="dxa"/>
            <w:gridSpan w:val="4"/>
          </w:tcPr>
          <w:p w14:paraId="3D5CCB44">
            <w:pPr>
              <w:pStyle w:val="11"/>
              <w:spacing w:line="242" w:lineRule="auto"/>
              <w:ind w:left="4" w:firstLine="698"/>
              <w:jc w:val="left"/>
              <w:rPr>
                <w:sz w:val="24"/>
                <w:szCs w:val="24"/>
              </w:rPr>
            </w:pPr>
            <w:r>
              <w:rPr>
                <w:sz w:val="24"/>
                <w:szCs w:val="24"/>
              </w:rPr>
              <w:t xml:space="preserve"> Примечание: Количественные</w:t>
            </w:r>
            <w:r>
              <w:rPr>
                <w:spacing w:val="-4"/>
                <w:sz w:val="24"/>
                <w:szCs w:val="24"/>
              </w:rPr>
              <w:t xml:space="preserve"> </w:t>
            </w:r>
            <w:r>
              <w:rPr>
                <w:sz w:val="24"/>
                <w:szCs w:val="24"/>
              </w:rPr>
              <w:t>данные</w:t>
            </w:r>
            <w:r>
              <w:rPr>
                <w:spacing w:val="-8"/>
                <w:sz w:val="24"/>
                <w:szCs w:val="24"/>
              </w:rPr>
              <w:t xml:space="preserve"> </w:t>
            </w:r>
            <w:r>
              <w:rPr>
                <w:sz w:val="24"/>
                <w:szCs w:val="24"/>
              </w:rPr>
              <w:t>представлены</w:t>
            </w:r>
            <w:r>
              <w:rPr>
                <w:spacing w:val="-2"/>
                <w:sz w:val="24"/>
                <w:szCs w:val="24"/>
              </w:rPr>
              <w:t xml:space="preserve"> </w:t>
            </w:r>
            <w:r>
              <w:rPr>
                <w:sz w:val="24"/>
                <w:szCs w:val="24"/>
              </w:rPr>
              <w:t>как</w:t>
            </w:r>
            <w:r>
              <w:rPr>
                <w:spacing w:val="-8"/>
                <w:sz w:val="24"/>
                <w:szCs w:val="24"/>
              </w:rPr>
              <w:t xml:space="preserve"> </w:t>
            </w:r>
            <w:r>
              <w:rPr>
                <w:sz w:val="24"/>
                <w:szCs w:val="24"/>
              </w:rPr>
              <w:t>медиана</w:t>
            </w:r>
            <w:r>
              <w:rPr>
                <w:spacing w:val="-4"/>
                <w:sz w:val="24"/>
                <w:szCs w:val="24"/>
              </w:rPr>
              <w:t xml:space="preserve"> </w:t>
            </w:r>
            <w:r>
              <w:rPr>
                <w:sz w:val="24"/>
                <w:szCs w:val="24"/>
              </w:rPr>
              <w:t>и</w:t>
            </w:r>
            <w:r>
              <w:rPr>
                <w:spacing w:val="-6"/>
                <w:sz w:val="24"/>
                <w:szCs w:val="24"/>
              </w:rPr>
              <w:t xml:space="preserve"> </w:t>
            </w:r>
            <w:r>
              <w:rPr>
                <w:sz w:val="24"/>
                <w:szCs w:val="24"/>
              </w:rPr>
              <w:t>межквартильного</w:t>
            </w:r>
            <w:r>
              <w:rPr>
                <w:spacing w:val="-3"/>
                <w:sz w:val="24"/>
                <w:szCs w:val="24"/>
              </w:rPr>
              <w:t xml:space="preserve"> </w:t>
            </w:r>
            <w:r>
              <w:rPr>
                <w:sz w:val="24"/>
                <w:szCs w:val="24"/>
              </w:rPr>
              <w:t>интервала —</w:t>
            </w:r>
            <w:r>
              <w:rPr>
                <w:spacing w:val="-3"/>
                <w:sz w:val="24"/>
                <w:szCs w:val="24"/>
              </w:rPr>
              <w:t xml:space="preserve"> </w:t>
            </w:r>
            <w:r>
              <w:rPr>
                <w:sz w:val="24"/>
                <w:szCs w:val="24"/>
              </w:rPr>
              <w:t>Me</w:t>
            </w:r>
            <w:r>
              <w:rPr>
                <w:spacing w:val="-8"/>
                <w:sz w:val="24"/>
                <w:szCs w:val="24"/>
              </w:rPr>
              <w:t xml:space="preserve"> </w:t>
            </w:r>
            <w:r>
              <w:rPr>
                <w:sz w:val="24"/>
                <w:szCs w:val="24"/>
              </w:rPr>
              <w:t>[Q1; Q3]. Категориальные данные представлены как n (%). * p &lt; 0,05, ** p &lt; 0,01, *** p &lt; 0,001.</w:t>
            </w:r>
          </w:p>
          <w:p w14:paraId="2BEEC2BA">
            <w:pPr>
              <w:pStyle w:val="11"/>
              <w:spacing w:line="271" w:lineRule="exact"/>
              <w:ind w:left="4"/>
              <w:jc w:val="left"/>
              <w:rPr>
                <w:sz w:val="24"/>
                <w:szCs w:val="24"/>
              </w:rPr>
            </w:pPr>
            <w:r>
              <w:rPr>
                <w:sz w:val="24"/>
                <w:szCs w:val="24"/>
              </w:rPr>
              <w:t>Для</w:t>
            </w:r>
            <w:r>
              <w:rPr>
                <w:spacing w:val="-6"/>
                <w:sz w:val="24"/>
                <w:szCs w:val="24"/>
              </w:rPr>
              <w:t xml:space="preserve"> </w:t>
            </w:r>
            <w:r>
              <w:rPr>
                <w:sz w:val="24"/>
                <w:szCs w:val="24"/>
              </w:rPr>
              <w:t>сравнения</w:t>
            </w:r>
            <w:r>
              <w:rPr>
                <w:spacing w:val="-7"/>
                <w:sz w:val="24"/>
                <w:szCs w:val="24"/>
              </w:rPr>
              <w:t xml:space="preserve"> </w:t>
            </w:r>
            <w:r>
              <w:rPr>
                <w:sz w:val="24"/>
                <w:szCs w:val="24"/>
              </w:rPr>
              <w:t>количественных</w:t>
            </w:r>
            <w:r>
              <w:rPr>
                <w:spacing w:val="-7"/>
                <w:sz w:val="24"/>
                <w:szCs w:val="24"/>
              </w:rPr>
              <w:t xml:space="preserve"> </w:t>
            </w:r>
            <w:r>
              <w:rPr>
                <w:sz w:val="24"/>
                <w:szCs w:val="24"/>
              </w:rPr>
              <w:t>переменных</w:t>
            </w:r>
            <w:r>
              <w:rPr>
                <w:spacing w:val="-7"/>
                <w:sz w:val="24"/>
                <w:szCs w:val="24"/>
              </w:rPr>
              <w:t xml:space="preserve"> </w:t>
            </w:r>
            <w:r>
              <w:rPr>
                <w:sz w:val="24"/>
                <w:szCs w:val="24"/>
              </w:rPr>
              <w:t>использован</w:t>
            </w:r>
            <w:r>
              <w:rPr>
                <w:spacing w:val="2"/>
                <w:sz w:val="24"/>
                <w:szCs w:val="24"/>
              </w:rPr>
              <w:t xml:space="preserve"> </w:t>
            </w:r>
            <w:r>
              <w:rPr>
                <w:sz w:val="24"/>
                <w:szCs w:val="24"/>
              </w:rPr>
              <w:t>U-критерий</w:t>
            </w:r>
            <w:r>
              <w:rPr>
                <w:spacing w:val="-6"/>
                <w:sz w:val="24"/>
                <w:szCs w:val="24"/>
              </w:rPr>
              <w:t xml:space="preserve"> </w:t>
            </w:r>
            <w:r>
              <w:rPr>
                <w:sz w:val="24"/>
                <w:szCs w:val="24"/>
              </w:rPr>
              <w:t xml:space="preserve">Манна—Уитни. </w:t>
            </w:r>
            <w:r>
              <w:rPr>
                <w:spacing w:val="-5"/>
                <w:sz w:val="24"/>
                <w:szCs w:val="24"/>
              </w:rPr>
              <w:t>Для</w:t>
            </w:r>
          </w:p>
          <w:p w14:paraId="01B116F1">
            <w:pPr>
              <w:pStyle w:val="11"/>
              <w:spacing w:line="274" w:lineRule="exact"/>
              <w:ind w:left="4"/>
              <w:jc w:val="left"/>
              <w:rPr>
                <w:sz w:val="24"/>
                <w:szCs w:val="24"/>
              </w:rPr>
            </w:pPr>
            <w:r>
              <w:rPr>
                <w:sz w:val="24"/>
                <w:szCs w:val="24"/>
              </w:rPr>
              <w:t>равнения</w:t>
            </w:r>
            <w:r>
              <w:rPr>
                <w:spacing w:val="-3"/>
                <w:sz w:val="24"/>
                <w:szCs w:val="24"/>
              </w:rPr>
              <w:t xml:space="preserve"> </w:t>
            </w:r>
            <w:r>
              <w:rPr>
                <w:sz w:val="24"/>
                <w:szCs w:val="24"/>
              </w:rPr>
              <w:t>категориальных</w:t>
            </w:r>
            <w:r>
              <w:rPr>
                <w:spacing w:val="-7"/>
                <w:sz w:val="24"/>
                <w:szCs w:val="24"/>
              </w:rPr>
              <w:t xml:space="preserve"> </w:t>
            </w:r>
            <w:r>
              <w:rPr>
                <w:sz w:val="24"/>
                <w:szCs w:val="24"/>
              </w:rPr>
              <w:t>переменных</w:t>
            </w:r>
            <w:r>
              <w:rPr>
                <w:spacing w:val="-7"/>
                <w:sz w:val="24"/>
                <w:szCs w:val="24"/>
              </w:rPr>
              <w:t xml:space="preserve"> </w:t>
            </w:r>
            <w:r>
              <w:rPr>
                <w:sz w:val="24"/>
                <w:szCs w:val="24"/>
              </w:rPr>
              <w:t>применён χ²-критерий</w:t>
            </w:r>
            <w:r>
              <w:rPr>
                <w:spacing w:val="-6"/>
                <w:sz w:val="24"/>
                <w:szCs w:val="24"/>
              </w:rPr>
              <w:t xml:space="preserve"> </w:t>
            </w:r>
            <w:r>
              <w:rPr>
                <w:sz w:val="24"/>
                <w:szCs w:val="24"/>
              </w:rPr>
              <w:t>Пирсона</w:t>
            </w:r>
            <w:r>
              <w:rPr>
                <w:spacing w:val="-6"/>
                <w:sz w:val="24"/>
                <w:szCs w:val="24"/>
              </w:rPr>
              <w:t xml:space="preserve"> </w:t>
            </w:r>
            <w:r>
              <w:rPr>
                <w:sz w:val="24"/>
                <w:szCs w:val="24"/>
              </w:rPr>
              <w:t>или</w:t>
            </w:r>
            <w:r>
              <w:rPr>
                <w:spacing w:val="-5"/>
                <w:sz w:val="24"/>
                <w:szCs w:val="24"/>
              </w:rPr>
              <w:t xml:space="preserve"> </w:t>
            </w:r>
            <w:r>
              <w:rPr>
                <w:sz w:val="24"/>
                <w:szCs w:val="24"/>
              </w:rPr>
              <w:t>точный</w:t>
            </w:r>
            <w:r>
              <w:rPr>
                <w:spacing w:val="-6"/>
                <w:sz w:val="24"/>
                <w:szCs w:val="24"/>
              </w:rPr>
              <w:t xml:space="preserve"> </w:t>
            </w:r>
            <w:r>
              <w:rPr>
                <w:sz w:val="24"/>
                <w:szCs w:val="24"/>
              </w:rPr>
              <w:t>критерий Фишера при малых ожидаемых частотах.</w:t>
            </w:r>
          </w:p>
        </w:tc>
      </w:tr>
    </w:tbl>
    <w:p w14:paraId="34BC40DE">
      <w:pPr>
        <w:pStyle w:val="7"/>
        <w:spacing w:before="14"/>
        <w:ind w:left="0" w:firstLine="0"/>
        <w:jc w:val="left"/>
      </w:pPr>
    </w:p>
    <w:p w14:paraId="35114E99">
      <w:pPr>
        <w:pStyle w:val="7"/>
        <w:ind w:left="0" w:right="3" w:firstLine="709"/>
      </w:pPr>
      <w:r>
        <w:t>В таблице 25 представлена общая клинико-интраоперационная характеристика пациентов в группах стандартного и модифицированного ПЕА. Сравниваемые группы были сопоставимы по большинству исходных клинических и морфологических параметров.</w:t>
      </w:r>
    </w:p>
    <w:p w14:paraId="7401207E">
      <w:pPr>
        <w:pStyle w:val="7"/>
        <w:ind w:left="0" w:right="3" w:firstLine="709"/>
      </w:pPr>
      <w:r>
        <w:t>Пациенты группы модифицированного ПЕА были статистически значимо старше (p = 0,008), при этом различий по уровню опухолевого маркёра СА 19-9 не выявлено (p = 0,932). Распределение по полу различалось: в группе модифицированного</w:t>
      </w:r>
      <w:r>
        <w:rPr>
          <w:spacing w:val="-1"/>
        </w:rPr>
        <w:t xml:space="preserve"> </w:t>
      </w:r>
      <w:r>
        <w:t>анастомоза отмечалась</w:t>
      </w:r>
      <w:r>
        <w:rPr>
          <w:spacing w:val="-3"/>
        </w:rPr>
        <w:t xml:space="preserve"> </w:t>
      </w:r>
      <w:r>
        <w:t>более высокая доля мужчин</w:t>
      </w:r>
      <w:r>
        <w:rPr>
          <w:spacing w:val="-1"/>
        </w:rPr>
        <w:t xml:space="preserve"> </w:t>
      </w:r>
      <w:r>
        <w:t>(53,2% против 41,3%; p = 0,035).</w:t>
      </w:r>
    </w:p>
    <w:p w14:paraId="6A48649A">
      <w:pPr>
        <w:pStyle w:val="7"/>
        <w:spacing w:before="2"/>
        <w:ind w:left="0" w:right="3" w:firstLine="709"/>
      </w:pPr>
      <w:r>
        <w:t xml:space="preserve">Частота сопутствующих заболеваний в целом была сопоставимой, однако ишемическая болезнь сердца достоверно чаще встречалась в группе модифицированного анастомоза (65,2% против 48,6%; p = 0,002). Частота сахарного диабета, билиарной обструкции и обструкции ПП статистически значимо не различалась, за исключением последнего показателя, который чаще выявлялся в группе модифицированного анастомоза (53,2% против 41,3%; p = </w:t>
      </w:r>
      <w:r>
        <w:rPr>
          <w:spacing w:val="-2"/>
        </w:rPr>
        <w:t>0,092).</w:t>
      </w:r>
    </w:p>
    <w:p w14:paraId="76485843">
      <w:pPr>
        <w:pStyle w:val="7"/>
        <w:ind w:left="0" w:right="3" w:firstLine="709"/>
      </w:pPr>
      <w:r>
        <w:t>По консистенции ПЖ группы были полностью сопоставимы: доля пациентов</w:t>
      </w:r>
      <w:r>
        <w:rPr>
          <w:spacing w:val="14"/>
        </w:rPr>
        <w:t xml:space="preserve"> </w:t>
      </w:r>
      <w:r>
        <w:t>с</w:t>
      </w:r>
      <w:r>
        <w:rPr>
          <w:spacing w:val="15"/>
        </w:rPr>
        <w:t xml:space="preserve"> </w:t>
      </w:r>
      <w:r>
        <w:t>мягкой</w:t>
      </w:r>
      <w:r>
        <w:rPr>
          <w:spacing w:val="15"/>
        </w:rPr>
        <w:t xml:space="preserve"> </w:t>
      </w:r>
      <w:r>
        <w:t>железой</w:t>
      </w:r>
      <w:r>
        <w:rPr>
          <w:spacing w:val="16"/>
        </w:rPr>
        <w:t xml:space="preserve"> </w:t>
      </w:r>
      <w:r>
        <w:t>составила</w:t>
      </w:r>
      <w:r>
        <w:rPr>
          <w:spacing w:val="21"/>
        </w:rPr>
        <w:t xml:space="preserve"> </w:t>
      </w:r>
      <w:r>
        <w:t>около</w:t>
      </w:r>
      <w:r>
        <w:rPr>
          <w:spacing w:val="16"/>
        </w:rPr>
        <w:t xml:space="preserve"> </w:t>
      </w:r>
      <w:r>
        <w:t>51%</w:t>
      </w:r>
      <w:r>
        <w:rPr>
          <w:spacing w:val="14"/>
        </w:rPr>
        <w:t xml:space="preserve"> </w:t>
      </w:r>
      <w:r>
        <w:t>в</w:t>
      </w:r>
      <w:r>
        <w:rPr>
          <w:spacing w:val="14"/>
        </w:rPr>
        <w:t xml:space="preserve"> </w:t>
      </w:r>
      <w:r>
        <w:t>обеих</w:t>
      </w:r>
      <w:r>
        <w:rPr>
          <w:spacing w:val="11"/>
        </w:rPr>
        <w:t xml:space="preserve"> </w:t>
      </w:r>
      <w:r>
        <w:t>группах</w:t>
      </w:r>
      <w:r>
        <w:rPr>
          <w:spacing w:val="11"/>
        </w:rPr>
        <w:t xml:space="preserve"> </w:t>
      </w:r>
      <w:r>
        <w:t>(p</w:t>
      </w:r>
      <w:r>
        <w:rPr>
          <w:spacing w:val="16"/>
        </w:rPr>
        <w:t xml:space="preserve"> </w:t>
      </w:r>
      <w:r>
        <w:t>=</w:t>
      </w:r>
      <w:r>
        <w:rPr>
          <w:spacing w:val="17"/>
        </w:rPr>
        <w:t xml:space="preserve"> </w:t>
      </w:r>
      <w:r>
        <w:rPr>
          <w:spacing w:val="-2"/>
        </w:rPr>
        <w:t>0,853).</w:t>
      </w:r>
    </w:p>
    <w:p w14:paraId="506EE6E5">
      <w:pPr>
        <w:pStyle w:val="7"/>
        <w:spacing w:before="67"/>
        <w:ind w:left="0" w:right="3" w:firstLine="709"/>
      </w:pPr>
      <w:r>
        <w:t>Распределение</w:t>
      </w:r>
      <w:r>
        <w:rPr>
          <w:spacing w:val="-9"/>
        </w:rPr>
        <w:t xml:space="preserve"> </w:t>
      </w:r>
      <w:r>
        <w:t>по</w:t>
      </w:r>
      <w:r>
        <w:rPr>
          <w:spacing w:val="-9"/>
        </w:rPr>
        <w:t xml:space="preserve"> </w:t>
      </w:r>
      <w:r>
        <w:t>локализации</w:t>
      </w:r>
      <w:r>
        <w:rPr>
          <w:spacing w:val="-10"/>
        </w:rPr>
        <w:t xml:space="preserve"> </w:t>
      </w:r>
      <w:r>
        <w:t>опухоли</w:t>
      </w:r>
      <w:r>
        <w:rPr>
          <w:spacing w:val="-5"/>
        </w:rPr>
        <w:t xml:space="preserve"> </w:t>
      </w:r>
      <w:r>
        <w:t>(ГПЖ,</w:t>
      </w:r>
      <w:r>
        <w:rPr>
          <w:spacing w:val="-7"/>
        </w:rPr>
        <w:t xml:space="preserve"> </w:t>
      </w:r>
      <w:r>
        <w:t>БДС,</w:t>
      </w:r>
      <w:r>
        <w:rPr>
          <w:spacing w:val="-7"/>
        </w:rPr>
        <w:t xml:space="preserve"> </w:t>
      </w:r>
      <w:r>
        <w:t>ТОХ,</w:t>
      </w:r>
      <w:r>
        <w:rPr>
          <w:spacing w:val="-7"/>
        </w:rPr>
        <w:t xml:space="preserve"> </w:t>
      </w:r>
      <w:r>
        <w:t>ДПК)</w:t>
      </w:r>
      <w:r>
        <w:rPr>
          <w:spacing w:val="-11"/>
        </w:rPr>
        <w:t xml:space="preserve"> </w:t>
      </w:r>
      <w:r>
        <w:t>также</w:t>
      </w:r>
      <w:r>
        <w:rPr>
          <w:spacing w:val="-9"/>
        </w:rPr>
        <w:t xml:space="preserve"> </w:t>
      </w:r>
      <w:r>
        <w:t>не</w:t>
      </w:r>
      <w:r>
        <w:rPr>
          <w:spacing w:val="-9"/>
        </w:rPr>
        <w:t xml:space="preserve"> </w:t>
      </w:r>
      <w:r>
        <w:t>имело статистически значимых различий.</w:t>
      </w:r>
    </w:p>
    <w:p w14:paraId="499CB00A">
      <w:pPr>
        <w:pStyle w:val="7"/>
        <w:ind w:left="0" w:right="3" w:firstLine="709"/>
      </w:pPr>
      <w:r>
        <w:t>Интраоперационно в группе стандартного анастомоза достоверно чаще выполнялась резекция воротной вены (21,8% против 5,0%; p&lt;0,001). Интраоперационно в группе модифицированного анастомоза операции характеризовались большей технической сложностью. В частности, вмешательства сопровождались статистически значимо меньшей интраоперационной кровопотерей (p&lt;0,001) и более длительным временем операции (p = 0,011). Указанные различия отражают более сложный характер вмешательств и большую долю пациентов с факторами высокого риска, при которых выполнялось наложение модифицированного ПЕА.</w:t>
      </w:r>
    </w:p>
    <w:p w14:paraId="1B1A491A">
      <w:pPr>
        <w:pStyle w:val="7"/>
        <w:spacing w:before="2"/>
        <w:ind w:left="0" w:right="3" w:firstLine="709"/>
      </w:pPr>
      <w:r>
        <w:t>По лабораторным показателям выявлены различия в уровне гемоглобина и альбумина, при этом показатели билирубина, АЛТ и АСТ между группами существенно не различались. Размер опухоли был статистически значимо больше в группе стандартного анастомоза (p = 0,068).</w:t>
      </w:r>
    </w:p>
    <w:p w14:paraId="5A731946">
      <w:pPr>
        <w:pStyle w:val="7"/>
        <w:ind w:left="0" w:right="3" w:firstLine="709"/>
      </w:pPr>
      <w:r>
        <w:t>Диаметр ПП был достоверно меньшим в группе модифицированного анастомоза (p&lt;0,001), что указывает на включение в эту группу пациентов с более высоким риском развития ПС. Послеоперационная ААД на 1-е, 3-и и 5-е сутки статистически значимо не различалась между группами.</w:t>
      </w:r>
    </w:p>
    <w:p w14:paraId="0C9D806E">
      <w:pPr>
        <w:pStyle w:val="7"/>
        <w:spacing w:before="3"/>
        <w:ind w:left="0" w:right="3" w:firstLine="709"/>
      </w:pPr>
      <w:r>
        <w:t>Несмотря на наличие более сложного клинического и интраоперационного профиля пациентов в группе модифицированного анастомоза, статистически значимых различий в длительности послеоперационной госпитализации между группами</w:t>
      </w:r>
      <w:r>
        <w:rPr>
          <w:spacing w:val="-4"/>
        </w:rPr>
        <w:t xml:space="preserve"> </w:t>
      </w:r>
      <w:r>
        <w:t>не</w:t>
      </w:r>
      <w:r>
        <w:rPr>
          <w:spacing w:val="-3"/>
        </w:rPr>
        <w:t xml:space="preserve"> </w:t>
      </w:r>
      <w:r>
        <w:t>выявлено (p&lt;0,001).</w:t>
      </w:r>
      <w:r>
        <w:rPr>
          <w:spacing w:val="-1"/>
        </w:rPr>
        <w:t xml:space="preserve"> </w:t>
      </w:r>
      <w:r>
        <w:t>Данный</w:t>
      </w:r>
      <w:r>
        <w:rPr>
          <w:spacing w:val="-4"/>
        </w:rPr>
        <w:t xml:space="preserve"> </w:t>
      </w:r>
      <w:r>
        <w:t>факт</w:t>
      </w:r>
      <w:r>
        <w:rPr>
          <w:spacing w:val="-5"/>
        </w:rPr>
        <w:t xml:space="preserve"> </w:t>
      </w:r>
      <w:r>
        <w:t>свидетельствует</w:t>
      </w:r>
      <w:r>
        <w:rPr>
          <w:spacing w:val="-5"/>
        </w:rPr>
        <w:t xml:space="preserve"> </w:t>
      </w:r>
      <w:r>
        <w:t>о</w:t>
      </w:r>
      <w:r>
        <w:rPr>
          <w:spacing w:val="-4"/>
        </w:rPr>
        <w:t xml:space="preserve"> </w:t>
      </w:r>
      <w:r>
        <w:t>сопоставимых сроках восстановления и реабилитации, что может указывать на адекватность и клиническую состоятельность применения модифицированного ПЕА у пациентов группы повышенного риска.</w:t>
      </w:r>
    </w:p>
    <w:p w14:paraId="1154A1F4">
      <w:pPr>
        <w:pStyle w:val="7"/>
        <w:spacing w:before="5"/>
        <w:ind w:left="0" w:firstLine="0"/>
        <w:jc w:val="left"/>
        <w:rPr>
          <w:sz w:val="18"/>
        </w:rPr>
      </w:pPr>
      <w:r>
        <w:rPr>
          <w:sz w:val="18"/>
          <w:lang w:eastAsia="ru-RU"/>
        </w:rPr>
        <w:drawing>
          <wp:anchor distT="0" distB="0" distL="0" distR="0" simplePos="0" relativeHeight="251683840" behindDoc="1" locked="0" layoutInCell="1" allowOverlap="1">
            <wp:simplePos x="0" y="0"/>
            <wp:positionH relativeFrom="page">
              <wp:posOffset>1389380</wp:posOffset>
            </wp:positionH>
            <wp:positionV relativeFrom="paragraph">
              <wp:posOffset>149860</wp:posOffset>
            </wp:positionV>
            <wp:extent cx="5482590" cy="3220085"/>
            <wp:effectExtent l="0" t="0" r="0" b="0"/>
            <wp:wrapTopAndBottom/>
            <wp:docPr id="200" name="Image 200"/>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66" cstate="print"/>
                    <a:stretch>
                      <a:fillRect/>
                    </a:stretch>
                  </pic:blipFill>
                  <pic:spPr>
                    <a:xfrm>
                      <a:off x="0" y="0"/>
                      <a:ext cx="5482897" cy="3220402"/>
                    </a:xfrm>
                    <a:prstGeom prst="rect">
                      <a:avLst/>
                    </a:prstGeom>
                  </pic:spPr>
                </pic:pic>
              </a:graphicData>
            </a:graphic>
          </wp:anchor>
        </w:drawing>
      </w:r>
    </w:p>
    <w:p w14:paraId="76D5C4A3">
      <w:pPr>
        <w:pStyle w:val="7"/>
        <w:spacing w:before="245"/>
        <w:ind w:left="707" w:right="565" w:firstLine="0"/>
        <w:jc w:val="center"/>
        <w:rPr>
          <w:spacing w:val="-5"/>
        </w:rPr>
      </w:pPr>
      <w:r>
        <w:t>Рисунок</w:t>
      </w:r>
      <w:r>
        <w:rPr>
          <w:spacing w:val="-7"/>
        </w:rPr>
        <w:t xml:space="preserve"> </w:t>
      </w:r>
      <w:r>
        <w:t>30</w:t>
      </w:r>
      <w:r>
        <w:rPr>
          <w:spacing w:val="-5"/>
        </w:rPr>
        <w:t xml:space="preserve"> </w:t>
      </w:r>
      <w:r>
        <w:t>–</w:t>
      </w:r>
      <w:r>
        <w:rPr>
          <w:spacing w:val="-5"/>
        </w:rPr>
        <w:t xml:space="preserve"> </w:t>
      </w:r>
      <w:r>
        <w:t>Динамика</w:t>
      </w:r>
      <w:r>
        <w:rPr>
          <w:spacing w:val="-5"/>
        </w:rPr>
        <w:t xml:space="preserve"> </w:t>
      </w:r>
      <w:r>
        <w:t>количества</w:t>
      </w:r>
      <w:r>
        <w:rPr>
          <w:spacing w:val="-5"/>
        </w:rPr>
        <w:t xml:space="preserve"> </w:t>
      </w:r>
      <w:r>
        <w:t>ГПДР</w:t>
      </w:r>
      <w:r>
        <w:rPr>
          <w:spacing w:val="-7"/>
        </w:rPr>
        <w:t xml:space="preserve"> </w:t>
      </w:r>
      <w:r>
        <w:t>за</w:t>
      </w:r>
      <w:r>
        <w:rPr>
          <w:spacing w:val="-4"/>
        </w:rPr>
        <w:t xml:space="preserve"> </w:t>
      </w:r>
      <w:r>
        <w:t>2016–2025</w:t>
      </w:r>
      <w:r>
        <w:rPr>
          <w:spacing w:val="-6"/>
        </w:rPr>
        <w:t xml:space="preserve"> </w:t>
      </w:r>
      <w:r>
        <w:rPr>
          <w:spacing w:val="-5"/>
        </w:rPr>
        <w:t>гг.</w:t>
      </w:r>
    </w:p>
    <w:p w14:paraId="01E5877F">
      <w:pPr>
        <w:pStyle w:val="7"/>
        <w:ind w:left="707" w:right="565" w:firstLine="0"/>
        <w:jc w:val="center"/>
      </w:pPr>
    </w:p>
    <w:p w14:paraId="5D8BC45D">
      <w:pPr>
        <w:pStyle w:val="7"/>
        <w:spacing w:before="69"/>
        <w:ind w:left="0" w:right="3" w:firstLine="709"/>
      </w:pPr>
      <w:r>
        <w:t>На рисунке 30 представлена динамика числа выполненных ГПДР в период с 2016 по 2025 годы в ННЦХ имени. А.Н. Сызганова. Общий объем вмешательств составил 356 операций. Отмечается отчётливая тенденция к ежегодному увеличению числа выполненных вмешательств, что отражает нарастающий клинический опыт и расширение хирургической активности по данному профилю.</w:t>
      </w:r>
    </w:p>
    <w:p w14:paraId="55F90A97">
      <w:pPr>
        <w:pStyle w:val="7"/>
        <w:spacing w:before="3"/>
        <w:ind w:left="0" w:right="3" w:firstLine="709"/>
      </w:pPr>
      <w:r>
        <w:t>В 2016 году выполнено 11 операций, после чего наблюдается последовательный</w:t>
      </w:r>
      <w:r>
        <w:rPr>
          <w:spacing w:val="-4"/>
        </w:rPr>
        <w:t xml:space="preserve"> </w:t>
      </w:r>
      <w:r>
        <w:t>рост</w:t>
      </w:r>
      <w:r>
        <w:rPr>
          <w:spacing w:val="-5"/>
        </w:rPr>
        <w:t xml:space="preserve"> </w:t>
      </w:r>
      <w:r>
        <w:t>показателя:</w:t>
      </w:r>
      <w:r>
        <w:rPr>
          <w:spacing w:val="-9"/>
        </w:rPr>
        <w:t xml:space="preserve"> </w:t>
      </w:r>
      <w:r>
        <w:t>21</w:t>
      </w:r>
      <w:r>
        <w:rPr>
          <w:spacing w:val="-4"/>
        </w:rPr>
        <w:t xml:space="preserve"> </w:t>
      </w:r>
      <w:r>
        <w:t>операция</w:t>
      </w:r>
      <w:r>
        <w:rPr>
          <w:spacing w:val="-3"/>
        </w:rPr>
        <w:t xml:space="preserve"> </w:t>
      </w:r>
      <w:r>
        <w:t>в</w:t>
      </w:r>
      <w:r>
        <w:rPr>
          <w:spacing w:val="-5"/>
        </w:rPr>
        <w:t xml:space="preserve"> </w:t>
      </w:r>
      <w:r>
        <w:t>2017</w:t>
      </w:r>
      <w:r>
        <w:rPr>
          <w:spacing w:val="-4"/>
        </w:rPr>
        <w:t xml:space="preserve"> </w:t>
      </w:r>
      <w:r>
        <w:t>году,</w:t>
      </w:r>
      <w:r>
        <w:rPr>
          <w:spacing w:val="-1"/>
        </w:rPr>
        <w:t xml:space="preserve"> </w:t>
      </w:r>
      <w:r>
        <w:t>22 —</w:t>
      </w:r>
      <w:r>
        <w:rPr>
          <w:spacing w:val="-8"/>
        </w:rPr>
        <w:t xml:space="preserve"> </w:t>
      </w:r>
      <w:r>
        <w:t>в</w:t>
      </w:r>
      <w:r>
        <w:rPr>
          <w:spacing w:val="-5"/>
        </w:rPr>
        <w:t xml:space="preserve"> </w:t>
      </w:r>
      <w:r>
        <w:t>2018</w:t>
      </w:r>
      <w:r>
        <w:rPr>
          <w:spacing w:val="-4"/>
        </w:rPr>
        <w:t xml:space="preserve"> </w:t>
      </w:r>
      <w:r>
        <w:t>году</w:t>
      </w:r>
      <w:r>
        <w:rPr>
          <w:spacing w:val="-8"/>
        </w:rPr>
        <w:t xml:space="preserve"> </w:t>
      </w:r>
      <w:r>
        <w:t>и 34</w:t>
      </w:r>
      <w:r>
        <w:rPr>
          <w:spacing w:val="-18"/>
        </w:rPr>
        <w:t xml:space="preserve"> </w:t>
      </w:r>
      <w:r>
        <w:t>—</w:t>
      </w:r>
      <w:r>
        <w:rPr>
          <w:spacing w:val="-16"/>
        </w:rPr>
        <w:t xml:space="preserve"> </w:t>
      </w:r>
      <w:r>
        <w:t>в</w:t>
      </w:r>
      <w:r>
        <w:rPr>
          <w:spacing w:val="-18"/>
        </w:rPr>
        <w:t xml:space="preserve"> </w:t>
      </w:r>
      <w:r>
        <w:t>2019</w:t>
      </w:r>
      <w:r>
        <w:rPr>
          <w:spacing w:val="-15"/>
        </w:rPr>
        <w:t xml:space="preserve"> </w:t>
      </w:r>
      <w:r>
        <w:t>году.</w:t>
      </w:r>
      <w:r>
        <w:rPr>
          <w:spacing w:val="-14"/>
        </w:rPr>
        <w:t xml:space="preserve"> </w:t>
      </w:r>
      <w:r>
        <w:t>В</w:t>
      </w:r>
      <w:r>
        <w:rPr>
          <w:spacing w:val="-18"/>
        </w:rPr>
        <w:t xml:space="preserve"> </w:t>
      </w:r>
      <w:r>
        <w:t>2020</w:t>
      </w:r>
      <w:r>
        <w:rPr>
          <w:spacing w:val="-15"/>
        </w:rPr>
        <w:t xml:space="preserve"> </w:t>
      </w:r>
      <w:r>
        <w:t>году</w:t>
      </w:r>
      <w:r>
        <w:rPr>
          <w:spacing w:val="-18"/>
        </w:rPr>
        <w:t xml:space="preserve"> </w:t>
      </w:r>
      <w:r>
        <w:t>объем</w:t>
      </w:r>
      <w:r>
        <w:rPr>
          <w:spacing w:val="-14"/>
        </w:rPr>
        <w:t xml:space="preserve"> </w:t>
      </w:r>
      <w:r>
        <w:t>вмешательств</w:t>
      </w:r>
      <w:r>
        <w:rPr>
          <w:spacing w:val="-18"/>
        </w:rPr>
        <w:t xml:space="preserve"> </w:t>
      </w:r>
      <w:r>
        <w:t>составил</w:t>
      </w:r>
      <w:r>
        <w:rPr>
          <w:spacing w:val="-15"/>
        </w:rPr>
        <w:t xml:space="preserve"> </w:t>
      </w:r>
      <w:r>
        <w:t>24</w:t>
      </w:r>
      <w:r>
        <w:rPr>
          <w:spacing w:val="-16"/>
        </w:rPr>
        <w:t xml:space="preserve"> </w:t>
      </w:r>
      <w:r>
        <w:t>операции,</w:t>
      </w:r>
      <w:r>
        <w:rPr>
          <w:spacing w:val="-14"/>
        </w:rPr>
        <w:t xml:space="preserve"> </w:t>
      </w:r>
      <w:r>
        <w:t>однако уже в 2021 году количество ГПДР возросло до 39. Максимальные значения отмечены</w:t>
      </w:r>
      <w:r>
        <w:rPr>
          <w:spacing w:val="4"/>
        </w:rPr>
        <w:t xml:space="preserve"> </w:t>
      </w:r>
      <w:r>
        <w:t>в</w:t>
      </w:r>
      <w:r>
        <w:rPr>
          <w:spacing w:val="2"/>
        </w:rPr>
        <w:t xml:space="preserve"> </w:t>
      </w:r>
      <w:r>
        <w:t>2022</w:t>
      </w:r>
      <w:r>
        <w:rPr>
          <w:spacing w:val="5"/>
        </w:rPr>
        <w:t xml:space="preserve"> </w:t>
      </w:r>
      <w:r>
        <w:t>и</w:t>
      </w:r>
      <w:r>
        <w:rPr>
          <w:spacing w:val="4"/>
        </w:rPr>
        <w:t xml:space="preserve"> </w:t>
      </w:r>
      <w:r>
        <w:t>2024</w:t>
      </w:r>
      <w:r>
        <w:rPr>
          <w:spacing w:val="4"/>
        </w:rPr>
        <w:t xml:space="preserve"> </w:t>
      </w:r>
      <w:r>
        <w:t>годах</w:t>
      </w:r>
      <w:r>
        <w:rPr>
          <w:spacing w:val="4"/>
        </w:rPr>
        <w:t xml:space="preserve"> </w:t>
      </w:r>
      <w:r>
        <w:t>—</w:t>
      </w:r>
      <w:r>
        <w:rPr>
          <w:spacing w:val="6"/>
        </w:rPr>
        <w:t xml:space="preserve"> </w:t>
      </w:r>
      <w:r>
        <w:t>53</w:t>
      </w:r>
      <w:r>
        <w:rPr>
          <w:spacing w:val="-1"/>
        </w:rPr>
        <w:t xml:space="preserve"> </w:t>
      </w:r>
      <w:r>
        <w:t>и</w:t>
      </w:r>
      <w:r>
        <w:rPr>
          <w:spacing w:val="5"/>
        </w:rPr>
        <w:t xml:space="preserve"> </w:t>
      </w:r>
      <w:r>
        <w:t>54</w:t>
      </w:r>
      <w:r>
        <w:rPr>
          <w:spacing w:val="4"/>
        </w:rPr>
        <w:t xml:space="preserve"> </w:t>
      </w:r>
      <w:r>
        <w:t>операции</w:t>
      </w:r>
      <w:r>
        <w:rPr>
          <w:spacing w:val="3"/>
        </w:rPr>
        <w:t xml:space="preserve"> </w:t>
      </w:r>
      <w:r>
        <w:t>соответственно.</w:t>
      </w:r>
      <w:r>
        <w:rPr>
          <w:spacing w:val="6"/>
        </w:rPr>
        <w:t xml:space="preserve"> </w:t>
      </w:r>
      <w:r>
        <w:t>В</w:t>
      </w:r>
      <w:r>
        <w:rPr>
          <w:spacing w:val="1"/>
        </w:rPr>
        <w:t xml:space="preserve"> </w:t>
      </w:r>
      <w:r>
        <w:t>2023</w:t>
      </w:r>
      <w:r>
        <w:rPr>
          <w:spacing w:val="4"/>
        </w:rPr>
        <w:t xml:space="preserve"> </w:t>
      </w:r>
      <w:r>
        <w:rPr>
          <w:spacing w:val="-4"/>
        </w:rPr>
        <w:t>году</w:t>
      </w:r>
    </w:p>
    <w:p w14:paraId="4E18156D">
      <w:pPr>
        <w:pStyle w:val="7"/>
        <w:spacing w:line="321" w:lineRule="exact"/>
        <w:ind w:left="0" w:right="3" w:firstLine="0"/>
      </w:pPr>
      <w:r>
        <w:t>выполнено</w:t>
      </w:r>
      <w:r>
        <w:rPr>
          <w:spacing w:val="-6"/>
        </w:rPr>
        <w:t xml:space="preserve"> </w:t>
      </w:r>
      <w:r>
        <w:t>47</w:t>
      </w:r>
      <w:r>
        <w:rPr>
          <w:spacing w:val="-5"/>
        </w:rPr>
        <w:t xml:space="preserve"> </w:t>
      </w:r>
      <w:r>
        <w:t>вмешательств,</w:t>
      </w:r>
      <w:r>
        <w:rPr>
          <w:spacing w:val="-2"/>
        </w:rPr>
        <w:t xml:space="preserve"> </w:t>
      </w:r>
      <w:r>
        <w:t>а</w:t>
      </w:r>
      <w:r>
        <w:rPr>
          <w:spacing w:val="-4"/>
        </w:rPr>
        <w:t xml:space="preserve"> </w:t>
      </w:r>
      <w:r>
        <w:t>в</w:t>
      </w:r>
      <w:r>
        <w:rPr>
          <w:spacing w:val="-6"/>
        </w:rPr>
        <w:t xml:space="preserve"> </w:t>
      </w:r>
      <w:r>
        <w:t>2025</w:t>
      </w:r>
      <w:r>
        <w:rPr>
          <w:spacing w:val="-5"/>
        </w:rPr>
        <w:t xml:space="preserve"> </w:t>
      </w:r>
      <w:r>
        <w:t>году</w:t>
      </w:r>
      <w:r>
        <w:rPr>
          <w:spacing w:val="-4"/>
        </w:rPr>
        <w:t xml:space="preserve"> </w:t>
      </w:r>
      <w:r>
        <w:t>—</w:t>
      </w:r>
      <w:r>
        <w:rPr>
          <w:spacing w:val="-4"/>
        </w:rPr>
        <w:t xml:space="preserve"> </w:t>
      </w:r>
      <w:r>
        <w:rPr>
          <w:spacing w:val="-5"/>
        </w:rPr>
        <w:t>51.</w:t>
      </w:r>
    </w:p>
    <w:p w14:paraId="0CFAD6E2">
      <w:pPr>
        <w:pStyle w:val="7"/>
        <w:spacing w:before="5"/>
        <w:ind w:left="0" w:firstLine="0"/>
        <w:jc w:val="left"/>
      </w:pPr>
    </w:p>
    <w:p w14:paraId="0E125F3E">
      <w:pPr>
        <w:pStyle w:val="3"/>
        <w:numPr>
          <w:ilvl w:val="2"/>
          <w:numId w:val="8"/>
        </w:numPr>
        <w:tabs>
          <w:tab w:val="left" w:pos="993"/>
        </w:tabs>
        <w:spacing w:line="319" w:lineRule="exact"/>
        <w:ind w:left="1622" w:hanging="913"/>
        <w:rPr>
          <w:b w:val="0"/>
        </w:rPr>
      </w:pPr>
      <w:r>
        <w:rPr>
          <w:b w:val="0"/>
        </w:rPr>
        <w:t>Частота</w:t>
      </w:r>
      <w:r>
        <w:rPr>
          <w:b w:val="0"/>
          <w:spacing w:val="-8"/>
        </w:rPr>
        <w:t xml:space="preserve"> </w:t>
      </w:r>
      <w:r>
        <w:rPr>
          <w:b w:val="0"/>
        </w:rPr>
        <w:t>и</w:t>
      </w:r>
      <w:r>
        <w:rPr>
          <w:b w:val="0"/>
          <w:spacing w:val="-10"/>
        </w:rPr>
        <w:t xml:space="preserve"> </w:t>
      </w:r>
      <w:r>
        <w:rPr>
          <w:b w:val="0"/>
        </w:rPr>
        <w:t>структура</w:t>
      </w:r>
      <w:r>
        <w:rPr>
          <w:b w:val="0"/>
          <w:spacing w:val="-7"/>
        </w:rPr>
        <w:t xml:space="preserve"> </w:t>
      </w:r>
      <w:r>
        <w:rPr>
          <w:b w:val="0"/>
        </w:rPr>
        <w:t>ПС</w:t>
      </w:r>
      <w:r>
        <w:rPr>
          <w:b w:val="0"/>
          <w:spacing w:val="-8"/>
        </w:rPr>
        <w:t xml:space="preserve"> </w:t>
      </w:r>
      <w:r>
        <w:rPr>
          <w:b w:val="0"/>
        </w:rPr>
        <w:t>после</w:t>
      </w:r>
      <w:r>
        <w:rPr>
          <w:b w:val="0"/>
          <w:spacing w:val="-7"/>
        </w:rPr>
        <w:t xml:space="preserve"> </w:t>
      </w:r>
      <w:r>
        <w:rPr>
          <w:b w:val="0"/>
        </w:rPr>
        <w:t>ГПДР</w:t>
      </w:r>
      <w:r>
        <w:rPr>
          <w:b w:val="0"/>
          <w:spacing w:val="-5"/>
        </w:rPr>
        <w:t xml:space="preserve"> </w:t>
      </w:r>
      <w:r>
        <w:rPr>
          <w:b w:val="0"/>
        </w:rPr>
        <w:t>в</w:t>
      </w:r>
      <w:r>
        <w:rPr>
          <w:b w:val="0"/>
          <w:spacing w:val="-9"/>
        </w:rPr>
        <w:t xml:space="preserve"> </w:t>
      </w:r>
      <w:r>
        <w:rPr>
          <w:b w:val="0"/>
        </w:rPr>
        <w:t>зависимости</w:t>
      </w:r>
      <w:r>
        <w:rPr>
          <w:b w:val="0"/>
          <w:spacing w:val="-5"/>
        </w:rPr>
        <w:t xml:space="preserve"> </w:t>
      </w:r>
      <w:r>
        <w:rPr>
          <w:b w:val="0"/>
        </w:rPr>
        <w:t>от</w:t>
      </w:r>
      <w:r>
        <w:rPr>
          <w:b w:val="0"/>
          <w:spacing w:val="-5"/>
        </w:rPr>
        <w:t xml:space="preserve"> </w:t>
      </w:r>
      <w:r>
        <w:rPr>
          <w:b w:val="0"/>
        </w:rPr>
        <w:t>типа</w:t>
      </w:r>
      <w:r>
        <w:rPr>
          <w:b w:val="0"/>
          <w:spacing w:val="-7"/>
        </w:rPr>
        <w:t xml:space="preserve"> </w:t>
      </w:r>
      <w:r>
        <w:rPr>
          <w:b w:val="0"/>
          <w:spacing w:val="-5"/>
        </w:rPr>
        <w:t>ПЕА</w:t>
      </w:r>
    </w:p>
    <w:p w14:paraId="71DC7768">
      <w:pPr>
        <w:pStyle w:val="7"/>
        <w:ind w:left="0" w:right="3" w:firstLine="709"/>
      </w:pPr>
      <w:r>
        <w:t>В таблице 26 представлена частота и структура ПС после ГПДР в зависимости от типа ПЕА в двух временных периодах: 2016–2022 гг. (стандартный анастомоз) и 2023–2025 гг. (модифицированный анастомоз). Анализ результатов продемонстрировал достоверное снижение общей частоты панкреатических свищей после внедрения модифицированной техники реконструкции.</w:t>
      </w:r>
      <w:r>
        <w:rPr>
          <w:spacing w:val="30"/>
        </w:rPr>
        <w:t xml:space="preserve"> </w:t>
      </w:r>
      <w:r>
        <w:t>В</w:t>
      </w:r>
      <w:r>
        <w:rPr>
          <w:spacing w:val="-16"/>
        </w:rPr>
        <w:t xml:space="preserve"> </w:t>
      </w:r>
      <w:r>
        <w:t>группе</w:t>
      </w:r>
      <w:r>
        <w:rPr>
          <w:spacing w:val="-12"/>
        </w:rPr>
        <w:t xml:space="preserve"> </w:t>
      </w:r>
      <w:r>
        <w:t>стандартного</w:t>
      </w:r>
      <w:r>
        <w:rPr>
          <w:spacing w:val="-13"/>
        </w:rPr>
        <w:t xml:space="preserve"> </w:t>
      </w:r>
      <w:r>
        <w:t>анастомоза</w:t>
      </w:r>
      <w:r>
        <w:rPr>
          <w:spacing w:val="-12"/>
        </w:rPr>
        <w:t xml:space="preserve"> </w:t>
      </w:r>
      <w:r>
        <w:t>ПС</w:t>
      </w:r>
      <w:r>
        <w:rPr>
          <w:spacing w:val="-12"/>
        </w:rPr>
        <w:t xml:space="preserve"> </w:t>
      </w:r>
      <w:r>
        <w:t>зарегистрированы</w:t>
      </w:r>
      <w:r>
        <w:rPr>
          <w:spacing w:val="-13"/>
        </w:rPr>
        <w:t xml:space="preserve"> </w:t>
      </w:r>
      <w:r>
        <w:t>у</w:t>
      </w:r>
      <w:r>
        <w:rPr>
          <w:spacing w:val="-17"/>
        </w:rPr>
        <w:t xml:space="preserve"> </w:t>
      </w:r>
      <w:r>
        <w:t>87</w:t>
      </w:r>
      <w:r>
        <w:rPr>
          <w:spacing w:val="-13"/>
        </w:rPr>
        <w:t xml:space="preserve"> </w:t>
      </w:r>
      <w:r>
        <w:t>из 179 пациентов (48,6%),</w:t>
      </w:r>
      <w:r>
        <w:rPr>
          <w:spacing w:val="2"/>
        </w:rPr>
        <w:t xml:space="preserve"> </w:t>
      </w:r>
      <w:r>
        <w:t>тогда</w:t>
      </w:r>
      <w:r>
        <w:rPr>
          <w:spacing w:val="2"/>
        </w:rPr>
        <w:t xml:space="preserve"> </w:t>
      </w:r>
      <w:r>
        <w:t>как в</w:t>
      </w:r>
      <w:r>
        <w:rPr>
          <w:spacing w:val="-1"/>
        </w:rPr>
        <w:t xml:space="preserve"> </w:t>
      </w:r>
      <w:r>
        <w:t>группе</w:t>
      </w:r>
      <w:r>
        <w:rPr>
          <w:spacing w:val="1"/>
        </w:rPr>
        <w:t xml:space="preserve"> </w:t>
      </w:r>
      <w:r>
        <w:t>модифицированного</w:t>
      </w:r>
      <w:r>
        <w:rPr>
          <w:spacing w:val="2"/>
        </w:rPr>
        <w:t xml:space="preserve"> </w:t>
      </w:r>
      <w:r>
        <w:t>анастомоза</w:t>
      </w:r>
      <w:r>
        <w:rPr>
          <w:spacing w:val="11"/>
        </w:rPr>
        <w:t xml:space="preserve"> </w:t>
      </w:r>
      <w:r>
        <w:t>—</w:t>
      </w:r>
      <w:r>
        <w:rPr>
          <w:spacing w:val="1"/>
        </w:rPr>
        <w:t xml:space="preserve"> </w:t>
      </w:r>
      <w:r>
        <w:rPr>
          <w:spacing w:val="-10"/>
        </w:rPr>
        <w:t>у</w:t>
      </w:r>
      <w:r>
        <w:t xml:space="preserve"> 33 из 141 пациентов (23,4%). Выявленные различия носили статистически значимый</w:t>
      </w:r>
      <w:r>
        <w:rPr>
          <w:spacing w:val="-2"/>
        </w:rPr>
        <w:t xml:space="preserve"> </w:t>
      </w:r>
      <w:r>
        <w:t>характер</w:t>
      </w:r>
      <w:r>
        <w:rPr>
          <w:spacing w:val="-2"/>
        </w:rPr>
        <w:t xml:space="preserve"> </w:t>
      </w:r>
      <w:r>
        <w:t>(p</w:t>
      </w:r>
      <w:r>
        <w:rPr>
          <w:spacing w:val="-2"/>
        </w:rPr>
        <w:t xml:space="preserve"> </w:t>
      </w:r>
      <w:r>
        <w:t>&lt;</w:t>
      </w:r>
      <w:r>
        <w:rPr>
          <w:spacing w:val="-1"/>
        </w:rPr>
        <w:t xml:space="preserve"> </w:t>
      </w:r>
      <w:r>
        <w:t>0,001),</w:t>
      </w:r>
      <w:r>
        <w:rPr>
          <w:spacing w:val="-4"/>
        </w:rPr>
        <w:t xml:space="preserve"> </w:t>
      </w:r>
      <w:r>
        <w:t>что</w:t>
      </w:r>
      <w:r>
        <w:rPr>
          <w:spacing w:val="-2"/>
        </w:rPr>
        <w:t xml:space="preserve"> </w:t>
      </w:r>
      <w:r>
        <w:t>подтверждено</w:t>
      </w:r>
      <w:r>
        <w:rPr>
          <w:spacing w:val="-2"/>
        </w:rPr>
        <w:t xml:space="preserve"> </w:t>
      </w:r>
      <w:r>
        <w:t>с</w:t>
      </w:r>
      <w:r>
        <w:rPr>
          <w:spacing w:val="-1"/>
        </w:rPr>
        <w:t xml:space="preserve"> </w:t>
      </w:r>
      <w:r>
        <w:t>использованием</w:t>
      </w:r>
      <w:r>
        <w:rPr>
          <w:spacing w:val="-1"/>
        </w:rPr>
        <w:t xml:space="preserve"> </w:t>
      </w:r>
      <w:r>
        <w:t>χ²-критерия Пирсона и точного критерия Фишера.</w:t>
      </w:r>
    </w:p>
    <w:p w14:paraId="31DDBF3A">
      <w:pPr>
        <w:pStyle w:val="7"/>
        <w:tabs>
          <w:tab w:val="left" w:pos="3828"/>
        </w:tabs>
        <w:spacing w:before="321"/>
        <w:ind w:left="0" w:right="3" w:firstLine="0"/>
      </w:pPr>
      <w:r>
        <w:t>Таблица 26 - Частота и структура панкреатического свища после ГПДР при стандартном и модифицированном ПЕА.</w:t>
      </w:r>
    </w:p>
    <w:p w14:paraId="22FDE405">
      <w:pPr>
        <w:pStyle w:val="7"/>
        <w:spacing w:before="102"/>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22"/>
        <w:gridCol w:w="2401"/>
        <w:gridCol w:w="2441"/>
        <w:gridCol w:w="1275"/>
      </w:tblGrid>
      <w:tr w14:paraId="2282AD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522" w:type="dxa"/>
          </w:tcPr>
          <w:p w14:paraId="01216664">
            <w:pPr>
              <w:pStyle w:val="11"/>
              <w:spacing w:before="151" w:line="240" w:lineRule="auto"/>
              <w:ind w:left="864"/>
              <w:jc w:val="left"/>
              <w:rPr>
                <w:sz w:val="24"/>
                <w:szCs w:val="24"/>
              </w:rPr>
            </w:pPr>
            <w:r>
              <w:rPr>
                <w:spacing w:val="-2"/>
                <w:sz w:val="24"/>
                <w:szCs w:val="24"/>
              </w:rPr>
              <w:t>Показатели</w:t>
            </w:r>
          </w:p>
        </w:tc>
        <w:tc>
          <w:tcPr>
            <w:tcW w:w="2401" w:type="dxa"/>
          </w:tcPr>
          <w:p w14:paraId="7961C43F">
            <w:pPr>
              <w:pStyle w:val="11"/>
              <w:spacing w:line="315" w:lineRule="exact"/>
              <w:ind w:left="9" w:right="3"/>
              <w:rPr>
                <w:sz w:val="24"/>
                <w:szCs w:val="24"/>
              </w:rPr>
            </w:pPr>
            <w:r>
              <w:rPr>
                <w:spacing w:val="-2"/>
                <w:sz w:val="24"/>
                <w:szCs w:val="24"/>
              </w:rPr>
              <w:t>Стандартный</w:t>
            </w:r>
          </w:p>
          <w:p w14:paraId="36B28E63">
            <w:pPr>
              <w:pStyle w:val="11"/>
              <w:ind w:left="9" w:right="5"/>
              <w:rPr>
                <w:sz w:val="24"/>
                <w:szCs w:val="24"/>
              </w:rPr>
            </w:pPr>
            <w:r>
              <w:rPr>
                <w:spacing w:val="-2"/>
                <w:sz w:val="24"/>
                <w:szCs w:val="24"/>
              </w:rPr>
              <w:t>(n=179)</w:t>
            </w:r>
          </w:p>
        </w:tc>
        <w:tc>
          <w:tcPr>
            <w:tcW w:w="2441" w:type="dxa"/>
          </w:tcPr>
          <w:p w14:paraId="7B0D47C0">
            <w:pPr>
              <w:pStyle w:val="11"/>
              <w:spacing w:line="315" w:lineRule="exact"/>
              <w:ind w:left="11"/>
              <w:rPr>
                <w:sz w:val="24"/>
                <w:szCs w:val="24"/>
              </w:rPr>
            </w:pPr>
            <w:r>
              <w:rPr>
                <w:spacing w:val="-2"/>
                <w:sz w:val="24"/>
                <w:szCs w:val="24"/>
              </w:rPr>
              <w:t>Модифицированный</w:t>
            </w:r>
          </w:p>
          <w:p w14:paraId="47867E25">
            <w:pPr>
              <w:pStyle w:val="11"/>
              <w:ind w:left="11" w:right="7"/>
              <w:rPr>
                <w:sz w:val="24"/>
                <w:szCs w:val="24"/>
              </w:rPr>
            </w:pPr>
            <w:r>
              <w:rPr>
                <w:spacing w:val="-2"/>
                <w:sz w:val="24"/>
                <w:szCs w:val="24"/>
              </w:rPr>
              <w:t>(n=141)</w:t>
            </w:r>
          </w:p>
        </w:tc>
        <w:tc>
          <w:tcPr>
            <w:tcW w:w="1275" w:type="dxa"/>
          </w:tcPr>
          <w:p w14:paraId="0DA232C7">
            <w:pPr>
              <w:pStyle w:val="11"/>
              <w:spacing w:before="151" w:line="240" w:lineRule="auto"/>
              <w:ind w:left="115" w:right="109"/>
              <w:rPr>
                <w:sz w:val="24"/>
                <w:szCs w:val="24"/>
              </w:rPr>
            </w:pPr>
            <w:r>
              <w:rPr>
                <w:spacing w:val="-2"/>
                <w:sz w:val="24"/>
                <w:szCs w:val="24"/>
              </w:rPr>
              <w:t>P-value</w:t>
            </w:r>
          </w:p>
        </w:tc>
      </w:tr>
      <w:tr w14:paraId="3456D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3522" w:type="dxa"/>
          </w:tcPr>
          <w:p w14:paraId="0A560D7A">
            <w:pPr>
              <w:pStyle w:val="11"/>
              <w:spacing w:before="40" w:line="240" w:lineRule="auto"/>
              <w:ind w:left="110"/>
              <w:jc w:val="left"/>
              <w:rPr>
                <w:sz w:val="24"/>
                <w:szCs w:val="24"/>
              </w:rPr>
            </w:pPr>
            <w:r>
              <w:rPr>
                <w:spacing w:val="-2"/>
                <w:sz w:val="24"/>
                <w:szCs w:val="24"/>
              </w:rPr>
              <w:t>Панкреатический</w:t>
            </w:r>
            <w:r>
              <w:rPr>
                <w:spacing w:val="7"/>
                <w:sz w:val="24"/>
                <w:szCs w:val="24"/>
              </w:rPr>
              <w:t xml:space="preserve"> </w:t>
            </w:r>
            <w:r>
              <w:rPr>
                <w:spacing w:val="-4"/>
                <w:sz w:val="24"/>
                <w:szCs w:val="24"/>
              </w:rPr>
              <w:t>свищ</w:t>
            </w:r>
          </w:p>
        </w:tc>
        <w:tc>
          <w:tcPr>
            <w:tcW w:w="2401" w:type="dxa"/>
          </w:tcPr>
          <w:p w14:paraId="224FA849">
            <w:pPr>
              <w:pStyle w:val="11"/>
              <w:spacing w:before="93"/>
              <w:ind w:left="9" w:right="5"/>
              <w:rPr>
                <w:sz w:val="24"/>
                <w:szCs w:val="24"/>
              </w:rPr>
            </w:pPr>
            <w:r>
              <w:rPr>
                <w:sz w:val="24"/>
                <w:szCs w:val="24"/>
              </w:rPr>
              <w:t>87</w:t>
            </w:r>
            <w:r>
              <w:rPr>
                <w:spacing w:val="-2"/>
                <w:sz w:val="24"/>
                <w:szCs w:val="24"/>
              </w:rPr>
              <w:t xml:space="preserve"> (48,6%)</w:t>
            </w:r>
          </w:p>
        </w:tc>
        <w:tc>
          <w:tcPr>
            <w:tcW w:w="2441" w:type="dxa"/>
          </w:tcPr>
          <w:p w14:paraId="64F7BD60">
            <w:pPr>
              <w:pStyle w:val="11"/>
              <w:spacing w:before="93"/>
              <w:ind w:left="11" w:right="7"/>
              <w:rPr>
                <w:sz w:val="24"/>
                <w:szCs w:val="24"/>
              </w:rPr>
            </w:pPr>
            <w:r>
              <w:rPr>
                <w:sz w:val="24"/>
                <w:szCs w:val="24"/>
              </w:rPr>
              <w:t>33</w:t>
            </w:r>
            <w:r>
              <w:rPr>
                <w:spacing w:val="-2"/>
                <w:sz w:val="24"/>
                <w:szCs w:val="24"/>
              </w:rPr>
              <w:t xml:space="preserve"> (23,4%)</w:t>
            </w:r>
          </w:p>
        </w:tc>
        <w:tc>
          <w:tcPr>
            <w:tcW w:w="1275" w:type="dxa"/>
          </w:tcPr>
          <w:p w14:paraId="0F29094F">
            <w:pPr>
              <w:pStyle w:val="11"/>
              <w:spacing w:before="40" w:line="240" w:lineRule="auto"/>
              <w:ind w:left="127" w:right="109"/>
              <w:rPr>
                <w:sz w:val="24"/>
                <w:szCs w:val="24"/>
              </w:rPr>
            </w:pPr>
            <w:r>
              <w:rPr>
                <w:spacing w:val="-2"/>
                <w:sz w:val="24"/>
                <w:szCs w:val="24"/>
              </w:rPr>
              <w:t>&lt;0,001</w:t>
            </w:r>
            <w:r>
              <w:rPr>
                <w:spacing w:val="-2"/>
                <w:sz w:val="24"/>
                <w:szCs w:val="24"/>
                <w:vertAlign w:val="superscript"/>
              </w:rPr>
              <w:t>***</w:t>
            </w:r>
          </w:p>
        </w:tc>
      </w:tr>
      <w:tr w14:paraId="3DEAD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trPr>
        <w:tc>
          <w:tcPr>
            <w:tcW w:w="3522" w:type="dxa"/>
          </w:tcPr>
          <w:p w14:paraId="156295D5">
            <w:pPr>
              <w:pStyle w:val="11"/>
              <w:spacing w:line="322" w:lineRule="exact"/>
              <w:ind w:left="1599" w:right="1285" w:hanging="1489"/>
              <w:jc w:val="both"/>
              <w:rPr>
                <w:spacing w:val="80"/>
                <w:sz w:val="24"/>
                <w:szCs w:val="24"/>
              </w:rPr>
            </w:pPr>
            <w:r>
              <w:rPr>
                <w:sz w:val="24"/>
                <w:szCs w:val="24"/>
              </w:rPr>
              <w:t xml:space="preserve"> Степень:</w:t>
            </w:r>
            <w:r>
              <w:rPr>
                <w:spacing w:val="80"/>
                <w:sz w:val="24"/>
                <w:szCs w:val="24"/>
              </w:rPr>
              <w:t xml:space="preserve">  </w:t>
            </w:r>
            <w:r>
              <w:rPr>
                <w:sz w:val="24"/>
                <w:szCs w:val="24"/>
              </w:rPr>
              <w:t>A</w:t>
            </w:r>
            <w:r>
              <w:rPr>
                <w:spacing w:val="80"/>
                <w:sz w:val="24"/>
                <w:szCs w:val="24"/>
              </w:rPr>
              <w:t xml:space="preserve"> </w:t>
            </w:r>
          </w:p>
          <w:p w14:paraId="68BE7E39">
            <w:pPr>
              <w:pStyle w:val="11"/>
              <w:spacing w:line="322" w:lineRule="exact"/>
              <w:ind w:left="1599" w:right="1285" w:hanging="1489"/>
              <w:jc w:val="both"/>
              <w:rPr>
                <w:spacing w:val="-10"/>
                <w:sz w:val="24"/>
                <w:szCs w:val="24"/>
              </w:rPr>
            </w:pPr>
            <w:r>
              <w:rPr>
                <w:spacing w:val="80"/>
                <w:sz w:val="24"/>
                <w:szCs w:val="24"/>
              </w:rPr>
              <w:t xml:space="preserve">         </w:t>
            </w:r>
            <w:r>
              <w:rPr>
                <w:spacing w:val="-10"/>
                <w:sz w:val="24"/>
                <w:szCs w:val="24"/>
              </w:rPr>
              <w:t xml:space="preserve">B  </w:t>
            </w:r>
          </w:p>
          <w:p w14:paraId="01B87EA0">
            <w:pPr>
              <w:pStyle w:val="11"/>
              <w:spacing w:line="322" w:lineRule="exact"/>
              <w:ind w:left="1599" w:right="1285" w:hanging="1489"/>
              <w:jc w:val="both"/>
              <w:rPr>
                <w:sz w:val="24"/>
                <w:szCs w:val="24"/>
              </w:rPr>
            </w:pPr>
            <w:r>
              <w:rPr>
                <w:spacing w:val="-10"/>
                <w:sz w:val="24"/>
                <w:szCs w:val="24"/>
              </w:rPr>
              <w:t xml:space="preserve">                         C</w:t>
            </w:r>
          </w:p>
        </w:tc>
        <w:tc>
          <w:tcPr>
            <w:tcW w:w="2401" w:type="dxa"/>
          </w:tcPr>
          <w:p w14:paraId="1DDE807E">
            <w:pPr>
              <w:pStyle w:val="11"/>
              <w:spacing w:before="2" w:line="322" w:lineRule="exact"/>
              <w:ind w:left="671"/>
              <w:jc w:val="left"/>
              <w:rPr>
                <w:sz w:val="24"/>
                <w:szCs w:val="24"/>
              </w:rPr>
            </w:pPr>
            <w:r>
              <w:rPr>
                <w:sz w:val="24"/>
                <w:szCs w:val="24"/>
              </w:rPr>
              <w:t>35</w:t>
            </w:r>
            <w:r>
              <w:rPr>
                <w:spacing w:val="-1"/>
                <w:sz w:val="24"/>
                <w:szCs w:val="24"/>
              </w:rPr>
              <w:t xml:space="preserve"> </w:t>
            </w:r>
            <w:r>
              <w:rPr>
                <w:spacing w:val="-2"/>
                <w:sz w:val="24"/>
                <w:szCs w:val="24"/>
              </w:rPr>
              <w:t>(19,5%)</w:t>
            </w:r>
          </w:p>
          <w:p w14:paraId="7BF4165F">
            <w:pPr>
              <w:pStyle w:val="11"/>
              <w:spacing w:line="322" w:lineRule="exact"/>
              <w:ind w:left="570"/>
              <w:jc w:val="left"/>
              <w:rPr>
                <w:sz w:val="24"/>
                <w:szCs w:val="24"/>
              </w:rPr>
            </w:pPr>
            <w:r>
              <w:rPr>
                <w:sz w:val="24"/>
                <w:szCs w:val="24"/>
              </w:rPr>
              <w:t>41</w:t>
            </w:r>
            <w:r>
              <w:rPr>
                <w:spacing w:val="-1"/>
                <w:sz w:val="24"/>
                <w:szCs w:val="24"/>
              </w:rPr>
              <w:t xml:space="preserve"> </w:t>
            </w:r>
            <w:r>
              <w:rPr>
                <w:spacing w:val="-2"/>
                <w:sz w:val="24"/>
                <w:szCs w:val="24"/>
              </w:rPr>
              <w:t>(23,0%)</w:t>
            </w:r>
          </w:p>
          <w:p w14:paraId="5E0B3EFC">
            <w:pPr>
              <w:pStyle w:val="11"/>
              <w:spacing w:line="318" w:lineRule="exact"/>
              <w:ind w:left="642"/>
              <w:jc w:val="left"/>
              <w:rPr>
                <w:sz w:val="24"/>
                <w:szCs w:val="24"/>
              </w:rPr>
            </w:pPr>
            <w:r>
              <w:rPr>
                <w:sz w:val="24"/>
                <w:szCs w:val="24"/>
              </w:rPr>
              <w:t>11</w:t>
            </w:r>
            <w:r>
              <w:rPr>
                <w:spacing w:val="-1"/>
                <w:sz w:val="24"/>
                <w:szCs w:val="24"/>
              </w:rPr>
              <w:t xml:space="preserve"> </w:t>
            </w:r>
            <w:r>
              <w:rPr>
                <w:spacing w:val="-2"/>
                <w:sz w:val="24"/>
                <w:szCs w:val="24"/>
              </w:rPr>
              <w:t>(6,2%)</w:t>
            </w:r>
          </w:p>
        </w:tc>
        <w:tc>
          <w:tcPr>
            <w:tcW w:w="2441" w:type="dxa"/>
          </w:tcPr>
          <w:p w14:paraId="707C28C7">
            <w:pPr>
              <w:pStyle w:val="11"/>
              <w:spacing w:before="2" w:line="322" w:lineRule="exact"/>
              <w:ind w:right="726"/>
              <w:jc w:val="right"/>
              <w:rPr>
                <w:sz w:val="24"/>
                <w:szCs w:val="24"/>
              </w:rPr>
            </w:pPr>
            <w:r>
              <w:rPr>
                <w:sz w:val="24"/>
                <w:szCs w:val="24"/>
              </w:rPr>
              <w:t>11</w:t>
            </w:r>
            <w:r>
              <w:rPr>
                <w:spacing w:val="-1"/>
                <w:sz w:val="24"/>
                <w:szCs w:val="24"/>
              </w:rPr>
              <w:t xml:space="preserve"> </w:t>
            </w:r>
            <w:r>
              <w:rPr>
                <w:spacing w:val="-2"/>
                <w:sz w:val="24"/>
                <w:szCs w:val="24"/>
              </w:rPr>
              <w:t>(7,8%)</w:t>
            </w:r>
          </w:p>
          <w:p w14:paraId="66355553">
            <w:pPr>
              <w:pStyle w:val="11"/>
              <w:spacing w:line="322" w:lineRule="exact"/>
              <w:ind w:right="766"/>
              <w:jc w:val="right"/>
              <w:rPr>
                <w:sz w:val="24"/>
                <w:szCs w:val="24"/>
              </w:rPr>
            </w:pPr>
            <w:r>
              <w:rPr>
                <w:sz w:val="24"/>
                <w:szCs w:val="24"/>
              </w:rPr>
              <w:t>20</w:t>
            </w:r>
            <w:r>
              <w:rPr>
                <w:spacing w:val="-1"/>
                <w:sz w:val="24"/>
                <w:szCs w:val="24"/>
              </w:rPr>
              <w:t xml:space="preserve"> </w:t>
            </w:r>
            <w:r>
              <w:rPr>
                <w:spacing w:val="-2"/>
                <w:sz w:val="24"/>
                <w:szCs w:val="24"/>
              </w:rPr>
              <w:t>(14,2%)</w:t>
            </w:r>
          </w:p>
          <w:p w14:paraId="271734E2">
            <w:pPr>
              <w:pStyle w:val="11"/>
              <w:spacing w:line="318" w:lineRule="exact"/>
              <w:ind w:left="911"/>
              <w:jc w:val="left"/>
              <w:rPr>
                <w:sz w:val="24"/>
                <w:szCs w:val="24"/>
              </w:rPr>
            </w:pPr>
            <w:r>
              <w:rPr>
                <w:sz w:val="24"/>
                <w:szCs w:val="24"/>
              </w:rPr>
              <w:t xml:space="preserve">2 </w:t>
            </w:r>
            <w:r>
              <w:rPr>
                <w:spacing w:val="-2"/>
                <w:sz w:val="24"/>
                <w:szCs w:val="24"/>
              </w:rPr>
              <w:t>(1,4%)</w:t>
            </w:r>
          </w:p>
        </w:tc>
        <w:tc>
          <w:tcPr>
            <w:tcW w:w="1275" w:type="dxa"/>
          </w:tcPr>
          <w:p w14:paraId="405492E0">
            <w:pPr>
              <w:pStyle w:val="11"/>
              <w:spacing w:before="2" w:line="240" w:lineRule="auto"/>
              <w:jc w:val="left"/>
              <w:rPr>
                <w:sz w:val="24"/>
                <w:szCs w:val="24"/>
              </w:rPr>
            </w:pPr>
          </w:p>
          <w:p w14:paraId="07936DE0">
            <w:pPr>
              <w:pStyle w:val="11"/>
              <w:spacing w:line="240" w:lineRule="auto"/>
              <w:ind w:right="109"/>
              <w:rPr>
                <w:sz w:val="24"/>
                <w:szCs w:val="24"/>
              </w:rPr>
            </w:pPr>
            <w:r>
              <w:rPr>
                <w:spacing w:val="-2"/>
                <w:sz w:val="24"/>
                <w:szCs w:val="24"/>
              </w:rPr>
              <w:t>0,012</w:t>
            </w:r>
            <w:r>
              <w:rPr>
                <w:spacing w:val="-2"/>
                <w:sz w:val="24"/>
                <w:szCs w:val="24"/>
                <w:vertAlign w:val="superscript"/>
              </w:rPr>
              <w:t>*</w:t>
            </w:r>
          </w:p>
        </w:tc>
      </w:tr>
      <w:tr w14:paraId="30A46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3522" w:type="dxa"/>
          </w:tcPr>
          <w:p w14:paraId="7639A6C5">
            <w:pPr>
              <w:pStyle w:val="11"/>
              <w:spacing w:before="22" w:line="240" w:lineRule="auto"/>
              <w:ind w:left="110"/>
              <w:jc w:val="left"/>
              <w:rPr>
                <w:sz w:val="24"/>
                <w:szCs w:val="24"/>
              </w:rPr>
            </w:pPr>
            <w:r>
              <w:rPr>
                <w:sz w:val="24"/>
                <w:szCs w:val="24"/>
              </w:rPr>
              <w:t xml:space="preserve"> КЗ-ПС</w:t>
            </w:r>
            <w:r>
              <w:rPr>
                <w:spacing w:val="-8"/>
                <w:sz w:val="24"/>
                <w:szCs w:val="24"/>
              </w:rPr>
              <w:t xml:space="preserve">        </w:t>
            </w:r>
            <w:r>
              <w:rPr>
                <w:spacing w:val="-5"/>
                <w:sz w:val="24"/>
                <w:szCs w:val="24"/>
              </w:rPr>
              <w:t>В/С</w:t>
            </w:r>
          </w:p>
        </w:tc>
        <w:tc>
          <w:tcPr>
            <w:tcW w:w="2401" w:type="dxa"/>
          </w:tcPr>
          <w:p w14:paraId="1CBFC9CE">
            <w:pPr>
              <w:pStyle w:val="11"/>
              <w:spacing w:before="22" w:line="240" w:lineRule="auto"/>
              <w:ind w:left="9" w:right="5"/>
              <w:rPr>
                <w:sz w:val="24"/>
                <w:szCs w:val="24"/>
              </w:rPr>
            </w:pPr>
            <w:r>
              <w:rPr>
                <w:sz w:val="24"/>
                <w:szCs w:val="24"/>
              </w:rPr>
              <w:t>52</w:t>
            </w:r>
            <w:r>
              <w:rPr>
                <w:spacing w:val="-2"/>
                <w:sz w:val="24"/>
                <w:szCs w:val="24"/>
              </w:rPr>
              <w:t xml:space="preserve"> (29,0%)</w:t>
            </w:r>
          </w:p>
        </w:tc>
        <w:tc>
          <w:tcPr>
            <w:tcW w:w="2441" w:type="dxa"/>
          </w:tcPr>
          <w:p w14:paraId="04ADAF98">
            <w:pPr>
              <w:pStyle w:val="11"/>
              <w:spacing w:before="22" w:line="240" w:lineRule="auto"/>
              <w:ind w:left="11" w:right="7"/>
              <w:rPr>
                <w:sz w:val="24"/>
                <w:szCs w:val="24"/>
              </w:rPr>
            </w:pPr>
            <w:r>
              <w:rPr>
                <w:sz w:val="24"/>
                <w:szCs w:val="24"/>
              </w:rPr>
              <w:t>22</w:t>
            </w:r>
            <w:r>
              <w:rPr>
                <w:spacing w:val="-2"/>
                <w:sz w:val="24"/>
                <w:szCs w:val="24"/>
              </w:rPr>
              <w:t xml:space="preserve"> (15,6%)</w:t>
            </w:r>
          </w:p>
        </w:tc>
        <w:tc>
          <w:tcPr>
            <w:tcW w:w="1275" w:type="dxa"/>
          </w:tcPr>
          <w:p w14:paraId="1635FFD6">
            <w:pPr>
              <w:pStyle w:val="11"/>
              <w:spacing w:before="22" w:line="240" w:lineRule="auto"/>
              <w:ind w:left="117" w:right="109"/>
              <w:rPr>
                <w:sz w:val="24"/>
                <w:szCs w:val="24"/>
              </w:rPr>
            </w:pPr>
            <w:r>
              <w:rPr>
                <w:spacing w:val="-2"/>
                <w:sz w:val="24"/>
                <w:szCs w:val="24"/>
              </w:rPr>
              <w:t>0,008</w:t>
            </w:r>
            <w:r>
              <w:rPr>
                <w:spacing w:val="-2"/>
                <w:sz w:val="24"/>
                <w:szCs w:val="24"/>
                <w:vertAlign w:val="superscript"/>
              </w:rPr>
              <w:t>**</w:t>
            </w:r>
          </w:p>
        </w:tc>
      </w:tr>
      <w:tr w14:paraId="45B62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522" w:type="dxa"/>
          </w:tcPr>
          <w:p w14:paraId="2F4D31DC">
            <w:pPr>
              <w:pStyle w:val="11"/>
              <w:spacing w:before="16" w:line="240" w:lineRule="auto"/>
              <w:ind w:left="110"/>
              <w:jc w:val="left"/>
              <w:rPr>
                <w:sz w:val="24"/>
                <w:szCs w:val="24"/>
              </w:rPr>
            </w:pPr>
            <w:r>
              <w:rPr>
                <w:sz w:val="24"/>
                <w:szCs w:val="24"/>
              </w:rPr>
              <w:t xml:space="preserve"> Степень</w:t>
            </w:r>
            <w:r>
              <w:rPr>
                <w:spacing w:val="-13"/>
                <w:sz w:val="24"/>
                <w:szCs w:val="24"/>
              </w:rPr>
              <w:t xml:space="preserve">       </w:t>
            </w:r>
            <w:r>
              <w:rPr>
                <w:spacing w:val="-10"/>
                <w:sz w:val="24"/>
                <w:szCs w:val="24"/>
              </w:rPr>
              <w:t>С</w:t>
            </w:r>
          </w:p>
        </w:tc>
        <w:tc>
          <w:tcPr>
            <w:tcW w:w="2401" w:type="dxa"/>
          </w:tcPr>
          <w:p w14:paraId="3F7E9A91">
            <w:pPr>
              <w:pStyle w:val="11"/>
              <w:spacing w:before="16" w:line="240" w:lineRule="auto"/>
              <w:ind w:left="9"/>
              <w:rPr>
                <w:sz w:val="24"/>
                <w:szCs w:val="24"/>
              </w:rPr>
            </w:pPr>
            <w:r>
              <w:rPr>
                <w:sz w:val="24"/>
                <w:szCs w:val="24"/>
              </w:rPr>
              <w:t>11</w:t>
            </w:r>
            <w:r>
              <w:rPr>
                <w:spacing w:val="-2"/>
                <w:sz w:val="24"/>
                <w:szCs w:val="24"/>
              </w:rPr>
              <w:t xml:space="preserve"> (6,2%)</w:t>
            </w:r>
          </w:p>
        </w:tc>
        <w:tc>
          <w:tcPr>
            <w:tcW w:w="2441" w:type="dxa"/>
          </w:tcPr>
          <w:p w14:paraId="76FC77C0">
            <w:pPr>
              <w:pStyle w:val="11"/>
              <w:spacing w:before="16" w:line="240" w:lineRule="auto"/>
              <w:ind w:left="11" w:right="7"/>
              <w:rPr>
                <w:sz w:val="24"/>
                <w:szCs w:val="24"/>
              </w:rPr>
            </w:pPr>
            <w:r>
              <w:rPr>
                <w:sz w:val="24"/>
                <w:szCs w:val="24"/>
              </w:rPr>
              <w:t>2</w:t>
            </w:r>
            <w:r>
              <w:rPr>
                <w:spacing w:val="-1"/>
                <w:sz w:val="24"/>
                <w:szCs w:val="24"/>
              </w:rPr>
              <w:t xml:space="preserve"> </w:t>
            </w:r>
            <w:r>
              <w:rPr>
                <w:spacing w:val="-2"/>
                <w:sz w:val="24"/>
                <w:szCs w:val="24"/>
              </w:rPr>
              <w:t>(1,4%)</w:t>
            </w:r>
          </w:p>
        </w:tc>
        <w:tc>
          <w:tcPr>
            <w:tcW w:w="1275" w:type="dxa"/>
          </w:tcPr>
          <w:p w14:paraId="4E8B011A">
            <w:pPr>
              <w:pStyle w:val="11"/>
              <w:spacing w:before="16" w:line="240" w:lineRule="auto"/>
              <w:ind w:left="122" w:right="109"/>
              <w:rPr>
                <w:sz w:val="24"/>
                <w:szCs w:val="24"/>
              </w:rPr>
            </w:pPr>
            <w:r>
              <w:rPr>
                <w:spacing w:val="-2"/>
                <w:sz w:val="24"/>
                <w:szCs w:val="24"/>
              </w:rPr>
              <w:t>0,044</w:t>
            </w:r>
            <w:r>
              <w:rPr>
                <w:spacing w:val="-2"/>
                <w:sz w:val="24"/>
                <w:szCs w:val="24"/>
                <w:vertAlign w:val="superscript"/>
              </w:rPr>
              <w:t>*</w:t>
            </w:r>
          </w:p>
        </w:tc>
      </w:tr>
      <w:tr w14:paraId="36404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639" w:type="dxa"/>
            <w:gridSpan w:val="4"/>
          </w:tcPr>
          <w:p w14:paraId="259DEAAA">
            <w:pPr>
              <w:pStyle w:val="11"/>
              <w:spacing w:line="240" w:lineRule="auto"/>
              <w:ind w:left="110" w:firstLine="599"/>
              <w:jc w:val="both"/>
              <w:rPr>
                <w:sz w:val="24"/>
                <w:szCs w:val="24"/>
              </w:rPr>
            </w:pPr>
            <w:r>
              <w:rPr>
                <w:sz w:val="24"/>
                <w:szCs w:val="24"/>
              </w:rPr>
              <w:t>Примечание:</w:t>
            </w:r>
            <w:r>
              <w:rPr>
                <w:sz w:val="24"/>
                <w:szCs w:val="24"/>
                <w:lang w:val="kk-KZ"/>
              </w:rPr>
              <w:t xml:space="preserve"> </w:t>
            </w:r>
            <w:r>
              <w:rPr>
                <w:sz w:val="24"/>
                <w:szCs w:val="24"/>
              </w:rPr>
              <w:t>Категориальные</w:t>
            </w:r>
            <w:r>
              <w:rPr>
                <w:spacing w:val="-2"/>
                <w:sz w:val="24"/>
                <w:szCs w:val="24"/>
              </w:rPr>
              <w:t xml:space="preserve"> </w:t>
            </w:r>
            <w:r>
              <w:rPr>
                <w:sz w:val="24"/>
                <w:szCs w:val="24"/>
              </w:rPr>
              <w:t>данные</w:t>
            </w:r>
            <w:r>
              <w:rPr>
                <w:spacing w:val="-7"/>
                <w:sz w:val="24"/>
                <w:szCs w:val="24"/>
              </w:rPr>
              <w:t xml:space="preserve"> </w:t>
            </w:r>
            <w:r>
              <w:rPr>
                <w:sz w:val="24"/>
                <w:szCs w:val="24"/>
              </w:rPr>
              <w:t>представлены</w:t>
            </w:r>
            <w:r>
              <w:rPr>
                <w:spacing w:val="-4"/>
                <w:sz w:val="24"/>
                <w:szCs w:val="24"/>
              </w:rPr>
              <w:t xml:space="preserve"> </w:t>
            </w:r>
            <w:r>
              <w:rPr>
                <w:sz w:val="24"/>
                <w:szCs w:val="24"/>
              </w:rPr>
              <w:t>как</w:t>
            </w:r>
            <w:r>
              <w:rPr>
                <w:spacing w:val="-3"/>
                <w:sz w:val="24"/>
                <w:szCs w:val="24"/>
              </w:rPr>
              <w:t xml:space="preserve"> </w:t>
            </w:r>
            <w:r>
              <w:rPr>
                <w:sz w:val="24"/>
                <w:szCs w:val="24"/>
              </w:rPr>
              <w:t>абсолютные</w:t>
            </w:r>
            <w:r>
              <w:rPr>
                <w:spacing w:val="-2"/>
                <w:sz w:val="24"/>
                <w:szCs w:val="24"/>
              </w:rPr>
              <w:t xml:space="preserve"> </w:t>
            </w:r>
            <w:r>
              <w:rPr>
                <w:sz w:val="24"/>
                <w:szCs w:val="24"/>
              </w:rPr>
              <w:t>значения</w:t>
            </w:r>
            <w:r>
              <w:rPr>
                <w:spacing w:val="-6"/>
                <w:sz w:val="24"/>
                <w:szCs w:val="24"/>
              </w:rPr>
              <w:t xml:space="preserve"> </w:t>
            </w:r>
            <w:r>
              <w:rPr>
                <w:sz w:val="24"/>
                <w:szCs w:val="24"/>
              </w:rPr>
              <w:t>и</w:t>
            </w:r>
            <w:r>
              <w:rPr>
                <w:spacing w:val="-5"/>
                <w:sz w:val="24"/>
                <w:szCs w:val="24"/>
              </w:rPr>
              <w:t xml:space="preserve"> </w:t>
            </w:r>
            <w:r>
              <w:rPr>
                <w:sz w:val="24"/>
                <w:szCs w:val="24"/>
              </w:rPr>
              <w:t>проценты —</w:t>
            </w:r>
            <w:r>
              <w:rPr>
                <w:spacing w:val="-6"/>
                <w:sz w:val="24"/>
                <w:szCs w:val="24"/>
              </w:rPr>
              <w:t xml:space="preserve"> </w:t>
            </w:r>
            <w:r>
              <w:rPr>
                <w:sz w:val="24"/>
                <w:szCs w:val="24"/>
              </w:rPr>
              <w:t>n</w:t>
            </w:r>
            <w:r>
              <w:rPr>
                <w:spacing w:val="-6"/>
                <w:sz w:val="24"/>
                <w:szCs w:val="24"/>
              </w:rPr>
              <w:t xml:space="preserve"> </w:t>
            </w:r>
            <w:r>
              <w:rPr>
                <w:sz w:val="24"/>
                <w:szCs w:val="24"/>
              </w:rPr>
              <w:t>(%).*</w:t>
            </w:r>
            <w:r>
              <w:rPr>
                <w:spacing w:val="-1"/>
                <w:sz w:val="24"/>
                <w:szCs w:val="24"/>
              </w:rPr>
              <w:t xml:space="preserve"> </w:t>
            </w:r>
            <w:r>
              <w:rPr>
                <w:sz w:val="24"/>
                <w:szCs w:val="24"/>
              </w:rPr>
              <w:t>p</w:t>
            </w:r>
            <w:r>
              <w:rPr>
                <w:spacing w:val="-6"/>
                <w:sz w:val="24"/>
                <w:szCs w:val="24"/>
              </w:rPr>
              <w:t xml:space="preserve"> </w:t>
            </w:r>
            <w:r>
              <w:rPr>
                <w:sz w:val="24"/>
                <w:szCs w:val="24"/>
              </w:rPr>
              <w:t>&lt; 0,05, ** p &lt; 0,01, *** p &lt; 0,001. Для сравнения категориальных переменных применён точный критерий Фишера. Для сравнения распределения ПС по степеням (A/B/C) между</w:t>
            </w:r>
            <w:r>
              <w:rPr>
                <w:sz w:val="24"/>
                <w:szCs w:val="24"/>
                <w:lang w:val="kk-KZ"/>
              </w:rPr>
              <w:t xml:space="preserve"> </w:t>
            </w:r>
            <w:r>
              <w:rPr>
                <w:sz w:val="24"/>
                <w:szCs w:val="24"/>
              </w:rPr>
              <w:t>группами</w:t>
            </w:r>
            <w:r>
              <w:rPr>
                <w:spacing w:val="-3"/>
                <w:sz w:val="24"/>
                <w:szCs w:val="24"/>
              </w:rPr>
              <w:t xml:space="preserve"> </w:t>
            </w:r>
            <w:r>
              <w:rPr>
                <w:sz w:val="24"/>
                <w:szCs w:val="24"/>
              </w:rPr>
              <w:t>использован</w:t>
            </w:r>
            <w:r>
              <w:rPr>
                <w:spacing w:val="-3"/>
                <w:sz w:val="24"/>
                <w:szCs w:val="24"/>
              </w:rPr>
              <w:t xml:space="preserve"> </w:t>
            </w:r>
            <w:r>
              <w:rPr>
                <w:sz w:val="24"/>
                <w:szCs w:val="24"/>
              </w:rPr>
              <w:t>χ²-критерий</w:t>
            </w:r>
            <w:r>
              <w:rPr>
                <w:spacing w:val="-6"/>
                <w:sz w:val="24"/>
                <w:szCs w:val="24"/>
              </w:rPr>
              <w:t xml:space="preserve"> </w:t>
            </w:r>
            <w:r>
              <w:rPr>
                <w:spacing w:val="-2"/>
                <w:sz w:val="24"/>
                <w:szCs w:val="24"/>
              </w:rPr>
              <w:t>Пирсона.</w:t>
            </w:r>
          </w:p>
        </w:tc>
      </w:tr>
    </w:tbl>
    <w:p w14:paraId="5A0743F2">
      <w:pPr>
        <w:pStyle w:val="7"/>
        <w:spacing w:before="248"/>
        <w:ind w:left="0" w:firstLine="709"/>
      </w:pPr>
      <w:r>
        <w:t>Анализ</w:t>
      </w:r>
      <w:r>
        <w:rPr>
          <w:spacing w:val="-6"/>
        </w:rPr>
        <w:t xml:space="preserve"> </w:t>
      </w:r>
      <w:r>
        <w:t>распределения</w:t>
      </w:r>
      <w:r>
        <w:rPr>
          <w:spacing w:val="-6"/>
        </w:rPr>
        <w:t xml:space="preserve"> </w:t>
      </w:r>
      <w:r>
        <w:t>ПС</w:t>
      </w:r>
      <w:r>
        <w:rPr>
          <w:spacing w:val="-6"/>
        </w:rPr>
        <w:t xml:space="preserve"> </w:t>
      </w:r>
      <w:r>
        <w:t>по</w:t>
      </w:r>
      <w:r>
        <w:rPr>
          <w:spacing w:val="-7"/>
        </w:rPr>
        <w:t xml:space="preserve"> </w:t>
      </w:r>
      <w:r>
        <w:t>степеням</w:t>
      </w:r>
      <w:r>
        <w:rPr>
          <w:spacing w:val="-5"/>
        </w:rPr>
        <w:t xml:space="preserve"> </w:t>
      </w:r>
      <w:r>
        <w:t>тяжести</w:t>
      </w:r>
      <w:r>
        <w:rPr>
          <w:spacing w:val="-7"/>
        </w:rPr>
        <w:t xml:space="preserve"> </w:t>
      </w:r>
      <w:r>
        <w:t>также</w:t>
      </w:r>
      <w:r>
        <w:rPr>
          <w:spacing w:val="-6"/>
        </w:rPr>
        <w:t xml:space="preserve"> </w:t>
      </w:r>
      <w:r>
        <w:t>выявил</w:t>
      </w:r>
      <w:r>
        <w:rPr>
          <w:spacing w:val="-7"/>
        </w:rPr>
        <w:t xml:space="preserve"> </w:t>
      </w:r>
      <w:r>
        <w:t>существенные различия</w:t>
      </w:r>
      <w:r>
        <w:rPr>
          <w:spacing w:val="27"/>
        </w:rPr>
        <w:t xml:space="preserve"> </w:t>
      </w:r>
      <w:r>
        <w:t>между</w:t>
      </w:r>
      <w:r>
        <w:rPr>
          <w:spacing w:val="21"/>
        </w:rPr>
        <w:t xml:space="preserve"> </w:t>
      </w:r>
      <w:r>
        <w:t>группами.</w:t>
      </w:r>
      <w:r>
        <w:rPr>
          <w:spacing w:val="33"/>
        </w:rPr>
        <w:t xml:space="preserve"> </w:t>
      </w:r>
      <w:r>
        <w:t>В</w:t>
      </w:r>
      <w:r>
        <w:rPr>
          <w:spacing w:val="22"/>
        </w:rPr>
        <w:t xml:space="preserve"> </w:t>
      </w:r>
      <w:r>
        <w:t>группе</w:t>
      </w:r>
      <w:r>
        <w:rPr>
          <w:spacing w:val="27"/>
        </w:rPr>
        <w:t xml:space="preserve"> </w:t>
      </w:r>
      <w:r>
        <w:t>стандартного</w:t>
      </w:r>
      <w:r>
        <w:rPr>
          <w:spacing w:val="27"/>
        </w:rPr>
        <w:t xml:space="preserve"> </w:t>
      </w:r>
      <w:r>
        <w:t>анастомоза</w:t>
      </w:r>
      <w:r>
        <w:rPr>
          <w:spacing w:val="31"/>
        </w:rPr>
        <w:t xml:space="preserve"> </w:t>
      </w:r>
      <w:r>
        <w:t>частота</w:t>
      </w:r>
      <w:r>
        <w:rPr>
          <w:spacing w:val="27"/>
        </w:rPr>
        <w:t xml:space="preserve"> </w:t>
      </w:r>
      <w:r>
        <w:rPr>
          <w:spacing w:val="-2"/>
        </w:rPr>
        <w:t>свищей</w:t>
      </w:r>
      <w:r>
        <w:t xml:space="preserve"> степени A составила 19,5%, степени B — 23,0%, степени C — 6,2%. В группе модифицированного анастомоза соответствующие показатели составили 7,8%, 14,2% и 1,4% соответственно. Различия в распределении степеней ПС между группами были статистически значимыми (p = 0,012).</w:t>
      </w:r>
    </w:p>
    <w:p w14:paraId="63C68D2E">
      <w:pPr>
        <w:pStyle w:val="7"/>
        <w:spacing w:before="4"/>
        <w:ind w:left="0" w:right="3" w:firstLine="709"/>
      </w:pPr>
      <w:r>
        <w:t>Дополнительно отмечено достоверное уменьшение частоты наиболее тяжёлой</w:t>
      </w:r>
      <w:r>
        <w:rPr>
          <w:spacing w:val="-17"/>
        </w:rPr>
        <w:t xml:space="preserve"> </w:t>
      </w:r>
      <w:r>
        <w:t>формы</w:t>
      </w:r>
      <w:r>
        <w:rPr>
          <w:spacing w:val="-16"/>
        </w:rPr>
        <w:t xml:space="preserve"> </w:t>
      </w:r>
      <w:r>
        <w:t>осложнения</w:t>
      </w:r>
      <w:r>
        <w:rPr>
          <w:spacing w:val="-13"/>
        </w:rPr>
        <w:t xml:space="preserve"> </w:t>
      </w:r>
      <w:r>
        <w:t>—</w:t>
      </w:r>
      <w:r>
        <w:rPr>
          <w:spacing w:val="-16"/>
        </w:rPr>
        <w:t xml:space="preserve"> </w:t>
      </w:r>
      <w:r>
        <w:t>ПС</w:t>
      </w:r>
      <w:r>
        <w:rPr>
          <w:spacing w:val="-15"/>
        </w:rPr>
        <w:t xml:space="preserve"> </w:t>
      </w:r>
      <w:r>
        <w:t>степени</w:t>
      </w:r>
      <w:r>
        <w:rPr>
          <w:spacing w:val="-16"/>
        </w:rPr>
        <w:t xml:space="preserve"> </w:t>
      </w:r>
      <w:r>
        <w:t>C.</w:t>
      </w:r>
      <w:r>
        <w:rPr>
          <w:spacing w:val="-18"/>
        </w:rPr>
        <w:t xml:space="preserve"> </w:t>
      </w:r>
      <w:r>
        <w:t>В</w:t>
      </w:r>
      <w:r>
        <w:rPr>
          <w:spacing w:val="-17"/>
        </w:rPr>
        <w:t xml:space="preserve"> </w:t>
      </w:r>
      <w:r>
        <w:t>группе</w:t>
      </w:r>
      <w:r>
        <w:rPr>
          <w:spacing w:val="-16"/>
        </w:rPr>
        <w:t xml:space="preserve"> </w:t>
      </w:r>
      <w:r>
        <w:t>стандартного</w:t>
      </w:r>
      <w:r>
        <w:rPr>
          <w:spacing w:val="-16"/>
        </w:rPr>
        <w:t xml:space="preserve"> </w:t>
      </w:r>
      <w:r>
        <w:t>анастомоза данный показатель составил 6,2% (11 случаев), тогда как в группе модифицированного анастомоза — 1,4% (2 случая), различия статистически значимы (p = 0,044).</w:t>
      </w:r>
    </w:p>
    <w:p w14:paraId="5322F7A0">
      <w:pPr>
        <w:pStyle w:val="7"/>
        <w:spacing w:before="109"/>
        <w:ind w:left="0" w:firstLine="0"/>
        <w:jc w:val="left"/>
        <w:rPr>
          <w:sz w:val="20"/>
        </w:rPr>
      </w:pPr>
      <w:r>
        <w:rPr>
          <w:sz w:val="20"/>
          <w:lang w:eastAsia="ru-RU"/>
        </w:rPr>
        <w:drawing>
          <wp:anchor distT="0" distB="0" distL="0" distR="0" simplePos="0" relativeHeight="251697152" behindDoc="1" locked="0" layoutInCell="1" allowOverlap="1">
            <wp:simplePos x="0" y="0"/>
            <wp:positionH relativeFrom="page">
              <wp:posOffset>1823085</wp:posOffset>
            </wp:positionH>
            <wp:positionV relativeFrom="paragraph">
              <wp:posOffset>230505</wp:posOffset>
            </wp:positionV>
            <wp:extent cx="4598035" cy="3132455"/>
            <wp:effectExtent l="0" t="0" r="0" b="0"/>
            <wp:wrapTopAndBottom/>
            <wp:docPr id="201" name="Image 201" descr="C:\Users\03xo-ord3-2025\Downloads\output (4).png"/>
            <wp:cNvGraphicFramePr/>
            <a:graphic xmlns:a="http://schemas.openxmlformats.org/drawingml/2006/main">
              <a:graphicData uri="http://schemas.openxmlformats.org/drawingml/2006/picture">
                <pic:pic xmlns:pic="http://schemas.openxmlformats.org/drawingml/2006/picture">
                  <pic:nvPicPr>
                    <pic:cNvPr id="201" name="Image 201" descr="C:\Users\03xo-ord3-2025\Downloads\output (4).png"/>
                    <pic:cNvPicPr/>
                  </pic:nvPicPr>
                  <pic:blipFill>
                    <a:blip r:embed="rId67" cstate="print"/>
                    <a:stretch>
                      <a:fillRect/>
                    </a:stretch>
                  </pic:blipFill>
                  <pic:spPr>
                    <a:xfrm>
                      <a:off x="0" y="0"/>
                      <a:ext cx="4598035" cy="3132455"/>
                    </a:xfrm>
                    <a:prstGeom prst="rect">
                      <a:avLst/>
                    </a:prstGeom>
                  </pic:spPr>
                </pic:pic>
              </a:graphicData>
            </a:graphic>
          </wp:anchor>
        </w:drawing>
      </w:r>
    </w:p>
    <w:p w14:paraId="7F828DC3">
      <w:pPr>
        <w:pStyle w:val="7"/>
        <w:spacing w:before="132"/>
        <w:ind w:left="0" w:firstLine="0"/>
        <w:jc w:val="left"/>
      </w:pPr>
    </w:p>
    <w:p w14:paraId="4E856D79">
      <w:pPr>
        <w:pStyle w:val="7"/>
        <w:ind w:left="0" w:firstLine="0"/>
        <w:jc w:val="center"/>
        <w:rPr>
          <w:lang w:val="kk-KZ"/>
        </w:rPr>
      </w:pPr>
      <w:r>
        <w:t>Рисунок</w:t>
      </w:r>
      <w:r>
        <w:rPr>
          <w:spacing w:val="-7"/>
        </w:rPr>
        <w:t xml:space="preserve"> </w:t>
      </w:r>
      <w:r>
        <w:t>31</w:t>
      </w:r>
      <w:r>
        <w:rPr>
          <w:spacing w:val="-5"/>
        </w:rPr>
        <w:t xml:space="preserve"> </w:t>
      </w:r>
      <w:r>
        <w:t>-</w:t>
      </w:r>
      <w:r>
        <w:rPr>
          <w:spacing w:val="-7"/>
        </w:rPr>
        <w:t xml:space="preserve"> </w:t>
      </w:r>
      <w:r>
        <w:t>Сравнительная</w:t>
      </w:r>
      <w:r>
        <w:rPr>
          <w:spacing w:val="-1"/>
        </w:rPr>
        <w:t xml:space="preserve"> </w:t>
      </w:r>
      <w:r>
        <w:t>характеристика</w:t>
      </w:r>
      <w:r>
        <w:rPr>
          <w:spacing w:val="-5"/>
        </w:rPr>
        <w:t xml:space="preserve"> </w:t>
      </w:r>
      <w:r>
        <w:t>частоты</w:t>
      </w:r>
      <w:r>
        <w:rPr>
          <w:spacing w:val="-6"/>
        </w:rPr>
        <w:t xml:space="preserve"> </w:t>
      </w:r>
      <w:r>
        <w:t>и</w:t>
      </w:r>
      <w:r>
        <w:rPr>
          <w:spacing w:val="-6"/>
        </w:rPr>
        <w:t xml:space="preserve"> </w:t>
      </w:r>
      <w:r>
        <w:t>структуры</w:t>
      </w:r>
      <w:r>
        <w:rPr>
          <w:spacing w:val="-2"/>
        </w:rPr>
        <w:t xml:space="preserve"> </w:t>
      </w:r>
      <w:r>
        <w:t>ПС</w:t>
      </w:r>
      <w:r>
        <w:rPr>
          <w:spacing w:val="-5"/>
        </w:rPr>
        <w:t xml:space="preserve"> </w:t>
      </w:r>
      <w:r>
        <w:t>после ГПДР при стандартном и модифицированном ПЕА</w:t>
      </w:r>
    </w:p>
    <w:p w14:paraId="6FC589B4">
      <w:pPr>
        <w:pStyle w:val="7"/>
        <w:ind w:left="1134" w:hanging="720"/>
        <w:jc w:val="center"/>
      </w:pPr>
    </w:p>
    <w:p w14:paraId="0840BAED">
      <w:pPr>
        <w:pStyle w:val="7"/>
        <w:ind w:left="0" w:right="3" w:firstLine="709"/>
      </w:pPr>
      <w:r>
        <w:t>Особое</w:t>
      </w:r>
      <w:r>
        <w:rPr>
          <w:spacing w:val="-6"/>
        </w:rPr>
        <w:t xml:space="preserve"> </w:t>
      </w:r>
      <w:r>
        <w:t>клиническое</w:t>
      </w:r>
      <w:r>
        <w:rPr>
          <w:spacing w:val="-1"/>
        </w:rPr>
        <w:t xml:space="preserve"> </w:t>
      </w:r>
      <w:r>
        <w:t>значение</w:t>
      </w:r>
      <w:r>
        <w:rPr>
          <w:spacing w:val="-1"/>
        </w:rPr>
        <w:t xml:space="preserve"> </w:t>
      </w:r>
      <w:r>
        <w:t>имеет</w:t>
      </w:r>
      <w:r>
        <w:rPr>
          <w:spacing w:val="-4"/>
        </w:rPr>
        <w:t xml:space="preserve"> </w:t>
      </w:r>
      <w:r>
        <w:t>снижение</w:t>
      </w:r>
      <w:r>
        <w:rPr>
          <w:spacing w:val="-1"/>
        </w:rPr>
        <w:t xml:space="preserve"> </w:t>
      </w:r>
      <w:r>
        <w:t>частоты</w:t>
      </w:r>
      <w:r>
        <w:rPr>
          <w:spacing w:val="-2"/>
        </w:rPr>
        <w:t xml:space="preserve"> </w:t>
      </w:r>
      <w:r>
        <w:t>КЗ-ПС</w:t>
      </w:r>
      <w:r>
        <w:rPr>
          <w:spacing w:val="-1"/>
        </w:rPr>
        <w:t xml:space="preserve"> </w:t>
      </w:r>
      <w:r>
        <w:t>степени</w:t>
      </w:r>
      <w:r>
        <w:rPr>
          <w:spacing w:val="-2"/>
        </w:rPr>
        <w:t xml:space="preserve"> </w:t>
      </w:r>
      <w:r>
        <w:t>B/C. В группе стандартного анастомоза КЗ-ПС зарегистрированы у 52 пациентов (29,0%), тогда как при применении модифицированной техники — у 22 пациентов (15,6%). Данное снижение оказалось статистически значимым (p = 0,008), что указывает на выраженный профилактический эффект модифицированной методики.</w:t>
      </w:r>
    </w:p>
    <w:p w14:paraId="364FC561">
      <w:pPr>
        <w:pStyle w:val="7"/>
        <w:spacing w:before="2"/>
        <w:ind w:left="0" w:right="3" w:firstLine="709"/>
        <w:jc w:val="left"/>
      </w:pPr>
    </w:p>
    <w:p w14:paraId="2D53E551">
      <w:pPr>
        <w:pStyle w:val="7"/>
        <w:ind w:left="426" w:hanging="424"/>
      </w:pPr>
      <w:r>
        <w:t>Таблица</w:t>
      </w:r>
      <w:r>
        <w:rPr>
          <w:spacing w:val="-5"/>
        </w:rPr>
        <w:t xml:space="preserve"> </w:t>
      </w:r>
      <w:r>
        <w:t>27</w:t>
      </w:r>
      <w:r>
        <w:rPr>
          <w:spacing w:val="-4"/>
        </w:rPr>
        <w:t xml:space="preserve"> </w:t>
      </w:r>
      <w:r>
        <w:t>-</w:t>
      </w:r>
      <w:r>
        <w:rPr>
          <w:spacing w:val="-6"/>
        </w:rPr>
        <w:t xml:space="preserve"> </w:t>
      </w:r>
      <w:r>
        <w:t>Взаимосвязь</w:t>
      </w:r>
      <w:r>
        <w:rPr>
          <w:spacing w:val="-7"/>
        </w:rPr>
        <w:t xml:space="preserve"> </w:t>
      </w:r>
      <w:r>
        <w:t>между</w:t>
      </w:r>
      <w:r>
        <w:rPr>
          <w:spacing w:val="-9"/>
        </w:rPr>
        <w:t xml:space="preserve"> </w:t>
      </w:r>
      <w:r>
        <w:t>методом</w:t>
      </w:r>
      <w:r>
        <w:rPr>
          <w:spacing w:val="-4"/>
        </w:rPr>
        <w:t xml:space="preserve"> </w:t>
      </w:r>
      <w:r>
        <w:t>ПЕА</w:t>
      </w:r>
      <w:r>
        <w:rPr>
          <w:spacing w:val="-10"/>
        </w:rPr>
        <w:t xml:space="preserve"> </w:t>
      </w:r>
      <w:r>
        <w:t>и</w:t>
      </w:r>
      <w:r>
        <w:rPr>
          <w:spacing w:val="-6"/>
        </w:rPr>
        <w:t xml:space="preserve"> </w:t>
      </w:r>
      <w:r>
        <w:t>консистенцией</w:t>
      </w:r>
      <w:r>
        <w:rPr>
          <w:spacing w:val="-6"/>
        </w:rPr>
        <w:t xml:space="preserve"> </w:t>
      </w:r>
      <w:r>
        <w:rPr>
          <w:spacing w:val="-5"/>
        </w:rPr>
        <w:t>ПЖ</w:t>
      </w:r>
    </w:p>
    <w:p w14:paraId="06912E6B">
      <w:pPr>
        <w:pStyle w:val="7"/>
        <w:spacing w:before="98" w:after="1"/>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5"/>
        <w:gridCol w:w="1134"/>
        <w:gridCol w:w="1701"/>
        <w:gridCol w:w="1276"/>
        <w:gridCol w:w="1417"/>
        <w:gridCol w:w="1134"/>
        <w:gridCol w:w="992"/>
      </w:tblGrid>
      <w:tr w14:paraId="3E3A1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119" w:type="dxa"/>
            <w:gridSpan w:val="2"/>
            <w:vMerge w:val="restart"/>
          </w:tcPr>
          <w:p w14:paraId="0AAE781F">
            <w:pPr>
              <w:pStyle w:val="11"/>
              <w:spacing w:line="315" w:lineRule="exact"/>
              <w:ind w:left="110"/>
              <w:jc w:val="left"/>
              <w:rPr>
                <w:sz w:val="28"/>
              </w:rPr>
            </w:pPr>
            <w:r>
              <w:rPr>
                <w:sz w:val="28"/>
              </w:rPr>
              <w:t>Поджелудочная</w:t>
            </w:r>
            <w:r>
              <w:rPr>
                <w:spacing w:val="-15"/>
                <w:sz w:val="28"/>
              </w:rPr>
              <w:t xml:space="preserve"> </w:t>
            </w:r>
            <w:r>
              <w:rPr>
                <w:spacing w:val="-2"/>
                <w:sz w:val="28"/>
              </w:rPr>
              <w:t>железа</w:t>
            </w:r>
          </w:p>
        </w:tc>
        <w:tc>
          <w:tcPr>
            <w:tcW w:w="5528" w:type="dxa"/>
            <w:gridSpan w:val="4"/>
          </w:tcPr>
          <w:p w14:paraId="6242E80B">
            <w:pPr>
              <w:pStyle w:val="11"/>
              <w:spacing w:line="301" w:lineRule="exact"/>
              <w:ind w:left="14"/>
              <w:rPr>
                <w:sz w:val="28"/>
              </w:rPr>
            </w:pPr>
            <w:r>
              <w:rPr>
                <w:sz w:val="28"/>
              </w:rPr>
              <w:t>Тип</w:t>
            </w:r>
            <w:r>
              <w:rPr>
                <w:spacing w:val="-3"/>
                <w:sz w:val="28"/>
              </w:rPr>
              <w:t xml:space="preserve"> </w:t>
            </w:r>
            <w:r>
              <w:rPr>
                <w:spacing w:val="-5"/>
                <w:sz w:val="28"/>
              </w:rPr>
              <w:t>ПЕА</w:t>
            </w:r>
          </w:p>
        </w:tc>
        <w:tc>
          <w:tcPr>
            <w:tcW w:w="992" w:type="dxa"/>
            <w:vMerge w:val="restart"/>
          </w:tcPr>
          <w:p w14:paraId="3BCCE356">
            <w:pPr>
              <w:pStyle w:val="11"/>
              <w:spacing w:line="315" w:lineRule="exact"/>
              <w:ind w:left="178"/>
              <w:jc w:val="left"/>
              <w:rPr>
                <w:sz w:val="28"/>
              </w:rPr>
            </w:pPr>
            <w:r>
              <w:rPr>
                <w:spacing w:val="-2"/>
                <w:sz w:val="28"/>
              </w:rPr>
              <w:t>Р-value</w:t>
            </w:r>
          </w:p>
        </w:tc>
      </w:tr>
      <w:tr w14:paraId="299D1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3119" w:type="dxa"/>
            <w:gridSpan w:val="2"/>
            <w:vMerge w:val="continue"/>
            <w:tcBorders>
              <w:top w:val="nil"/>
            </w:tcBorders>
          </w:tcPr>
          <w:p w14:paraId="56C23FC5">
            <w:pPr>
              <w:rPr>
                <w:sz w:val="2"/>
                <w:szCs w:val="2"/>
              </w:rPr>
            </w:pPr>
          </w:p>
        </w:tc>
        <w:tc>
          <w:tcPr>
            <w:tcW w:w="2977" w:type="dxa"/>
            <w:gridSpan w:val="2"/>
          </w:tcPr>
          <w:p w14:paraId="75154D31">
            <w:pPr>
              <w:pStyle w:val="11"/>
              <w:spacing w:line="315" w:lineRule="exact"/>
              <w:ind w:left="9" w:right="1"/>
              <w:rPr>
                <w:sz w:val="28"/>
              </w:rPr>
            </w:pPr>
            <w:r>
              <w:rPr>
                <w:spacing w:val="-2"/>
                <w:sz w:val="28"/>
              </w:rPr>
              <w:t>Модифицированный</w:t>
            </w:r>
          </w:p>
          <w:p w14:paraId="4D3F4ED4">
            <w:pPr>
              <w:pStyle w:val="11"/>
              <w:ind w:left="9"/>
              <w:rPr>
                <w:sz w:val="28"/>
              </w:rPr>
            </w:pPr>
            <w:r>
              <w:rPr>
                <w:spacing w:val="-2"/>
                <w:sz w:val="28"/>
              </w:rPr>
              <w:t>n=141</w:t>
            </w:r>
          </w:p>
        </w:tc>
        <w:tc>
          <w:tcPr>
            <w:tcW w:w="2551" w:type="dxa"/>
            <w:gridSpan w:val="2"/>
          </w:tcPr>
          <w:p w14:paraId="10C008F0">
            <w:pPr>
              <w:pStyle w:val="11"/>
              <w:spacing w:line="315" w:lineRule="exact"/>
              <w:ind w:left="1" w:right="1"/>
              <w:rPr>
                <w:sz w:val="28"/>
              </w:rPr>
            </w:pPr>
            <w:r>
              <w:rPr>
                <w:spacing w:val="-2"/>
                <w:sz w:val="28"/>
              </w:rPr>
              <w:t>Стандартный</w:t>
            </w:r>
          </w:p>
          <w:p w14:paraId="3223A493">
            <w:pPr>
              <w:pStyle w:val="11"/>
              <w:ind w:right="1"/>
              <w:rPr>
                <w:sz w:val="28"/>
              </w:rPr>
            </w:pPr>
            <w:r>
              <w:rPr>
                <w:spacing w:val="-2"/>
                <w:sz w:val="28"/>
              </w:rPr>
              <w:t>n=179</w:t>
            </w:r>
          </w:p>
        </w:tc>
        <w:tc>
          <w:tcPr>
            <w:tcW w:w="992" w:type="dxa"/>
            <w:vMerge w:val="continue"/>
            <w:tcBorders>
              <w:top w:val="nil"/>
            </w:tcBorders>
          </w:tcPr>
          <w:p w14:paraId="1C6D5686">
            <w:pPr>
              <w:rPr>
                <w:sz w:val="2"/>
                <w:szCs w:val="2"/>
              </w:rPr>
            </w:pPr>
          </w:p>
        </w:tc>
      </w:tr>
      <w:tr w14:paraId="6993C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119" w:type="dxa"/>
            <w:gridSpan w:val="2"/>
            <w:vMerge w:val="continue"/>
            <w:tcBorders>
              <w:top w:val="nil"/>
            </w:tcBorders>
          </w:tcPr>
          <w:p w14:paraId="09D0C963">
            <w:pPr>
              <w:rPr>
                <w:sz w:val="2"/>
                <w:szCs w:val="2"/>
              </w:rPr>
            </w:pPr>
          </w:p>
        </w:tc>
        <w:tc>
          <w:tcPr>
            <w:tcW w:w="1701" w:type="dxa"/>
          </w:tcPr>
          <w:p w14:paraId="29CA82AE">
            <w:pPr>
              <w:pStyle w:val="11"/>
              <w:spacing w:line="301" w:lineRule="exact"/>
              <w:ind w:left="14"/>
              <w:rPr>
                <w:sz w:val="28"/>
              </w:rPr>
            </w:pPr>
            <w:r>
              <w:rPr>
                <w:spacing w:val="-10"/>
                <w:sz w:val="28"/>
              </w:rPr>
              <w:t>n</w:t>
            </w:r>
          </w:p>
        </w:tc>
        <w:tc>
          <w:tcPr>
            <w:tcW w:w="1276" w:type="dxa"/>
          </w:tcPr>
          <w:p w14:paraId="59040B07">
            <w:pPr>
              <w:pStyle w:val="11"/>
              <w:spacing w:line="301" w:lineRule="exact"/>
              <w:ind w:left="7"/>
              <w:rPr>
                <w:sz w:val="28"/>
              </w:rPr>
            </w:pPr>
            <w:r>
              <w:rPr>
                <w:spacing w:val="-10"/>
                <w:sz w:val="28"/>
              </w:rPr>
              <w:t>%</w:t>
            </w:r>
          </w:p>
        </w:tc>
        <w:tc>
          <w:tcPr>
            <w:tcW w:w="1417" w:type="dxa"/>
          </w:tcPr>
          <w:p w14:paraId="0B27DFC4">
            <w:pPr>
              <w:pStyle w:val="11"/>
              <w:spacing w:line="301" w:lineRule="exact"/>
              <w:ind w:left="6"/>
              <w:rPr>
                <w:sz w:val="28"/>
              </w:rPr>
            </w:pPr>
            <w:r>
              <w:rPr>
                <w:spacing w:val="-10"/>
                <w:sz w:val="28"/>
              </w:rPr>
              <w:t>n</w:t>
            </w:r>
          </w:p>
        </w:tc>
        <w:tc>
          <w:tcPr>
            <w:tcW w:w="1134" w:type="dxa"/>
          </w:tcPr>
          <w:p w14:paraId="13C01BFA">
            <w:pPr>
              <w:pStyle w:val="11"/>
              <w:spacing w:line="301" w:lineRule="exact"/>
              <w:ind w:left="3"/>
              <w:rPr>
                <w:sz w:val="28"/>
              </w:rPr>
            </w:pPr>
            <w:r>
              <w:rPr>
                <w:spacing w:val="-10"/>
                <w:sz w:val="28"/>
              </w:rPr>
              <w:t>%</w:t>
            </w:r>
          </w:p>
        </w:tc>
        <w:tc>
          <w:tcPr>
            <w:tcW w:w="992" w:type="dxa"/>
            <w:vMerge w:val="continue"/>
            <w:tcBorders>
              <w:top w:val="nil"/>
            </w:tcBorders>
          </w:tcPr>
          <w:p w14:paraId="4BFDFB05">
            <w:pPr>
              <w:rPr>
                <w:sz w:val="2"/>
                <w:szCs w:val="2"/>
              </w:rPr>
            </w:pPr>
          </w:p>
        </w:tc>
      </w:tr>
      <w:tr w14:paraId="69298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985" w:type="dxa"/>
          </w:tcPr>
          <w:p w14:paraId="6551E907">
            <w:pPr>
              <w:pStyle w:val="11"/>
              <w:spacing w:line="315" w:lineRule="exact"/>
              <w:ind w:left="143"/>
              <w:jc w:val="left"/>
              <w:rPr>
                <w:sz w:val="28"/>
              </w:rPr>
            </w:pPr>
            <w:r>
              <w:rPr>
                <w:spacing w:val="-2"/>
                <w:sz w:val="28"/>
              </w:rPr>
              <w:t>консистенция</w:t>
            </w:r>
          </w:p>
        </w:tc>
        <w:tc>
          <w:tcPr>
            <w:tcW w:w="1134" w:type="dxa"/>
          </w:tcPr>
          <w:p w14:paraId="1265AEC0">
            <w:pPr>
              <w:pStyle w:val="11"/>
              <w:spacing w:line="315" w:lineRule="exact"/>
              <w:ind w:left="110"/>
              <w:jc w:val="left"/>
              <w:rPr>
                <w:sz w:val="28"/>
              </w:rPr>
            </w:pPr>
            <w:r>
              <w:rPr>
                <w:spacing w:val="-2"/>
                <w:sz w:val="28"/>
              </w:rPr>
              <w:t>мягкая</w:t>
            </w:r>
          </w:p>
        </w:tc>
        <w:tc>
          <w:tcPr>
            <w:tcW w:w="1701" w:type="dxa"/>
          </w:tcPr>
          <w:p w14:paraId="61EDC33B">
            <w:pPr>
              <w:pStyle w:val="11"/>
              <w:spacing w:line="315" w:lineRule="exact"/>
              <w:ind w:left="14" w:right="5"/>
              <w:rPr>
                <w:sz w:val="28"/>
              </w:rPr>
            </w:pPr>
            <w:r>
              <w:rPr>
                <w:spacing w:val="-5"/>
                <w:sz w:val="28"/>
              </w:rPr>
              <w:t>71</w:t>
            </w:r>
          </w:p>
        </w:tc>
        <w:tc>
          <w:tcPr>
            <w:tcW w:w="1276" w:type="dxa"/>
          </w:tcPr>
          <w:p w14:paraId="79679335">
            <w:pPr>
              <w:pStyle w:val="11"/>
              <w:spacing w:line="315" w:lineRule="exact"/>
              <w:ind w:left="7" w:right="1"/>
              <w:rPr>
                <w:sz w:val="28"/>
              </w:rPr>
            </w:pPr>
            <w:r>
              <w:rPr>
                <w:spacing w:val="-2"/>
                <w:sz w:val="28"/>
              </w:rPr>
              <w:t>50,3%</w:t>
            </w:r>
          </w:p>
        </w:tc>
        <w:tc>
          <w:tcPr>
            <w:tcW w:w="1417" w:type="dxa"/>
          </w:tcPr>
          <w:p w14:paraId="15876439">
            <w:pPr>
              <w:pStyle w:val="11"/>
              <w:spacing w:line="315" w:lineRule="exact"/>
              <w:ind w:left="6" w:right="4"/>
              <w:rPr>
                <w:sz w:val="28"/>
              </w:rPr>
            </w:pPr>
            <w:r>
              <w:rPr>
                <w:spacing w:val="-5"/>
                <w:sz w:val="28"/>
              </w:rPr>
              <w:t>92</w:t>
            </w:r>
          </w:p>
        </w:tc>
        <w:tc>
          <w:tcPr>
            <w:tcW w:w="1134" w:type="dxa"/>
          </w:tcPr>
          <w:p w14:paraId="061C9DE0">
            <w:pPr>
              <w:pStyle w:val="11"/>
              <w:spacing w:line="315" w:lineRule="exact"/>
              <w:ind w:left="3"/>
              <w:rPr>
                <w:sz w:val="28"/>
              </w:rPr>
            </w:pPr>
            <w:r>
              <w:rPr>
                <w:spacing w:val="-2"/>
                <w:sz w:val="28"/>
              </w:rPr>
              <w:t>51,4%</w:t>
            </w:r>
          </w:p>
        </w:tc>
        <w:tc>
          <w:tcPr>
            <w:tcW w:w="992" w:type="dxa"/>
            <w:vMerge w:val="restart"/>
          </w:tcPr>
          <w:p w14:paraId="12E15293">
            <w:pPr>
              <w:pStyle w:val="11"/>
              <w:spacing w:line="315" w:lineRule="exact"/>
              <w:ind w:left="293"/>
              <w:jc w:val="left"/>
              <w:rPr>
                <w:sz w:val="28"/>
                <w:vertAlign w:val="superscript"/>
              </w:rPr>
            </w:pPr>
            <w:r>
              <w:rPr>
                <w:spacing w:val="-2"/>
                <w:sz w:val="28"/>
              </w:rPr>
              <w:t>0,86</w:t>
            </w:r>
            <w:r>
              <w:rPr>
                <w:spacing w:val="-2"/>
                <w:sz w:val="28"/>
                <w:vertAlign w:val="superscript"/>
              </w:rPr>
              <w:t>*</w:t>
            </w:r>
          </w:p>
        </w:tc>
      </w:tr>
      <w:tr w14:paraId="145A1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1985" w:type="dxa"/>
          </w:tcPr>
          <w:p w14:paraId="7A2EAE25">
            <w:pPr>
              <w:pStyle w:val="11"/>
              <w:spacing w:line="240" w:lineRule="auto"/>
              <w:jc w:val="left"/>
              <w:rPr>
                <w:sz w:val="26"/>
              </w:rPr>
            </w:pPr>
          </w:p>
        </w:tc>
        <w:tc>
          <w:tcPr>
            <w:tcW w:w="1134" w:type="dxa"/>
          </w:tcPr>
          <w:p w14:paraId="6BDBCDA1">
            <w:pPr>
              <w:pStyle w:val="11"/>
              <w:spacing w:line="315" w:lineRule="exact"/>
              <w:ind w:left="110"/>
              <w:jc w:val="left"/>
              <w:rPr>
                <w:sz w:val="28"/>
              </w:rPr>
            </w:pPr>
            <w:r>
              <w:rPr>
                <w:spacing w:val="-2"/>
                <w:sz w:val="28"/>
              </w:rPr>
              <w:t>плотная</w:t>
            </w:r>
          </w:p>
        </w:tc>
        <w:tc>
          <w:tcPr>
            <w:tcW w:w="1701" w:type="dxa"/>
          </w:tcPr>
          <w:p w14:paraId="6A6C93FE">
            <w:pPr>
              <w:pStyle w:val="11"/>
              <w:spacing w:line="315" w:lineRule="exact"/>
              <w:ind w:left="14" w:right="5"/>
              <w:rPr>
                <w:sz w:val="28"/>
              </w:rPr>
            </w:pPr>
            <w:r>
              <w:rPr>
                <w:spacing w:val="-5"/>
                <w:sz w:val="28"/>
              </w:rPr>
              <w:t>70</w:t>
            </w:r>
          </w:p>
        </w:tc>
        <w:tc>
          <w:tcPr>
            <w:tcW w:w="1276" w:type="dxa"/>
          </w:tcPr>
          <w:p w14:paraId="627676E0">
            <w:pPr>
              <w:pStyle w:val="11"/>
              <w:spacing w:line="315" w:lineRule="exact"/>
              <w:jc w:val="left"/>
              <w:rPr>
                <w:sz w:val="28"/>
              </w:rPr>
            </w:pPr>
            <w:r>
              <w:rPr>
                <w:spacing w:val="-2"/>
                <w:sz w:val="28"/>
              </w:rPr>
              <w:t xml:space="preserve">     49,7%</w:t>
            </w:r>
          </w:p>
        </w:tc>
        <w:tc>
          <w:tcPr>
            <w:tcW w:w="1417" w:type="dxa"/>
          </w:tcPr>
          <w:p w14:paraId="75BB5606">
            <w:pPr>
              <w:pStyle w:val="11"/>
              <w:spacing w:line="315" w:lineRule="exact"/>
              <w:ind w:left="6" w:right="4"/>
              <w:rPr>
                <w:sz w:val="28"/>
              </w:rPr>
            </w:pPr>
            <w:r>
              <w:rPr>
                <w:spacing w:val="-5"/>
                <w:sz w:val="28"/>
              </w:rPr>
              <w:t>87</w:t>
            </w:r>
          </w:p>
        </w:tc>
        <w:tc>
          <w:tcPr>
            <w:tcW w:w="1134" w:type="dxa"/>
          </w:tcPr>
          <w:p w14:paraId="2EE01E8A">
            <w:pPr>
              <w:pStyle w:val="11"/>
              <w:spacing w:line="315" w:lineRule="exact"/>
              <w:ind w:left="274"/>
              <w:jc w:val="left"/>
              <w:rPr>
                <w:sz w:val="28"/>
              </w:rPr>
            </w:pPr>
            <w:r>
              <w:rPr>
                <w:spacing w:val="-2"/>
                <w:sz w:val="28"/>
              </w:rPr>
              <w:t>48,6%</w:t>
            </w:r>
          </w:p>
        </w:tc>
        <w:tc>
          <w:tcPr>
            <w:tcW w:w="992" w:type="dxa"/>
            <w:vMerge w:val="continue"/>
          </w:tcPr>
          <w:p w14:paraId="67005F6F">
            <w:pPr>
              <w:pStyle w:val="11"/>
              <w:spacing w:line="240" w:lineRule="auto"/>
              <w:jc w:val="left"/>
              <w:rPr>
                <w:sz w:val="26"/>
              </w:rPr>
            </w:pPr>
          </w:p>
        </w:tc>
      </w:tr>
      <w:tr w14:paraId="7F802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9639" w:type="dxa"/>
            <w:gridSpan w:val="7"/>
          </w:tcPr>
          <w:p w14:paraId="5EC67B96">
            <w:pPr>
              <w:pStyle w:val="11"/>
              <w:spacing w:line="315" w:lineRule="exact"/>
              <w:ind w:left="110" w:firstLine="604"/>
              <w:jc w:val="left"/>
              <w:rPr>
                <w:sz w:val="28"/>
              </w:rPr>
            </w:pPr>
            <w:r>
              <w:rPr>
                <w:sz w:val="28"/>
              </w:rPr>
              <w:t xml:space="preserve">Примечание: </w:t>
            </w:r>
            <w:r>
              <w:rPr>
                <w:spacing w:val="55"/>
                <w:sz w:val="28"/>
              </w:rPr>
              <w:t xml:space="preserve"> </w:t>
            </w:r>
            <w:r>
              <w:rPr>
                <w:sz w:val="28"/>
              </w:rPr>
              <w:t>χ²-критерий</w:t>
            </w:r>
            <w:r>
              <w:rPr>
                <w:spacing w:val="-5"/>
                <w:sz w:val="28"/>
              </w:rPr>
              <w:t xml:space="preserve"> </w:t>
            </w:r>
            <w:r>
              <w:rPr>
                <w:sz w:val="28"/>
              </w:rPr>
              <w:t>Пирсона</w:t>
            </w:r>
            <w:r>
              <w:rPr>
                <w:spacing w:val="-5"/>
                <w:sz w:val="28"/>
              </w:rPr>
              <w:t xml:space="preserve"> </w:t>
            </w:r>
            <w:r>
              <w:rPr>
                <w:sz w:val="28"/>
              </w:rPr>
              <w:t>(хи-квадрат</w:t>
            </w:r>
            <w:r>
              <w:rPr>
                <w:spacing w:val="-6"/>
                <w:sz w:val="28"/>
              </w:rPr>
              <w:t xml:space="preserve"> </w:t>
            </w:r>
            <w:r>
              <w:rPr>
                <w:spacing w:val="-4"/>
                <w:sz w:val="28"/>
              </w:rPr>
              <w:t>тест).</w:t>
            </w:r>
          </w:p>
        </w:tc>
      </w:tr>
    </w:tbl>
    <w:p w14:paraId="71AA1065">
      <w:pPr>
        <w:pStyle w:val="7"/>
        <w:spacing w:before="8"/>
        <w:ind w:left="0" w:firstLine="0"/>
        <w:jc w:val="left"/>
      </w:pPr>
    </w:p>
    <w:p w14:paraId="2443ECC0">
      <w:pPr>
        <w:pStyle w:val="7"/>
        <w:ind w:left="0" w:right="3" w:firstLine="709"/>
      </w:pPr>
      <w:r>
        <w:t>В таблице 27 представлена корреляция между выбором методики формирования ПЕА и структурными особенностями ПЖ. Анализ данных, представленных в таблице, демонстрирует распределение пациентов по консистенции ПЖ в зависимости от применённого типа ПЕА.</w:t>
      </w:r>
    </w:p>
    <w:p w14:paraId="3D6F129A">
      <w:pPr>
        <w:pStyle w:val="7"/>
        <w:spacing w:before="52"/>
        <w:ind w:left="0" w:firstLine="0"/>
        <w:jc w:val="left"/>
        <w:rPr>
          <w:sz w:val="20"/>
        </w:rPr>
      </w:pPr>
      <w:r>
        <w:rPr>
          <w:sz w:val="20"/>
          <w:lang w:eastAsia="ru-RU"/>
        </w:rPr>
        <w:drawing>
          <wp:anchor distT="0" distB="0" distL="0" distR="0" simplePos="0" relativeHeight="251682816" behindDoc="1" locked="0" layoutInCell="1" allowOverlap="1">
            <wp:simplePos x="0" y="0"/>
            <wp:positionH relativeFrom="page">
              <wp:posOffset>1214120</wp:posOffset>
            </wp:positionH>
            <wp:positionV relativeFrom="paragraph">
              <wp:posOffset>212090</wp:posOffset>
            </wp:positionV>
            <wp:extent cx="5631180" cy="1855470"/>
            <wp:effectExtent l="0" t="0" r="7620" b="0"/>
            <wp:wrapTopAndBottom/>
            <wp:docPr id="202" name="Image 202" descr="C:\Users\UserHome\Downloads\day1_standard_PJA.png"/>
            <wp:cNvGraphicFramePr/>
            <a:graphic xmlns:a="http://schemas.openxmlformats.org/drawingml/2006/main">
              <a:graphicData uri="http://schemas.openxmlformats.org/drawingml/2006/picture">
                <pic:pic xmlns:pic="http://schemas.openxmlformats.org/drawingml/2006/picture">
                  <pic:nvPicPr>
                    <pic:cNvPr id="202" name="Image 202" descr="C:\Users\UserHome\Downloads\day1_standard_PJA.png"/>
                    <pic:cNvPicPr/>
                  </pic:nvPicPr>
                  <pic:blipFill>
                    <a:blip r:embed="rId68" cstate="print"/>
                    <a:stretch>
                      <a:fillRect/>
                    </a:stretch>
                  </pic:blipFill>
                  <pic:spPr>
                    <a:xfrm>
                      <a:off x="0" y="0"/>
                      <a:ext cx="5631180" cy="1855470"/>
                    </a:xfrm>
                    <a:prstGeom prst="rect">
                      <a:avLst/>
                    </a:prstGeom>
                  </pic:spPr>
                </pic:pic>
              </a:graphicData>
            </a:graphic>
          </wp:anchor>
        </w:drawing>
      </w:r>
    </w:p>
    <w:p w14:paraId="69296832">
      <w:pPr>
        <w:pStyle w:val="7"/>
        <w:tabs>
          <w:tab w:val="left" w:pos="4820"/>
        </w:tabs>
        <w:ind w:left="452" w:firstLine="0"/>
        <w:jc w:val="left"/>
        <w:rPr>
          <w:sz w:val="20"/>
        </w:rPr>
      </w:pPr>
      <w:r>
        <w:rPr>
          <w:sz w:val="20"/>
          <w:lang w:eastAsia="ru-RU"/>
        </w:rPr>
        <w:drawing>
          <wp:anchor distT="0" distB="0" distL="0" distR="0" simplePos="0" relativeHeight="251686912" behindDoc="1" locked="0" layoutInCell="1" allowOverlap="1">
            <wp:simplePos x="0" y="0"/>
            <wp:positionH relativeFrom="page">
              <wp:posOffset>1310640</wp:posOffset>
            </wp:positionH>
            <wp:positionV relativeFrom="paragraph">
              <wp:posOffset>2358390</wp:posOffset>
            </wp:positionV>
            <wp:extent cx="5669280" cy="2152015"/>
            <wp:effectExtent l="0" t="0" r="7620" b="635"/>
            <wp:wrapTopAndBottom/>
            <wp:docPr id="204" name="Image 204" descr="C:\Users\UserHome\Downloads\day5_standard_PJA.png"/>
            <wp:cNvGraphicFramePr/>
            <a:graphic xmlns:a="http://schemas.openxmlformats.org/drawingml/2006/main">
              <a:graphicData uri="http://schemas.openxmlformats.org/drawingml/2006/picture">
                <pic:pic xmlns:pic="http://schemas.openxmlformats.org/drawingml/2006/picture">
                  <pic:nvPicPr>
                    <pic:cNvPr id="204" name="Image 204" descr="C:\Users\UserHome\Downloads\day5_standard_PJA.png"/>
                    <pic:cNvPicPr/>
                  </pic:nvPicPr>
                  <pic:blipFill>
                    <a:blip r:embed="rId69" cstate="print"/>
                    <a:stretch>
                      <a:fillRect/>
                    </a:stretch>
                  </pic:blipFill>
                  <pic:spPr>
                    <a:xfrm>
                      <a:off x="0" y="0"/>
                      <a:ext cx="5669280" cy="2152015"/>
                    </a:xfrm>
                    <a:prstGeom prst="rect">
                      <a:avLst/>
                    </a:prstGeom>
                  </pic:spPr>
                </pic:pic>
              </a:graphicData>
            </a:graphic>
          </wp:anchor>
        </w:drawing>
      </w:r>
      <w:r>
        <w:rPr>
          <w:sz w:val="20"/>
          <w:lang w:eastAsia="ru-RU"/>
        </w:rPr>
        <w:drawing>
          <wp:inline distT="0" distB="0" distL="0" distR="0">
            <wp:extent cx="5562600" cy="1910080"/>
            <wp:effectExtent l="0" t="0" r="0" b="0"/>
            <wp:docPr id="203" name="Image 203" descr="C:\Users\UserHome\Downloads\day3_standard_PJA.png"/>
            <wp:cNvGraphicFramePr/>
            <a:graphic xmlns:a="http://schemas.openxmlformats.org/drawingml/2006/main">
              <a:graphicData uri="http://schemas.openxmlformats.org/drawingml/2006/picture">
                <pic:pic xmlns:pic="http://schemas.openxmlformats.org/drawingml/2006/picture">
                  <pic:nvPicPr>
                    <pic:cNvPr id="203" name="Image 203" descr="C:\Users\UserHome\Downloads\day3_standard_PJA.png"/>
                    <pic:cNvPicPr/>
                  </pic:nvPicPr>
                  <pic:blipFill>
                    <a:blip r:embed="rId70" cstate="print"/>
                    <a:stretch>
                      <a:fillRect/>
                    </a:stretch>
                  </pic:blipFill>
                  <pic:spPr>
                    <a:xfrm>
                      <a:off x="0" y="0"/>
                      <a:ext cx="5567880" cy="1912501"/>
                    </a:xfrm>
                    <a:prstGeom prst="rect">
                      <a:avLst/>
                    </a:prstGeom>
                  </pic:spPr>
                </pic:pic>
              </a:graphicData>
            </a:graphic>
          </wp:inline>
        </w:drawing>
      </w:r>
    </w:p>
    <w:p w14:paraId="748F4697">
      <w:pPr>
        <w:pStyle w:val="7"/>
        <w:spacing w:before="91"/>
        <w:ind w:left="0" w:firstLine="0"/>
        <w:jc w:val="left"/>
      </w:pPr>
    </w:p>
    <w:p w14:paraId="3793F56F">
      <w:pPr>
        <w:pStyle w:val="7"/>
        <w:ind w:left="2134" w:firstLine="0"/>
        <w:jc w:val="left"/>
      </w:pPr>
      <w:r>
        <w:t>Рисунок</w:t>
      </w:r>
      <w:r>
        <w:rPr>
          <w:spacing w:val="-6"/>
        </w:rPr>
        <w:t xml:space="preserve"> </w:t>
      </w:r>
      <w:r>
        <w:t>32</w:t>
      </w:r>
      <w:r>
        <w:rPr>
          <w:spacing w:val="-4"/>
        </w:rPr>
        <w:t xml:space="preserve"> </w:t>
      </w:r>
      <w:r>
        <w:t>– ААД</w:t>
      </w:r>
      <w:r>
        <w:rPr>
          <w:spacing w:val="-3"/>
        </w:rPr>
        <w:t xml:space="preserve"> </w:t>
      </w:r>
      <w:r>
        <w:t>на</w:t>
      </w:r>
      <w:r>
        <w:rPr>
          <w:spacing w:val="-4"/>
        </w:rPr>
        <w:t xml:space="preserve"> </w:t>
      </w:r>
      <w:r>
        <w:t>1,</w:t>
      </w:r>
      <w:r>
        <w:rPr>
          <w:spacing w:val="-2"/>
        </w:rPr>
        <w:t xml:space="preserve"> </w:t>
      </w:r>
      <w:r>
        <w:t>3,</w:t>
      </w:r>
      <w:r>
        <w:rPr>
          <w:spacing w:val="-3"/>
        </w:rPr>
        <w:t xml:space="preserve"> </w:t>
      </w:r>
      <w:r>
        <w:t>5</w:t>
      </w:r>
      <w:r>
        <w:rPr>
          <w:spacing w:val="-8"/>
        </w:rPr>
        <w:t xml:space="preserve"> </w:t>
      </w:r>
      <w:r>
        <w:t>сутки</w:t>
      </w:r>
      <w:r>
        <w:rPr>
          <w:spacing w:val="-5"/>
        </w:rPr>
        <w:t xml:space="preserve"> </w:t>
      </w:r>
      <w:r>
        <w:t>при</w:t>
      </w:r>
      <w:r>
        <w:rPr>
          <w:spacing w:val="-5"/>
        </w:rPr>
        <w:t xml:space="preserve"> </w:t>
      </w:r>
      <w:r>
        <w:t xml:space="preserve">стандартной </w:t>
      </w:r>
      <w:r>
        <w:rPr>
          <w:spacing w:val="-5"/>
        </w:rPr>
        <w:t>ПЕА</w:t>
      </w:r>
    </w:p>
    <w:p w14:paraId="423B706D">
      <w:pPr>
        <w:pStyle w:val="7"/>
        <w:spacing w:before="274"/>
        <w:ind w:left="0" w:right="3" w:firstLine="709"/>
      </w:pPr>
      <w:r>
        <w:t>При</w:t>
      </w:r>
      <w:r>
        <w:rPr>
          <w:spacing w:val="-14"/>
        </w:rPr>
        <w:t xml:space="preserve"> </w:t>
      </w:r>
      <w:r>
        <w:t>стандартном</w:t>
      </w:r>
      <w:r>
        <w:rPr>
          <w:spacing w:val="-10"/>
        </w:rPr>
        <w:t xml:space="preserve"> </w:t>
      </w:r>
      <w:r>
        <w:t>ПЕА</w:t>
      </w:r>
      <w:r>
        <w:rPr>
          <w:spacing w:val="-18"/>
        </w:rPr>
        <w:t xml:space="preserve"> </w:t>
      </w:r>
      <w:r>
        <w:t>отмечалась</w:t>
      </w:r>
      <w:r>
        <w:rPr>
          <w:spacing w:val="-16"/>
        </w:rPr>
        <w:t xml:space="preserve"> </w:t>
      </w:r>
      <w:r>
        <w:t>выраженная</w:t>
      </w:r>
      <w:r>
        <w:rPr>
          <w:spacing w:val="-13"/>
        </w:rPr>
        <w:t xml:space="preserve"> </w:t>
      </w:r>
      <w:r>
        <w:t>вариабельность</w:t>
      </w:r>
      <w:r>
        <w:rPr>
          <w:spacing w:val="-13"/>
        </w:rPr>
        <w:t xml:space="preserve"> </w:t>
      </w:r>
      <w:r>
        <w:t>ААД</w:t>
      </w:r>
      <w:r>
        <w:rPr>
          <w:spacing w:val="-8"/>
        </w:rPr>
        <w:t xml:space="preserve"> </w:t>
      </w:r>
      <w:r>
        <w:t>уже</w:t>
      </w:r>
      <w:r>
        <w:rPr>
          <w:spacing w:val="-13"/>
        </w:rPr>
        <w:t xml:space="preserve"> </w:t>
      </w:r>
      <w:r>
        <w:t>на 1-е сутки после операции. У пациентов с мягкой консистенцией ПЖ регистрировались</w:t>
      </w:r>
      <w:r>
        <w:rPr>
          <w:spacing w:val="-2"/>
        </w:rPr>
        <w:t xml:space="preserve"> </w:t>
      </w:r>
      <w:r>
        <w:t>более высокие значения амилазы по сравнению</w:t>
      </w:r>
      <w:r>
        <w:rPr>
          <w:spacing w:val="-2"/>
        </w:rPr>
        <w:t xml:space="preserve"> </w:t>
      </w:r>
      <w:r>
        <w:t>с пациентами с плотной железой, что указывает на повышенную ферментативную нагрузку в зоне анастомоза. В последующие сроки наблюдения (3-и и 5-е сутки) сохранялась тенденция к замедленному снижению ААД, особенно в группе мягкой железы, что отражает менее стабильное заживление анастомоза и потенциально более высокий риск формирования</w:t>
      </w:r>
    </w:p>
    <w:p w14:paraId="7D54DBE9">
      <w:pPr>
        <w:pStyle w:val="7"/>
        <w:ind w:left="142" w:firstLine="0"/>
        <w:jc w:val="left"/>
        <w:rPr>
          <w:sz w:val="20"/>
        </w:rPr>
      </w:pPr>
      <w:r>
        <w:rPr>
          <w:sz w:val="20"/>
          <w:lang w:eastAsia="ru-RU"/>
        </w:rPr>
        <w:drawing>
          <wp:inline distT="0" distB="0" distL="0" distR="0">
            <wp:extent cx="5920740" cy="6598920"/>
            <wp:effectExtent l="0" t="0" r="3810" b="0"/>
            <wp:docPr id="205" name="Image 205" descr="C:\Users\03xo-ord3\Downloads\21324654698.png"/>
            <wp:cNvGraphicFramePr/>
            <a:graphic xmlns:a="http://schemas.openxmlformats.org/drawingml/2006/main">
              <a:graphicData uri="http://schemas.openxmlformats.org/drawingml/2006/picture">
                <pic:pic xmlns:pic="http://schemas.openxmlformats.org/drawingml/2006/picture">
                  <pic:nvPicPr>
                    <pic:cNvPr id="205" name="Image 205" descr="C:\Users\03xo-ord3\Downloads\21324654698.png"/>
                    <pic:cNvPicPr/>
                  </pic:nvPicPr>
                  <pic:blipFill>
                    <a:blip r:embed="rId71" cstate="print"/>
                    <a:stretch>
                      <a:fillRect/>
                    </a:stretch>
                  </pic:blipFill>
                  <pic:spPr>
                    <a:xfrm>
                      <a:off x="0" y="0"/>
                      <a:ext cx="5921252" cy="6599491"/>
                    </a:xfrm>
                    <a:prstGeom prst="rect">
                      <a:avLst/>
                    </a:prstGeom>
                  </pic:spPr>
                </pic:pic>
              </a:graphicData>
            </a:graphic>
          </wp:inline>
        </w:drawing>
      </w:r>
    </w:p>
    <w:p w14:paraId="3B858370">
      <w:pPr>
        <w:pStyle w:val="7"/>
        <w:spacing w:before="47"/>
        <w:ind w:left="0" w:firstLine="0"/>
        <w:jc w:val="left"/>
      </w:pPr>
    </w:p>
    <w:p w14:paraId="0C103B07">
      <w:pPr>
        <w:pStyle w:val="7"/>
        <w:spacing w:before="1"/>
        <w:ind w:left="991" w:firstLine="0"/>
        <w:jc w:val="left"/>
      </w:pPr>
      <w:r>
        <w:t>Рисунок</w:t>
      </w:r>
      <w:r>
        <w:rPr>
          <w:spacing w:val="-7"/>
        </w:rPr>
        <w:t xml:space="preserve"> </w:t>
      </w:r>
      <w:r>
        <w:t>33</w:t>
      </w:r>
      <w:r>
        <w:rPr>
          <w:spacing w:val="-5"/>
        </w:rPr>
        <w:t xml:space="preserve"> </w:t>
      </w:r>
      <w:r>
        <w:t>–</w:t>
      </w:r>
      <w:r>
        <w:rPr>
          <w:spacing w:val="-1"/>
        </w:rPr>
        <w:t xml:space="preserve"> </w:t>
      </w:r>
      <w:r>
        <w:t>ААД</w:t>
      </w:r>
      <w:r>
        <w:rPr>
          <w:spacing w:val="-3"/>
        </w:rPr>
        <w:t xml:space="preserve"> </w:t>
      </w:r>
      <w:r>
        <w:t>на</w:t>
      </w:r>
      <w:r>
        <w:rPr>
          <w:spacing w:val="-5"/>
        </w:rPr>
        <w:t xml:space="preserve"> </w:t>
      </w:r>
      <w:r>
        <w:t>1,</w:t>
      </w:r>
      <w:r>
        <w:rPr>
          <w:spacing w:val="-3"/>
        </w:rPr>
        <w:t xml:space="preserve"> </w:t>
      </w:r>
      <w:r>
        <w:t>3,</w:t>
      </w:r>
      <w:r>
        <w:rPr>
          <w:spacing w:val="-3"/>
        </w:rPr>
        <w:t xml:space="preserve"> </w:t>
      </w:r>
      <w:r>
        <w:t>5</w:t>
      </w:r>
      <w:r>
        <w:rPr>
          <w:spacing w:val="-10"/>
        </w:rPr>
        <w:t xml:space="preserve"> </w:t>
      </w:r>
      <w:r>
        <w:t>сутки</w:t>
      </w:r>
      <w:r>
        <w:rPr>
          <w:spacing w:val="-6"/>
        </w:rPr>
        <w:t xml:space="preserve"> </w:t>
      </w:r>
      <w:r>
        <w:t>при</w:t>
      </w:r>
      <w:r>
        <w:rPr>
          <w:spacing w:val="-5"/>
        </w:rPr>
        <w:t xml:space="preserve"> </w:t>
      </w:r>
      <w:r>
        <w:t>модифицированной</w:t>
      </w:r>
      <w:r>
        <w:rPr>
          <w:spacing w:val="-2"/>
        </w:rPr>
        <w:t xml:space="preserve"> </w:t>
      </w:r>
      <w:r>
        <w:rPr>
          <w:spacing w:val="-5"/>
        </w:rPr>
        <w:t>ПЕА</w:t>
      </w:r>
    </w:p>
    <w:p w14:paraId="7A42CFD9">
      <w:pPr>
        <w:pStyle w:val="7"/>
        <w:spacing w:before="3"/>
        <w:ind w:left="0" w:right="3" w:firstLine="709"/>
        <w:rPr>
          <w:lang w:val="kk-KZ"/>
        </w:rPr>
      </w:pPr>
    </w:p>
    <w:p w14:paraId="75422FC1">
      <w:pPr>
        <w:pStyle w:val="7"/>
        <w:spacing w:before="3"/>
        <w:ind w:left="0" w:right="3" w:firstLine="709"/>
      </w:pPr>
      <w:r>
        <w:t>В группе с модифицированным анастомозом ПЖ мягкой консистенции наблюдалась у 71 (50,3%) пациентов, тогда как в группе со стандартным анастомозом — у 92 (51,4%) больных. Соответственно, доля пациентов с плотной железой составила 49,7% (70 случай) и 48,6% (87 случая) в основной и контрольной группах. Статистически значимых различий между группами не выявлено (p=0,86), что свидетельствует о сопоставимости исходных характеристик и корректности последующего сравнительного анализа.</w:t>
      </w:r>
    </w:p>
    <w:p w14:paraId="072EEC10">
      <w:pPr>
        <w:pStyle w:val="7"/>
        <w:ind w:left="0" w:right="3" w:firstLine="709"/>
      </w:pPr>
      <w:r>
        <w:t>Таким образом, группы были сопоставимы по консистенции ПЖ, однако небольшое статистическое различие, вероятно, обусловлено неравномерностью выборки или влиянием иных факторов (например, различием в этиологии заболевания или объёме паренхимы железы). В целом, это подтверждает корректность</w:t>
      </w:r>
      <w:r>
        <w:rPr>
          <w:spacing w:val="-2"/>
        </w:rPr>
        <w:t xml:space="preserve"> </w:t>
      </w:r>
      <w:r>
        <w:t>группового сравнения и позволяет</w:t>
      </w:r>
      <w:r>
        <w:rPr>
          <w:spacing w:val="-2"/>
        </w:rPr>
        <w:t xml:space="preserve"> </w:t>
      </w:r>
      <w:r>
        <w:t>объективно оценивать влияние различных типов анастомоза на исходы хирургического лечения.</w:t>
      </w:r>
    </w:p>
    <w:p w14:paraId="2E22D97C">
      <w:pPr>
        <w:pStyle w:val="7"/>
        <w:ind w:left="0" w:right="3" w:firstLine="709"/>
      </w:pPr>
      <w:r>
        <w:t>Использование усовершенствованного протоково-слизистого анастомоза, разработанного в ННЦХ имени А.Н. Сызганова, обеспечивает надёжное формирование соустья как при плотной, так и при мягкой паренхиме, что объясняется анатомически точным сопоставлением ПП и слизистой тонкой кишки с минимальной травматизацией ткани и равномерным распределением натяжения швов.</w:t>
      </w:r>
    </w:p>
    <w:p w14:paraId="65B53F20">
      <w:pPr>
        <w:pStyle w:val="7"/>
        <w:ind w:left="0" w:right="3" w:firstLine="709"/>
      </w:pPr>
      <w:r>
        <w:t>В</w:t>
      </w:r>
      <w:r>
        <w:rPr>
          <w:spacing w:val="-12"/>
        </w:rPr>
        <w:t xml:space="preserve"> </w:t>
      </w:r>
      <w:r>
        <w:t>группе</w:t>
      </w:r>
      <w:r>
        <w:rPr>
          <w:spacing w:val="-8"/>
        </w:rPr>
        <w:t xml:space="preserve"> </w:t>
      </w:r>
      <w:r>
        <w:t>пациентов,</w:t>
      </w:r>
      <w:r>
        <w:rPr>
          <w:spacing w:val="-2"/>
        </w:rPr>
        <w:t xml:space="preserve"> </w:t>
      </w:r>
      <w:r>
        <w:t>у</w:t>
      </w:r>
      <w:r>
        <w:rPr>
          <w:spacing w:val="-8"/>
        </w:rPr>
        <w:t xml:space="preserve"> </w:t>
      </w:r>
      <w:r>
        <w:t>которых</w:t>
      </w:r>
      <w:r>
        <w:rPr>
          <w:spacing w:val="-13"/>
        </w:rPr>
        <w:t xml:space="preserve"> </w:t>
      </w:r>
      <w:r>
        <w:t>применялся</w:t>
      </w:r>
      <w:r>
        <w:rPr>
          <w:spacing w:val="-7"/>
        </w:rPr>
        <w:t xml:space="preserve"> </w:t>
      </w:r>
      <w:r>
        <w:t>модифицированный</w:t>
      </w:r>
      <w:r>
        <w:rPr>
          <w:spacing w:val="-4"/>
        </w:rPr>
        <w:t xml:space="preserve"> </w:t>
      </w:r>
      <w:r>
        <w:t>ПЕА,</w:t>
      </w:r>
      <w:r>
        <w:rPr>
          <w:spacing w:val="-6"/>
        </w:rPr>
        <w:t xml:space="preserve"> </w:t>
      </w:r>
      <w:r>
        <w:t>ААД на 1-е сутки после операции была ниже и характеризовалась более однородным распределением как при мягкой, так и при плотной консистенции ПЖ. В динамике</w:t>
      </w:r>
      <w:r>
        <w:rPr>
          <w:spacing w:val="-1"/>
        </w:rPr>
        <w:t xml:space="preserve"> </w:t>
      </w:r>
      <w:r>
        <w:t>наблюдалось</w:t>
      </w:r>
      <w:r>
        <w:rPr>
          <w:spacing w:val="-4"/>
        </w:rPr>
        <w:t xml:space="preserve"> </w:t>
      </w:r>
      <w:r>
        <w:t>более</w:t>
      </w:r>
      <w:r>
        <w:rPr>
          <w:spacing w:val="-1"/>
        </w:rPr>
        <w:t xml:space="preserve"> </w:t>
      </w:r>
      <w:r>
        <w:t>выраженное и</w:t>
      </w:r>
      <w:r>
        <w:rPr>
          <w:spacing w:val="-2"/>
        </w:rPr>
        <w:t xml:space="preserve"> </w:t>
      </w:r>
      <w:r>
        <w:t>последовательное</w:t>
      </w:r>
      <w:r>
        <w:rPr>
          <w:spacing w:val="-1"/>
        </w:rPr>
        <w:t xml:space="preserve"> </w:t>
      </w:r>
      <w:r>
        <w:t>снижение ААД к 3-м и 5-м суткам послеоперационного периода. Данная тенденция свидетельствует о лучшей герметичности и функциональной состоятельности анастомоза, а также об эффективном контроле панкреатического секрета, что особенно важно у</w:t>
      </w:r>
      <w:r>
        <w:rPr>
          <w:spacing w:val="-5"/>
        </w:rPr>
        <w:t xml:space="preserve"> </w:t>
      </w:r>
      <w:r>
        <w:t>пациентов</w:t>
      </w:r>
      <w:r>
        <w:rPr>
          <w:spacing w:val="-2"/>
        </w:rPr>
        <w:t xml:space="preserve"> </w:t>
      </w:r>
      <w:r>
        <w:t>группы высокого риска (мягкая железа,</w:t>
      </w:r>
      <w:r>
        <w:rPr>
          <w:spacing w:val="-2"/>
        </w:rPr>
        <w:t xml:space="preserve"> </w:t>
      </w:r>
      <w:r>
        <w:t xml:space="preserve">маленький </w:t>
      </w:r>
      <w:r>
        <w:rPr>
          <w:spacing w:val="-4"/>
        </w:rPr>
        <w:t>ПП).</w:t>
      </w:r>
    </w:p>
    <w:p w14:paraId="3FAB174B">
      <w:pPr>
        <w:pStyle w:val="7"/>
        <w:spacing w:before="67"/>
        <w:ind w:left="0" w:right="3" w:firstLine="709"/>
      </w:pPr>
      <w:r>
        <w:t>Полученные данные демонстрируют преимущество модифицированного ПЕА по сравнению со стандартным, выражающееся в более быстром снижении ААД и потенциально меньшем риске развития КЗ-ПС.</w:t>
      </w:r>
    </w:p>
    <w:p w14:paraId="21A96A4B">
      <w:pPr>
        <w:pStyle w:val="7"/>
        <w:tabs>
          <w:tab w:val="left" w:pos="5954"/>
        </w:tabs>
        <w:ind w:left="0" w:right="3" w:firstLine="709"/>
      </w:pPr>
      <w:r>
        <w:t>Таким образом, внедрение модифицированной техники ПЕА сопровождалось снижением общей частоты ПС более чем в 2 раза (48,6% → 23,4%), а также достоверным уменьшением частоты клинически значимых и тяжёлых</w:t>
      </w:r>
      <w:r>
        <w:rPr>
          <w:spacing w:val="-18"/>
        </w:rPr>
        <w:t xml:space="preserve"> </w:t>
      </w:r>
      <w:r>
        <w:t>форм</w:t>
      </w:r>
      <w:r>
        <w:rPr>
          <w:spacing w:val="-17"/>
        </w:rPr>
        <w:t xml:space="preserve"> </w:t>
      </w:r>
      <w:r>
        <w:t>несостоятельности</w:t>
      </w:r>
      <w:r>
        <w:rPr>
          <w:spacing w:val="-18"/>
        </w:rPr>
        <w:t xml:space="preserve"> </w:t>
      </w:r>
      <w:r>
        <w:t>анастомоза,</w:t>
      </w:r>
      <w:r>
        <w:rPr>
          <w:spacing w:val="-17"/>
        </w:rPr>
        <w:t xml:space="preserve"> </w:t>
      </w:r>
      <w:r>
        <w:t>что</w:t>
      </w:r>
      <w:r>
        <w:rPr>
          <w:spacing w:val="-18"/>
        </w:rPr>
        <w:t xml:space="preserve"> </w:t>
      </w:r>
      <w:r>
        <w:t>подтверждает</w:t>
      </w:r>
      <w:r>
        <w:rPr>
          <w:spacing w:val="-17"/>
        </w:rPr>
        <w:t xml:space="preserve"> </w:t>
      </w:r>
      <w:r>
        <w:t>её</w:t>
      </w:r>
      <w:r>
        <w:rPr>
          <w:spacing w:val="-18"/>
        </w:rPr>
        <w:t xml:space="preserve"> </w:t>
      </w:r>
      <w:r>
        <w:t>клиническую эффективность</w:t>
      </w:r>
      <w:r>
        <w:rPr>
          <w:spacing w:val="-11"/>
        </w:rPr>
        <w:t xml:space="preserve"> </w:t>
      </w:r>
      <w:r>
        <w:t>и</w:t>
      </w:r>
      <w:r>
        <w:rPr>
          <w:spacing w:val="-9"/>
        </w:rPr>
        <w:t xml:space="preserve"> </w:t>
      </w:r>
      <w:r>
        <w:t>целесообразность</w:t>
      </w:r>
      <w:r>
        <w:rPr>
          <w:spacing w:val="-11"/>
        </w:rPr>
        <w:t xml:space="preserve"> </w:t>
      </w:r>
      <w:r>
        <w:t>применения</w:t>
      </w:r>
      <w:r>
        <w:rPr>
          <w:spacing w:val="-9"/>
        </w:rPr>
        <w:t xml:space="preserve"> </w:t>
      </w:r>
      <w:r>
        <w:t>в</w:t>
      </w:r>
      <w:r>
        <w:rPr>
          <w:spacing w:val="-10"/>
        </w:rPr>
        <w:t xml:space="preserve"> </w:t>
      </w:r>
      <w:r>
        <w:t>практике</w:t>
      </w:r>
      <w:r>
        <w:rPr>
          <w:spacing w:val="-9"/>
        </w:rPr>
        <w:t xml:space="preserve"> </w:t>
      </w:r>
      <w:r>
        <w:t xml:space="preserve">панкреатобилиарной </w:t>
      </w:r>
      <w:r>
        <w:rPr>
          <w:spacing w:val="-2"/>
        </w:rPr>
        <w:t>хирургии.</w:t>
      </w:r>
    </w:p>
    <w:p w14:paraId="7B5F951C">
      <w:pPr>
        <w:pStyle w:val="7"/>
        <w:spacing w:before="7"/>
        <w:ind w:left="0" w:right="3" w:firstLine="709"/>
        <w:jc w:val="left"/>
      </w:pPr>
    </w:p>
    <w:p w14:paraId="1CE85985">
      <w:pPr>
        <w:pStyle w:val="3"/>
        <w:numPr>
          <w:ilvl w:val="2"/>
          <w:numId w:val="8"/>
        </w:numPr>
        <w:tabs>
          <w:tab w:val="left" w:pos="1808"/>
        </w:tabs>
        <w:ind w:left="0" w:right="3" w:firstLine="709"/>
        <w:rPr>
          <w:b w:val="0"/>
        </w:rPr>
      </w:pPr>
      <w:r>
        <w:rPr>
          <w:b w:val="0"/>
        </w:rPr>
        <w:t>Сравнительная частота послеоперационных осложнений и госпитальной летальности при стандартном и модифицированном ПЕА</w:t>
      </w:r>
    </w:p>
    <w:p w14:paraId="18BF1105">
      <w:pPr>
        <w:pStyle w:val="7"/>
        <w:ind w:left="0" w:right="3" w:firstLine="709"/>
      </w:pPr>
      <w:r>
        <w:t>В таблице 28 представлено сравнение частоты послеоперационных осложнений и госпитальной летальности у пациентов, перенёсших ГПДР, в зависимости от типа ПЕА — стандартного (2016–2022 гг., n = 179) и модифицированного (2023–2025 гг., n = 141).</w:t>
      </w:r>
    </w:p>
    <w:p w14:paraId="74FCAE27">
      <w:pPr>
        <w:pStyle w:val="7"/>
        <w:ind w:left="0" w:right="3" w:firstLine="709"/>
      </w:pPr>
      <w:r>
        <w:t>Общая частота послеоперационных осложнений в группе стандартного ПЕА составила 27,3% (49 случай), тогда как в группе модифицированного анастомоза — 17,7% (25 случаев); различия между группами статистически значимыми (p = 0,046).</w:t>
      </w:r>
    </w:p>
    <w:p w14:paraId="1CB1F6FF">
      <w:pPr>
        <w:pStyle w:val="7"/>
        <w:ind w:left="0" w:right="3" w:firstLine="709"/>
      </w:pPr>
      <w:r>
        <w:t>Гастростаз наблюдалась у 2,8% пациентов в группе стандартного анастомоза и у 3,5% — в группе модифицированного, при отсутствии статистически значимых</w:t>
      </w:r>
      <w:r>
        <w:rPr>
          <w:spacing w:val="-4"/>
        </w:rPr>
        <w:t xml:space="preserve"> </w:t>
      </w:r>
      <w:r>
        <w:t xml:space="preserve">различий (p = 0,754). Частота билиарного свища также не различалась между группами и составила 1,6% и 1,4% соответственно (p = </w:t>
      </w:r>
      <w:r>
        <w:rPr>
          <w:spacing w:val="-2"/>
        </w:rPr>
        <w:t>1,000).</w:t>
      </w:r>
    </w:p>
    <w:p w14:paraId="725D4C9B">
      <w:pPr>
        <w:pStyle w:val="7"/>
        <w:ind w:left="0" w:right="3" w:firstLine="709"/>
      </w:pPr>
      <w:r>
        <w:t>Кровотечения регистрировались у 2,8% пациентов в группе стандартного ПЕА и у 2,1% в группе модифицированного, без статистически значимых различий (p = 1,000). Частота кровотечения, связанного с ПС, была достоверно ниже в группе модифицированного анастомоза (p=0,026).</w:t>
      </w:r>
    </w:p>
    <w:p w14:paraId="0050CA74">
      <w:pPr>
        <w:pStyle w:val="7"/>
        <w:ind w:left="0" w:right="3" w:firstLine="709"/>
      </w:pPr>
      <w:r>
        <w:t>В то же время госпитальная летальность была достоверно ниже в группе модифицированного ПЕА и составила 1,4% (2 случая) по сравнению с 6,1% (11 случаев) в группе стандартного анастомоза (p = 0,044).</w:t>
      </w:r>
    </w:p>
    <w:p w14:paraId="3673663C">
      <w:pPr>
        <w:pStyle w:val="7"/>
        <w:spacing w:before="321"/>
        <w:ind w:left="0" w:firstLine="0"/>
      </w:pPr>
      <w:r>
        <w:t>Таблица</w:t>
      </w:r>
      <w:r>
        <w:rPr>
          <w:spacing w:val="40"/>
        </w:rPr>
        <w:t xml:space="preserve"> </w:t>
      </w:r>
      <w:r>
        <w:t>28</w:t>
      </w:r>
      <w:r>
        <w:rPr>
          <w:spacing w:val="40"/>
        </w:rPr>
        <w:t xml:space="preserve"> </w:t>
      </w:r>
      <w:r>
        <w:t>-</w:t>
      </w:r>
      <w:r>
        <w:rPr>
          <w:spacing w:val="40"/>
        </w:rPr>
        <w:t xml:space="preserve"> </w:t>
      </w:r>
      <w:r>
        <w:t>Послеоперационные</w:t>
      </w:r>
      <w:r>
        <w:rPr>
          <w:spacing w:val="40"/>
        </w:rPr>
        <w:t xml:space="preserve"> </w:t>
      </w:r>
      <w:r>
        <w:t>осложнения</w:t>
      </w:r>
      <w:r>
        <w:rPr>
          <w:spacing w:val="40"/>
        </w:rPr>
        <w:t xml:space="preserve"> </w:t>
      </w:r>
      <w:r>
        <w:t>и</w:t>
      </w:r>
      <w:r>
        <w:rPr>
          <w:spacing w:val="40"/>
        </w:rPr>
        <w:t xml:space="preserve"> </w:t>
      </w:r>
      <w:r>
        <w:t>летальность</w:t>
      </w:r>
      <w:r>
        <w:rPr>
          <w:spacing w:val="40"/>
        </w:rPr>
        <w:t xml:space="preserve"> </w:t>
      </w:r>
      <w:r>
        <w:t>после</w:t>
      </w:r>
      <w:r>
        <w:rPr>
          <w:spacing w:val="40"/>
        </w:rPr>
        <w:t xml:space="preserve"> </w:t>
      </w:r>
      <w:r>
        <w:t>ГПДР</w:t>
      </w:r>
      <w:r>
        <w:rPr>
          <w:spacing w:val="40"/>
        </w:rPr>
        <w:t xml:space="preserve"> </w:t>
      </w:r>
      <w:r>
        <w:t>в группах стандартного и модифицированного панкреатоэнтероанастомоза</w:t>
      </w:r>
    </w:p>
    <w:p w14:paraId="0425D814">
      <w:pPr>
        <w:pStyle w:val="7"/>
        <w:spacing w:before="98"/>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02"/>
        <w:gridCol w:w="2410"/>
        <w:gridCol w:w="2835"/>
        <w:gridCol w:w="992"/>
      </w:tblGrid>
      <w:tr w14:paraId="0CE42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402" w:type="dxa"/>
          </w:tcPr>
          <w:p w14:paraId="3ADF35AE">
            <w:pPr>
              <w:pStyle w:val="11"/>
              <w:spacing w:before="156" w:line="240" w:lineRule="auto"/>
              <w:ind w:left="1113"/>
              <w:jc w:val="left"/>
              <w:rPr>
                <w:sz w:val="28"/>
              </w:rPr>
            </w:pPr>
            <w:r>
              <w:rPr>
                <w:spacing w:val="-2"/>
                <w:sz w:val="28"/>
              </w:rPr>
              <w:t>Показатель</w:t>
            </w:r>
          </w:p>
        </w:tc>
        <w:tc>
          <w:tcPr>
            <w:tcW w:w="2410" w:type="dxa"/>
          </w:tcPr>
          <w:p w14:paraId="201B39D1">
            <w:pPr>
              <w:pStyle w:val="11"/>
              <w:spacing w:line="315" w:lineRule="exact"/>
              <w:ind w:left="11"/>
              <w:rPr>
                <w:sz w:val="28"/>
              </w:rPr>
            </w:pPr>
            <w:r>
              <w:rPr>
                <w:spacing w:val="-2"/>
                <w:sz w:val="28"/>
              </w:rPr>
              <w:t>Стандартный</w:t>
            </w:r>
          </w:p>
          <w:p w14:paraId="4F85C617">
            <w:pPr>
              <w:pStyle w:val="11"/>
              <w:ind w:left="11" w:right="2"/>
              <w:rPr>
                <w:sz w:val="28"/>
              </w:rPr>
            </w:pPr>
            <w:r>
              <w:rPr>
                <w:spacing w:val="-2"/>
                <w:sz w:val="28"/>
              </w:rPr>
              <w:t>(n=179)</w:t>
            </w:r>
          </w:p>
        </w:tc>
        <w:tc>
          <w:tcPr>
            <w:tcW w:w="2835" w:type="dxa"/>
          </w:tcPr>
          <w:p w14:paraId="5A0D3EEA">
            <w:pPr>
              <w:pStyle w:val="11"/>
              <w:spacing w:line="315" w:lineRule="exact"/>
              <w:ind w:left="13" w:right="3"/>
              <w:rPr>
                <w:sz w:val="28"/>
              </w:rPr>
            </w:pPr>
            <w:r>
              <w:rPr>
                <w:spacing w:val="-2"/>
                <w:sz w:val="28"/>
              </w:rPr>
              <w:t>Модифицированный</w:t>
            </w:r>
          </w:p>
          <w:p w14:paraId="493379B0">
            <w:pPr>
              <w:pStyle w:val="11"/>
              <w:ind w:left="13" w:right="9"/>
              <w:rPr>
                <w:sz w:val="28"/>
              </w:rPr>
            </w:pPr>
            <w:r>
              <w:rPr>
                <w:spacing w:val="-2"/>
                <w:sz w:val="28"/>
              </w:rPr>
              <w:t>(n=141)</w:t>
            </w:r>
          </w:p>
        </w:tc>
        <w:tc>
          <w:tcPr>
            <w:tcW w:w="992" w:type="dxa"/>
          </w:tcPr>
          <w:p w14:paraId="56D0373E">
            <w:pPr>
              <w:pStyle w:val="11"/>
              <w:spacing w:before="156" w:line="240" w:lineRule="auto"/>
              <w:ind w:left="12" w:right="3"/>
              <w:rPr>
                <w:sz w:val="28"/>
              </w:rPr>
            </w:pPr>
            <w:r>
              <w:rPr>
                <w:spacing w:val="-2"/>
                <w:sz w:val="28"/>
              </w:rPr>
              <w:t>P-value</w:t>
            </w:r>
          </w:p>
        </w:tc>
      </w:tr>
      <w:tr w14:paraId="01B51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402" w:type="dxa"/>
          </w:tcPr>
          <w:p w14:paraId="285FEFC4">
            <w:pPr>
              <w:pStyle w:val="11"/>
              <w:spacing w:line="301" w:lineRule="exact"/>
              <w:ind w:left="9"/>
              <w:rPr>
                <w:sz w:val="28"/>
              </w:rPr>
            </w:pPr>
            <w:r>
              <w:rPr>
                <w:spacing w:val="-10"/>
                <w:sz w:val="28"/>
              </w:rPr>
              <w:t>1</w:t>
            </w:r>
          </w:p>
        </w:tc>
        <w:tc>
          <w:tcPr>
            <w:tcW w:w="2410" w:type="dxa"/>
          </w:tcPr>
          <w:p w14:paraId="037E0467">
            <w:pPr>
              <w:pStyle w:val="11"/>
              <w:spacing w:line="301" w:lineRule="exact"/>
              <w:ind w:left="11" w:right="3"/>
              <w:rPr>
                <w:sz w:val="28"/>
              </w:rPr>
            </w:pPr>
            <w:r>
              <w:rPr>
                <w:spacing w:val="-10"/>
                <w:sz w:val="28"/>
              </w:rPr>
              <w:t>2</w:t>
            </w:r>
          </w:p>
        </w:tc>
        <w:tc>
          <w:tcPr>
            <w:tcW w:w="2835" w:type="dxa"/>
          </w:tcPr>
          <w:p w14:paraId="147BA0DD">
            <w:pPr>
              <w:pStyle w:val="11"/>
              <w:spacing w:line="301" w:lineRule="exact"/>
              <w:ind w:left="13"/>
              <w:rPr>
                <w:sz w:val="28"/>
              </w:rPr>
            </w:pPr>
            <w:r>
              <w:rPr>
                <w:spacing w:val="-10"/>
                <w:sz w:val="28"/>
              </w:rPr>
              <w:t>3</w:t>
            </w:r>
          </w:p>
        </w:tc>
        <w:tc>
          <w:tcPr>
            <w:tcW w:w="992" w:type="dxa"/>
          </w:tcPr>
          <w:p w14:paraId="65D6EFA9">
            <w:pPr>
              <w:pStyle w:val="11"/>
              <w:spacing w:line="301" w:lineRule="exact"/>
              <w:ind w:left="12"/>
              <w:rPr>
                <w:sz w:val="28"/>
              </w:rPr>
            </w:pPr>
            <w:r>
              <w:rPr>
                <w:spacing w:val="-10"/>
                <w:sz w:val="28"/>
              </w:rPr>
              <w:t>4</w:t>
            </w:r>
          </w:p>
        </w:tc>
      </w:tr>
      <w:tr w14:paraId="08BA0C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3402" w:type="dxa"/>
          </w:tcPr>
          <w:p w14:paraId="1BDEC10B">
            <w:pPr>
              <w:pStyle w:val="11"/>
              <w:spacing w:line="306" w:lineRule="exact"/>
              <w:ind w:left="110"/>
              <w:jc w:val="left"/>
              <w:rPr>
                <w:sz w:val="28"/>
              </w:rPr>
            </w:pPr>
            <w:r>
              <w:rPr>
                <w:spacing w:val="-2"/>
                <w:sz w:val="28"/>
              </w:rPr>
              <w:t>Осложнения</w:t>
            </w:r>
          </w:p>
        </w:tc>
        <w:tc>
          <w:tcPr>
            <w:tcW w:w="2410" w:type="dxa"/>
          </w:tcPr>
          <w:p w14:paraId="4BA086BC">
            <w:pPr>
              <w:pStyle w:val="11"/>
              <w:spacing w:line="306" w:lineRule="exact"/>
              <w:ind w:left="11" w:right="1"/>
              <w:rPr>
                <w:sz w:val="28"/>
              </w:rPr>
            </w:pPr>
            <w:r>
              <w:rPr>
                <w:sz w:val="28"/>
              </w:rPr>
              <w:t>49</w:t>
            </w:r>
            <w:r>
              <w:rPr>
                <w:spacing w:val="-2"/>
                <w:sz w:val="28"/>
              </w:rPr>
              <w:t xml:space="preserve"> (27,3%)</w:t>
            </w:r>
          </w:p>
        </w:tc>
        <w:tc>
          <w:tcPr>
            <w:tcW w:w="2835" w:type="dxa"/>
          </w:tcPr>
          <w:p w14:paraId="685DAC91">
            <w:pPr>
              <w:pStyle w:val="11"/>
              <w:spacing w:line="306" w:lineRule="exact"/>
              <w:ind w:left="13" w:right="8"/>
              <w:rPr>
                <w:sz w:val="28"/>
              </w:rPr>
            </w:pPr>
            <w:r>
              <w:rPr>
                <w:sz w:val="28"/>
              </w:rPr>
              <w:t>25</w:t>
            </w:r>
            <w:r>
              <w:rPr>
                <w:spacing w:val="-2"/>
                <w:sz w:val="28"/>
              </w:rPr>
              <w:t xml:space="preserve"> (17,7%)</w:t>
            </w:r>
          </w:p>
        </w:tc>
        <w:tc>
          <w:tcPr>
            <w:tcW w:w="992" w:type="dxa"/>
          </w:tcPr>
          <w:p w14:paraId="6CB22172">
            <w:pPr>
              <w:pStyle w:val="11"/>
              <w:spacing w:line="306" w:lineRule="exact"/>
              <w:ind w:left="12" w:right="5"/>
              <w:rPr>
                <w:sz w:val="28"/>
              </w:rPr>
            </w:pPr>
            <w:r>
              <w:rPr>
                <w:spacing w:val="-2"/>
                <w:sz w:val="28"/>
              </w:rPr>
              <w:t>0,046</w:t>
            </w:r>
            <w:r>
              <w:rPr>
                <w:spacing w:val="-2"/>
                <w:sz w:val="28"/>
                <w:vertAlign w:val="superscript"/>
              </w:rPr>
              <w:t>*</w:t>
            </w:r>
          </w:p>
        </w:tc>
      </w:tr>
      <w:tr w14:paraId="63878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402" w:type="dxa"/>
          </w:tcPr>
          <w:p w14:paraId="647A73CD">
            <w:pPr>
              <w:pStyle w:val="11"/>
              <w:spacing w:line="302" w:lineRule="exact"/>
              <w:ind w:left="110"/>
              <w:jc w:val="left"/>
              <w:rPr>
                <w:sz w:val="28"/>
              </w:rPr>
            </w:pPr>
            <w:r>
              <w:rPr>
                <w:spacing w:val="-2"/>
                <w:sz w:val="28"/>
              </w:rPr>
              <w:t>Гастростаз</w:t>
            </w:r>
          </w:p>
        </w:tc>
        <w:tc>
          <w:tcPr>
            <w:tcW w:w="2410" w:type="dxa"/>
          </w:tcPr>
          <w:p w14:paraId="48B97C01">
            <w:pPr>
              <w:pStyle w:val="11"/>
              <w:spacing w:line="302" w:lineRule="exact"/>
              <w:ind w:left="11" w:right="1"/>
              <w:rPr>
                <w:sz w:val="28"/>
              </w:rPr>
            </w:pPr>
            <w:r>
              <w:rPr>
                <w:sz w:val="28"/>
              </w:rPr>
              <w:t>5</w:t>
            </w:r>
            <w:r>
              <w:rPr>
                <w:spacing w:val="-1"/>
                <w:sz w:val="28"/>
              </w:rPr>
              <w:t xml:space="preserve"> </w:t>
            </w:r>
            <w:r>
              <w:rPr>
                <w:spacing w:val="-2"/>
                <w:sz w:val="28"/>
              </w:rPr>
              <w:t>(2,8%)</w:t>
            </w:r>
          </w:p>
        </w:tc>
        <w:tc>
          <w:tcPr>
            <w:tcW w:w="2835" w:type="dxa"/>
          </w:tcPr>
          <w:p w14:paraId="0ED707DC">
            <w:pPr>
              <w:pStyle w:val="11"/>
              <w:spacing w:line="302" w:lineRule="exact"/>
              <w:ind w:left="13" w:right="8"/>
              <w:rPr>
                <w:sz w:val="28"/>
              </w:rPr>
            </w:pPr>
            <w:r>
              <w:rPr>
                <w:sz w:val="28"/>
              </w:rPr>
              <w:t>5</w:t>
            </w:r>
            <w:r>
              <w:rPr>
                <w:spacing w:val="-1"/>
                <w:sz w:val="28"/>
              </w:rPr>
              <w:t xml:space="preserve"> </w:t>
            </w:r>
            <w:r>
              <w:rPr>
                <w:spacing w:val="-2"/>
                <w:sz w:val="28"/>
              </w:rPr>
              <w:t>(3,5%)</w:t>
            </w:r>
          </w:p>
        </w:tc>
        <w:tc>
          <w:tcPr>
            <w:tcW w:w="992" w:type="dxa"/>
          </w:tcPr>
          <w:p w14:paraId="6A554010">
            <w:pPr>
              <w:pStyle w:val="11"/>
              <w:spacing w:line="302" w:lineRule="exact"/>
              <w:ind w:left="12" w:right="1"/>
              <w:rPr>
                <w:sz w:val="28"/>
              </w:rPr>
            </w:pPr>
            <w:r>
              <w:rPr>
                <w:spacing w:val="-4"/>
                <w:sz w:val="28"/>
              </w:rPr>
              <w:t>0,754</w:t>
            </w:r>
          </w:p>
        </w:tc>
      </w:tr>
      <w:tr w14:paraId="5ACB0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402" w:type="dxa"/>
          </w:tcPr>
          <w:p w14:paraId="617AECDB">
            <w:pPr>
              <w:pStyle w:val="11"/>
              <w:spacing w:line="301" w:lineRule="exact"/>
              <w:ind w:left="110"/>
              <w:jc w:val="left"/>
              <w:rPr>
                <w:sz w:val="28"/>
              </w:rPr>
            </w:pPr>
            <w:r>
              <w:rPr>
                <w:sz w:val="28"/>
              </w:rPr>
              <w:t>Раневая</w:t>
            </w:r>
            <w:r>
              <w:rPr>
                <w:spacing w:val="-11"/>
                <w:sz w:val="28"/>
              </w:rPr>
              <w:t xml:space="preserve"> </w:t>
            </w:r>
            <w:r>
              <w:rPr>
                <w:spacing w:val="-2"/>
                <w:sz w:val="28"/>
              </w:rPr>
              <w:t>инфекция</w:t>
            </w:r>
          </w:p>
        </w:tc>
        <w:tc>
          <w:tcPr>
            <w:tcW w:w="2410" w:type="dxa"/>
          </w:tcPr>
          <w:p w14:paraId="43DD65C0">
            <w:pPr>
              <w:pStyle w:val="11"/>
              <w:spacing w:line="301" w:lineRule="exact"/>
              <w:ind w:left="11" w:right="1"/>
              <w:rPr>
                <w:sz w:val="28"/>
              </w:rPr>
            </w:pPr>
            <w:r>
              <w:rPr>
                <w:sz w:val="28"/>
              </w:rPr>
              <w:t>8</w:t>
            </w:r>
            <w:r>
              <w:rPr>
                <w:spacing w:val="-1"/>
                <w:sz w:val="28"/>
              </w:rPr>
              <w:t xml:space="preserve"> </w:t>
            </w:r>
            <w:r>
              <w:rPr>
                <w:spacing w:val="-2"/>
                <w:sz w:val="28"/>
              </w:rPr>
              <w:t>(4,4%)</w:t>
            </w:r>
          </w:p>
        </w:tc>
        <w:tc>
          <w:tcPr>
            <w:tcW w:w="2835" w:type="dxa"/>
          </w:tcPr>
          <w:p w14:paraId="1F954893">
            <w:pPr>
              <w:pStyle w:val="11"/>
              <w:spacing w:line="301" w:lineRule="exact"/>
              <w:ind w:left="13" w:right="4"/>
              <w:rPr>
                <w:sz w:val="28"/>
              </w:rPr>
            </w:pPr>
            <w:r>
              <w:rPr>
                <w:sz w:val="28"/>
              </w:rPr>
              <w:t>10</w:t>
            </w:r>
            <w:r>
              <w:rPr>
                <w:spacing w:val="-2"/>
                <w:sz w:val="28"/>
              </w:rPr>
              <w:t xml:space="preserve"> (7,0%)</w:t>
            </w:r>
          </w:p>
        </w:tc>
        <w:tc>
          <w:tcPr>
            <w:tcW w:w="992" w:type="dxa"/>
          </w:tcPr>
          <w:p w14:paraId="3D0DF05E">
            <w:pPr>
              <w:pStyle w:val="11"/>
              <w:spacing w:line="301" w:lineRule="exact"/>
              <w:ind w:left="12" w:right="1"/>
              <w:rPr>
                <w:sz w:val="28"/>
              </w:rPr>
            </w:pPr>
            <w:r>
              <w:rPr>
                <w:spacing w:val="-4"/>
                <w:sz w:val="28"/>
              </w:rPr>
              <w:t>0,337</w:t>
            </w:r>
          </w:p>
        </w:tc>
      </w:tr>
      <w:tr w14:paraId="20011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402" w:type="dxa"/>
            <w:tcBorders>
              <w:bottom w:val="single" w:color="000000" w:sz="4" w:space="0"/>
            </w:tcBorders>
          </w:tcPr>
          <w:p w14:paraId="3A9D40DB">
            <w:pPr>
              <w:pStyle w:val="11"/>
              <w:spacing w:line="301" w:lineRule="exact"/>
              <w:ind w:left="110"/>
              <w:jc w:val="left"/>
              <w:rPr>
                <w:sz w:val="28"/>
              </w:rPr>
            </w:pPr>
            <w:r>
              <w:rPr>
                <w:sz w:val="28"/>
              </w:rPr>
              <w:t>Билиарный</w:t>
            </w:r>
            <w:r>
              <w:rPr>
                <w:spacing w:val="-11"/>
                <w:sz w:val="28"/>
              </w:rPr>
              <w:t xml:space="preserve"> </w:t>
            </w:r>
            <w:r>
              <w:rPr>
                <w:spacing w:val="-4"/>
                <w:sz w:val="28"/>
              </w:rPr>
              <w:t>свищ</w:t>
            </w:r>
          </w:p>
        </w:tc>
        <w:tc>
          <w:tcPr>
            <w:tcW w:w="2410" w:type="dxa"/>
            <w:tcBorders>
              <w:bottom w:val="single" w:color="000000" w:sz="4" w:space="0"/>
            </w:tcBorders>
          </w:tcPr>
          <w:p w14:paraId="3DCDD67E">
            <w:pPr>
              <w:pStyle w:val="11"/>
              <w:spacing w:line="301" w:lineRule="exact"/>
              <w:ind w:left="11" w:right="1"/>
              <w:rPr>
                <w:sz w:val="28"/>
              </w:rPr>
            </w:pPr>
            <w:r>
              <w:rPr>
                <w:sz w:val="28"/>
              </w:rPr>
              <w:t>3</w:t>
            </w:r>
            <w:r>
              <w:rPr>
                <w:spacing w:val="-1"/>
                <w:sz w:val="28"/>
              </w:rPr>
              <w:t xml:space="preserve"> </w:t>
            </w:r>
            <w:r>
              <w:rPr>
                <w:spacing w:val="-2"/>
                <w:sz w:val="28"/>
              </w:rPr>
              <w:t>(1,6%)</w:t>
            </w:r>
          </w:p>
        </w:tc>
        <w:tc>
          <w:tcPr>
            <w:tcW w:w="2835" w:type="dxa"/>
            <w:tcBorders>
              <w:bottom w:val="single" w:color="000000" w:sz="4" w:space="0"/>
            </w:tcBorders>
          </w:tcPr>
          <w:p w14:paraId="1CAA7DD0">
            <w:pPr>
              <w:pStyle w:val="11"/>
              <w:spacing w:line="301" w:lineRule="exact"/>
              <w:ind w:left="13" w:right="8"/>
              <w:rPr>
                <w:sz w:val="28"/>
              </w:rPr>
            </w:pPr>
            <w:r>
              <w:rPr>
                <w:sz w:val="28"/>
              </w:rPr>
              <w:t>2</w:t>
            </w:r>
            <w:r>
              <w:rPr>
                <w:spacing w:val="-1"/>
                <w:sz w:val="28"/>
              </w:rPr>
              <w:t xml:space="preserve"> </w:t>
            </w:r>
            <w:r>
              <w:rPr>
                <w:spacing w:val="-2"/>
                <w:sz w:val="28"/>
              </w:rPr>
              <w:t>(1,4%)</w:t>
            </w:r>
          </w:p>
        </w:tc>
        <w:tc>
          <w:tcPr>
            <w:tcW w:w="992" w:type="dxa"/>
            <w:tcBorders>
              <w:bottom w:val="single" w:color="000000" w:sz="4" w:space="0"/>
            </w:tcBorders>
          </w:tcPr>
          <w:p w14:paraId="53A94677">
            <w:pPr>
              <w:pStyle w:val="11"/>
              <w:spacing w:line="301" w:lineRule="exact"/>
              <w:ind w:left="12" w:right="1"/>
              <w:rPr>
                <w:sz w:val="28"/>
              </w:rPr>
            </w:pPr>
            <w:r>
              <w:rPr>
                <w:spacing w:val="-4"/>
                <w:sz w:val="28"/>
              </w:rPr>
              <w:t>1,000</w:t>
            </w:r>
          </w:p>
        </w:tc>
      </w:tr>
      <w:tr w14:paraId="2E616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402" w:type="dxa"/>
          </w:tcPr>
          <w:p w14:paraId="659CCF05">
            <w:pPr>
              <w:pStyle w:val="11"/>
              <w:spacing w:line="301" w:lineRule="exact"/>
              <w:ind w:left="110"/>
              <w:jc w:val="left"/>
              <w:rPr>
                <w:sz w:val="28"/>
              </w:rPr>
            </w:pPr>
            <w:r>
              <w:rPr>
                <w:spacing w:val="-2"/>
                <w:sz w:val="28"/>
              </w:rPr>
              <w:t>Кровотечение</w:t>
            </w:r>
          </w:p>
        </w:tc>
        <w:tc>
          <w:tcPr>
            <w:tcW w:w="2410" w:type="dxa"/>
          </w:tcPr>
          <w:p w14:paraId="4BBEDF89">
            <w:pPr>
              <w:pStyle w:val="11"/>
              <w:spacing w:line="301" w:lineRule="exact"/>
              <w:ind w:left="11" w:right="1"/>
              <w:rPr>
                <w:sz w:val="28"/>
              </w:rPr>
            </w:pPr>
            <w:r>
              <w:rPr>
                <w:sz w:val="28"/>
              </w:rPr>
              <w:t>5</w:t>
            </w:r>
            <w:r>
              <w:rPr>
                <w:spacing w:val="-1"/>
                <w:sz w:val="28"/>
              </w:rPr>
              <w:t xml:space="preserve"> </w:t>
            </w:r>
            <w:r>
              <w:rPr>
                <w:spacing w:val="-2"/>
                <w:sz w:val="28"/>
              </w:rPr>
              <w:t>(2,8%)</w:t>
            </w:r>
          </w:p>
        </w:tc>
        <w:tc>
          <w:tcPr>
            <w:tcW w:w="2835" w:type="dxa"/>
          </w:tcPr>
          <w:p w14:paraId="74927A1C">
            <w:pPr>
              <w:pStyle w:val="11"/>
              <w:spacing w:line="301" w:lineRule="exact"/>
              <w:ind w:left="13" w:right="8"/>
              <w:rPr>
                <w:sz w:val="28"/>
              </w:rPr>
            </w:pPr>
            <w:r>
              <w:rPr>
                <w:sz w:val="28"/>
              </w:rPr>
              <w:t>3</w:t>
            </w:r>
            <w:r>
              <w:rPr>
                <w:spacing w:val="-1"/>
                <w:sz w:val="28"/>
              </w:rPr>
              <w:t xml:space="preserve"> </w:t>
            </w:r>
            <w:r>
              <w:rPr>
                <w:spacing w:val="-2"/>
                <w:sz w:val="28"/>
              </w:rPr>
              <w:t>(2,1%)</w:t>
            </w:r>
          </w:p>
        </w:tc>
        <w:tc>
          <w:tcPr>
            <w:tcW w:w="992" w:type="dxa"/>
          </w:tcPr>
          <w:p w14:paraId="3263813A">
            <w:pPr>
              <w:pStyle w:val="11"/>
              <w:spacing w:line="301" w:lineRule="exact"/>
              <w:ind w:left="12" w:right="1"/>
              <w:rPr>
                <w:sz w:val="28"/>
              </w:rPr>
            </w:pPr>
            <w:r>
              <w:rPr>
                <w:spacing w:val="-4"/>
                <w:sz w:val="28"/>
              </w:rPr>
              <w:t>1,000</w:t>
            </w:r>
          </w:p>
        </w:tc>
      </w:tr>
      <w:tr w14:paraId="47277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402" w:type="dxa"/>
          </w:tcPr>
          <w:p w14:paraId="103A81DF">
            <w:pPr>
              <w:pStyle w:val="11"/>
              <w:spacing w:line="315" w:lineRule="exact"/>
              <w:ind w:left="110"/>
              <w:jc w:val="left"/>
              <w:rPr>
                <w:sz w:val="28"/>
                <w:szCs w:val="28"/>
              </w:rPr>
            </w:pPr>
            <w:r>
              <w:rPr>
                <w:sz w:val="28"/>
                <w:szCs w:val="28"/>
              </w:rPr>
              <w:t>Кровотечение</w:t>
            </w:r>
            <w:r>
              <w:rPr>
                <w:spacing w:val="-11"/>
                <w:sz w:val="28"/>
                <w:szCs w:val="28"/>
              </w:rPr>
              <w:t xml:space="preserve"> </w:t>
            </w:r>
            <w:r>
              <w:rPr>
                <w:sz w:val="28"/>
                <w:szCs w:val="28"/>
              </w:rPr>
              <w:t>связанное</w:t>
            </w:r>
            <w:r>
              <w:rPr>
                <w:spacing w:val="-13"/>
                <w:sz w:val="28"/>
                <w:szCs w:val="28"/>
              </w:rPr>
              <w:t xml:space="preserve"> </w:t>
            </w:r>
            <w:r>
              <w:rPr>
                <w:spacing w:val="-5"/>
                <w:sz w:val="28"/>
                <w:szCs w:val="28"/>
              </w:rPr>
              <w:t>со</w:t>
            </w:r>
          </w:p>
          <w:p w14:paraId="07FBA9D9">
            <w:pPr>
              <w:pStyle w:val="11"/>
              <w:spacing w:line="301" w:lineRule="exact"/>
              <w:ind w:left="110"/>
              <w:jc w:val="left"/>
              <w:rPr>
                <w:spacing w:val="-2"/>
                <w:sz w:val="28"/>
              </w:rPr>
            </w:pPr>
            <w:r>
              <w:rPr>
                <w:spacing w:val="-2"/>
                <w:sz w:val="28"/>
                <w:szCs w:val="28"/>
              </w:rPr>
              <w:t>свищем</w:t>
            </w:r>
          </w:p>
        </w:tc>
        <w:tc>
          <w:tcPr>
            <w:tcW w:w="2410" w:type="dxa"/>
          </w:tcPr>
          <w:p w14:paraId="5CAF97E9">
            <w:pPr>
              <w:pStyle w:val="11"/>
              <w:spacing w:line="301" w:lineRule="exact"/>
              <w:ind w:left="11" w:right="1"/>
              <w:rPr>
                <w:sz w:val="28"/>
              </w:rPr>
            </w:pPr>
            <w:r>
              <w:rPr>
                <w:sz w:val="28"/>
              </w:rPr>
              <w:t>10</w:t>
            </w:r>
            <w:r>
              <w:rPr>
                <w:spacing w:val="-2"/>
                <w:sz w:val="28"/>
              </w:rPr>
              <w:t xml:space="preserve"> (5,6%)</w:t>
            </w:r>
          </w:p>
        </w:tc>
        <w:tc>
          <w:tcPr>
            <w:tcW w:w="2835" w:type="dxa"/>
          </w:tcPr>
          <w:p w14:paraId="5763BAAE">
            <w:pPr>
              <w:pStyle w:val="11"/>
              <w:spacing w:line="301" w:lineRule="exact"/>
              <w:ind w:left="13" w:right="8"/>
              <w:rPr>
                <w:sz w:val="28"/>
              </w:rPr>
            </w:pPr>
            <w:r>
              <w:rPr>
                <w:sz w:val="28"/>
              </w:rPr>
              <w:t>1</w:t>
            </w:r>
            <w:r>
              <w:rPr>
                <w:spacing w:val="-1"/>
                <w:sz w:val="28"/>
              </w:rPr>
              <w:t xml:space="preserve"> </w:t>
            </w:r>
            <w:r>
              <w:rPr>
                <w:spacing w:val="-2"/>
                <w:sz w:val="28"/>
              </w:rPr>
              <w:t>(0,8%)</w:t>
            </w:r>
          </w:p>
        </w:tc>
        <w:tc>
          <w:tcPr>
            <w:tcW w:w="992" w:type="dxa"/>
          </w:tcPr>
          <w:p w14:paraId="27FD9AC6">
            <w:pPr>
              <w:pStyle w:val="11"/>
              <w:spacing w:line="301" w:lineRule="exact"/>
              <w:ind w:left="12" w:right="1"/>
              <w:rPr>
                <w:spacing w:val="-4"/>
                <w:sz w:val="28"/>
              </w:rPr>
            </w:pPr>
            <w:r>
              <w:rPr>
                <w:spacing w:val="-2"/>
                <w:sz w:val="28"/>
              </w:rPr>
              <w:t>0,026</w:t>
            </w:r>
            <w:r>
              <w:rPr>
                <w:spacing w:val="-2"/>
                <w:sz w:val="28"/>
                <w:vertAlign w:val="superscript"/>
              </w:rPr>
              <w:t>*</w:t>
            </w:r>
          </w:p>
        </w:tc>
      </w:tr>
      <w:tr w14:paraId="149B7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402" w:type="dxa"/>
          </w:tcPr>
          <w:p w14:paraId="70CFC810">
            <w:pPr>
              <w:pStyle w:val="11"/>
              <w:spacing w:line="301" w:lineRule="exact"/>
              <w:ind w:left="110"/>
              <w:jc w:val="left"/>
              <w:rPr>
                <w:spacing w:val="-2"/>
                <w:sz w:val="28"/>
              </w:rPr>
            </w:pPr>
            <w:r>
              <w:rPr>
                <w:spacing w:val="-2"/>
                <w:sz w:val="28"/>
                <w:szCs w:val="28"/>
              </w:rPr>
              <w:t>Релапаротомия</w:t>
            </w:r>
          </w:p>
        </w:tc>
        <w:tc>
          <w:tcPr>
            <w:tcW w:w="2410" w:type="dxa"/>
          </w:tcPr>
          <w:p w14:paraId="6E3B0758">
            <w:pPr>
              <w:pStyle w:val="11"/>
              <w:spacing w:line="301" w:lineRule="exact"/>
              <w:ind w:left="11" w:right="1"/>
              <w:rPr>
                <w:sz w:val="28"/>
              </w:rPr>
            </w:pPr>
            <w:r>
              <w:rPr>
                <w:sz w:val="28"/>
              </w:rPr>
              <w:t>11</w:t>
            </w:r>
            <w:r>
              <w:rPr>
                <w:spacing w:val="-2"/>
                <w:sz w:val="28"/>
              </w:rPr>
              <w:t xml:space="preserve"> (6,1%)</w:t>
            </w:r>
          </w:p>
        </w:tc>
        <w:tc>
          <w:tcPr>
            <w:tcW w:w="2835" w:type="dxa"/>
          </w:tcPr>
          <w:p w14:paraId="6995ACC8">
            <w:pPr>
              <w:pStyle w:val="11"/>
              <w:spacing w:line="301" w:lineRule="exact"/>
              <w:ind w:left="13" w:right="8"/>
              <w:rPr>
                <w:sz w:val="28"/>
              </w:rPr>
            </w:pPr>
            <w:r>
              <w:rPr>
                <w:sz w:val="28"/>
              </w:rPr>
              <w:t>1</w:t>
            </w:r>
            <w:r>
              <w:rPr>
                <w:spacing w:val="-1"/>
                <w:sz w:val="28"/>
              </w:rPr>
              <w:t xml:space="preserve"> </w:t>
            </w:r>
            <w:r>
              <w:rPr>
                <w:spacing w:val="-2"/>
                <w:sz w:val="28"/>
              </w:rPr>
              <w:t>(0,8%)</w:t>
            </w:r>
          </w:p>
        </w:tc>
        <w:tc>
          <w:tcPr>
            <w:tcW w:w="992" w:type="dxa"/>
          </w:tcPr>
          <w:p w14:paraId="2E127190">
            <w:pPr>
              <w:pStyle w:val="11"/>
              <w:spacing w:line="301" w:lineRule="exact"/>
              <w:ind w:left="12" w:right="1"/>
              <w:rPr>
                <w:spacing w:val="-4"/>
                <w:sz w:val="28"/>
              </w:rPr>
            </w:pPr>
            <w:r>
              <w:rPr>
                <w:spacing w:val="-2"/>
                <w:sz w:val="28"/>
              </w:rPr>
              <w:t>0,015</w:t>
            </w:r>
            <w:r>
              <w:rPr>
                <w:spacing w:val="-2"/>
                <w:sz w:val="28"/>
                <w:vertAlign w:val="superscript"/>
              </w:rPr>
              <w:t>*</w:t>
            </w:r>
          </w:p>
        </w:tc>
      </w:tr>
      <w:tr w14:paraId="57266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402" w:type="dxa"/>
          </w:tcPr>
          <w:p w14:paraId="0E505593">
            <w:pPr>
              <w:pStyle w:val="11"/>
              <w:spacing w:line="301" w:lineRule="exact"/>
              <w:ind w:left="110"/>
              <w:jc w:val="left"/>
              <w:rPr>
                <w:spacing w:val="-2"/>
                <w:sz w:val="28"/>
              </w:rPr>
            </w:pPr>
            <w:r>
              <w:rPr>
                <w:spacing w:val="-2"/>
                <w:sz w:val="28"/>
                <w:szCs w:val="28"/>
              </w:rPr>
              <w:t>Летальность</w:t>
            </w:r>
          </w:p>
        </w:tc>
        <w:tc>
          <w:tcPr>
            <w:tcW w:w="2410" w:type="dxa"/>
          </w:tcPr>
          <w:p w14:paraId="3AEFB102">
            <w:pPr>
              <w:pStyle w:val="11"/>
              <w:spacing w:line="301" w:lineRule="exact"/>
              <w:ind w:left="11" w:right="1"/>
              <w:rPr>
                <w:sz w:val="28"/>
              </w:rPr>
            </w:pPr>
            <w:r>
              <w:rPr>
                <w:sz w:val="28"/>
              </w:rPr>
              <w:t>11</w:t>
            </w:r>
            <w:r>
              <w:rPr>
                <w:spacing w:val="-2"/>
                <w:sz w:val="28"/>
              </w:rPr>
              <w:t xml:space="preserve"> (6,1%)</w:t>
            </w:r>
          </w:p>
        </w:tc>
        <w:tc>
          <w:tcPr>
            <w:tcW w:w="2835" w:type="dxa"/>
          </w:tcPr>
          <w:p w14:paraId="186673F1">
            <w:pPr>
              <w:pStyle w:val="11"/>
              <w:spacing w:line="301" w:lineRule="exact"/>
              <w:ind w:left="13" w:right="8"/>
              <w:rPr>
                <w:sz w:val="28"/>
              </w:rPr>
            </w:pPr>
            <w:r>
              <w:rPr>
                <w:sz w:val="28"/>
              </w:rPr>
              <w:t>2</w:t>
            </w:r>
            <w:r>
              <w:rPr>
                <w:spacing w:val="-1"/>
                <w:sz w:val="28"/>
              </w:rPr>
              <w:t xml:space="preserve"> </w:t>
            </w:r>
            <w:r>
              <w:rPr>
                <w:spacing w:val="-2"/>
                <w:sz w:val="28"/>
              </w:rPr>
              <w:t>(1,4%)</w:t>
            </w:r>
          </w:p>
        </w:tc>
        <w:tc>
          <w:tcPr>
            <w:tcW w:w="992" w:type="dxa"/>
          </w:tcPr>
          <w:p w14:paraId="2D7AB2B4">
            <w:pPr>
              <w:pStyle w:val="11"/>
              <w:spacing w:line="301" w:lineRule="exact"/>
              <w:ind w:left="12" w:right="1"/>
              <w:rPr>
                <w:spacing w:val="-4"/>
                <w:sz w:val="28"/>
              </w:rPr>
            </w:pPr>
            <w:r>
              <w:rPr>
                <w:spacing w:val="-2"/>
                <w:sz w:val="28"/>
              </w:rPr>
              <w:t>0,044</w:t>
            </w:r>
            <w:r>
              <w:rPr>
                <w:spacing w:val="-2"/>
                <w:sz w:val="28"/>
                <w:vertAlign w:val="superscript"/>
              </w:rPr>
              <w:t>*</w:t>
            </w:r>
          </w:p>
        </w:tc>
      </w:tr>
      <w:tr w14:paraId="343698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639" w:type="dxa"/>
            <w:gridSpan w:val="4"/>
          </w:tcPr>
          <w:p w14:paraId="094B98EE">
            <w:pPr>
              <w:pStyle w:val="11"/>
              <w:spacing w:line="301" w:lineRule="exact"/>
              <w:ind w:left="12" w:right="136" w:firstLine="697"/>
              <w:jc w:val="both"/>
              <w:rPr>
                <w:spacing w:val="-4"/>
                <w:sz w:val="28"/>
              </w:rPr>
            </w:pPr>
            <w:r>
              <w:rPr>
                <w:sz w:val="28"/>
                <w:szCs w:val="28"/>
              </w:rPr>
              <w:t>Примечание: Категориальные</w:t>
            </w:r>
            <w:r>
              <w:rPr>
                <w:spacing w:val="-3"/>
                <w:sz w:val="28"/>
                <w:szCs w:val="28"/>
              </w:rPr>
              <w:t xml:space="preserve"> </w:t>
            </w:r>
            <w:r>
              <w:rPr>
                <w:sz w:val="28"/>
                <w:szCs w:val="28"/>
              </w:rPr>
              <w:t>данные</w:t>
            </w:r>
            <w:r>
              <w:rPr>
                <w:spacing w:val="-7"/>
                <w:sz w:val="28"/>
                <w:szCs w:val="28"/>
              </w:rPr>
              <w:t xml:space="preserve"> </w:t>
            </w:r>
            <w:r>
              <w:rPr>
                <w:sz w:val="28"/>
                <w:szCs w:val="28"/>
              </w:rPr>
              <w:t>представлены</w:t>
            </w:r>
            <w:r>
              <w:rPr>
                <w:spacing w:val="-4"/>
                <w:sz w:val="28"/>
                <w:szCs w:val="28"/>
              </w:rPr>
              <w:t xml:space="preserve"> </w:t>
            </w:r>
            <w:r>
              <w:rPr>
                <w:sz w:val="28"/>
                <w:szCs w:val="28"/>
              </w:rPr>
              <w:t>как</w:t>
            </w:r>
            <w:r>
              <w:rPr>
                <w:spacing w:val="-3"/>
                <w:sz w:val="28"/>
                <w:szCs w:val="28"/>
              </w:rPr>
              <w:t xml:space="preserve"> </w:t>
            </w:r>
            <w:r>
              <w:rPr>
                <w:sz w:val="28"/>
                <w:szCs w:val="28"/>
              </w:rPr>
              <w:t>абсолютные</w:t>
            </w:r>
            <w:r>
              <w:rPr>
                <w:spacing w:val="-2"/>
                <w:sz w:val="28"/>
                <w:szCs w:val="28"/>
              </w:rPr>
              <w:t xml:space="preserve"> </w:t>
            </w:r>
            <w:r>
              <w:rPr>
                <w:sz w:val="28"/>
                <w:szCs w:val="28"/>
              </w:rPr>
              <w:t>значения</w:t>
            </w:r>
            <w:r>
              <w:rPr>
                <w:spacing w:val="-6"/>
                <w:sz w:val="28"/>
                <w:szCs w:val="28"/>
              </w:rPr>
              <w:t xml:space="preserve"> </w:t>
            </w:r>
            <w:r>
              <w:rPr>
                <w:sz w:val="28"/>
                <w:szCs w:val="28"/>
              </w:rPr>
              <w:t>и</w:t>
            </w:r>
            <w:r>
              <w:rPr>
                <w:spacing w:val="-5"/>
                <w:sz w:val="28"/>
                <w:szCs w:val="28"/>
              </w:rPr>
              <w:t xml:space="preserve"> </w:t>
            </w:r>
            <w:r>
              <w:rPr>
                <w:sz w:val="28"/>
                <w:szCs w:val="28"/>
              </w:rPr>
              <w:t>проценты</w:t>
            </w:r>
            <w:r>
              <w:rPr>
                <w:spacing w:val="11"/>
                <w:sz w:val="28"/>
                <w:szCs w:val="28"/>
              </w:rPr>
              <w:t xml:space="preserve"> </w:t>
            </w:r>
            <w:r>
              <w:rPr>
                <w:sz w:val="28"/>
                <w:szCs w:val="28"/>
              </w:rPr>
              <w:t>—</w:t>
            </w:r>
            <w:r>
              <w:rPr>
                <w:spacing w:val="-6"/>
                <w:sz w:val="28"/>
                <w:szCs w:val="28"/>
              </w:rPr>
              <w:t xml:space="preserve"> </w:t>
            </w:r>
            <w:r>
              <w:rPr>
                <w:sz w:val="28"/>
                <w:szCs w:val="28"/>
              </w:rPr>
              <w:t>n</w:t>
            </w:r>
            <w:r>
              <w:rPr>
                <w:spacing w:val="-6"/>
                <w:sz w:val="28"/>
                <w:szCs w:val="28"/>
              </w:rPr>
              <w:t xml:space="preserve"> </w:t>
            </w:r>
            <w:r>
              <w:rPr>
                <w:sz w:val="28"/>
                <w:szCs w:val="28"/>
              </w:rPr>
              <w:t>(%).*</w:t>
            </w:r>
            <w:r>
              <w:rPr>
                <w:spacing w:val="-2"/>
                <w:sz w:val="28"/>
                <w:szCs w:val="28"/>
              </w:rPr>
              <w:t xml:space="preserve"> </w:t>
            </w:r>
            <w:r>
              <w:rPr>
                <w:sz w:val="28"/>
                <w:szCs w:val="28"/>
              </w:rPr>
              <w:t>p</w:t>
            </w:r>
            <w:r>
              <w:rPr>
                <w:spacing w:val="-5"/>
                <w:sz w:val="28"/>
                <w:szCs w:val="28"/>
              </w:rPr>
              <w:t xml:space="preserve"> </w:t>
            </w:r>
            <w:r>
              <w:rPr>
                <w:spacing w:val="-10"/>
                <w:sz w:val="28"/>
                <w:szCs w:val="28"/>
              </w:rPr>
              <w:t>&lt;</w:t>
            </w:r>
            <w:r>
              <w:rPr>
                <w:sz w:val="28"/>
                <w:szCs w:val="28"/>
              </w:rPr>
              <w:t>0,05,</w:t>
            </w:r>
            <w:r>
              <w:rPr>
                <w:spacing w:val="-4"/>
                <w:sz w:val="28"/>
                <w:szCs w:val="28"/>
              </w:rPr>
              <w:t xml:space="preserve"> </w:t>
            </w:r>
            <w:r>
              <w:rPr>
                <w:sz w:val="28"/>
                <w:szCs w:val="28"/>
              </w:rPr>
              <w:t>**</w:t>
            </w:r>
            <w:r>
              <w:rPr>
                <w:spacing w:val="-1"/>
                <w:sz w:val="28"/>
                <w:szCs w:val="28"/>
              </w:rPr>
              <w:t xml:space="preserve"> </w:t>
            </w:r>
            <w:r>
              <w:rPr>
                <w:sz w:val="28"/>
                <w:szCs w:val="28"/>
              </w:rPr>
              <w:t>p</w:t>
            </w:r>
            <w:r>
              <w:rPr>
                <w:spacing w:val="-6"/>
                <w:sz w:val="28"/>
                <w:szCs w:val="28"/>
              </w:rPr>
              <w:t xml:space="preserve"> </w:t>
            </w:r>
            <w:r>
              <w:rPr>
                <w:sz w:val="28"/>
                <w:szCs w:val="28"/>
              </w:rPr>
              <w:t>&lt;</w:t>
            </w:r>
            <w:r>
              <w:rPr>
                <w:spacing w:val="-2"/>
                <w:sz w:val="28"/>
                <w:szCs w:val="28"/>
              </w:rPr>
              <w:t xml:space="preserve"> </w:t>
            </w:r>
            <w:r>
              <w:rPr>
                <w:sz w:val="28"/>
                <w:szCs w:val="28"/>
              </w:rPr>
              <w:t>0,01, ***</w:t>
            </w:r>
            <w:r>
              <w:rPr>
                <w:spacing w:val="-6"/>
                <w:sz w:val="28"/>
                <w:szCs w:val="28"/>
              </w:rPr>
              <w:t xml:space="preserve"> </w:t>
            </w:r>
            <w:r>
              <w:rPr>
                <w:sz w:val="28"/>
                <w:szCs w:val="28"/>
              </w:rPr>
              <w:t>p</w:t>
            </w:r>
            <w:r>
              <w:rPr>
                <w:spacing w:val="-1"/>
                <w:sz w:val="28"/>
                <w:szCs w:val="28"/>
              </w:rPr>
              <w:t xml:space="preserve"> </w:t>
            </w:r>
            <w:r>
              <w:rPr>
                <w:sz w:val="28"/>
                <w:szCs w:val="28"/>
              </w:rPr>
              <w:t>&lt;</w:t>
            </w:r>
            <w:r>
              <w:rPr>
                <w:spacing w:val="-7"/>
                <w:sz w:val="28"/>
                <w:szCs w:val="28"/>
              </w:rPr>
              <w:t xml:space="preserve"> </w:t>
            </w:r>
            <w:r>
              <w:rPr>
                <w:sz w:val="28"/>
                <w:szCs w:val="28"/>
              </w:rPr>
              <w:t>0,001. Для</w:t>
            </w:r>
            <w:r>
              <w:rPr>
                <w:spacing w:val="-6"/>
                <w:sz w:val="28"/>
                <w:szCs w:val="28"/>
              </w:rPr>
              <w:t xml:space="preserve"> </w:t>
            </w:r>
            <w:r>
              <w:rPr>
                <w:sz w:val="28"/>
                <w:szCs w:val="28"/>
              </w:rPr>
              <w:t>сравнения</w:t>
            </w:r>
            <w:r>
              <w:rPr>
                <w:spacing w:val="-6"/>
                <w:sz w:val="28"/>
                <w:szCs w:val="28"/>
              </w:rPr>
              <w:t xml:space="preserve"> </w:t>
            </w:r>
            <w:r>
              <w:rPr>
                <w:sz w:val="28"/>
                <w:szCs w:val="28"/>
              </w:rPr>
              <w:t>категориальных</w:t>
            </w:r>
            <w:r>
              <w:rPr>
                <w:spacing w:val="-6"/>
                <w:sz w:val="28"/>
                <w:szCs w:val="28"/>
              </w:rPr>
              <w:t xml:space="preserve"> </w:t>
            </w:r>
            <w:r>
              <w:rPr>
                <w:sz w:val="28"/>
                <w:szCs w:val="28"/>
              </w:rPr>
              <w:t>переменных</w:t>
            </w:r>
            <w:r>
              <w:rPr>
                <w:spacing w:val="-6"/>
                <w:sz w:val="28"/>
                <w:szCs w:val="28"/>
              </w:rPr>
              <w:t xml:space="preserve"> </w:t>
            </w:r>
            <w:r>
              <w:rPr>
                <w:sz w:val="28"/>
                <w:szCs w:val="28"/>
              </w:rPr>
              <w:t>применён точный критерий Фишера.</w:t>
            </w:r>
          </w:p>
        </w:tc>
      </w:tr>
    </w:tbl>
    <w:p w14:paraId="5CB6E253">
      <w:pPr>
        <w:tabs>
          <w:tab w:val="left" w:pos="3277"/>
        </w:tabs>
        <w:jc w:val="both"/>
      </w:pPr>
      <w:r>
        <w:rPr>
          <w:spacing w:val="-6"/>
          <w:sz w:val="28"/>
          <w:szCs w:val="28"/>
        </w:rPr>
        <w:tab/>
      </w:r>
    </w:p>
    <w:p w14:paraId="6F156EEE">
      <w:pPr>
        <w:pStyle w:val="3"/>
        <w:numPr>
          <w:ilvl w:val="2"/>
          <w:numId w:val="8"/>
        </w:numPr>
        <w:tabs>
          <w:tab w:val="left" w:pos="1560"/>
        </w:tabs>
        <w:spacing w:line="319" w:lineRule="exact"/>
        <w:ind w:left="1622" w:hanging="913"/>
        <w:rPr>
          <w:b w:val="0"/>
        </w:rPr>
      </w:pPr>
      <w:r>
        <w:rPr>
          <w:b w:val="0"/>
        </w:rPr>
        <w:t>Влияние</w:t>
      </w:r>
      <w:r>
        <w:rPr>
          <w:b w:val="0"/>
          <w:spacing w:val="-7"/>
        </w:rPr>
        <w:t xml:space="preserve"> </w:t>
      </w:r>
      <w:r>
        <w:rPr>
          <w:b w:val="0"/>
        </w:rPr>
        <w:t>модифицированного</w:t>
      </w:r>
      <w:r>
        <w:rPr>
          <w:b w:val="0"/>
          <w:spacing w:val="-11"/>
        </w:rPr>
        <w:t xml:space="preserve"> </w:t>
      </w:r>
      <w:r>
        <w:rPr>
          <w:b w:val="0"/>
        </w:rPr>
        <w:t>ПЕА</w:t>
      </w:r>
      <w:r>
        <w:rPr>
          <w:b w:val="0"/>
          <w:spacing w:val="-6"/>
        </w:rPr>
        <w:t xml:space="preserve"> </w:t>
      </w:r>
      <w:r>
        <w:rPr>
          <w:b w:val="0"/>
        </w:rPr>
        <w:t>на</w:t>
      </w:r>
      <w:r>
        <w:rPr>
          <w:b w:val="0"/>
          <w:spacing w:val="-7"/>
        </w:rPr>
        <w:t xml:space="preserve"> </w:t>
      </w:r>
      <w:r>
        <w:rPr>
          <w:b w:val="0"/>
        </w:rPr>
        <w:t>риск</w:t>
      </w:r>
      <w:r>
        <w:rPr>
          <w:b w:val="0"/>
          <w:spacing w:val="-9"/>
        </w:rPr>
        <w:t xml:space="preserve"> </w:t>
      </w:r>
      <w:r>
        <w:rPr>
          <w:b w:val="0"/>
        </w:rPr>
        <w:t>развития</w:t>
      </w:r>
      <w:r>
        <w:rPr>
          <w:b w:val="0"/>
          <w:spacing w:val="-9"/>
        </w:rPr>
        <w:t xml:space="preserve"> </w:t>
      </w:r>
      <w:r>
        <w:rPr>
          <w:b w:val="0"/>
        </w:rPr>
        <w:t>КЗ-</w:t>
      </w:r>
      <w:r>
        <w:rPr>
          <w:b w:val="0"/>
          <w:spacing w:val="-5"/>
        </w:rPr>
        <w:t>ПС</w:t>
      </w:r>
    </w:p>
    <w:p w14:paraId="244D8611">
      <w:pPr>
        <w:pStyle w:val="7"/>
        <w:ind w:left="0" w:right="6" w:firstLine="709"/>
        <w:rPr>
          <w:lang w:val="kk-KZ"/>
        </w:rPr>
      </w:pPr>
      <w:r>
        <w:t>Влияние модифицированного ПЕА на риск развития КЗ-ПС оценивалось с использованием многофакторного логистического регрессионного анализа. В модель были включены клинико-интраоперационные и послеоперационные переменные, потенциально ассоциированные с формированием КЗ-ПС.</w:t>
      </w:r>
    </w:p>
    <w:p w14:paraId="6BE19958">
      <w:pPr>
        <w:pStyle w:val="7"/>
        <w:ind w:left="0" w:right="6" w:firstLine="709"/>
      </w:pPr>
      <w:r>
        <w:t>Многофакторный логистический регрессионный анализ факторов, ассоциированных с риском развития КЗ-ПС, демонстрирует независимое влияние типа ПЕА на исход после ГПДР.</w:t>
      </w:r>
    </w:p>
    <w:p w14:paraId="48C4B92F">
      <w:pPr>
        <w:pStyle w:val="7"/>
        <w:ind w:left="0" w:right="3" w:firstLine="709"/>
      </w:pPr>
      <w:r>
        <w:t>Согласно данным forest plot, выполнение стандартного ПЕА</w:t>
      </w:r>
      <w:r>
        <w:rPr>
          <w:spacing w:val="-1"/>
        </w:rPr>
        <w:t xml:space="preserve"> </w:t>
      </w:r>
      <w:r>
        <w:t>статистически значимо</w:t>
      </w:r>
      <w:r>
        <w:rPr>
          <w:spacing w:val="46"/>
        </w:rPr>
        <w:t xml:space="preserve">  </w:t>
      </w:r>
      <w:r>
        <w:t>повышало</w:t>
      </w:r>
      <w:r>
        <w:rPr>
          <w:spacing w:val="46"/>
        </w:rPr>
        <w:t xml:space="preserve">  </w:t>
      </w:r>
      <w:r>
        <w:t>вероятность</w:t>
      </w:r>
      <w:r>
        <w:rPr>
          <w:spacing w:val="46"/>
        </w:rPr>
        <w:t xml:space="preserve">  </w:t>
      </w:r>
      <w:r>
        <w:t>формирования</w:t>
      </w:r>
      <w:r>
        <w:rPr>
          <w:spacing w:val="47"/>
        </w:rPr>
        <w:t xml:space="preserve">  </w:t>
      </w:r>
      <w:r>
        <w:t>КЗ-ПС</w:t>
      </w:r>
      <w:r>
        <w:rPr>
          <w:spacing w:val="47"/>
        </w:rPr>
        <w:t xml:space="preserve">  </w:t>
      </w:r>
      <w:r>
        <w:t>по</w:t>
      </w:r>
      <w:r>
        <w:rPr>
          <w:spacing w:val="46"/>
        </w:rPr>
        <w:t xml:space="preserve">  </w:t>
      </w:r>
      <w:r>
        <w:t>сравнению</w:t>
      </w:r>
      <w:r>
        <w:rPr>
          <w:spacing w:val="46"/>
        </w:rPr>
        <w:t xml:space="preserve">  </w:t>
      </w:r>
      <w:r>
        <w:rPr>
          <w:spacing w:val="-10"/>
        </w:rPr>
        <w:t>с</w:t>
      </w:r>
      <w:r>
        <w:t xml:space="preserve"> модифицированным вариантом ПЕА (OR = 3,21; 95% ДИ 1,07–9,61). Доверительный интервал не пересекает линию отсутствия эффекта, что указывает на устойчивость выявленной ассоциации после корректировки на другие включённые в модель клинико-интраоперационные и послеоперационные факторы.</w:t>
      </w:r>
    </w:p>
    <w:p w14:paraId="3E010F6C">
      <w:pPr>
        <w:pStyle w:val="7"/>
        <w:spacing w:before="4"/>
        <w:ind w:left="0" w:right="3" w:firstLine="709"/>
      </w:pPr>
      <w:r>
        <w:t>Таким образом, модифицированный ПЕА продемонстрировал протективный эффект в отношении развития КЗ-ПС и может рассматриваться как</w:t>
      </w:r>
      <w:r>
        <w:rPr>
          <w:spacing w:val="-4"/>
        </w:rPr>
        <w:t xml:space="preserve"> </w:t>
      </w:r>
      <w:r>
        <w:t>независимый</w:t>
      </w:r>
      <w:r>
        <w:rPr>
          <w:spacing w:val="-4"/>
        </w:rPr>
        <w:t xml:space="preserve"> </w:t>
      </w:r>
      <w:r>
        <w:t>фактор</w:t>
      </w:r>
      <w:r>
        <w:rPr>
          <w:spacing w:val="-4"/>
        </w:rPr>
        <w:t xml:space="preserve"> </w:t>
      </w:r>
      <w:r>
        <w:t>снижения</w:t>
      </w:r>
      <w:r>
        <w:rPr>
          <w:spacing w:val="-2"/>
        </w:rPr>
        <w:t xml:space="preserve"> </w:t>
      </w:r>
      <w:r>
        <w:t>риска</w:t>
      </w:r>
      <w:r>
        <w:rPr>
          <w:spacing w:val="-3"/>
        </w:rPr>
        <w:t xml:space="preserve"> </w:t>
      </w:r>
      <w:r>
        <w:t>КЗ-ПС</w:t>
      </w:r>
      <w:r>
        <w:rPr>
          <w:spacing w:val="-3"/>
        </w:rPr>
        <w:t xml:space="preserve"> </w:t>
      </w:r>
      <w:r>
        <w:t>в</w:t>
      </w:r>
      <w:r>
        <w:rPr>
          <w:spacing w:val="-5"/>
        </w:rPr>
        <w:t xml:space="preserve"> </w:t>
      </w:r>
      <w:r>
        <w:t>послеоперационном</w:t>
      </w:r>
      <w:r>
        <w:rPr>
          <w:spacing w:val="-3"/>
        </w:rPr>
        <w:t xml:space="preserve"> </w:t>
      </w:r>
      <w:r>
        <w:t>периоде.</w:t>
      </w:r>
    </w:p>
    <w:p w14:paraId="49B989C9">
      <w:pPr>
        <w:pStyle w:val="7"/>
        <w:spacing w:before="4"/>
        <w:ind w:left="0" w:firstLine="0"/>
        <w:jc w:val="left"/>
      </w:pPr>
    </w:p>
    <w:p w14:paraId="4D1CF957">
      <w:pPr>
        <w:pStyle w:val="7"/>
        <w:spacing w:before="192"/>
        <w:ind w:left="0" w:firstLine="0"/>
        <w:jc w:val="left"/>
        <w:rPr>
          <w:sz w:val="20"/>
        </w:rPr>
      </w:pPr>
      <w:r>
        <w:rPr>
          <w:sz w:val="20"/>
          <w:lang w:eastAsia="ru-RU"/>
        </w:rPr>
        <w:drawing>
          <wp:anchor distT="0" distB="0" distL="0" distR="0" simplePos="0" relativeHeight="251698176" behindDoc="1" locked="0" layoutInCell="1" allowOverlap="1">
            <wp:simplePos x="0" y="0"/>
            <wp:positionH relativeFrom="page">
              <wp:posOffset>1781175</wp:posOffset>
            </wp:positionH>
            <wp:positionV relativeFrom="paragraph">
              <wp:posOffset>288290</wp:posOffset>
            </wp:positionV>
            <wp:extent cx="4656455" cy="4098925"/>
            <wp:effectExtent l="0" t="0" r="0" b="0"/>
            <wp:wrapTopAndBottom/>
            <wp:docPr id="206" name="Image 206" descr="C:\Users\UserHome\Downloads\forest_plot_corrected.png"/>
            <wp:cNvGraphicFramePr/>
            <a:graphic xmlns:a="http://schemas.openxmlformats.org/drawingml/2006/main">
              <a:graphicData uri="http://schemas.openxmlformats.org/drawingml/2006/picture">
                <pic:pic xmlns:pic="http://schemas.openxmlformats.org/drawingml/2006/picture">
                  <pic:nvPicPr>
                    <pic:cNvPr id="206" name="Image 206" descr="C:\Users\UserHome\Downloads\forest_plot_corrected.png"/>
                    <pic:cNvPicPr/>
                  </pic:nvPicPr>
                  <pic:blipFill>
                    <a:blip r:embed="rId72" cstate="print"/>
                    <a:stretch>
                      <a:fillRect/>
                    </a:stretch>
                  </pic:blipFill>
                  <pic:spPr>
                    <a:xfrm>
                      <a:off x="0" y="0"/>
                      <a:ext cx="4656455" cy="4098925"/>
                    </a:xfrm>
                    <a:prstGeom prst="rect">
                      <a:avLst/>
                    </a:prstGeom>
                  </pic:spPr>
                </pic:pic>
              </a:graphicData>
            </a:graphic>
          </wp:anchor>
        </w:drawing>
      </w:r>
    </w:p>
    <w:p w14:paraId="7A63C6F6">
      <w:pPr>
        <w:pStyle w:val="7"/>
        <w:spacing w:before="82"/>
        <w:ind w:left="0" w:firstLine="0"/>
        <w:jc w:val="center"/>
        <w:rPr>
          <w:lang w:val="kk-KZ"/>
        </w:rPr>
      </w:pPr>
    </w:p>
    <w:p w14:paraId="6B965D2A">
      <w:pPr>
        <w:pStyle w:val="7"/>
        <w:spacing w:before="82"/>
        <w:ind w:left="0" w:firstLine="0"/>
        <w:jc w:val="center"/>
        <w:rPr>
          <w:lang w:val="kk-KZ"/>
        </w:rPr>
      </w:pPr>
      <w:r>
        <w:t>Рисунок 34 – Факторы риска КЗ-ПС по данным многофакторного логистического</w:t>
      </w:r>
      <w:r>
        <w:rPr>
          <w:spacing w:val="-13"/>
        </w:rPr>
        <w:t xml:space="preserve"> </w:t>
      </w:r>
      <w:r>
        <w:t>регрессионного</w:t>
      </w:r>
      <w:r>
        <w:rPr>
          <w:spacing w:val="-13"/>
        </w:rPr>
        <w:t xml:space="preserve"> </w:t>
      </w:r>
      <w:r>
        <w:t>анализа</w:t>
      </w:r>
      <w:r>
        <w:rPr>
          <w:spacing w:val="-12"/>
        </w:rPr>
        <w:t xml:space="preserve"> </w:t>
      </w:r>
      <w:r>
        <w:t>(модифицированный</w:t>
      </w:r>
      <w:r>
        <w:rPr>
          <w:spacing w:val="-9"/>
        </w:rPr>
        <w:t xml:space="preserve"> </w:t>
      </w:r>
      <w:r>
        <w:t>ПЕА)</w:t>
      </w:r>
    </w:p>
    <w:p w14:paraId="61581BB6">
      <w:pPr>
        <w:pStyle w:val="7"/>
        <w:spacing w:before="82"/>
        <w:ind w:left="1188" w:hanging="479"/>
        <w:jc w:val="center"/>
        <w:rPr>
          <w:lang w:val="kk-KZ"/>
        </w:rPr>
      </w:pPr>
    </w:p>
    <w:p w14:paraId="47E4CE4D">
      <w:pPr>
        <w:pStyle w:val="3"/>
        <w:numPr>
          <w:ilvl w:val="2"/>
          <w:numId w:val="8"/>
        </w:numPr>
        <w:tabs>
          <w:tab w:val="left" w:pos="1703"/>
        </w:tabs>
        <w:ind w:left="0" w:right="3" w:firstLine="709"/>
        <w:rPr>
          <w:b w:val="0"/>
        </w:rPr>
      </w:pPr>
      <w:r>
        <w:rPr>
          <w:b w:val="0"/>
        </w:rPr>
        <w:t>Анализ эффективности модифицированного ПЕА у пациентов группы высокого риска</w:t>
      </w:r>
    </w:p>
    <w:p w14:paraId="2FCB28BB">
      <w:pPr>
        <w:pStyle w:val="7"/>
        <w:ind w:left="0" w:right="3" w:firstLine="709"/>
      </w:pPr>
      <w:r>
        <w:t>В анализ включены пациенты, перенёсшие ГПДР в период 2019–2022 гг. с формированием стандартного ПЕА (n = 121) и в период 2023–2025 гг. с применением модифицированной методики (n = 78).</w:t>
      </w:r>
    </w:p>
    <w:p w14:paraId="1FE64FB9">
      <w:pPr>
        <w:pStyle w:val="7"/>
        <w:ind w:left="0" w:right="3" w:firstLine="709"/>
      </w:pPr>
      <w:r>
        <w:t>Таблица</w:t>
      </w:r>
      <w:r>
        <w:rPr>
          <w:spacing w:val="-11"/>
        </w:rPr>
        <w:t xml:space="preserve"> </w:t>
      </w:r>
      <w:r>
        <w:t>29</w:t>
      </w:r>
      <w:r>
        <w:rPr>
          <w:spacing w:val="-13"/>
        </w:rPr>
        <w:t xml:space="preserve"> </w:t>
      </w:r>
      <w:r>
        <w:t>отражает</w:t>
      </w:r>
      <w:r>
        <w:rPr>
          <w:spacing w:val="-14"/>
        </w:rPr>
        <w:t xml:space="preserve"> </w:t>
      </w:r>
      <w:r>
        <w:t>интраоперационные</w:t>
      </w:r>
      <w:r>
        <w:rPr>
          <w:spacing w:val="-8"/>
        </w:rPr>
        <w:t xml:space="preserve"> </w:t>
      </w:r>
      <w:r>
        <w:t>и</w:t>
      </w:r>
      <w:r>
        <w:rPr>
          <w:spacing w:val="-13"/>
        </w:rPr>
        <w:t xml:space="preserve"> </w:t>
      </w:r>
      <w:r>
        <w:t>послеоперационные</w:t>
      </w:r>
      <w:r>
        <w:rPr>
          <w:spacing w:val="-12"/>
        </w:rPr>
        <w:t xml:space="preserve"> </w:t>
      </w:r>
      <w:r>
        <w:t>результаты у пациентов с мягкой консистенцией ПЖ в зависимости от типа ПЕА: контрольная группа (n=121) и основная группа (n=78).</w:t>
      </w:r>
    </w:p>
    <w:p w14:paraId="618D321D">
      <w:pPr>
        <w:pStyle w:val="7"/>
        <w:ind w:left="0" w:right="3" w:firstLine="709"/>
      </w:pPr>
      <w:r>
        <w:t>Длительность оперативного вмешательства статистически не различалась между группами и составила 390 [350–450] мин в контрольной и 370 [330–460] мин в основной группе (p=0,186), что свидетельствует о сопоставимой технической сложности операций.</w:t>
      </w:r>
    </w:p>
    <w:p w14:paraId="00C86E70">
      <w:pPr>
        <w:pStyle w:val="7"/>
        <w:ind w:left="0" w:right="3" w:firstLine="709"/>
      </w:pPr>
      <w:r>
        <w:t>В</w:t>
      </w:r>
      <w:r>
        <w:rPr>
          <w:spacing w:val="-18"/>
        </w:rPr>
        <w:t xml:space="preserve"> </w:t>
      </w:r>
      <w:r>
        <w:t>то</w:t>
      </w:r>
      <w:r>
        <w:rPr>
          <w:spacing w:val="-17"/>
        </w:rPr>
        <w:t xml:space="preserve"> </w:t>
      </w:r>
      <w:r>
        <w:t>же</w:t>
      </w:r>
      <w:r>
        <w:rPr>
          <w:spacing w:val="-14"/>
        </w:rPr>
        <w:t xml:space="preserve"> </w:t>
      </w:r>
      <w:r>
        <w:t>время</w:t>
      </w:r>
      <w:r>
        <w:rPr>
          <w:spacing w:val="-18"/>
        </w:rPr>
        <w:t xml:space="preserve"> </w:t>
      </w:r>
      <w:r>
        <w:t>объём</w:t>
      </w:r>
      <w:r>
        <w:rPr>
          <w:spacing w:val="-17"/>
        </w:rPr>
        <w:t xml:space="preserve"> </w:t>
      </w:r>
      <w:r>
        <w:t>интраоперационной</w:t>
      </w:r>
      <w:r>
        <w:rPr>
          <w:spacing w:val="-12"/>
        </w:rPr>
        <w:t xml:space="preserve"> </w:t>
      </w:r>
      <w:r>
        <w:t>кровопотери</w:t>
      </w:r>
      <w:r>
        <w:rPr>
          <w:spacing w:val="-15"/>
        </w:rPr>
        <w:t xml:space="preserve"> </w:t>
      </w:r>
      <w:r>
        <w:t>был</w:t>
      </w:r>
      <w:r>
        <w:rPr>
          <w:spacing w:val="-18"/>
        </w:rPr>
        <w:t xml:space="preserve"> </w:t>
      </w:r>
      <w:r>
        <w:t>достоверно</w:t>
      </w:r>
      <w:r>
        <w:rPr>
          <w:spacing w:val="-15"/>
        </w:rPr>
        <w:t xml:space="preserve"> </w:t>
      </w:r>
      <w:r>
        <w:t>ниже в основной группе — 300 [200–400] мл против 380 [350–400] мл в контрольной (p&lt;0,001),</w:t>
      </w:r>
      <w:r>
        <w:rPr>
          <w:spacing w:val="-6"/>
        </w:rPr>
        <w:t xml:space="preserve"> </w:t>
      </w:r>
      <w:r>
        <w:t>что</w:t>
      </w:r>
      <w:r>
        <w:rPr>
          <w:spacing w:val="-8"/>
        </w:rPr>
        <w:t xml:space="preserve"> </w:t>
      </w:r>
      <w:r>
        <w:t>указывает</w:t>
      </w:r>
      <w:r>
        <w:rPr>
          <w:spacing w:val="-9"/>
        </w:rPr>
        <w:t xml:space="preserve"> </w:t>
      </w:r>
      <w:r>
        <w:t>на</w:t>
      </w:r>
      <w:r>
        <w:rPr>
          <w:spacing w:val="-7"/>
        </w:rPr>
        <w:t xml:space="preserve"> </w:t>
      </w:r>
      <w:r>
        <w:t>более</w:t>
      </w:r>
      <w:r>
        <w:rPr>
          <w:spacing w:val="-7"/>
        </w:rPr>
        <w:t xml:space="preserve"> </w:t>
      </w:r>
      <w:r>
        <w:t>прецизионное</w:t>
      </w:r>
      <w:r>
        <w:rPr>
          <w:spacing w:val="-7"/>
        </w:rPr>
        <w:t xml:space="preserve"> </w:t>
      </w:r>
      <w:r>
        <w:t>выполнение</w:t>
      </w:r>
      <w:r>
        <w:rPr>
          <w:spacing w:val="-7"/>
        </w:rPr>
        <w:t xml:space="preserve"> </w:t>
      </w:r>
      <w:r>
        <w:t>реконструктивного этапа при использовании модифицированной техники ПЕА.</w:t>
      </w:r>
    </w:p>
    <w:p w14:paraId="24416162">
      <w:pPr>
        <w:pStyle w:val="7"/>
        <w:ind w:left="0" w:right="3" w:firstLine="709"/>
      </w:pPr>
      <w:r>
        <w:t>Наиболее выраженные различия отмечены в структуре панкреатических осложнений. Общая частота панкреатического свища в основной группе была существенно ниже и составила 32,0% против 59,5% в контрольной (p&lt;0,001). Распределение свищей по степеням (A/B/C) также статистически различалось (p=0,009): в основной группе отмечено значительное снижение доли всех степеней ПС, особенно тяжёлых форм.</w:t>
      </w:r>
    </w:p>
    <w:p w14:paraId="7B41A3E6">
      <w:pPr>
        <w:pStyle w:val="7"/>
        <w:ind w:left="0" w:right="3" w:firstLine="709"/>
      </w:pPr>
      <w:r>
        <w:t>Частота клинически значимых панкреатических свищей (B/C) в основной группе составила 24,3% против 38,8% в контрольной (p=0,045), что подтверждает снижение риска тяжёлой несостоятельности панкреатодигестивного анастомоза при применении новой методики.</w:t>
      </w:r>
    </w:p>
    <w:p w14:paraId="203995D8">
      <w:pPr>
        <w:pStyle w:val="7"/>
        <w:ind w:left="0" w:right="3" w:firstLine="709"/>
      </w:pPr>
      <w:r>
        <w:t>Частота релапаротомий была достоверно ниже в основной группе — 1,2% против 10,0% (p=0,017), что отражает уменьшение числа осложнений, требующих</w:t>
      </w:r>
      <w:r>
        <w:rPr>
          <w:spacing w:val="-17"/>
        </w:rPr>
        <w:t xml:space="preserve"> </w:t>
      </w:r>
      <w:r>
        <w:t>повторного</w:t>
      </w:r>
      <w:r>
        <w:rPr>
          <w:spacing w:val="-9"/>
        </w:rPr>
        <w:t xml:space="preserve"> </w:t>
      </w:r>
      <w:r>
        <w:t>хирургического</w:t>
      </w:r>
      <w:r>
        <w:rPr>
          <w:spacing w:val="-9"/>
        </w:rPr>
        <w:t xml:space="preserve"> </w:t>
      </w:r>
      <w:r>
        <w:t>вмешательства.</w:t>
      </w:r>
      <w:r>
        <w:rPr>
          <w:spacing w:val="-11"/>
        </w:rPr>
        <w:t xml:space="preserve"> </w:t>
      </w:r>
      <w:r>
        <w:t>Аналогичная</w:t>
      </w:r>
      <w:r>
        <w:rPr>
          <w:spacing w:val="-12"/>
        </w:rPr>
        <w:t xml:space="preserve"> </w:t>
      </w:r>
      <w:r>
        <w:t>тенденция отмечена</w:t>
      </w:r>
      <w:r>
        <w:rPr>
          <w:spacing w:val="-3"/>
        </w:rPr>
        <w:t xml:space="preserve"> </w:t>
      </w:r>
      <w:r>
        <w:t>в</w:t>
      </w:r>
      <w:r>
        <w:rPr>
          <w:spacing w:val="-5"/>
        </w:rPr>
        <w:t xml:space="preserve"> </w:t>
      </w:r>
      <w:r>
        <w:t>отношении ПС-ассоциированного</w:t>
      </w:r>
      <w:r>
        <w:rPr>
          <w:spacing w:val="-3"/>
        </w:rPr>
        <w:t xml:space="preserve"> </w:t>
      </w:r>
      <w:r>
        <w:t>кровотечения</w:t>
      </w:r>
      <w:r>
        <w:rPr>
          <w:spacing w:val="-3"/>
        </w:rPr>
        <w:t xml:space="preserve"> </w:t>
      </w:r>
      <w:r>
        <w:t>(2,5%</w:t>
      </w:r>
      <w:r>
        <w:rPr>
          <w:spacing w:val="-5"/>
        </w:rPr>
        <w:t xml:space="preserve"> </w:t>
      </w:r>
      <w:r>
        <w:t>против</w:t>
      </w:r>
      <w:r>
        <w:rPr>
          <w:spacing w:val="-6"/>
        </w:rPr>
        <w:t xml:space="preserve"> </w:t>
      </w:r>
      <w:r>
        <w:t>9,0%), хотя различие не достигло статистической значимости (p=0,083).</w:t>
      </w:r>
    </w:p>
    <w:p w14:paraId="5C365543">
      <w:pPr>
        <w:pStyle w:val="7"/>
        <w:spacing w:line="242" w:lineRule="auto"/>
        <w:ind w:left="0" w:right="3" w:firstLine="709"/>
      </w:pPr>
      <w:r>
        <w:t>Различия</w:t>
      </w:r>
      <w:r>
        <w:rPr>
          <w:spacing w:val="-1"/>
        </w:rPr>
        <w:t xml:space="preserve"> </w:t>
      </w:r>
      <w:r>
        <w:t>по частоте</w:t>
      </w:r>
      <w:r>
        <w:rPr>
          <w:spacing w:val="-1"/>
        </w:rPr>
        <w:t xml:space="preserve"> </w:t>
      </w:r>
      <w:r>
        <w:t>послеоперационного</w:t>
      </w:r>
      <w:r>
        <w:rPr>
          <w:spacing w:val="-2"/>
        </w:rPr>
        <w:t xml:space="preserve"> </w:t>
      </w:r>
      <w:r>
        <w:t>кровотечения, билиарного</w:t>
      </w:r>
      <w:r>
        <w:rPr>
          <w:spacing w:val="-2"/>
        </w:rPr>
        <w:t xml:space="preserve"> </w:t>
      </w:r>
      <w:r>
        <w:t>свища и</w:t>
      </w:r>
      <w:r>
        <w:rPr>
          <w:spacing w:val="-8"/>
        </w:rPr>
        <w:t xml:space="preserve"> </w:t>
      </w:r>
      <w:r>
        <w:t>гастростаза</w:t>
      </w:r>
      <w:r>
        <w:rPr>
          <w:spacing w:val="-7"/>
        </w:rPr>
        <w:t xml:space="preserve"> </w:t>
      </w:r>
      <w:r>
        <w:t>статистически</w:t>
      </w:r>
      <w:r>
        <w:rPr>
          <w:spacing w:val="-8"/>
        </w:rPr>
        <w:t xml:space="preserve"> </w:t>
      </w:r>
      <w:r>
        <w:t>значимыми</w:t>
      </w:r>
      <w:r>
        <w:rPr>
          <w:spacing w:val="-5"/>
        </w:rPr>
        <w:t xml:space="preserve"> </w:t>
      </w:r>
      <w:r>
        <w:t>не</w:t>
      </w:r>
      <w:r>
        <w:rPr>
          <w:spacing w:val="-8"/>
        </w:rPr>
        <w:t xml:space="preserve"> </w:t>
      </w:r>
      <w:r>
        <w:t>были</w:t>
      </w:r>
      <w:r>
        <w:rPr>
          <w:spacing w:val="-8"/>
        </w:rPr>
        <w:t xml:space="preserve"> </w:t>
      </w:r>
      <w:r>
        <w:t>(p&gt;0,05),</w:t>
      </w:r>
      <w:r>
        <w:rPr>
          <w:spacing w:val="-7"/>
        </w:rPr>
        <w:t xml:space="preserve"> </w:t>
      </w:r>
      <w:r>
        <w:t>что</w:t>
      </w:r>
      <w:r>
        <w:rPr>
          <w:spacing w:val="-8"/>
        </w:rPr>
        <w:t xml:space="preserve"> </w:t>
      </w:r>
      <w:r>
        <w:t>свидетельствует</w:t>
      </w:r>
      <w:r>
        <w:rPr>
          <w:spacing w:val="-10"/>
        </w:rPr>
        <w:t xml:space="preserve"> </w:t>
      </w:r>
      <w:r>
        <w:t>о сопоставимом уровне неспецифических осложнений.</w:t>
      </w:r>
    </w:p>
    <w:p w14:paraId="2B71C45B">
      <w:pPr>
        <w:pStyle w:val="7"/>
        <w:ind w:left="0" w:right="3" w:firstLine="709"/>
      </w:pPr>
      <w:r>
        <w:t>Существенные различия выявлены по длительности госпитализации: в основной</w:t>
      </w:r>
      <w:r>
        <w:rPr>
          <w:spacing w:val="5"/>
        </w:rPr>
        <w:t xml:space="preserve"> </w:t>
      </w:r>
      <w:r>
        <w:t>группе</w:t>
      </w:r>
      <w:r>
        <w:rPr>
          <w:spacing w:val="6"/>
        </w:rPr>
        <w:t xml:space="preserve"> </w:t>
      </w:r>
      <w:r>
        <w:t>медиана</w:t>
      </w:r>
      <w:r>
        <w:rPr>
          <w:spacing w:val="6"/>
        </w:rPr>
        <w:t xml:space="preserve"> </w:t>
      </w:r>
      <w:r>
        <w:t>составила</w:t>
      </w:r>
      <w:r>
        <w:rPr>
          <w:spacing w:val="7"/>
        </w:rPr>
        <w:t xml:space="preserve"> </w:t>
      </w:r>
      <w:r>
        <w:t>16</w:t>
      </w:r>
      <w:r>
        <w:rPr>
          <w:spacing w:val="6"/>
        </w:rPr>
        <w:t xml:space="preserve"> </w:t>
      </w:r>
      <w:r>
        <w:t>[13–18]</w:t>
      </w:r>
      <w:r>
        <w:rPr>
          <w:spacing w:val="3"/>
        </w:rPr>
        <w:t xml:space="preserve"> </w:t>
      </w:r>
      <w:r>
        <w:t>суток</w:t>
      </w:r>
      <w:r>
        <w:rPr>
          <w:spacing w:val="5"/>
        </w:rPr>
        <w:t xml:space="preserve"> </w:t>
      </w:r>
      <w:r>
        <w:t>против</w:t>
      </w:r>
      <w:r>
        <w:rPr>
          <w:spacing w:val="4"/>
        </w:rPr>
        <w:t xml:space="preserve"> </w:t>
      </w:r>
      <w:r>
        <w:t>25</w:t>
      </w:r>
      <w:r>
        <w:rPr>
          <w:spacing w:val="10"/>
        </w:rPr>
        <w:t xml:space="preserve"> </w:t>
      </w:r>
      <w:r>
        <w:t>[23–27]</w:t>
      </w:r>
      <w:r>
        <w:rPr>
          <w:spacing w:val="4"/>
        </w:rPr>
        <w:t xml:space="preserve"> </w:t>
      </w:r>
      <w:r>
        <w:t>суток</w:t>
      </w:r>
      <w:r>
        <w:rPr>
          <w:spacing w:val="9"/>
        </w:rPr>
        <w:t xml:space="preserve"> </w:t>
      </w:r>
      <w:r>
        <w:rPr>
          <w:spacing w:val="-10"/>
        </w:rPr>
        <w:t>в</w:t>
      </w:r>
      <w:r>
        <w:t>контрольной (p&lt;0,001), что отражает более благоприятное течение послеоперационного периода.</w:t>
      </w:r>
    </w:p>
    <w:p w14:paraId="4686A8CE">
      <w:pPr>
        <w:pStyle w:val="7"/>
        <w:spacing w:line="242" w:lineRule="auto"/>
        <w:ind w:left="0" w:right="3" w:firstLine="709"/>
      </w:pPr>
      <w:r>
        <w:t>Госпитальная летальность была статистически значимо ниже в основной группе — 2,5% против 11,5% (p=0,030), что подчёркивает клиническую значимость снижения частоты тяжёлых панкреатических осложнений.</w:t>
      </w:r>
    </w:p>
    <w:p w14:paraId="3706C732">
      <w:pPr>
        <w:pStyle w:val="7"/>
        <w:ind w:left="0" w:right="3" w:firstLine="709"/>
      </w:pPr>
      <w:r>
        <w:t>Таким</w:t>
      </w:r>
      <w:r>
        <w:rPr>
          <w:spacing w:val="-5"/>
        </w:rPr>
        <w:t xml:space="preserve"> </w:t>
      </w:r>
      <w:r>
        <w:t>образом,</w:t>
      </w:r>
      <w:r>
        <w:rPr>
          <w:spacing w:val="-3"/>
        </w:rPr>
        <w:t xml:space="preserve"> </w:t>
      </w:r>
      <w:r>
        <w:t>у</w:t>
      </w:r>
      <w:r>
        <w:rPr>
          <w:spacing w:val="-10"/>
        </w:rPr>
        <w:t xml:space="preserve"> </w:t>
      </w:r>
      <w:r>
        <w:t>пациентов</w:t>
      </w:r>
      <w:r>
        <w:rPr>
          <w:spacing w:val="-7"/>
        </w:rPr>
        <w:t xml:space="preserve"> </w:t>
      </w:r>
      <w:r>
        <w:t>с</w:t>
      </w:r>
      <w:r>
        <w:rPr>
          <w:spacing w:val="-5"/>
        </w:rPr>
        <w:t xml:space="preserve"> </w:t>
      </w:r>
      <w:r>
        <w:t>мягкой</w:t>
      </w:r>
      <w:r>
        <w:rPr>
          <w:spacing w:val="-6"/>
        </w:rPr>
        <w:t xml:space="preserve"> </w:t>
      </w:r>
      <w:r>
        <w:t>ПЖ</w:t>
      </w:r>
      <w:r>
        <w:rPr>
          <w:spacing w:val="-6"/>
        </w:rPr>
        <w:t xml:space="preserve"> </w:t>
      </w:r>
      <w:r>
        <w:t>применение</w:t>
      </w:r>
      <w:r>
        <w:rPr>
          <w:spacing w:val="-5"/>
        </w:rPr>
        <w:t xml:space="preserve"> </w:t>
      </w:r>
      <w:r>
        <w:t>модифицированного ПЕА в основной группе ассоциировано с достоверным снижением частоты панкреатических свищей, клинически значимых форм ПС, релапаротомий, госпитальной летальности и продолжительности госпитализации при сопоставимой длительности операции, что свидетельствует о выраженном клиническом преимуществе данной реконструктивной методики в группе высокого риска.</w:t>
      </w:r>
    </w:p>
    <w:p w14:paraId="1A149345">
      <w:pPr>
        <w:pStyle w:val="7"/>
        <w:spacing w:before="314"/>
        <w:ind w:left="0" w:right="3" w:firstLine="0"/>
      </w:pPr>
      <w:bookmarkStart w:id="40" w:name="Таблица_29_–_Интраоперационные_и_послеоп"/>
      <w:bookmarkEnd w:id="40"/>
      <w:r>
        <w:t>Таблица</w:t>
      </w:r>
      <w:r>
        <w:rPr>
          <w:spacing w:val="-18"/>
        </w:rPr>
        <w:t xml:space="preserve"> </w:t>
      </w:r>
      <w:r>
        <w:t>29</w:t>
      </w:r>
      <w:r>
        <w:rPr>
          <w:spacing w:val="-16"/>
        </w:rPr>
        <w:t xml:space="preserve"> </w:t>
      </w:r>
      <w:r>
        <w:t>–</w:t>
      </w:r>
      <w:r>
        <w:rPr>
          <w:spacing w:val="-17"/>
        </w:rPr>
        <w:t xml:space="preserve"> </w:t>
      </w:r>
      <w:r>
        <w:t>Интраоперационные</w:t>
      </w:r>
      <w:r>
        <w:rPr>
          <w:spacing w:val="-15"/>
        </w:rPr>
        <w:t xml:space="preserve"> </w:t>
      </w:r>
      <w:r>
        <w:t>и</w:t>
      </w:r>
      <w:r>
        <w:rPr>
          <w:spacing w:val="-17"/>
        </w:rPr>
        <w:t xml:space="preserve"> </w:t>
      </w:r>
      <w:r>
        <w:t>послеоперационные</w:t>
      </w:r>
      <w:r>
        <w:rPr>
          <w:spacing w:val="-15"/>
        </w:rPr>
        <w:t xml:space="preserve"> </w:t>
      </w:r>
      <w:r>
        <w:t>результаты</w:t>
      </w:r>
      <w:r>
        <w:rPr>
          <w:spacing w:val="-11"/>
        </w:rPr>
        <w:t xml:space="preserve"> </w:t>
      </w:r>
      <w:r>
        <w:t>у</w:t>
      </w:r>
      <w:r>
        <w:rPr>
          <w:spacing w:val="-18"/>
        </w:rPr>
        <w:t xml:space="preserve"> </w:t>
      </w:r>
      <w:r>
        <w:t>пациентов с мягкой ПЖ в зависимости от типа ПЕА</w:t>
      </w:r>
    </w:p>
    <w:p w14:paraId="22628A32">
      <w:pPr>
        <w:pStyle w:val="7"/>
        <w:spacing w:before="98"/>
        <w:ind w:left="0" w:firstLine="0"/>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36"/>
        <w:gridCol w:w="2127"/>
        <w:gridCol w:w="1842"/>
        <w:gridCol w:w="1134"/>
      </w:tblGrid>
      <w:tr w14:paraId="00C72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536" w:type="dxa"/>
          </w:tcPr>
          <w:p w14:paraId="395C689F">
            <w:pPr>
              <w:pStyle w:val="11"/>
              <w:spacing w:line="320" w:lineRule="exact"/>
              <w:ind w:left="14" w:right="9"/>
              <w:rPr>
                <w:sz w:val="24"/>
                <w:szCs w:val="24"/>
              </w:rPr>
            </w:pPr>
            <w:r>
              <w:rPr>
                <w:spacing w:val="-2"/>
                <w:sz w:val="24"/>
                <w:szCs w:val="24"/>
              </w:rPr>
              <w:t>Показатель</w:t>
            </w:r>
          </w:p>
        </w:tc>
        <w:tc>
          <w:tcPr>
            <w:tcW w:w="2127" w:type="dxa"/>
          </w:tcPr>
          <w:p w14:paraId="415D673B">
            <w:pPr>
              <w:pStyle w:val="11"/>
              <w:spacing w:line="322" w:lineRule="exact"/>
              <w:ind w:left="542" w:right="190" w:hanging="346"/>
              <w:rPr>
                <w:spacing w:val="-2"/>
                <w:sz w:val="24"/>
                <w:szCs w:val="24"/>
              </w:rPr>
            </w:pPr>
            <w:r>
              <w:rPr>
                <w:spacing w:val="-2"/>
                <w:sz w:val="24"/>
                <w:szCs w:val="24"/>
              </w:rPr>
              <w:t>Контрольная</w:t>
            </w:r>
          </w:p>
          <w:p w14:paraId="2926680A">
            <w:pPr>
              <w:pStyle w:val="11"/>
              <w:spacing w:line="322" w:lineRule="exact"/>
              <w:ind w:left="542" w:right="190" w:hanging="346"/>
              <w:rPr>
                <w:sz w:val="24"/>
                <w:szCs w:val="24"/>
              </w:rPr>
            </w:pPr>
            <w:r>
              <w:rPr>
                <w:sz w:val="24"/>
                <w:szCs w:val="24"/>
              </w:rPr>
              <w:t>n = 121</w:t>
            </w:r>
          </w:p>
        </w:tc>
        <w:tc>
          <w:tcPr>
            <w:tcW w:w="1842" w:type="dxa"/>
          </w:tcPr>
          <w:p w14:paraId="77CF7DBE">
            <w:pPr>
              <w:pStyle w:val="11"/>
              <w:spacing w:line="322" w:lineRule="exact"/>
              <w:ind w:left="581" w:right="363" w:hanging="216"/>
              <w:rPr>
                <w:spacing w:val="-2"/>
                <w:sz w:val="24"/>
                <w:szCs w:val="24"/>
              </w:rPr>
            </w:pPr>
            <w:r>
              <w:rPr>
                <w:spacing w:val="-2"/>
                <w:sz w:val="24"/>
                <w:szCs w:val="24"/>
              </w:rPr>
              <w:t>Основная</w:t>
            </w:r>
          </w:p>
          <w:p w14:paraId="41721E06">
            <w:pPr>
              <w:pStyle w:val="11"/>
              <w:spacing w:line="322" w:lineRule="exact"/>
              <w:ind w:left="581" w:right="363" w:hanging="216"/>
              <w:rPr>
                <w:sz w:val="24"/>
                <w:szCs w:val="24"/>
              </w:rPr>
            </w:pPr>
            <w:r>
              <w:rPr>
                <w:sz w:val="24"/>
                <w:szCs w:val="24"/>
              </w:rPr>
              <w:t>n = 78</w:t>
            </w:r>
          </w:p>
        </w:tc>
        <w:tc>
          <w:tcPr>
            <w:tcW w:w="1134" w:type="dxa"/>
          </w:tcPr>
          <w:p w14:paraId="51F6B694">
            <w:pPr>
              <w:pStyle w:val="11"/>
              <w:spacing w:line="320" w:lineRule="exact"/>
              <w:ind w:left="82" w:right="68"/>
              <w:rPr>
                <w:sz w:val="24"/>
                <w:szCs w:val="24"/>
              </w:rPr>
            </w:pPr>
            <w:r>
              <w:rPr>
                <w:spacing w:val="-2"/>
                <w:sz w:val="24"/>
                <w:szCs w:val="24"/>
              </w:rPr>
              <w:t>P-value</w:t>
            </w:r>
          </w:p>
        </w:tc>
      </w:tr>
      <w:tr w14:paraId="2BF12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 w:hRule="atLeast"/>
        </w:trPr>
        <w:tc>
          <w:tcPr>
            <w:tcW w:w="4536" w:type="dxa"/>
          </w:tcPr>
          <w:p w14:paraId="6F87980C">
            <w:pPr>
              <w:pStyle w:val="11"/>
              <w:spacing w:line="320" w:lineRule="exact"/>
              <w:ind w:left="14" w:right="9"/>
              <w:rPr>
                <w:spacing w:val="-2"/>
                <w:sz w:val="24"/>
                <w:szCs w:val="24"/>
                <w:lang w:val="kk-KZ"/>
              </w:rPr>
            </w:pPr>
            <w:r>
              <w:rPr>
                <w:spacing w:val="-2"/>
                <w:sz w:val="24"/>
                <w:szCs w:val="24"/>
                <w:lang w:val="kk-KZ"/>
              </w:rPr>
              <w:t>1</w:t>
            </w:r>
          </w:p>
        </w:tc>
        <w:tc>
          <w:tcPr>
            <w:tcW w:w="2127" w:type="dxa"/>
          </w:tcPr>
          <w:p w14:paraId="3FE0FAF9">
            <w:pPr>
              <w:pStyle w:val="11"/>
              <w:spacing w:line="322" w:lineRule="exact"/>
              <w:ind w:left="542" w:right="190" w:hanging="346"/>
              <w:rPr>
                <w:spacing w:val="-2"/>
                <w:sz w:val="24"/>
                <w:szCs w:val="24"/>
                <w:lang w:val="kk-KZ"/>
              </w:rPr>
            </w:pPr>
            <w:r>
              <w:rPr>
                <w:spacing w:val="-2"/>
                <w:sz w:val="24"/>
                <w:szCs w:val="24"/>
                <w:lang w:val="kk-KZ"/>
              </w:rPr>
              <w:t>2</w:t>
            </w:r>
          </w:p>
        </w:tc>
        <w:tc>
          <w:tcPr>
            <w:tcW w:w="1842" w:type="dxa"/>
          </w:tcPr>
          <w:p w14:paraId="3508EA9D">
            <w:pPr>
              <w:pStyle w:val="11"/>
              <w:spacing w:line="322" w:lineRule="exact"/>
              <w:ind w:left="581" w:right="363" w:hanging="216"/>
              <w:rPr>
                <w:spacing w:val="-2"/>
                <w:sz w:val="24"/>
                <w:szCs w:val="24"/>
                <w:lang w:val="kk-KZ"/>
              </w:rPr>
            </w:pPr>
            <w:r>
              <w:rPr>
                <w:spacing w:val="-2"/>
                <w:sz w:val="24"/>
                <w:szCs w:val="24"/>
                <w:lang w:val="kk-KZ"/>
              </w:rPr>
              <w:t>3</w:t>
            </w:r>
          </w:p>
        </w:tc>
        <w:tc>
          <w:tcPr>
            <w:tcW w:w="1134" w:type="dxa"/>
          </w:tcPr>
          <w:p w14:paraId="321D5FCE">
            <w:pPr>
              <w:pStyle w:val="11"/>
              <w:spacing w:line="320" w:lineRule="exact"/>
              <w:ind w:left="82" w:right="68"/>
              <w:rPr>
                <w:spacing w:val="-2"/>
                <w:sz w:val="24"/>
                <w:szCs w:val="24"/>
                <w:lang w:val="kk-KZ"/>
              </w:rPr>
            </w:pPr>
            <w:r>
              <w:rPr>
                <w:spacing w:val="-2"/>
                <w:sz w:val="24"/>
                <w:szCs w:val="24"/>
                <w:lang w:val="kk-KZ"/>
              </w:rPr>
              <w:t>4</w:t>
            </w:r>
          </w:p>
        </w:tc>
      </w:tr>
      <w:tr w14:paraId="55F24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4536" w:type="dxa"/>
          </w:tcPr>
          <w:p w14:paraId="729301A2">
            <w:pPr>
              <w:pStyle w:val="11"/>
              <w:spacing w:line="302" w:lineRule="exact"/>
              <w:ind w:left="110"/>
              <w:jc w:val="left"/>
              <w:rPr>
                <w:sz w:val="24"/>
                <w:szCs w:val="24"/>
              </w:rPr>
            </w:pPr>
            <w:r>
              <w:rPr>
                <w:sz w:val="24"/>
                <w:szCs w:val="24"/>
              </w:rPr>
              <w:t>Время</w:t>
            </w:r>
            <w:r>
              <w:rPr>
                <w:spacing w:val="-4"/>
                <w:sz w:val="24"/>
                <w:szCs w:val="24"/>
              </w:rPr>
              <w:t xml:space="preserve"> </w:t>
            </w:r>
            <w:r>
              <w:rPr>
                <w:sz w:val="24"/>
                <w:szCs w:val="24"/>
              </w:rPr>
              <w:t>операции,</w:t>
            </w:r>
            <w:r>
              <w:rPr>
                <w:spacing w:val="-4"/>
                <w:sz w:val="24"/>
                <w:szCs w:val="24"/>
              </w:rPr>
              <w:t xml:space="preserve"> </w:t>
            </w:r>
            <w:r>
              <w:rPr>
                <w:sz w:val="24"/>
                <w:szCs w:val="24"/>
              </w:rPr>
              <w:t>мин,</w:t>
            </w:r>
            <w:r>
              <w:rPr>
                <w:spacing w:val="-3"/>
                <w:sz w:val="24"/>
                <w:szCs w:val="24"/>
              </w:rPr>
              <w:t xml:space="preserve"> </w:t>
            </w:r>
            <w:r>
              <w:rPr>
                <w:sz w:val="24"/>
                <w:szCs w:val="24"/>
              </w:rPr>
              <w:t>Me</w:t>
            </w:r>
            <w:r>
              <w:rPr>
                <w:spacing w:val="-4"/>
                <w:sz w:val="24"/>
                <w:szCs w:val="24"/>
              </w:rPr>
              <w:t xml:space="preserve"> </w:t>
            </w:r>
            <w:r>
              <w:rPr>
                <w:sz w:val="24"/>
                <w:szCs w:val="24"/>
              </w:rPr>
              <w:t>[Q1;</w:t>
            </w:r>
            <w:r>
              <w:rPr>
                <w:spacing w:val="-5"/>
                <w:sz w:val="24"/>
                <w:szCs w:val="24"/>
              </w:rPr>
              <w:t xml:space="preserve"> Q3]</w:t>
            </w:r>
          </w:p>
        </w:tc>
        <w:tc>
          <w:tcPr>
            <w:tcW w:w="2127" w:type="dxa"/>
          </w:tcPr>
          <w:p w14:paraId="0CB29E84">
            <w:pPr>
              <w:pStyle w:val="11"/>
              <w:spacing w:line="302" w:lineRule="exact"/>
              <w:ind w:left="16"/>
              <w:rPr>
                <w:sz w:val="24"/>
                <w:szCs w:val="24"/>
              </w:rPr>
            </w:pPr>
            <w:r>
              <w:rPr>
                <w:sz w:val="24"/>
                <w:szCs w:val="24"/>
              </w:rPr>
              <w:t>390</w:t>
            </w:r>
            <w:r>
              <w:rPr>
                <w:spacing w:val="-4"/>
                <w:sz w:val="24"/>
                <w:szCs w:val="24"/>
              </w:rPr>
              <w:t xml:space="preserve"> </w:t>
            </w:r>
            <w:r>
              <w:rPr>
                <w:spacing w:val="-2"/>
                <w:sz w:val="24"/>
                <w:szCs w:val="24"/>
              </w:rPr>
              <w:t>[350–450]</w:t>
            </w:r>
          </w:p>
        </w:tc>
        <w:tc>
          <w:tcPr>
            <w:tcW w:w="1842" w:type="dxa"/>
          </w:tcPr>
          <w:p w14:paraId="3B77D3F1">
            <w:pPr>
              <w:pStyle w:val="11"/>
              <w:spacing w:line="302" w:lineRule="exact"/>
              <w:ind w:left="75" w:right="67"/>
              <w:rPr>
                <w:sz w:val="24"/>
                <w:szCs w:val="24"/>
              </w:rPr>
            </w:pPr>
            <w:r>
              <w:rPr>
                <w:sz w:val="24"/>
                <w:szCs w:val="24"/>
              </w:rPr>
              <w:t>370</w:t>
            </w:r>
            <w:r>
              <w:rPr>
                <w:spacing w:val="-3"/>
                <w:sz w:val="24"/>
                <w:szCs w:val="24"/>
              </w:rPr>
              <w:t xml:space="preserve"> </w:t>
            </w:r>
            <w:r>
              <w:rPr>
                <w:spacing w:val="-2"/>
                <w:sz w:val="24"/>
                <w:szCs w:val="24"/>
              </w:rPr>
              <w:t>[330–460]</w:t>
            </w:r>
          </w:p>
        </w:tc>
        <w:tc>
          <w:tcPr>
            <w:tcW w:w="1134" w:type="dxa"/>
          </w:tcPr>
          <w:p w14:paraId="7F0AA1E8">
            <w:pPr>
              <w:pStyle w:val="11"/>
              <w:spacing w:line="302" w:lineRule="exact"/>
              <w:ind w:left="26" w:right="94"/>
              <w:rPr>
                <w:sz w:val="24"/>
                <w:szCs w:val="24"/>
              </w:rPr>
            </w:pPr>
            <w:r>
              <w:rPr>
                <w:spacing w:val="-4"/>
                <w:sz w:val="24"/>
                <w:szCs w:val="24"/>
              </w:rPr>
              <w:t>0,186</w:t>
            </w:r>
          </w:p>
        </w:tc>
      </w:tr>
      <w:tr w14:paraId="4DF4BE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536" w:type="dxa"/>
          </w:tcPr>
          <w:p w14:paraId="4BA42E53">
            <w:pPr>
              <w:pStyle w:val="11"/>
              <w:spacing w:line="322" w:lineRule="exact"/>
              <w:ind w:left="110" w:right="290"/>
              <w:jc w:val="left"/>
              <w:rPr>
                <w:sz w:val="24"/>
                <w:szCs w:val="24"/>
              </w:rPr>
            </w:pPr>
            <w:r>
              <w:rPr>
                <w:sz w:val="24"/>
                <w:szCs w:val="24"/>
              </w:rPr>
              <w:t>Интраоперационная</w:t>
            </w:r>
            <w:r>
              <w:rPr>
                <w:spacing w:val="-18"/>
                <w:sz w:val="24"/>
                <w:szCs w:val="24"/>
              </w:rPr>
              <w:t xml:space="preserve"> </w:t>
            </w:r>
            <w:r>
              <w:rPr>
                <w:sz w:val="24"/>
                <w:szCs w:val="24"/>
              </w:rPr>
              <w:t>кровопотеря, мл, Me [Q1; Q3]</w:t>
            </w:r>
          </w:p>
        </w:tc>
        <w:tc>
          <w:tcPr>
            <w:tcW w:w="2127" w:type="dxa"/>
          </w:tcPr>
          <w:p w14:paraId="74920CF3">
            <w:pPr>
              <w:pStyle w:val="11"/>
              <w:spacing w:line="320" w:lineRule="exact"/>
              <w:ind w:left="16" w:right="9"/>
              <w:rPr>
                <w:sz w:val="24"/>
                <w:szCs w:val="24"/>
              </w:rPr>
            </w:pPr>
            <w:r>
              <w:rPr>
                <w:sz w:val="24"/>
                <w:szCs w:val="24"/>
              </w:rPr>
              <w:t>380</w:t>
            </w:r>
            <w:r>
              <w:rPr>
                <w:spacing w:val="-4"/>
                <w:sz w:val="24"/>
                <w:szCs w:val="24"/>
              </w:rPr>
              <w:t xml:space="preserve"> </w:t>
            </w:r>
            <w:r>
              <w:rPr>
                <w:spacing w:val="-2"/>
                <w:sz w:val="24"/>
                <w:szCs w:val="24"/>
              </w:rPr>
              <w:t>[350–400]</w:t>
            </w:r>
          </w:p>
        </w:tc>
        <w:tc>
          <w:tcPr>
            <w:tcW w:w="1842" w:type="dxa"/>
          </w:tcPr>
          <w:p w14:paraId="2207CE93">
            <w:pPr>
              <w:pStyle w:val="11"/>
              <w:spacing w:line="320" w:lineRule="exact"/>
              <w:ind w:left="75" w:right="67"/>
              <w:rPr>
                <w:sz w:val="24"/>
                <w:szCs w:val="24"/>
              </w:rPr>
            </w:pPr>
            <w:r>
              <w:rPr>
                <w:sz w:val="24"/>
                <w:szCs w:val="24"/>
              </w:rPr>
              <w:t>300</w:t>
            </w:r>
            <w:r>
              <w:rPr>
                <w:spacing w:val="-4"/>
                <w:sz w:val="24"/>
                <w:szCs w:val="24"/>
              </w:rPr>
              <w:t xml:space="preserve"> </w:t>
            </w:r>
            <w:r>
              <w:rPr>
                <w:spacing w:val="-2"/>
                <w:sz w:val="24"/>
                <w:szCs w:val="24"/>
              </w:rPr>
              <w:t>[200–400]</w:t>
            </w:r>
          </w:p>
        </w:tc>
        <w:tc>
          <w:tcPr>
            <w:tcW w:w="1134" w:type="dxa"/>
          </w:tcPr>
          <w:p w14:paraId="208CA077">
            <w:pPr>
              <w:pStyle w:val="11"/>
              <w:spacing w:line="320" w:lineRule="exact"/>
              <w:ind w:left="94" w:right="68"/>
              <w:rPr>
                <w:sz w:val="24"/>
                <w:szCs w:val="24"/>
              </w:rPr>
            </w:pPr>
            <w:r>
              <w:rPr>
                <w:spacing w:val="-2"/>
                <w:sz w:val="24"/>
                <w:szCs w:val="24"/>
              </w:rPr>
              <w:t>&lt;0,001</w:t>
            </w:r>
            <w:r>
              <w:rPr>
                <w:spacing w:val="-2"/>
                <w:sz w:val="24"/>
                <w:szCs w:val="24"/>
                <w:vertAlign w:val="superscript"/>
              </w:rPr>
              <w:t>***</w:t>
            </w:r>
          </w:p>
        </w:tc>
      </w:tr>
      <w:tr w14:paraId="2107F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4536" w:type="dxa"/>
            <w:tcBorders>
              <w:bottom w:val="single" w:color="000000" w:sz="4" w:space="0"/>
            </w:tcBorders>
          </w:tcPr>
          <w:p w14:paraId="413D73CB">
            <w:pPr>
              <w:pStyle w:val="11"/>
              <w:spacing w:line="301" w:lineRule="exact"/>
              <w:ind w:left="110"/>
              <w:jc w:val="left"/>
              <w:rPr>
                <w:sz w:val="24"/>
                <w:szCs w:val="24"/>
              </w:rPr>
            </w:pPr>
            <w:r>
              <w:rPr>
                <w:sz w:val="24"/>
                <w:szCs w:val="24"/>
              </w:rPr>
              <w:t>Панкреатический</w:t>
            </w:r>
            <w:r>
              <w:rPr>
                <w:spacing w:val="-9"/>
                <w:sz w:val="24"/>
                <w:szCs w:val="24"/>
              </w:rPr>
              <w:t xml:space="preserve"> </w:t>
            </w:r>
            <w:r>
              <w:rPr>
                <w:sz w:val="24"/>
                <w:szCs w:val="24"/>
              </w:rPr>
              <w:t>свищ,</w:t>
            </w:r>
            <w:r>
              <w:rPr>
                <w:spacing w:val="-3"/>
                <w:sz w:val="24"/>
                <w:szCs w:val="24"/>
              </w:rPr>
              <w:t xml:space="preserve"> </w:t>
            </w:r>
            <w:r>
              <w:rPr>
                <w:sz w:val="24"/>
                <w:szCs w:val="24"/>
              </w:rPr>
              <w:t>n</w:t>
            </w:r>
            <w:r>
              <w:rPr>
                <w:spacing w:val="-12"/>
                <w:sz w:val="24"/>
                <w:szCs w:val="24"/>
              </w:rPr>
              <w:t xml:space="preserve"> </w:t>
            </w:r>
            <w:r>
              <w:rPr>
                <w:spacing w:val="-5"/>
                <w:sz w:val="24"/>
                <w:szCs w:val="24"/>
              </w:rPr>
              <w:t>(%)</w:t>
            </w:r>
          </w:p>
        </w:tc>
        <w:tc>
          <w:tcPr>
            <w:tcW w:w="2127" w:type="dxa"/>
            <w:tcBorders>
              <w:bottom w:val="single" w:color="000000" w:sz="4" w:space="0"/>
            </w:tcBorders>
          </w:tcPr>
          <w:p w14:paraId="6D90022B">
            <w:pPr>
              <w:pStyle w:val="11"/>
              <w:spacing w:line="301" w:lineRule="exact"/>
              <w:ind w:left="16" w:right="5"/>
              <w:rPr>
                <w:sz w:val="24"/>
                <w:szCs w:val="24"/>
              </w:rPr>
            </w:pPr>
            <w:r>
              <w:rPr>
                <w:sz w:val="24"/>
                <w:szCs w:val="24"/>
              </w:rPr>
              <w:t>72</w:t>
            </w:r>
            <w:r>
              <w:rPr>
                <w:spacing w:val="-2"/>
                <w:sz w:val="24"/>
                <w:szCs w:val="24"/>
              </w:rPr>
              <w:t xml:space="preserve"> (59,5%)</w:t>
            </w:r>
          </w:p>
        </w:tc>
        <w:tc>
          <w:tcPr>
            <w:tcW w:w="1842" w:type="dxa"/>
            <w:tcBorders>
              <w:bottom w:val="single" w:color="000000" w:sz="4" w:space="0"/>
            </w:tcBorders>
          </w:tcPr>
          <w:p w14:paraId="48B01A24">
            <w:pPr>
              <w:pStyle w:val="11"/>
              <w:spacing w:line="301" w:lineRule="exact"/>
              <w:ind w:left="75" w:right="72"/>
              <w:rPr>
                <w:sz w:val="24"/>
                <w:szCs w:val="24"/>
              </w:rPr>
            </w:pPr>
            <w:r>
              <w:rPr>
                <w:sz w:val="24"/>
                <w:szCs w:val="24"/>
              </w:rPr>
              <w:t>25</w:t>
            </w:r>
            <w:r>
              <w:rPr>
                <w:spacing w:val="-2"/>
                <w:sz w:val="24"/>
                <w:szCs w:val="24"/>
              </w:rPr>
              <w:t xml:space="preserve"> (32,0%)</w:t>
            </w:r>
          </w:p>
        </w:tc>
        <w:tc>
          <w:tcPr>
            <w:tcW w:w="1134" w:type="dxa"/>
            <w:tcBorders>
              <w:bottom w:val="single" w:color="000000" w:sz="4" w:space="0"/>
            </w:tcBorders>
          </w:tcPr>
          <w:p w14:paraId="26E7ADEC">
            <w:pPr>
              <w:pStyle w:val="11"/>
              <w:spacing w:line="301" w:lineRule="exact"/>
              <w:ind w:left="94" w:right="68"/>
              <w:rPr>
                <w:sz w:val="24"/>
                <w:szCs w:val="24"/>
              </w:rPr>
            </w:pPr>
            <w:r>
              <w:rPr>
                <w:spacing w:val="-2"/>
                <w:sz w:val="24"/>
                <w:szCs w:val="24"/>
              </w:rPr>
              <w:t>&lt;0,001</w:t>
            </w:r>
            <w:r>
              <w:rPr>
                <w:spacing w:val="-2"/>
                <w:sz w:val="24"/>
                <w:szCs w:val="24"/>
                <w:vertAlign w:val="superscript"/>
              </w:rPr>
              <w:t>***</w:t>
            </w:r>
          </w:p>
        </w:tc>
      </w:tr>
      <w:tr w14:paraId="61108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536" w:type="dxa"/>
            <w:tcBorders>
              <w:bottom w:val="nil"/>
            </w:tcBorders>
          </w:tcPr>
          <w:p w14:paraId="1ECB0201">
            <w:pPr>
              <w:pStyle w:val="11"/>
              <w:tabs>
                <w:tab w:val="left" w:pos="4033"/>
              </w:tabs>
              <w:spacing w:line="315" w:lineRule="exact"/>
              <w:ind w:left="110"/>
              <w:jc w:val="left"/>
              <w:rPr>
                <w:spacing w:val="-10"/>
                <w:sz w:val="24"/>
                <w:szCs w:val="24"/>
              </w:rPr>
            </w:pPr>
            <w:r>
              <w:rPr>
                <w:sz w:val="24"/>
                <w:szCs w:val="24"/>
              </w:rPr>
              <w:t>Панкреатический</w:t>
            </w:r>
            <w:r>
              <w:rPr>
                <w:spacing w:val="-9"/>
                <w:sz w:val="24"/>
                <w:szCs w:val="24"/>
              </w:rPr>
              <w:t xml:space="preserve"> </w:t>
            </w:r>
            <w:r>
              <w:rPr>
                <w:sz w:val="24"/>
                <w:szCs w:val="24"/>
              </w:rPr>
              <w:t>свищ,</w:t>
            </w:r>
            <w:r>
              <w:rPr>
                <w:spacing w:val="-2"/>
                <w:sz w:val="24"/>
                <w:szCs w:val="24"/>
              </w:rPr>
              <w:t xml:space="preserve"> </w:t>
            </w:r>
            <w:r>
              <w:rPr>
                <w:sz w:val="24"/>
                <w:szCs w:val="24"/>
              </w:rPr>
              <w:t>n</w:t>
            </w:r>
            <w:r>
              <w:rPr>
                <w:spacing w:val="-12"/>
                <w:sz w:val="24"/>
                <w:szCs w:val="24"/>
              </w:rPr>
              <w:t xml:space="preserve"> </w:t>
            </w:r>
            <w:r>
              <w:rPr>
                <w:spacing w:val="-4"/>
                <w:sz w:val="24"/>
                <w:szCs w:val="24"/>
              </w:rPr>
              <w:t>(%):</w:t>
            </w:r>
            <w:r>
              <w:rPr>
                <w:sz w:val="24"/>
                <w:szCs w:val="24"/>
              </w:rPr>
              <w:t xml:space="preserve">        </w:t>
            </w:r>
            <w:r>
              <w:rPr>
                <w:spacing w:val="-10"/>
                <w:sz w:val="24"/>
                <w:szCs w:val="24"/>
              </w:rPr>
              <w:t>А</w:t>
            </w:r>
          </w:p>
          <w:p w14:paraId="01F83BD4">
            <w:pPr>
              <w:pStyle w:val="11"/>
              <w:tabs>
                <w:tab w:val="left" w:pos="4033"/>
              </w:tabs>
              <w:spacing w:line="315" w:lineRule="exact"/>
              <w:ind w:left="110"/>
              <w:jc w:val="left"/>
              <w:rPr>
                <w:sz w:val="24"/>
                <w:szCs w:val="24"/>
              </w:rPr>
            </w:pPr>
            <w:r>
              <w:rPr>
                <w:spacing w:val="-10"/>
                <w:sz w:val="24"/>
                <w:szCs w:val="24"/>
              </w:rPr>
              <w:t xml:space="preserve">                                                                       B</w:t>
            </w:r>
          </w:p>
          <w:p w14:paraId="2D68A4CC">
            <w:pPr>
              <w:pStyle w:val="11"/>
              <w:tabs>
                <w:tab w:val="left" w:pos="4033"/>
              </w:tabs>
              <w:spacing w:line="315" w:lineRule="exact"/>
              <w:ind w:left="110"/>
              <w:jc w:val="left"/>
              <w:rPr>
                <w:sz w:val="24"/>
                <w:szCs w:val="24"/>
              </w:rPr>
            </w:pPr>
            <w:r>
              <w:rPr>
                <w:sz w:val="24"/>
                <w:szCs w:val="24"/>
              </w:rPr>
              <w:t xml:space="preserve">                                                           </w:t>
            </w:r>
            <w:r>
              <w:rPr>
                <w:spacing w:val="-10"/>
                <w:sz w:val="24"/>
                <w:szCs w:val="24"/>
              </w:rPr>
              <w:t>C</w:t>
            </w:r>
          </w:p>
        </w:tc>
        <w:tc>
          <w:tcPr>
            <w:tcW w:w="2127" w:type="dxa"/>
            <w:tcBorders>
              <w:bottom w:val="nil"/>
            </w:tcBorders>
          </w:tcPr>
          <w:p w14:paraId="2286DE62">
            <w:pPr>
              <w:pStyle w:val="11"/>
              <w:spacing w:line="315" w:lineRule="exact"/>
              <w:ind w:left="345"/>
              <w:jc w:val="left"/>
              <w:rPr>
                <w:sz w:val="24"/>
                <w:szCs w:val="24"/>
              </w:rPr>
            </w:pPr>
            <w:r>
              <w:rPr>
                <w:sz w:val="24"/>
                <w:szCs w:val="24"/>
              </w:rPr>
              <w:t>25</w:t>
            </w:r>
            <w:r>
              <w:rPr>
                <w:spacing w:val="-2"/>
                <w:sz w:val="24"/>
                <w:szCs w:val="24"/>
              </w:rPr>
              <w:t xml:space="preserve"> (20,6%)</w:t>
            </w:r>
          </w:p>
          <w:p w14:paraId="2B0E18E4">
            <w:pPr>
              <w:pStyle w:val="11"/>
              <w:spacing w:line="322" w:lineRule="exact"/>
              <w:ind w:left="345"/>
              <w:jc w:val="left"/>
              <w:rPr>
                <w:sz w:val="24"/>
                <w:szCs w:val="24"/>
              </w:rPr>
            </w:pPr>
            <w:r>
              <w:rPr>
                <w:sz w:val="24"/>
                <w:szCs w:val="24"/>
              </w:rPr>
              <w:t>36</w:t>
            </w:r>
            <w:r>
              <w:rPr>
                <w:spacing w:val="-2"/>
                <w:sz w:val="24"/>
                <w:szCs w:val="24"/>
              </w:rPr>
              <w:t xml:space="preserve"> (29,7%)</w:t>
            </w:r>
          </w:p>
          <w:p w14:paraId="56DD9AA6">
            <w:pPr>
              <w:pStyle w:val="11"/>
              <w:ind w:left="412"/>
              <w:jc w:val="left"/>
              <w:rPr>
                <w:sz w:val="24"/>
                <w:szCs w:val="24"/>
              </w:rPr>
            </w:pPr>
            <w:r>
              <w:rPr>
                <w:sz w:val="24"/>
                <w:szCs w:val="24"/>
              </w:rPr>
              <w:t>11</w:t>
            </w:r>
            <w:r>
              <w:rPr>
                <w:spacing w:val="-2"/>
                <w:sz w:val="24"/>
                <w:szCs w:val="24"/>
              </w:rPr>
              <w:t xml:space="preserve"> (9,0%)</w:t>
            </w:r>
          </w:p>
        </w:tc>
        <w:tc>
          <w:tcPr>
            <w:tcW w:w="1842" w:type="dxa"/>
            <w:tcBorders>
              <w:bottom w:val="nil"/>
            </w:tcBorders>
          </w:tcPr>
          <w:p w14:paraId="0E82B883">
            <w:pPr>
              <w:pStyle w:val="11"/>
              <w:spacing w:line="315" w:lineRule="exact"/>
              <w:ind w:left="452"/>
              <w:jc w:val="left"/>
              <w:rPr>
                <w:sz w:val="24"/>
                <w:szCs w:val="24"/>
              </w:rPr>
            </w:pPr>
            <w:r>
              <w:rPr>
                <w:sz w:val="24"/>
                <w:szCs w:val="24"/>
              </w:rPr>
              <w:t>6</w:t>
            </w:r>
            <w:r>
              <w:rPr>
                <w:spacing w:val="-1"/>
                <w:sz w:val="24"/>
                <w:szCs w:val="24"/>
              </w:rPr>
              <w:t xml:space="preserve"> </w:t>
            </w:r>
            <w:r>
              <w:rPr>
                <w:spacing w:val="-2"/>
                <w:sz w:val="24"/>
                <w:szCs w:val="24"/>
              </w:rPr>
              <w:t>(7,7%)</w:t>
            </w:r>
          </w:p>
          <w:p w14:paraId="47ED23C6">
            <w:pPr>
              <w:pStyle w:val="11"/>
              <w:spacing w:line="322" w:lineRule="exact"/>
              <w:ind w:left="313"/>
              <w:jc w:val="left"/>
              <w:rPr>
                <w:sz w:val="24"/>
                <w:szCs w:val="24"/>
              </w:rPr>
            </w:pPr>
            <w:r>
              <w:rPr>
                <w:sz w:val="24"/>
                <w:szCs w:val="24"/>
              </w:rPr>
              <w:t>17</w:t>
            </w:r>
            <w:r>
              <w:rPr>
                <w:spacing w:val="-2"/>
                <w:sz w:val="24"/>
                <w:szCs w:val="24"/>
              </w:rPr>
              <w:t xml:space="preserve"> (21,8%)</w:t>
            </w:r>
          </w:p>
          <w:p w14:paraId="6F8246E2">
            <w:pPr>
              <w:pStyle w:val="11"/>
              <w:ind w:left="452"/>
              <w:jc w:val="left"/>
              <w:rPr>
                <w:sz w:val="24"/>
                <w:szCs w:val="24"/>
              </w:rPr>
            </w:pPr>
            <w:r>
              <w:rPr>
                <w:sz w:val="24"/>
                <w:szCs w:val="24"/>
              </w:rPr>
              <w:t>2</w:t>
            </w:r>
            <w:r>
              <w:rPr>
                <w:spacing w:val="-1"/>
                <w:sz w:val="24"/>
                <w:szCs w:val="24"/>
              </w:rPr>
              <w:t xml:space="preserve"> </w:t>
            </w:r>
            <w:r>
              <w:rPr>
                <w:spacing w:val="-2"/>
                <w:sz w:val="24"/>
                <w:szCs w:val="24"/>
              </w:rPr>
              <w:t>(2,5%)</w:t>
            </w:r>
          </w:p>
        </w:tc>
        <w:tc>
          <w:tcPr>
            <w:tcW w:w="1134" w:type="dxa"/>
            <w:tcBorders>
              <w:bottom w:val="nil"/>
            </w:tcBorders>
          </w:tcPr>
          <w:p w14:paraId="73E631C7">
            <w:pPr>
              <w:pStyle w:val="11"/>
              <w:spacing w:line="315" w:lineRule="exact"/>
              <w:ind w:left="84" w:right="68"/>
              <w:rPr>
                <w:sz w:val="24"/>
                <w:szCs w:val="24"/>
              </w:rPr>
            </w:pPr>
            <w:r>
              <w:rPr>
                <w:spacing w:val="-2"/>
                <w:sz w:val="24"/>
                <w:szCs w:val="24"/>
              </w:rPr>
              <w:t>0,009</w:t>
            </w:r>
            <w:r>
              <w:rPr>
                <w:spacing w:val="-2"/>
                <w:sz w:val="24"/>
                <w:szCs w:val="24"/>
                <w:vertAlign w:val="superscript"/>
              </w:rPr>
              <w:t>**</w:t>
            </w:r>
          </w:p>
        </w:tc>
      </w:tr>
    </w:tbl>
    <w:p w14:paraId="3A9119B6">
      <w:pPr>
        <w:rPr>
          <w:lang w:val="kk-KZ"/>
        </w:rPr>
      </w:pPr>
    </w:p>
    <w:p w14:paraId="54653989">
      <w:pPr>
        <w:pStyle w:val="7"/>
        <w:spacing w:line="242" w:lineRule="auto"/>
        <w:ind w:left="0" w:right="3" w:firstLine="0"/>
      </w:pPr>
      <w:r>
        <w:t>Продолжение таблицы 29</w:t>
      </w:r>
    </w:p>
    <w:p w14:paraId="51F16388">
      <w:pPr>
        <w:rPr>
          <w:sz w:val="28"/>
          <w:szCs w:val="28"/>
          <w:lang w:val="kk-KZ"/>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36"/>
        <w:gridCol w:w="2127"/>
        <w:gridCol w:w="1842"/>
        <w:gridCol w:w="1134"/>
      </w:tblGrid>
      <w:tr w14:paraId="0279C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536" w:type="dxa"/>
          </w:tcPr>
          <w:p w14:paraId="7FDE3495">
            <w:pPr>
              <w:pStyle w:val="11"/>
              <w:spacing w:line="315" w:lineRule="exact"/>
              <w:ind w:left="110"/>
              <w:rPr>
                <w:sz w:val="24"/>
                <w:szCs w:val="24"/>
                <w:lang w:val="kk-KZ"/>
              </w:rPr>
            </w:pPr>
            <w:r>
              <w:rPr>
                <w:sz w:val="24"/>
                <w:szCs w:val="24"/>
                <w:lang w:val="kk-KZ"/>
              </w:rPr>
              <w:t>1</w:t>
            </w:r>
          </w:p>
        </w:tc>
        <w:tc>
          <w:tcPr>
            <w:tcW w:w="2127" w:type="dxa"/>
          </w:tcPr>
          <w:p w14:paraId="0A9436E9">
            <w:pPr>
              <w:pStyle w:val="11"/>
              <w:spacing w:line="315" w:lineRule="exact"/>
              <w:ind w:left="16" w:right="5"/>
              <w:rPr>
                <w:sz w:val="24"/>
                <w:szCs w:val="24"/>
                <w:lang w:val="kk-KZ"/>
              </w:rPr>
            </w:pPr>
            <w:r>
              <w:rPr>
                <w:sz w:val="24"/>
                <w:szCs w:val="24"/>
                <w:lang w:val="kk-KZ"/>
              </w:rPr>
              <w:t>2</w:t>
            </w:r>
          </w:p>
        </w:tc>
        <w:tc>
          <w:tcPr>
            <w:tcW w:w="1842" w:type="dxa"/>
          </w:tcPr>
          <w:p w14:paraId="730B4901">
            <w:pPr>
              <w:pStyle w:val="11"/>
              <w:spacing w:line="315" w:lineRule="exact"/>
              <w:ind w:left="75" w:right="72"/>
              <w:rPr>
                <w:sz w:val="24"/>
                <w:szCs w:val="24"/>
                <w:lang w:val="kk-KZ"/>
              </w:rPr>
            </w:pPr>
            <w:r>
              <w:rPr>
                <w:sz w:val="24"/>
                <w:szCs w:val="24"/>
                <w:lang w:val="kk-KZ"/>
              </w:rPr>
              <w:t>3</w:t>
            </w:r>
          </w:p>
        </w:tc>
        <w:tc>
          <w:tcPr>
            <w:tcW w:w="1134" w:type="dxa"/>
          </w:tcPr>
          <w:p w14:paraId="12FCACB1">
            <w:pPr>
              <w:pStyle w:val="11"/>
              <w:spacing w:line="315" w:lineRule="exact"/>
              <w:ind w:left="89" w:right="68"/>
              <w:rPr>
                <w:spacing w:val="-2"/>
                <w:sz w:val="24"/>
                <w:szCs w:val="24"/>
                <w:lang w:val="kk-KZ"/>
              </w:rPr>
            </w:pPr>
            <w:r>
              <w:rPr>
                <w:spacing w:val="-2"/>
                <w:sz w:val="24"/>
                <w:szCs w:val="24"/>
                <w:lang w:val="kk-KZ"/>
              </w:rPr>
              <w:t>4</w:t>
            </w:r>
          </w:p>
        </w:tc>
      </w:tr>
      <w:tr w14:paraId="042E1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4536" w:type="dxa"/>
          </w:tcPr>
          <w:p w14:paraId="52D27EC4">
            <w:pPr>
              <w:pStyle w:val="11"/>
              <w:spacing w:line="315" w:lineRule="exact"/>
              <w:ind w:left="110"/>
              <w:jc w:val="left"/>
              <w:rPr>
                <w:sz w:val="24"/>
                <w:szCs w:val="24"/>
              </w:rPr>
            </w:pPr>
            <w:r>
              <w:rPr>
                <w:sz w:val="24"/>
                <w:szCs w:val="24"/>
              </w:rPr>
              <w:t>КЗ-ПС</w:t>
            </w:r>
            <w:r>
              <w:rPr>
                <w:spacing w:val="-5"/>
                <w:sz w:val="24"/>
                <w:szCs w:val="24"/>
              </w:rPr>
              <w:t xml:space="preserve"> </w:t>
            </w:r>
            <w:r>
              <w:rPr>
                <w:sz w:val="24"/>
                <w:szCs w:val="24"/>
              </w:rPr>
              <w:t>В/С,</w:t>
            </w:r>
            <w:r>
              <w:rPr>
                <w:spacing w:val="-2"/>
                <w:sz w:val="24"/>
                <w:szCs w:val="24"/>
              </w:rPr>
              <w:t xml:space="preserve"> </w:t>
            </w:r>
            <w:r>
              <w:rPr>
                <w:sz w:val="24"/>
                <w:szCs w:val="24"/>
              </w:rPr>
              <w:t>n</w:t>
            </w:r>
            <w:r>
              <w:rPr>
                <w:spacing w:val="-9"/>
                <w:sz w:val="24"/>
                <w:szCs w:val="24"/>
              </w:rPr>
              <w:t xml:space="preserve"> </w:t>
            </w:r>
            <w:r>
              <w:rPr>
                <w:spacing w:val="-5"/>
                <w:sz w:val="24"/>
                <w:szCs w:val="24"/>
              </w:rPr>
              <w:t>(%)</w:t>
            </w:r>
          </w:p>
        </w:tc>
        <w:tc>
          <w:tcPr>
            <w:tcW w:w="2127" w:type="dxa"/>
          </w:tcPr>
          <w:p w14:paraId="70560B1A">
            <w:pPr>
              <w:pStyle w:val="11"/>
              <w:spacing w:line="315" w:lineRule="exact"/>
              <w:ind w:left="16" w:right="5"/>
              <w:rPr>
                <w:sz w:val="24"/>
                <w:szCs w:val="24"/>
              </w:rPr>
            </w:pPr>
            <w:r>
              <w:rPr>
                <w:sz w:val="24"/>
                <w:szCs w:val="24"/>
              </w:rPr>
              <w:t>47</w:t>
            </w:r>
            <w:r>
              <w:rPr>
                <w:spacing w:val="-2"/>
                <w:sz w:val="24"/>
                <w:szCs w:val="24"/>
              </w:rPr>
              <w:t xml:space="preserve"> (38,8%)</w:t>
            </w:r>
          </w:p>
        </w:tc>
        <w:tc>
          <w:tcPr>
            <w:tcW w:w="1842" w:type="dxa"/>
          </w:tcPr>
          <w:p w14:paraId="2FF4E5D9">
            <w:pPr>
              <w:pStyle w:val="11"/>
              <w:spacing w:line="315" w:lineRule="exact"/>
              <w:ind w:left="75" w:right="72"/>
              <w:rPr>
                <w:sz w:val="24"/>
                <w:szCs w:val="24"/>
              </w:rPr>
            </w:pPr>
            <w:r>
              <w:rPr>
                <w:sz w:val="24"/>
                <w:szCs w:val="24"/>
              </w:rPr>
              <w:t>19</w:t>
            </w:r>
            <w:r>
              <w:rPr>
                <w:spacing w:val="-2"/>
                <w:sz w:val="24"/>
                <w:szCs w:val="24"/>
              </w:rPr>
              <w:t xml:space="preserve"> (24,3%)</w:t>
            </w:r>
          </w:p>
        </w:tc>
        <w:tc>
          <w:tcPr>
            <w:tcW w:w="1134" w:type="dxa"/>
          </w:tcPr>
          <w:p w14:paraId="612283FB">
            <w:pPr>
              <w:pStyle w:val="11"/>
              <w:spacing w:line="315" w:lineRule="exact"/>
              <w:ind w:left="89" w:right="68"/>
              <w:rPr>
                <w:sz w:val="24"/>
                <w:szCs w:val="24"/>
              </w:rPr>
            </w:pPr>
            <w:r>
              <w:rPr>
                <w:spacing w:val="-2"/>
                <w:sz w:val="24"/>
                <w:szCs w:val="24"/>
              </w:rPr>
              <w:t>0,045</w:t>
            </w:r>
            <w:r>
              <w:rPr>
                <w:spacing w:val="-2"/>
                <w:sz w:val="24"/>
                <w:szCs w:val="24"/>
                <w:vertAlign w:val="superscript"/>
              </w:rPr>
              <w:t>*</w:t>
            </w:r>
          </w:p>
        </w:tc>
      </w:tr>
      <w:tr w14:paraId="70A5B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4536" w:type="dxa"/>
          </w:tcPr>
          <w:p w14:paraId="7874CFF9">
            <w:pPr>
              <w:pStyle w:val="11"/>
              <w:spacing w:line="315" w:lineRule="exact"/>
              <w:ind w:left="110"/>
              <w:jc w:val="left"/>
              <w:rPr>
                <w:sz w:val="24"/>
                <w:szCs w:val="24"/>
              </w:rPr>
            </w:pPr>
            <w:r>
              <w:rPr>
                <w:sz w:val="24"/>
                <w:szCs w:val="24"/>
              </w:rPr>
              <w:t>Кровотечение,</w:t>
            </w:r>
            <w:r>
              <w:rPr>
                <w:spacing w:val="-6"/>
                <w:sz w:val="24"/>
                <w:szCs w:val="24"/>
              </w:rPr>
              <w:t xml:space="preserve"> </w:t>
            </w:r>
            <w:r>
              <w:rPr>
                <w:sz w:val="24"/>
                <w:szCs w:val="24"/>
              </w:rPr>
              <w:t>n</w:t>
            </w:r>
            <w:r>
              <w:rPr>
                <w:spacing w:val="-11"/>
                <w:sz w:val="24"/>
                <w:szCs w:val="24"/>
              </w:rPr>
              <w:t xml:space="preserve"> </w:t>
            </w:r>
            <w:r>
              <w:rPr>
                <w:spacing w:val="-5"/>
                <w:sz w:val="24"/>
                <w:szCs w:val="24"/>
              </w:rPr>
              <w:t>(%)</w:t>
            </w:r>
          </w:p>
        </w:tc>
        <w:tc>
          <w:tcPr>
            <w:tcW w:w="2127" w:type="dxa"/>
          </w:tcPr>
          <w:p w14:paraId="345B8A54">
            <w:pPr>
              <w:pStyle w:val="11"/>
              <w:spacing w:line="315" w:lineRule="exact"/>
              <w:ind w:left="16" w:right="5"/>
              <w:rPr>
                <w:sz w:val="24"/>
                <w:szCs w:val="24"/>
              </w:rPr>
            </w:pPr>
            <w:r>
              <w:rPr>
                <w:sz w:val="24"/>
                <w:szCs w:val="24"/>
              </w:rPr>
              <w:t>2</w:t>
            </w:r>
            <w:r>
              <w:rPr>
                <w:spacing w:val="-1"/>
                <w:sz w:val="24"/>
                <w:szCs w:val="24"/>
              </w:rPr>
              <w:t xml:space="preserve"> </w:t>
            </w:r>
            <w:r>
              <w:rPr>
                <w:spacing w:val="-2"/>
                <w:sz w:val="24"/>
                <w:szCs w:val="24"/>
              </w:rPr>
              <w:t>(1,6%)</w:t>
            </w:r>
          </w:p>
        </w:tc>
        <w:tc>
          <w:tcPr>
            <w:tcW w:w="1842" w:type="dxa"/>
          </w:tcPr>
          <w:p w14:paraId="36D6908F">
            <w:pPr>
              <w:pStyle w:val="11"/>
              <w:spacing w:line="315" w:lineRule="exact"/>
              <w:ind w:left="75" w:right="72"/>
              <w:rPr>
                <w:sz w:val="24"/>
                <w:szCs w:val="24"/>
              </w:rPr>
            </w:pPr>
            <w:r>
              <w:rPr>
                <w:sz w:val="24"/>
                <w:szCs w:val="24"/>
              </w:rPr>
              <w:t>2</w:t>
            </w:r>
            <w:r>
              <w:rPr>
                <w:spacing w:val="-1"/>
                <w:sz w:val="24"/>
                <w:szCs w:val="24"/>
              </w:rPr>
              <w:t xml:space="preserve"> </w:t>
            </w:r>
            <w:r>
              <w:rPr>
                <w:spacing w:val="-2"/>
                <w:sz w:val="24"/>
                <w:szCs w:val="24"/>
              </w:rPr>
              <w:t>(2,5%)</w:t>
            </w:r>
          </w:p>
        </w:tc>
        <w:tc>
          <w:tcPr>
            <w:tcW w:w="1134" w:type="dxa"/>
          </w:tcPr>
          <w:p w14:paraId="607481D5">
            <w:pPr>
              <w:pStyle w:val="11"/>
              <w:spacing w:line="315" w:lineRule="exact"/>
              <w:ind w:left="84" w:right="68"/>
              <w:rPr>
                <w:sz w:val="24"/>
                <w:szCs w:val="24"/>
              </w:rPr>
            </w:pPr>
            <w:r>
              <w:rPr>
                <w:spacing w:val="-4"/>
                <w:sz w:val="24"/>
                <w:szCs w:val="24"/>
              </w:rPr>
              <w:t>0,646</w:t>
            </w:r>
          </w:p>
        </w:tc>
      </w:tr>
      <w:tr w14:paraId="47BC0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36" w:type="dxa"/>
          </w:tcPr>
          <w:p w14:paraId="208EAA83">
            <w:pPr>
              <w:pStyle w:val="11"/>
              <w:spacing w:line="301" w:lineRule="exact"/>
              <w:ind w:left="110"/>
              <w:jc w:val="left"/>
              <w:rPr>
                <w:sz w:val="24"/>
                <w:szCs w:val="24"/>
              </w:rPr>
            </w:pPr>
            <w:r>
              <w:rPr>
                <w:sz w:val="24"/>
                <w:szCs w:val="24"/>
              </w:rPr>
              <w:t>Билиарный</w:t>
            </w:r>
            <w:r>
              <w:rPr>
                <w:spacing w:val="-6"/>
                <w:sz w:val="24"/>
                <w:szCs w:val="24"/>
              </w:rPr>
              <w:t xml:space="preserve"> </w:t>
            </w:r>
            <w:r>
              <w:rPr>
                <w:sz w:val="24"/>
                <w:szCs w:val="24"/>
              </w:rPr>
              <w:t>свищ,</w:t>
            </w:r>
            <w:r>
              <w:rPr>
                <w:spacing w:val="-2"/>
                <w:sz w:val="24"/>
                <w:szCs w:val="24"/>
              </w:rPr>
              <w:t xml:space="preserve"> </w:t>
            </w:r>
            <w:r>
              <w:rPr>
                <w:sz w:val="24"/>
                <w:szCs w:val="24"/>
              </w:rPr>
              <w:t>n</w:t>
            </w:r>
            <w:r>
              <w:rPr>
                <w:spacing w:val="-9"/>
                <w:sz w:val="24"/>
                <w:szCs w:val="24"/>
              </w:rPr>
              <w:t xml:space="preserve"> </w:t>
            </w:r>
            <w:r>
              <w:rPr>
                <w:spacing w:val="-5"/>
                <w:sz w:val="24"/>
                <w:szCs w:val="24"/>
              </w:rPr>
              <w:t>(%)</w:t>
            </w:r>
          </w:p>
        </w:tc>
        <w:tc>
          <w:tcPr>
            <w:tcW w:w="2127" w:type="dxa"/>
          </w:tcPr>
          <w:p w14:paraId="1C303723">
            <w:pPr>
              <w:pStyle w:val="11"/>
              <w:spacing w:line="301" w:lineRule="exact"/>
              <w:ind w:left="16" w:right="5"/>
              <w:rPr>
                <w:sz w:val="24"/>
                <w:szCs w:val="24"/>
              </w:rPr>
            </w:pPr>
            <w:r>
              <w:rPr>
                <w:sz w:val="24"/>
                <w:szCs w:val="24"/>
              </w:rPr>
              <w:t>3</w:t>
            </w:r>
            <w:r>
              <w:rPr>
                <w:spacing w:val="-1"/>
                <w:sz w:val="24"/>
                <w:szCs w:val="24"/>
              </w:rPr>
              <w:t xml:space="preserve"> </w:t>
            </w:r>
            <w:r>
              <w:rPr>
                <w:spacing w:val="-2"/>
                <w:sz w:val="24"/>
                <w:szCs w:val="24"/>
              </w:rPr>
              <w:t>(2,4%)</w:t>
            </w:r>
          </w:p>
        </w:tc>
        <w:tc>
          <w:tcPr>
            <w:tcW w:w="1842" w:type="dxa"/>
          </w:tcPr>
          <w:p w14:paraId="00C00180">
            <w:pPr>
              <w:pStyle w:val="11"/>
              <w:spacing w:line="301" w:lineRule="exact"/>
              <w:ind w:left="75" w:right="72"/>
              <w:rPr>
                <w:sz w:val="24"/>
                <w:szCs w:val="24"/>
              </w:rPr>
            </w:pPr>
            <w:r>
              <w:rPr>
                <w:sz w:val="24"/>
                <w:szCs w:val="24"/>
              </w:rPr>
              <w:t>2</w:t>
            </w:r>
            <w:r>
              <w:rPr>
                <w:spacing w:val="-1"/>
                <w:sz w:val="24"/>
                <w:szCs w:val="24"/>
              </w:rPr>
              <w:t xml:space="preserve"> </w:t>
            </w:r>
            <w:r>
              <w:rPr>
                <w:spacing w:val="-2"/>
                <w:sz w:val="24"/>
                <w:szCs w:val="24"/>
              </w:rPr>
              <w:t>(2,5%)</w:t>
            </w:r>
          </w:p>
        </w:tc>
        <w:tc>
          <w:tcPr>
            <w:tcW w:w="1134" w:type="dxa"/>
          </w:tcPr>
          <w:p w14:paraId="61063F6C">
            <w:pPr>
              <w:pStyle w:val="11"/>
              <w:spacing w:line="301" w:lineRule="exact"/>
              <w:ind w:left="84" w:right="68"/>
              <w:rPr>
                <w:sz w:val="24"/>
                <w:szCs w:val="24"/>
              </w:rPr>
            </w:pPr>
            <w:r>
              <w:rPr>
                <w:spacing w:val="-4"/>
                <w:sz w:val="24"/>
                <w:szCs w:val="24"/>
              </w:rPr>
              <w:t>1,000</w:t>
            </w:r>
          </w:p>
        </w:tc>
      </w:tr>
      <w:tr w14:paraId="01198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36" w:type="dxa"/>
          </w:tcPr>
          <w:p w14:paraId="146717F9">
            <w:pPr>
              <w:pStyle w:val="11"/>
              <w:spacing w:line="302" w:lineRule="exact"/>
              <w:ind w:left="110"/>
              <w:jc w:val="left"/>
              <w:rPr>
                <w:sz w:val="24"/>
                <w:szCs w:val="24"/>
              </w:rPr>
            </w:pPr>
            <w:r>
              <w:rPr>
                <w:sz w:val="24"/>
                <w:szCs w:val="24"/>
              </w:rPr>
              <w:t>Релапаротомия,</w:t>
            </w:r>
            <w:r>
              <w:rPr>
                <w:spacing w:val="-5"/>
                <w:sz w:val="24"/>
                <w:szCs w:val="24"/>
              </w:rPr>
              <w:t xml:space="preserve"> </w:t>
            </w:r>
            <w:r>
              <w:rPr>
                <w:sz w:val="24"/>
                <w:szCs w:val="24"/>
              </w:rPr>
              <w:t>n</w:t>
            </w:r>
            <w:r>
              <w:rPr>
                <w:spacing w:val="-10"/>
                <w:sz w:val="24"/>
                <w:szCs w:val="24"/>
              </w:rPr>
              <w:t xml:space="preserve"> </w:t>
            </w:r>
            <w:r>
              <w:rPr>
                <w:spacing w:val="-5"/>
                <w:sz w:val="24"/>
                <w:szCs w:val="24"/>
              </w:rPr>
              <w:t>(%)</w:t>
            </w:r>
          </w:p>
        </w:tc>
        <w:tc>
          <w:tcPr>
            <w:tcW w:w="2127" w:type="dxa"/>
          </w:tcPr>
          <w:p w14:paraId="520F73E9">
            <w:pPr>
              <w:pStyle w:val="11"/>
              <w:spacing w:line="302" w:lineRule="exact"/>
              <w:ind w:left="16" w:right="5"/>
              <w:rPr>
                <w:sz w:val="24"/>
                <w:szCs w:val="24"/>
              </w:rPr>
            </w:pPr>
            <w:r>
              <w:rPr>
                <w:sz w:val="24"/>
                <w:szCs w:val="24"/>
              </w:rPr>
              <w:t>12</w:t>
            </w:r>
            <w:r>
              <w:rPr>
                <w:spacing w:val="-2"/>
                <w:sz w:val="24"/>
                <w:szCs w:val="24"/>
              </w:rPr>
              <w:t xml:space="preserve"> (10,0%)</w:t>
            </w:r>
          </w:p>
        </w:tc>
        <w:tc>
          <w:tcPr>
            <w:tcW w:w="1842" w:type="dxa"/>
          </w:tcPr>
          <w:p w14:paraId="35DEA449">
            <w:pPr>
              <w:pStyle w:val="11"/>
              <w:spacing w:line="302" w:lineRule="exact"/>
              <w:ind w:left="75" w:right="72"/>
              <w:rPr>
                <w:sz w:val="24"/>
                <w:szCs w:val="24"/>
              </w:rPr>
            </w:pPr>
            <w:r>
              <w:rPr>
                <w:sz w:val="24"/>
                <w:szCs w:val="24"/>
              </w:rPr>
              <w:t>1</w:t>
            </w:r>
            <w:r>
              <w:rPr>
                <w:spacing w:val="-1"/>
                <w:sz w:val="24"/>
                <w:szCs w:val="24"/>
              </w:rPr>
              <w:t xml:space="preserve"> </w:t>
            </w:r>
            <w:r>
              <w:rPr>
                <w:spacing w:val="-2"/>
                <w:sz w:val="24"/>
                <w:szCs w:val="24"/>
              </w:rPr>
              <w:t>(1,2%)</w:t>
            </w:r>
          </w:p>
        </w:tc>
        <w:tc>
          <w:tcPr>
            <w:tcW w:w="1134" w:type="dxa"/>
          </w:tcPr>
          <w:p w14:paraId="39515AEA">
            <w:pPr>
              <w:pStyle w:val="11"/>
              <w:spacing w:line="302" w:lineRule="exact"/>
              <w:ind w:left="89" w:right="68"/>
              <w:rPr>
                <w:sz w:val="24"/>
                <w:szCs w:val="24"/>
              </w:rPr>
            </w:pPr>
            <w:r>
              <w:rPr>
                <w:spacing w:val="-2"/>
                <w:sz w:val="24"/>
                <w:szCs w:val="24"/>
              </w:rPr>
              <w:t>0,017</w:t>
            </w:r>
            <w:r>
              <w:rPr>
                <w:spacing w:val="-2"/>
                <w:sz w:val="24"/>
                <w:szCs w:val="24"/>
                <w:vertAlign w:val="superscript"/>
              </w:rPr>
              <w:t>*</w:t>
            </w:r>
          </w:p>
        </w:tc>
      </w:tr>
      <w:tr w14:paraId="0F862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536" w:type="dxa"/>
          </w:tcPr>
          <w:p w14:paraId="4B5E8823">
            <w:pPr>
              <w:pStyle w:val="11"/>
              <w:spacing w:line="315" w:lineRule="exact"/>
              <w:ind w:left="110"/>
              <w:jc w:val="left"/>
              <w:rPr>
                <w:sz w:val="24"/>
                <w:szCs w:val="24"/>
              </w:rPr>
            </w:pPr>
            <w:r>
              <w:rPr>
                <w:sz w:val="24"/>
                <w:szCs w:val="24"/>
              </w:rPr>
              <w:t>Кровотечение</w:t>
            </w:r>
            <w:r>
              <w:rPr>
                <w:spacing w:val="-13"/>
                <w:sz w:val="24"/>
                <w:szCs w:val="24"/>
              </w:rPr>
              <w:t xml:space="preserve"> </w:t>
            </w:r>
            <w:r>
              <w:rPr>
                <w:sz w:val="24"/>
                <w:szCs w:val="24"/>
              </w:rPr>
              <w:t>связанное</w:t>
            </w:r>
            <w:r>
              <w:rPr>
                <w:spacing w:val="-13"/>
                <w:sz w:val="24"/>
                <w:szCs w:val="24"/>
              </w:rPr>
              <w:t xml:space="preserve"> </w:t>
            </w:r>
            <w:r>
              <w:rPr>
                <w:spacing w:val="-5"/>
                <w:sz w:val="24"/>
                <w:szCs w:val="24"/>
              </w:rPr>
              <w:t>со</w:t>
            </w:r>
          </w:p>
          <w:p w14:paraId="04998A13">
            <w:pPr>
              <w:pStyle w:val="11"/>
              <w:ind w:left="110"/>
              <w:jc w:val="left"/>
              <w:rPr>
                <w:sz w:val="24"/>
                <w:szCs w:val="24"/>
              </w:rPr>
            </w:pPr>
            <w:r>
              <w:rPr>
                <w:sz w:val="24"/>
                <w:szCs w:val="24"/>
              </w:rPr>
              <w:t>свищем,</w:t>
            </w:r>
            <w:r>
              <w:rPr>
                <w:spacing w:val="-2"/>
                <w:sz w:val="24"/>
                <w:szCs w:val="24"/>
              </w:rPr>
              <w:t xml:space="preserve"> </w:t>
            </w:r>
            <w:r>
              <w:rPr>
                <w:sz w:val="24"/>
                <w:szCs w:val="24"/>
              </w:rPr>
              <w:t>n</w:t>
            </w:r>
            <w:r>
              <w:rPr>
                <w:spacing w:val="-8"/>
                <w:sz w:val="24"/>
                <w:szCs w:val="24"/>
              </w:rPr>
              <w:t xml:space="preserve"> </w:t>
            </w:r>
            <w:r>
              <w:rPr>
                <w:spacing w:val="-5"/>
                <w:sz w:val="24"/>
                <w:szCs w:val="24"/>
              </w:rPr>
              <w:t>(%)</w:t>
            </w:r>
          </w:p>
        </w:tc>
        <w:tc>
          <w:tcPr>
            <w:tcW w:w="2127" w:type="dxa"/>
          </w:tcPr>
          <w:p w14:paraId="1152B44D">
            <w:pPr>
              <w:pStyle w:val="11"/>
              <w:spacing w:line="315" w:lineRule="exact"/>
              <w:ind w:left="16" w:right="10"/>
              <w:rPr>
                <w:sz w:val="24"/>
                <w:szCs w:val="24"/>
              </w:rPr>
            </w:pPr>
            <w:r>
              <w:rPr>
                <w:sz w:val="24"/>
                <w:szCs w:val="24"/>
              </w:rPr>
              <w:t>11</w:t>
            </w:r>
            <w:r>
              <w:rPr>
                <w:spacing w:val="-2"/>
                <w:sz w:val="24"/>
                <w:szCs w:val="24"/>
              </w:rPr>
              <w:t xml:space="preserve"> (9,0%)</w:t>
            </w:r>
          </w:p>
        </w:tc>
        <w:tc>
          <w:tcPr>
            <w:tcW w:w="1842" w:type="dxa"/>
          </w:tcPr>
          <w:p w14:paraId="2CDBA6B2">
            <w:pPr>
              <w:pStyle w:val="11"/>
              <w:spacing w:line="315" w:lineRule="exact"/>
              <w:ind w:left="75" w:right="72"/>
              <w:rPr>
                <w:sz w:val="24"/>
                <w:szCs w:val="24"/>
              </w:rPr>
            </w:pPr>
            <w:r>
              <w:rPr>
                <w:sz w:val="24"/>
                <w:szCs w:val="24"/>
              </w:rPr>
              <w:t>2</w:t>
            </w:r>
            <w:r>
              <w:rPr>
                <w:spacing w:val="-1"/>
                <w:sz w:val="24"/>
                <w:szCs w:val="24"/>
              </w:rPr>
              <w:t xml:space="preserve"> </w:t>
            </w:r>
            <w:r>
              <w:rPr>
                <w:spacing w:val="-2"/>
                <w:sz w:val="24"/>
                <w:szCs w:val="24"/>
              </w:rPr>
              <w:t>(2,5%)</w:t>
            </w:r>
          </w:p>
        </w:tc>
        <w:tc>
          <w:tcPr>
            <w:tcW w:w="1134" w:type="dxa"/>
          </w:tcPr>
          <w:p w14:paraId="0196C167">
            <w:pPr>
              <w:pStyle w:val="11"/>
              <w:spacing w:line="315" w:lineRule="exact"/>
              <w:ind w:left="84" w:right="68"/>
              <w:rPr>
                <w:sz w:val="24"/>
                <w:szCs w:val="24"/>
              </w:rPr>
            </w:pPr>
            <w:r>
              <w:rPr>
                <w:spacing w:val="-4"/>
                <w:sz w:val="24"/>
                <w:szCs w:val="24"/>
              </w:rPr>
              <w:t>0,083</w:t>
            </w:r>
          </w:p>
        </w:tc>
      </w:tr>
      <w:tr w14:paraId="33D24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36" w:type="dxa"/>
          </w:tcPr>
          <w:p w14:paraId="2940290B">
            <w:pPr>
              <w:pStyle w:val="11"/>
              <w:spacing w:line="301" w:lineRule="exact"/>
              <w:ind w:left="110"/>
              <w:jc w:val="left"/>
              <w:rPr>
                <w:sz w:val="24"/>
                <w:szCs w:val="24"/>
              </w:rPr>
            </w:pPr>
            <w:r>
              <w:rPr>
                <w:sz w:val="24"/>
                <w:szCs w:val="24"/>
              </w:rPr>
              <w:t>Гастростаз,</w:t>
            </w:r>
            <w:r>
              <w:rPr>
                <w:spacing w:val="-5"/>
                <w:sz w:val="24"/>
                <w:szCs w:val="24"/>
              </w:rPr>
              <w:t xml:space="preserve"> </w:t>
            </w:r>
            <w:r>
              <w:rPr>
                <w:sz w:val="24"/>
                <w:szCs w:val="24"/>
              </w:rPr>
              <w:t>n</w:t>
            </w:r>
            <w:r>
              <w:rPr>
                <w:spacing w:val="-11"/>
                <w:sz w:val="24"/>
                <w:szCs w:val="24"/>
              </w:rPr>
              <w:t xml:space="preserve"> </w:t>
            </w:r>
            <w:r>
              <w:rPr>
                <w:spacing w:val="-5"/>
                <w:sz w:val="24"/>
                <w:szCs w:val="24"/>
              </w:rPr>
              <w:t>(%)</w:t>
            </w:r>
          </w:p>
        </w:tc>
        <w:tc>
          <w:tcPr>
            <w:tcW w:w="2127" w:type="dxa"/>
          </w:tcPr>
          <w:p w14:paraId="1D7351EB">
            <w:pPr>
              <w:pStyle w:val="11"/>
              <w:spacing w:line="301" w:lineRule="exact"/>
              <w:ind w:left="16" w:right="5"/>
              <w:rPr>
                <w:sz w:val="24"/>
                <w:szCs w:val="24"/>
              </w:rPr>
            </w:pPr>
            <w:r>
              <w:rPr>
                <w:sz w:val="24"/>
                <w:szCs w:val="24"/>
              </w:rPr>
              <w:t>4</w:t>
            </w:r>
            <w:r>
              <w:rPr>
                <w:spacing w:val="-1"/>
                <w:sz w:val="24"/>
                <w:szCs w:val="24"/>
              </w:rPr>
              <w:t xml:space="preserve"> </w:t>
            </w:r>
            <w:r>
              <w:rPr>
                <w:spacing w:val="-2"/>
                <w:sz w:val="24"/>
                <w:szCs w:val="24"/>
              </w:rPr>
              <w:t>(3,3%)</w:t>
            </w:r>
          </w:p>
        </w:tc>
        <w:tc>
          <w:tcPr>
            <w:tcW w:w="1842" w:type="dxa"/>
          </w:tcPr>
          <w:p w14:paraId="6C1A6811">
            <w:pPr>
              <w:pStyle w:val="11"/>
              <w:spacing w:line="301" w:lineRule="exact"/>
              <w:ind w:left="75" w:right="72"/>
              <w:rPr>
                <w:sz w:val="24"/>
                <w:szCs w:val="24"/>
              </w:rPr>
            </w:pPr>
            <w:r>
              <w:rPr>
                <w:sz w:val="24"/>
                <w:szCs w:val="24"/>
              </w:rPr>
              <w:t>6</w:t>
            </w:r>
            <w:r>
              <w:rPr>
                <w:spacing w:val="-1"/>
                <w:sz w:val="24"/>
                <w:szCs w:val="24"/>
              </w:rPr>
              <w:t xml:space="preserve"> </w:t>
            </w:r>
            <w:r>
              <w:rPr>
                <w:spacing w:val="-2"/>
                <w:sz w:val="24"/>
                <w:szCs w:val="24"/>
              </w:rPr>
              <w:t>(7,7%)</w:t>
            </w:r>
          </w:p>
        </w:tc>
        <w:tc>
          <w:tcPr>
            <w:tcW w:w="1134" w:type="dxa"/>
          </w:tcPr>
          <w:p w14:paraId="4C174581">
            <w:pPr>
              <w:pStyle w:val="11"/>
              <w:spacing w:line="301" w:lineRule="exact"/>
              <w:ind w:left="84" w:right="68"/>
              <w:rPr>
                <w:sz w:val="24"/>
                <w:szCs w:val="24"/>
              </w:rPr>
            </w:pPr>
            <w:r>
              <w:rPr>
                <w:spacing w:val="-4"/>
                <w:sz w:val="24"/>
                <w:szCs w:val="24"/>
              </w:rPr>
              <w:t>0,194</w:t>
            </w:r>
          </w:p>
        </w:tc>
      </w:tr>
      <w:tr w14:paraId="495B9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4536" w:type="dxa"/>
          </w:tcPr>
          <w:p w14:paraId="253B9E8C">
            <w:pPr>
              <w:pStyle w:val="11"/>
              <w:spacing w:line="315" w:lineRule="exact"/>
              <w:ind w:left="110"/>
              <w:jc w:val="left"/>
              <w:rPr>
                <w:sz w:val="24"/>
                <w:szCs w:val="24"/>
              </w:rPr>
            </w:pPr>
            <w:r>
              <w:rPr>
                <w:sz w:val="24"/>
                <w:szCs w:val="24"/>
              </w:rPr>
              <w:t>Длительность</w:t>
            </w:r>
            <w:r>
              <w:rPr>
                <w:spacing w:val="-16"/>
                <w:sz w:val="24"/>
                <w:szCs w:val="24"/>
              </w:rPr>
              <w:t xml:space="preserve"> </w:t>
            </w:r>
            <w:r>
              <w:rPr>
                <w:spacing w:val="-2"/>
                <w:sz w:val="24"/>
                <w:szCs w:val="24"/>
              </w:rPr>
              <w:t>госпитализации,</w:t>
            </w:r>
          </w:p>
          <w:p w14:paraId="7B3E1814">
            <w:pPr>
              <w:pStyle w:val="11"/>
              <w:spacing w:line="313" w:lineRule="exact"/>
              <w:ind w:left="110"/>
              <w:jc w:val="left"/>
              <w:rPr>
                <w:sz w:val="24"/>
                <w:szCs w:val="24"/>
              </w:rPr>
            </w:pPr>
            <w:r>
              <w:rPr>
                <w:sz w:val="24"/>
                <w:szCs w:val="24"/>
              </w:rPr>
              <w:t>дни,</w:t>
            </w:r>
            <w:r>
              <w:rPr>
                <w:spacing w:val="-1"/>
                <w:sz w:val="24"/>
                <w:szCs w:val="24"/>
              </w:rPr>
              <w:t xml:space="preserve"> </w:t>
            </w:r>
            <w:r>
              <w:rPr>
                <w:sz w:val="24"/>
                <w:szCs w:val="24"/>
              </w:rPr>
              <w:t>Me</w:t>
            </w:r>
            <w:r>
              <w:rPr>
                <w:spacing w:val="-1"/>
                <w:sz w:val="24"/>
                <w:szCs w:val="24"/>
              </w:rPr>
              <w:t xml:space="preserve"> </w:t>
            </w:r>
            <w:r>
              <w:rPr>
                <w:sz w:val="24"/>
                <w:szCs w:val="24"/>
              </w:rPr>
              <w:t>[Q1;</w:t>
            </w:r>
            <w:r>
              <w:rPr>
                <w:spacing w:val="-2"/>
                <w:sz w:val="24"/>
                <w:szCs w:val="24"/>
              </w:rPr>
              <w:t xml:space="preserve"> </w:t>
            </w:r>
            <w:r>
              <w:rPr>
                <w:spacing w:val="-5"/>
                <w:sz w:val="24"/>
                <w:szCs w:val="24"/>
              </w:rPr>
              <w:t>Q3]</w:t>
            </w:r>
          </w:p>
        </w:tc>
        <w:tc>
          <w:tcPr>
            <w:tcW w:w="2127" w:type="dxa"/>
          </w:tcPr>
          <w:p w14:paraId="182EB273">
            <w:pPr>
              <w:pStyle w:val="11"/>
              <w:spacing w:line="315" w:lineRule="exact"/>
              <w:ind w:left="16" w:right="5"/>
              <w:rPr>
                <w:sz w:val="24"/>
                <w:szCs w:val="24"/>
              </w:rPr>
            </w:pPr>
            <w:r>
              <w:rPr>
                <w:sz w:val="24"/>
                <w:szCs w:val="24"/>
              </w:rPr>
              <w:t>25</w:t>
            </w:r>
            <w:r>
              <w:rPr>
                <w:spacing w:val="-2"/>
                <w:sz w:val="24"/>
                <w:szCs w:val="24"/>
              </w:rPr>
              <w:t xml:space="preserve"> [23–27]</w:t>
            </w:r>
          </w:p>
        </w:tc>
        <w:tc>
          <w:tcPr>
            <w:tcW w:w="1842" w:type="dxa"/>
          </w:tcPr>
          <w:p w14:paraId="5280B0EE">
            <w:pPr>
              <w:pStyle w:val="11"/>
              <w:spacing w:line="315" w:lineRule="exact"/>
              <w:ind w:left="75"/>
              <w:rPr>
                <w:sz w:val="24"/>
                <w:szCs w:val="24"/>
              </w:rPr>
            </w:pPr>
            <w:r>
              <w:rPr>
                <w:sz w:val="24"/>
                <w:szCs w:val="24"/>
              </w:rPr>
              <w:t>16</w:t>
            </w:r>
            <w:r>
              <w:rPr>
                <w:spacing w:val="-2"/>
                <w:sz w:val="24"/>
                <w:szCs w:val="24"/>
              </w:rPr>
              <w:t xml:space="preserve"> [13–18]</w:t>
            </w:r>
          </w:p>
        </w:tc>
        <w:tc>
          <w:tcPr>
            <w:tcW w:w="1134" w:type="dxa"/>
          </w:tcPr>
          <w:p w14:paraId="2E107B6B">
            <w:pPr>
              <w:pStyle w:val="11"/>
              <w:spacing w:line="315" w:lineRule="exact"/>
              <w:ind w:left="94" w:right="68"/>
              <w:rPr>
                <w:sz w:val="24"/>
                <w:szCs w:val="24"/>
              </w:rPr>
            </w:pPr>
            <w:r>
              <w:rPr>
                <w:spacing w:val="-2"/>
                <w:sz w:val="24"/>
                <w:szCs w:val="24"/>
              </w:rPr>
              <w:t>&lt;0,001</w:t>
            </w:r>
            <w:r>
              <w:rPr>
                <w:spacing w:val="-2"/>
                <w:sz w:val="24"/>
                <w:szCs w:val="24"/>
                <w:vertAlign w:val="superscript"/>
              </w:rPr>
              <w:t>***</w:t>
            </w:r>
          </w:p>
        </w:tc>
      </w:tr>
      <w:tr w14:paraId="7EA14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536" w:type="dxa"/>
          </w:tcPr>
          <w:p w14:paraId="593101F1">
            <w:pPr>
              <w:pStyle w:val="11"/>
              <w:spacing w:line="315" w:lineRule="exact"/>
              <w:ind w:left="110"/>
              <w:jc w:val="left"/>
              <w:rPr>
                <w:sz w:val="24"/>
                <w:szCs w:val="24"/>
              </w:rPr>
            </w:pPr>
            <w:r>
              <w:rPr>
                <w:sz w:val="24"/>
                <w:szCs w:val="24"/>
              </w:rPr>
              <w:t>Госпитальная</w:t>
            </w:r>
            <w:r>
              <w:rPr>
                <w:spacing w:val="-8"/>
                <w:sz w:val="24"/>
                <w:szCs w:val="24"/>
              </w:rPr>
              <w:t xml:space="preserve"> </w:t>
            </w:r>
            <w:r>
              <w:rPr>
                <w:sz w:val="24"/>
                <w:szCs w:val="24"/>
              </w:rPr>
              <w:t>летальность,</w:t>
            </w:r>
            <w:r>
              <w:rPr>
                <w:spacing w:val="-4"/>
                <w:sz w:val="24"/>
                <w:szCs w:val="24"/>
              </w:rPr>
              <w:t xml:space="preserve"> </w:t>
            </w:r>
            <w:r>
              <w:rPr>
                <w:sz w:val="24"/>
                <w:szCs w:val="24"/>
              </w:rPr>
              <w:t>n</w:t>
            </w:r>
            <w:r>
              <w:rPr>
                <w:spacing w:val="-12"/>
                <w:sz w:val="24"/>
                <w:szCs w:val="24"/>
              </w:rPr>
              <w:t xml:space="preserve"> </w:t>
            </w:r>
            <w:r>
              <w:rPr>
                <w:spacing w:val="-5"/>
                <w:sz w:val="24"/>
                <w:szCs w:val="24"/>
              </w:rPr>
              <w:t>(%)</w:t>
            </w:r>
          </w:p>
        </w:tc>
        <w:tc>
          <w:tcPr>
            <w:tcW w:w="2127" w:type="dxa"/>
          </w:tcPr>
          <w:p w14:paraId="48246C5E">
            <w:pPr>
              <w:pStyle w:val="11"/>
              <w:spacing w:line="315" w:lineRule="exact"/>
              <w:ind w:left="16" w:right="5"/>
              <w:rPr>
                <w:sz w:val="24"/>
                <w:szCs w:val="24"/>
              </w:rPr>
            </w:pPr>
            <w:r>
              <w:rPr>
                <w:sz w:val="24"/>
                <w:szCs w:val="24"/>
              </w:rPr>
              <w:t>14</w:t>
            </w:r>
            <w:r>
              <w:rPr>
                <w:spacing w:val="-2"/>
                <w:sz w:val="24"/>
                <w:szCs w:val="24"/>
              </w:rPr>
              <w:t xml:space="preserve"> (11,5%)</w:t>
            </w:r>
          </w:p>
        </w:tc>
        <w:tc>
          <w:tcPr>
            <w:tcW w:w="1842" w:type="dxa"/>
          </w:tcPr>
          <w:p w14:paraId="385E289E">
            <w:pPr>
              <w:pStyle w:val="11"/>
              <w:spacing w:line="315" w:lineRule="exact"/>
              <w:ind w:left="75" w:right="72"/>
              <w:rPr>
                <w:sz w:val="24"/>
                <w:szCs w:val="24"/>
              </w:rPr>
            </w:pPr>
            <w:r>
              <w:rPr>
                <w:sz w:val="24"/>
                <w:szCs w:val="24"/>
              </w:rPr>
              <w:t>2</w:t>
            </w:r>
            <w:r>
              <w:rPr>
                <w:spacing w:val="-1"/>
                <w:sz w:val="24"/>
                <w:szCs w:val="24"/>
              </w:rPr>
              <w:t xml:space="preserve"> </w:t>
            </w:r>
            <w:r>
              <w:rPr>
                <w:spacing w:val="-2"/>
                <w:sz w:val="24"/>
                <w:szCs w:val="24"/>
              </w:rPr>
              <w:t>(2,5%)</w:t>
            </w:r>
          </w:p>
        </w:tc>
        <w:tc>
          <w:tcPr>
            <w:tcW w:w="1134" w:type="dxa"/>
          </w:tcPr>
          <w:p w14:paraId="0F490068">
            <w:pPr>
              <w:pStyle w:val="11"/>
              <w:spacing w:line="315" w:lineRule="exact"/>
              <w:ind w:left="89" w:right="68"/>
              <w:rPr>
                <w:sz w:val="24"/>
                <w:szCs w:val="24"/>
              </w:rPr>
            </w:pPr>
            <w:r>
              <w:rPr>
                <w:spacing w:val="-2"/>
                <w:sz w:val="24"/>
                <w:szCs w:val="24"/>
              </w:rPr>
              <w:t>0,030</w:t>
            </w:r>
            <w:r>
              <w:rPr>
                <w:spacing w:val="-2"/>
                <w:sz w:val="24"/>
                <w:szCs w:val="24"/>
                <w:vertAlign w:val="superscript"/>
              </w:rPr>
              <w:t>*</w:t>
            </w:r>
          </w:p>
        </w:tc>
      </w:tr>
      <w:tr w14:paraId="1DD79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639" w:type="dxa"/>
            <w:gridSpan w:val="4"/>
          </w:tcPr>
          <w:p w14:paraId="0B7EA66C">
            <w:pPr>
              <w:pStyle w:val="11"/>
              <w:spacing w:line="240" w:lineRule="auto"/>
              <w:ind w:left="110"/>
              <w:jc w:val="left"/>
              <w:rPr>
                <w:sz w:val="24"/>
                <w:szCs w:val="24"/>
              </w:rPr>
            </w:pPr>
            <w:r>
              <w:rPr>
                <w:sz w:val="24"/>
                <w:szCs w:val="24"/>
              </w:rPr>
              <w:t>Примечание: Категориальные</w:t>
            </w:r>
            <w:r>
              <w:rPr>
                <w:spacing w:val="-2"/>
                <w:sz w:val="24"/>
                <w:szCs w:val="24"/>
              </w:rPr>
              <w:t xml:space="preserve"> </w:t>
            </w:r>
            <w:r>
              <w:rPr>
                <w:sz w:val="24"/>
                <w:szCs w:val="24"/>
              </w:rPr>
              <w:t>данные</w:t>
            </w:r>
            <w:r>
              <w:rPr>
                <w:spacing w:val="-7"/>
                <w:sz w:val="24"/>
                <w:szCs w:val="24"/>
              </w:rPr>
              <w:t xml:space="preserve"> </w:t>
            </w:r>
            <w:r>
              <w:rPr>
                <w:sz w:val="24"/>
                <w:szCs w:val="24"/>
              </w:rPr>
              <w:t>представлены</w:t>
            </w:r>
            <w:r>
              <w:rPr>
                <w:spacing w:val="-4"/>
                <w:sz w:val="24"/>
                <w:szCs w:val="24"/>
              </w:rPr>
              <w:t xml:space="preserve"> </w:t>
            </w:r>
            <w:r>
              <w:rPr>
                <w:sz w:val="24"/>
                <w:szCs w:val="24"/>
              </w:rPr>
              <w:t>как</w:t>
            </w:r>
            <w:r>
              <w:rPr>
                <w:spacing w:val="-3"/>
                <w:sz w:val="24"/>
                <w:szCs w:val="24"/>
              </w:rPr>
              <w:t xml:space="preserve"> </w:t>
            </w:r>
            <w:r>
              <w:rPr>
                <w:sz w:val="24"/>
                <w:szCs w:val="24"/>
              </w:rPr>
              <w:t>абсолютные</w:t>
            </w:r>
            <w:r>
              <w:rPr>
                <w:spacing w:val="-2"/>
                <w:sz w:val="24"/>
                <w:szCs w:val="24"/>
              </w:rPr>
              <w:t xml:space="preserve"> </w:t>
            </w:r>
            <w:r>
              <w:rPr>
                <w:sz w:val="24"/>
                <w:szCs w:val="24"/>
              </w:rPr>
              <w:t>значения</w:t>
            </w:r>
            <w:r>
              <w:rPr>
                <w:spacing w:val="-6"/>
                <w:sz w:val="24"/>
                <w:szCs w:val="24"/>
              </w:rPr>
              <w:t xml:space="preserve"> </w:t>
            </w:r>
            <w:r>
              <w:rPr>
                <w:sz w:val="24"/>
                <w:szCs w:val="24"/>
              </w:rPr>
              <w:t>и</w:t>
            </w:r>
            <w:r>
              <w:rPr>
                <w:spacing w:val="-5"/>
                <w:sz w:val="24"/>
                <w:szCs w:val="24"/>
              </w:rPr>
              <w:t xml:space="preserve"> </w:t>
            </w:r>
            <w:r>
              <w:rPr>
                <w:sz w:val="24"/>
                <w:szCs w:val="24"/>
              </w:rPr>
              <w:t>проценты —</w:t>
            </w:r>
            <w:r>
              <w:rPr>
                <w:spacing w:val="-6"/>
                <w:sz w:val="24"/>
                <w:szCs w:val="24"/>
              </w:rPr>
              <w:t xml:space="preserve"> </w:t>
            </w:r>
            <w:r>
              <w:rPr>
                <w:sz w:val="24"/>
                <w:szCs w:val="24"/>
              </w:rPr>
              <w:t>n</w:t>
            </w:r>
            <w:r>
              <w:rPr>
                <w:spacing w:val="-6"/>
                <w:sz w:val="24"/>
                <w:szCs w:val="24"/>
              </w:rPr>
              <w:t xml:space="preserve"> </w:t>
            </w:r>
            <w:r>
              <w:rPr>
                <w:sz w:val="24"/>
                <w:szCs w:val="24"/>
              </w:rPr>
              <w:t>(%). * p</w:t>
            </w:r>
            <w:r>
              <w:rPr>
                <w:spacing w:val="-6"/>
                <w:sz w:val="24"/>
                <w:szCs w:val="24"/>
              </w:rPr>
              <w:t xml:space="preserve"> </w:t>
            </w:r>
            <w:r>
              <w:rPr>
                <w:sz w:val="24"/>
                <w:szCs w:val="24"/>
              </w:rPr>
              <w:t>&lt; 0,05, ** p &lt; 0,01, *** p &lt; 0,001. Для сравнения категориальных переменных применён точный критерий Фишера. Для сравнения количественных переменных использован U-</w:t>
            </w:r>
          </w:p>
          <w:p w14:paraId="14C327B9">
            <w:pPr>
              <w:pStyle w:val="11"/>
              <w:spacing w:line="274" w:lineRule="exact"/>
              <w:jc w:val="left"/>
              <w:rPr>
                <w:sz w:val="24"/>
                <w:szCs w:val="24"/>
              </w:rPr>
            </w:pPr>
            <w:r>
              <w:rPr>
                <w:sz w:val="24"/>
                <w:szCs w:val="24"/>
              </w:rPr>
              <w:t>критерий</w:t>
            </w:r>
            <w:r>
              <w:rPr>
                <w:spacing w:val="-2"/>
                <w:sz w:val="24"/>
                <w:szCs w:val="24"/>
              </w:rPr>
              <w:t xml:space="preserve"> </w:t>
            </w:r>
            <w:r>
              <w:rPr>
                <w:sz w:val="24"/>
                <w:szCs w:val="24"/>
              </w:rPr>
              <w:t>Манна—Уитни.</w:t>
            </w:r>
            <w:r>
              <w:rPr>
                <w:spacing w:val="-2"/>
                <w:sz w:val="24"/>
                <w:szCs w:val="24"/>
              </w:rPr>
              <w:t xml:space="preserve"> </w:t>
            </w:r>
            <w:r>
              <w:rPr>
                <w:sz w:val="24"/>
                <w:szCs w:val="24"/>
              </w:rPr>
              <w:t>Для</w:t>
            </w:r>
            <w:r>
              <w:rPr>
                <w:spacing w:val="-8"/>
                <w:sz w:val="24"/>
                <w:szCs w:val="24"/>
              </w:rPr>
              <w:t xml:space="preserve"> </w:t>
            </w:r>
            <w:r>
              <w:rPr>
                <w:sz w:val="24"/>
                <w:szCs w:val="24"/>
              </w:rPr>
              <w:t>сравнения</w:t>
            </w:r>
            <w:r>
              <w:rPr>
                <w:spacing w:val="-8"/>
                <w:sz w:val="24"/>
                <w:szCs w:val="24"/>
              </w:rPr>
              <w:t xml:space="preserve"> </w:t>
            </w:r>
            <w:r>
              <w:rPr>
                <w:sz w:val="24"/>
                <w:szCs w:val="24"/>
              </w:rPr>
              <w:t>распределения</w:t>
            </w:r>
            <w:r>
              <w:rPr>
                <w:spacing w:val="-3"/>
                <w:sz w:val="24"/>
                <w:szCs w:val="24"/>
              </w:rPr>
              <w:t xml:space="preserve"> </w:t>
            </w:r>
            <w:r>
              <w:rPr>
                <w:sz w:val="24"/>
                <w:szCs w:val="24"/>
              </w:rPr>
              <w:t>ПС</w:t>
            </w:r>
            <w:r>
              <w:rPr>
                <w:spacing w:val="-5"/>
                <w:sz w:val="24"/>
                <w:szCs w:val="24"/>
              </w:rPr>
              <w:t xml:space="preserve"> </w:t>
            </w:r>
            <w:r>
              <w:rPr>
                <w:sz w:val="24"/>
                <w:szCs w:val="24"/>
              </w:rPr>
              <w:t>по</w:t>
            </w:r>
            <w:r>
              <w:rPr>
                <w:spacing w:val="-3"/>
                <w:sz w:val="24"/>
                <w:szCs w:val="24"/>
              </w:rPr>
              <w:t xml:space="preserve"> </w:t>
            </w:r>
            <w:r>
              <w:rPr>
                <w:sz w:val="24"/>
                <w:szCs w:val="24"/>
              </w:rPr>
              <w:t>степеням</w:t>
            </w:r>
            <w:r>
              <w:rPr>
                <w:spacing w:val="-6"/>
                <w:sz w:val="24"/>
                <w:szCs w:val="24"/>
              </w:rPr>
              <w:t xml:space="preserve"> </w:t>
            </w:r>
            <w:r>
              <w:rPr>
                <w:sz w:val="24"/>
                <w:szCs w:val="24"/>
              </w:rPr>
              <w:t>(A/B/C)</w:t>
            </w:r>
            <w:r>
              <w:rPr>
                <w:spacing w:val="-2"/>
                <w:sz w:val="24"/>
                <w:szCs w:val="24"/>
              </w:rPr>
              <w:t xml:space="preserve"> </w:t>
            </w:r>
            <w:r>
              <w:rPr>
                <w:sz w:val="24"/>
                <w:szCs w:val="24"/>
              </w:rPr>
              <w:t>между группами использован χ²-критерий Пирсона</w:t>
            </w:r>
          </w:p>
        </w:tc>
      </w:tr>
    </w:tbl>
    <w:p w14:paraId="05669321">
      <w:pPr>
        <w:pStyle w:val="11"/>
        <w:spacing w:line="274" w:lineRule="exact"/>
        <w:jc w:val="left"/>
        <w:rPr>
          <w:sz w:val="24"/>
          <w:szCs w:val="24"/>
        </w:rPr>
      </w:pPr>
    </w:p>
    <w:p w14:paraId="5E47C6D2">
      <w:pPr>
        <w:tabs>
          <w:tab w:val="left" w:pos="1738"/>
        </w:tabs>
        <w:ind w:firstLine="567"/>
        <w:jc w:val="both"/>
        <w:rPr>
          <w:sz w:val="28"/>
          <w:szCs w:val="28"/>
        </w:rPr>
      </w:pPr>
      <w:r>
        <w:rPr>
          <w:sz w:val="28"/>
          <w:szCs w:val="28"/>
        </w:rPr>
        <w:t>Таблица 30 демонстрирует интраоперационных и послеоперационных результатов у пациентов с плотной консистенцией ПЖ в зависимости от типа ПЕА: контрольная группа (n=87) и основная группа (n=70).</w:t>
      </w:r>
    </w:p>
    <w:p w14:paraId="02A35902">
      <w:pPr>
        <w:pStyle w:val="7"/>
        <w:ind w:left="0" w:right="3" w:firstLine="567"/>
      </w:pPr>
      <w:bookmarkStart w:id="41" w:name="Длительность_операции_в_основной_группе_"/>
      <w:bookmarkEnd w:id="41"/>
      <w:r>
        <w:t>Длительность операции в основной группе была статистически значимо больше</w:t>
      </w:r>
      <w:r>
        <w:rPr>
          <w:spacing w:val="-1"/>
        </w:rPr>
        <w:t xml:space="preserve"> </w:t>
      </w:r>
      <w:r>
        <w:t>и</w:t>
      </w:r>
      <w:r>
        <w:rPr>
          <w:spacing w:val="-2"/>
        </w:rPr>
        <w:t xml:space="preserve"> </w:t>
      </w:r>
      <w:r>
        <w:t>составила</w:t>
      </w:r>
      <w:r>
        <w:rPr>
          <w:spacing w:val="-1"/>
        </w:rPr>
        <w:t xml:space="preserve"> </w:t>
      </w:r>
      <w:r>
        <w:t>420</w:t>
      </w:r>
      <w:r>
        <w:rPr>
          <w:spacing w:val="-2"/>
        </w:rPr>
        <w:t xml:space="preserve"> </w:t>
      </w:r>
      <w:r>
        <w:t>(360–510)</w:t>
      </w:r>
      <w:r>
        <w:rPr>
          <w:spacing w:val="-3"/>
        </w:rPr>
        <w:t xml:space="preserve"> </w:t>
      </w:r>
      <w:r>
        <w:t>мин</w:t>
      </w:r>
      <w:r>
        <w:rPr>
          <w:spacing w:val="-2"/>
        </w:rPr>
        <w:t xml:space="preserve"> </w:t>
      </w:r>
      <w:r>
        <w:t>против</w:t>
      </w:r>
      <w:r>
        <w:rPr>
          <w:spacing w:val="-3"/>
        </w:rPr>
        <w:t xml:space="preserve"> </w:t>
      </w:r>
      <w:r>
        <w:t>390</w:t>
      </w:r>
      <w:r>
        <w:rPr>
          <w:spacing w:val="-2"/>
        </w:rPr>
        <w:t xml:space="preserve"> </w:t>
      </w:r>
      <w:r>
        <w:t>(340–450)</w:t>
      </w:r>
      <w:r>
        <w:rPr>
          <w:spacing w:val="-3"/>
        </w:rPr>
        <w:t xml:space="preserve"> </w:t>
      </w:r>
      <w:r>
        <w:t>мин в</w:t>
      </w:r>
      <w:r>
        <w:rPr>
          <w:spacing w:val="-3"/>
        </w:rPr>
        <w:t xml:space="preserve"> </w:t>
      </w:r>
      <w:r>
        <w:t>контрольной (p=0,044). Аналогично, объём интраоперационной кровопотери был выше при выполнении</w:t>
      </w:r>
      <w:r>
        <w:rPr>
          <w:spacing w:val="-18"/>
        </w:rPr>
        <w:t xml:space="preserve"> </w:t>
      </w:r>
      <w:r>
        <w:t>модифицированного</w:t>
      </w:r>
      <w:r>
        <w:rPr>
          <w:spacing w:val="-13"/>
        </w:rPr>
        <w:t xml:space="preserve"> </w:t>
      </w:r>
      <w:r>
        <w:t>ПЕА</w:t>
      </w:r>
      <w:r>
        <w:rPr>
          <w:spacing w:val="-14"/>
        </w:rPr>
        <w:t xml:space="preserve"> </w:t>
      </w:r>
      <w:r>
        <w:t>—</w:t>
      </w:r>
      <w:r>
        <w:rPr>
          <w:spacing w:val="-17"/>
        </w:rPr>
        <w:t xml:space="preserve"> </w:t>
      </w:r>
      <w:r>
        <w:t>250</w:t>
      </w:r>
      <w:r>
        <w:rPr>
          <w:spacing w:val="-17"/>
        </w:rPr>
        <w:t xml:space="preserve"> </w:t>
      </w:r>
      <w:r>
        <w:t>(200–350)</w:t>
      </w:r>
      <w:r>
        <w:rPr>
          <w:spacing w:val="-18"/>
        </w:rPr>
        <w:t xml:space="preserve"> </w:t>
      </w:r>
      <w:r>
        <w:t>мл</w:t>
      </w:r>
      <w:r>
        <w:rPr>
          <w:spacing w:val="-17"/>
        </w:rPr>
        <w:t xml:space="preserve"> </w:t>
      </w:r>
      <w:r>
        <w:t>против</w:t>
      </w:r>
      <w:r>
        <w:rPr>
          <w:spacing w:val="-18"/>
        </w:rPr>
        <w:t xml:space="preserve"> </w:t>
      </w:r>
      <w:r>
        <w:t>200</w:t>
      </w:r>
      <w:r>
        <w:rPr>
          <w:spacing w:val="-17"/>
        </w:rPr>
        <w:t xml:space="preserve"> </w:t>
      </w:r>
      <w:r>
        <w:t>(175–300) мл (p=0,019). Эти различия отражают большую техническую трудоёмкость реконструктивного этапа в основной группе.</w:t>
      </w:r>
    </w:p>
    <w:p w14:paraId="4F9A58B9">
      <w:pPr>
        <w:pStyle w:val="7"/>
        <w:spacing w:before="3"/>
        <w:ind w:left="0" w:right="3" w:firstLine="567"/>
      </w:pPr>
      <w:bookmarkStart w:id="42" w:name="Несмотря_на_это,_различий_по_частоте_ПС_"/>
      <w:bookmarkEnd w:id="42"/>
      <w:r>
        <w:t>Несмотря на это, различий по частоте ПС между группами не выявлено: 17,2% в контрольной и 11,4% в основной (p=0,387). Распределение свищей по степеням (A/B/C) также было сопоставимым (p=0,509). Частота КЗ-ПС оставалась низкой и не различалась статистически: 5,7% и 4,2% соответственно (p=1,000), что соответствует ожидаемо благоприятному профилю риска у пациентов с плотной ПЖ.</w:t>
      </w:r>
    </w:p>
    <w:p w14:paraId="6F4A977C">
      <w:pPr>
        <w:pStyle w:val="7"/>
        <w:ind w:left="0" w:right="3" w:firstLine="567"/>
      </w:pPr>
      <w:bookmarkStart w:id="43" w:name="Показатели_послеоперационного_кровотечен"/>
      <w:bookmarkEnd w:id="43"/>
      <w:r>
        <w:t>Показатели послеоперационного кровотечения, билиарного свища и реопераций статистически не различались между группами (p&gt;0,05). Однако обращает внимание отсутствие реопераций, гастростаза и госпитальной летальности в основной группе, тогда как в контрольной группе данные осложнения</w:t>
      </w:r>
      <w:r>
        <w:rPr>
          <w:spacing w:val="-12"/>
        </w:rPr>
        <w:t xml:space="preserve"> </w:t>
      </w:r>
      <w:r>
        <w:t>регистрировались</w:t>
      </w:r>
      <w:r>
        <w:rPr>
          <w:spacing w:val="-15"/>
        </w:rPr>
        <w:t xml:space="preserve"> </w:t>
      </w:r>
      <w:r>
        <w:t>(4,6%,</w:t>
      </w:r>
      <w:r>
        <w:rPr>
          <w:spacing w:val="-11"/>
        </w:rPr>
        <w:t xml:space="preserve"> </w:t>
      </w:r>
      <w:r>
        <w:t>5,7%</w:t>
      </w:r>
      <w:r>
        <w:rPr>
          <w:spacing w:val="-15"/>
        </w:rPr>
        <w:t xml:space="preserve"> </w:t>
      </w:r>
      <w:r>
        <w:t>и</w:t>
      </w:r>
      <w:r>
        <w:rPr>
          <w:spacing w:val="-13"/>
        </w:rPr>
        <w:t xml:space="preserve"> </w:t>
      </w:r>
      <w:r>
        <w:t>3,4%</w:t>
      </w:r>
      <w:r>
        <w:rPr>
          <w:spacing w:val="-15"/>
        </w:rPr>
        <w:t xml:space="preserve"> </w:t>
      </w:r>
      <w:r>
        <w:t>соответственно),</w:t>
      </w:r>
      <w:r>
        <w:rPr>
          <w:spacing w:val="-11"/>
        </w:rPr>
        <w:t xml:space="preserve"> </w:t>
      </w:r>
      <w:r>
        <w:t>что</w:t>
      </w:r>
      <w:r>
        <w:rPr>
          <w:spacing w:val="-13"/>
        </w:rPr>
        <w:t xml:space="preserve"> </w:t>
      </w:r>
      <w:r>
        <w:t>отражает клиническую</w:t>
      </w:r>
      <w:r>
        <w:rPr>
          <w:spacing w:val="-1"/>
        </w:rPr>
        <w:t xml:space="preserve"> </w:t>
      </w:r>
      <w:r>
        <w:t>тенденцию</w:t>
      </w:r>
      <w:r>
        <w:rPr>
          <w:spacing w:val="-1"/>
        </w:rPr>
        <w:t xml:space="preserve"> </w:t>
      </w:r>
      <w:r>
        <w:t>к более</w:t>
      </w:r>
      <w:r>
        <w:rPr>
          <w:spacing w:val="-3"/>
        </w:rPr>
        <w:t xml:space="preserve"> </w:t>
      </w:r>
      <w:r>
        <w:t>благоприятному</w:t>
      </w:r>
      <w:r>
        <w:rPr>
          <w:spacing w:val="-4"/>
        </w:rPr>
        <w:t xml:space="preserve"> </w:t>
      </w:r>
      <w:r>
        <w:t>течению</w:t>
      </w:r>
      <w:r>
        <w:rPr>
          <w:spacing w:val="-1"/>
        </w:rPr>
        <w:t xml:space="preserve"> </w:t>
      </w:r>
      <w:r>
        <w:t>послеоперационного периода при использовании модифицированной техники ПЕА.</w:t>
      </w:r>
    </w:p>
    <w:p w14:paraId="1BA25E92">
      <w:pPr>
        <w:pStyle w:val="7"/>
        <w:spacing w:before="1"/>
        <w:ind w:left="0" w:right="3" w:firstLine="567"/>
      </w:pPr>
      <w:bookmarkStart w:id="44" w:name="Наиболее_выраженные_различия_выявлены_по"/>
      <w:bookmarkEnd w:id="44"/>
      <w:r>
        <w:t>Наиболее выраженные различия выявлены по длительности госпитализации: в основной группе медиана составила 15 [13; 17] суток против 24 [22; 26] суток в контрольной (p&lt;0,001). Существенное сокращение сроков стационарного лечения при сопоставимой частоте осложнений указывает на более быстрое и благоприятное восстановление пациентов.</w:t>
      </w:r>
    </w:p>
    <w:p w14:paraId="3F12B785">
      <w:pPr>
        <w:pStyle w:val="7"/>
        <w:ind w:left="0" w:right="3" w:firstLine="709"/>
      </w:pPr>
      <w:bookmarkStart w:id="45" w:name="Таким_образом,_у_больных_с_плотной_ПЖ_пр"/>
      <w:bookmarkEnd w:id="45"/>
      <w:r>
        <w:t>Таким образом, у</w:t>
      </w:r>
      <w:r>
        <w:rPr>
          <w:spacing w:val="-2"/>
        </w:rPr>
        <w:t xml:space="preserve"> </w:t>
      </w:r>
      <w:r>
        <w:t>больных</w:t>
      </w:r>
      <w:r>
        <w:rPr>
          <w:spacing w:val="-2"/>
        </w:rPr>
        <w:t xml:space="preserve"> </w:t>
      </w:r>
      <w:r>
        <w:t>с плотной ПЖ применение модифицированного ПЕА, несмотря на большую интраоперационную трудоёмкость, не сопровождается увеличением частоты панкреатических осложнений и ассоциируется с клинически более благоприятным послеоперационным течением, что проявляется отсутствием тяжёлых осложнений и значительным сокращением длительности госпитализации.</w:t>
      </w:r>
    </w:p>
    <w:p w14:paraId="4C1730CC">
      <w:pPr>
        <w:pStyle w:val="7"/>
        <w:spacing w:before="1"/>
        <w:ind w:left="0" w:right="3" w:firstLine="709"/>
        <w:jc w:val="left"/>
      </w:pPr>
    </w:p>
    <w:p w14:paraId="30B7E6E4">
      <w:pPr>
        <w:pStyle w:val="7"/>
        <w:ind w:left="0" w:right="3" w:firstLine="0"/>
        <w:jc w:val="left"/>
      </w:pPr>
      <w:bookmarkStart w:id="46" w:name="Таблица_30_–_Интраоперационные_и_послеоп"/>
      <w:bookmarkEnd w:id="46"/>
      <w:r>
        <w:t>Таблица</w:t>
      </w:r>
      <w:r>
        <w:rPr>
          <w:spacing w:val="-18"/>
        </w:rPr>
        <w:t xml:space="preserve"> </w:t>
      </w:r>
      <w:r>
        <w:t>30</w:t>
      </w:r>
      <w:r>
        <w:rPr>
          <w:spacing w:val="-16"/>
        </w:rPr>
        <w:t xml:space="preserve"> </w:t>
      </w:r>
      <w:r>
        <w:t>–</w:t>
      </w:r>
      <w:r>
        <w:rPr>
          <w:spacing w:val="-16"/>
        </w:rPr>
        <w:t xml:space="preserve"> </w:t>
      </w:r>
      <w:r>
        <w:t>Интраоперационные</w:t>
      </w:r>
      <w:r>
        <w:rPr>
          <w:spacing w:val="-15"/>
        </w:rPr>
        <w:t xml:space="preserve"> </w:t>
      </w:r>
      <w:r>
        <w:t>и</w:t>
      </w:r>
      <w:r>
        <w:rPr>
          <w:spacing w:val="-16"/>
        </w:rPr>
        <w:t xml:space="preserve"> </w:t>
      </w:r>
      <w:r>
        <w:t>послеоперационные</w:t>
      </w:r>
      <w:r>
        <w:rPr>
          <w:spacing w:val="-15"/>
        </w:rPr>
        <w:t xml:space="preserve"> </w:t>
      </w:r>
      <w:r>
        <w:t>результаты</w:t>
      </w:r>
      <w:r>
        <w:rPr>
          <w:spacing w:val="-11"/>
        </w:rPr>
        <w:t xml:space="preserve"> </w:t>
      </w:r>
      <w:r>
        <w:t>у</w:t>
      </w:r>
      <w:r>
        <w:rPr>
          <w:spacing w:val="-18"/>
        </w:rPr>
        <w:t xml:space="preserve"> </w:t>
      </w:r>
      <w:r>
        <w:t>пациентов с плотной ПЖ в зависимости от типа ПЕА</w:t>
      </w:r>
    </w:p>
    <w:p w14:paraId="1A217812">
      <w:pPr>
        <w:pStyle w:val="7"/>
        <w:spacing w:before="31"/>
        <w:ind w:left="0" w:firstLine="0"/>
        <w:jc w:val="left"/>
        <w:rPr>
          <w:sz w:val="20"/>
        </w:rPr>
      </w:pPr>
    </w:p>
    <w:tbl>
      <w:tblPr>
        <w:tblStyle w:val="5"/>
        <w:tblW w:w="978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5"/>
        <w:gridCol w:w="1842"/>
        <w:gridCol w:w="1843"/>
        <w:gridCol w:w="1701"/>
      </w:tblGrid>
      <w:tr w14:paraId="00037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4395" w:type="dxa"/>
          </w:tcPr>
          <w:p w14:paraId="110809B5">
            <w:pPr>
              <w:pStyle w:val="11"/>
              <w:spacing w:line="315" w:lineRule="exact"/>
              <w:ind w:left="10"/>
              <w:rPr>
                <w:sz w:val="28"/>
              </w:rPr>
            </w:pPr>
            <w:r>
              <w:rPr>
                <w:spacing w:val="-2"/>
                <w:sz w:val="28"/>
              </w:rPr>
              <w:t>Показатель</w:t>
            </w:r>
          </w:p>
        </w:tc>
        <w:tc>
          <w:tcPr>
            <w:tcW w:w="1842" w:type="dxa"/>
          </w:tcPr>
          <w:p w14:paraId="7C691CF2">
            <w:pPr>
              <w:pStyle w:val="11"/>
              <w:spacing w:line="315" w:lineRule="exact"/>
              <w:ind w:left="68" w:right="73"/>
              <w:rPr>
                <w:sz w:val="28"/>
              </w:rPr>
            </w:pPr>
            <w:r>
              <w:rPr>
                <w:spacing w:val="-2"/>
                <w:sz w:val="28"/>
              </w:rPr>
              <w:t>Контрольная</w:t>
            </w:r>
          </w:p>
          <w:p w14:paraId="678878F5">
            <w:pPr>
              <w:pStyle w:val="11"/>
              <w:ind w:left="68" w:right="68"/>
              <w:rPr>
                <w:sz w:val="28"/>
              </w:rPr>
            </w:pPr>
            <w:r>
              <w:rPr>
                <w:sz w:val="28"/>
              </w:rPr>
              <w:t>n</w:t>
            </w:r>
            <w:r>
              <w:rPr>
                <w:spacing w:val="-5"/>
                <w:sz w:val="28"/>
              </w:rPr>
              <w:t xml:space="preserve"> </w:t>
            </w:r>
            <w:r>
              <w:rPr>
                <w:sz w:val="28"/>
              </w:rPr>
              <w:t>=</w:t>
            </w:r>
            <w:r>
              <w:rPr>
                <w:spacing w:val="1"/>
                <w:sz w:val="28"/>
              </w:rPr>
              <w:t xml:space="preserve"> </w:t>
            </w:r>
            <w:r>
              <w:rPr>
                <w:spacing w:val="-5"/>
                <w:sz w:val="28"/>
              </w:rPr>
              <w:t>87</w:t>
            </w:r>
          </w:p>
        </w:tc>
        <w:tc>
          <w:tcPr>
            <w:tcW w:w="1843" w:type="dxa"/>
          </w:tcPr>
          <w:p w14:paraId="79953162">
            <w:pPr>
              <w:pStyle w:val="11"/>
              <w:spacing w:line="315" w:lineRule="exact"/>
              <w:ind w:left="9" w:right="1"/>
              <w:rPr>
                <w:sz w:val="28"/>
              </w:rPr>
            </w:pPr>
            <w:r>
              <w:rPr>
                <w:spacing w:val="-2"/>
                <w:sz w:val="28"/>
              </w:rPr>
              <w:t>Основная</w:t>
            </w:r>
          </w:p>
          <w:p w14:paraId="6B946965">
            <w:pPr>
              <w:pStyle w:val="11"/>
              <w:ind w:left="8" w:right="3"/>
              <w:rPr>
                <w:sz w:val="28"/>
              </w:rPr>
            </w:pPr>
            <w:r>
              <w:rPr>
                <w:sz w:val="28"/>
              </w:rPr>
              <w:t>n</w:t>
            </w:r>
            <w:r>
              <w:rPr>
                <w:spacing w:val="-5"/>
                <w:sz w:val="28"/>
              </w:rPr>
              <w:t xml:space="preserve"> =70</w:t>
            </w:r>
          </w:p>
        </w:tc>
        <w:tc>
          <w:tcPr>
            <w:tcW w:w="1701" w:type="dxa"/>
          </w:tcPr>
          <w:p w14:paraId="379C3E01">
            <w:pPr>
              <w:pStyle w:val="11"/>
              <w:spacing w:line="315" w:lineRule="exact"/>
              <w:ind w:left="16" w:right="705"/>
              <w:rPr>
                <w:sz w:val="28"/>
              </w:rPr>
            </w:pPr>
            <w:r>
              <w:rPr>
                <w:spacing w:val="-2"/>
                <w:sz w:val="28"/>
              </w:rPr>
              <w:t xml:space="preserve"> P-value</w:t>
            </w:r>
          </w:p>
        </w:tc>
      </w:tr>
      <w:tr w14:paraId="341FA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4395" w:type="dxa"/>
            <w:tcBorders>
              <w:bottom w:val="single" w:color="000000" w:sz="4" w:space="0"/>
            </w:tcBorders>
          </w:tcPr>
          <w:p w14:paraId="621456DA">
            <w:pPr>
              <w:pStyle w:val="11"/>
              <w:spacing w:line="315" w:lineRule="exact"/>
              <w:ind w:left="110"/>
              <w:jc w:val="left"/>
              <w:rPr>
                <w:sz w:val="28"/>
              </w:rPr>
            </w:pPr>
            <w:r>
              <w:rPr>
                <w:sz w:val="28"/>
              </w:rPr>
              <w:t>Время</w:t>
            </w:r>
            <w:r>
              <w:rPr>
                <w:spacing w:val="-4"/>
                <w:sz w:val="28"/>
              </w:rPr>
              <w:t xml:space="preserve"> </w:t>
            </w:r>
            <w:r>
              <w:rPr>
                <w:sz w:val="28"/>
              </w:rPr>
              <w:t>операции,</w:t>
            </w:r>
            <w:r>
              <w:rPr>
                <w:spacing w:val="-4"/>
                <w:sz w:val="28"/>
              </w:rPr>
              <w:t xml:space="preserve"> </w:t>
            </w:r>
            <w:r>
              <w:rPr>
                <w:sz w:val="28"/>
              </w:rPr>
              <w:t>мин,</w:t>
            </w:r>
            <w:r>
              <w:rPr>
                <w:spacing w:val="-3"/>
                <w:sz w:val="28"/>
              </w:rPr>
              <w:t xml:space="preserve"> </w:t>
            </w:r>
            <w:r>
              <w:rPr>
                <w:sz w:val="28"/>
              </w:rPr>
              <w:t>Me</w:t>
            </w:r>
            <w:r>
              <w:rPr>
                <w:spacing w:val="-3"/>
                <w:sz w:val="28"/>
              </w:rPr>
              <w:t xml:space="preserve"> </w:t>
            </w:r>
            <w:r>
              <w:rPr>
                <w:spacing w:val="-4"/>
                <w:sz w:val="28"/>
              </w:rPr>
              <w:t>[Q1;</w:t>
            </w:r>
          </w:p>
          <w:p w14:paraId="4154C2BC">
            <w:pPr>
              <w:pStyle w:val="11"/>
              <w:spacing w:line="309" w:lineRule="exact"/>
              <w:ind w:left="110"/>
              <w:jc w:val="left"/>
              <w:rPr>
                <w:sz w:val="28"/>
              </w:rPr>
            </w:pPr>
            <w:r>
              <w:rPr>
                <w:spacing w:val="-5"/>
                <w:sz w:val="28"/>
              </w:rPr>
              <w:t>Q3]</w:t>
            </w:r>
          </w:p>
        </w:tc>
        <w:tc>
          <w:tcPr>
            <w:tcW w:w="1842" w:type="dxa"/>
            <w:tcBorders>
              <w:bottom w:val="single" w:color="000000" w:sz="4" w:space="0"/>
            </w:tcBorders>
          </w:tcPr>
          <w:p w14:paraId="6BBF8275">
            <w:pPr>
              <w:pStyle w:val="11"/>
              <w:spacing w:before="314" w:line="309" w:lineRule="exact"/>
              <w:ind w:left="68" w:right="69"/>
              <w:rPr>
                <w:sz w:val="28"/>
              </w:rPr>
            </w:pPr>
            <w:r>
              <w:rPr>
                <w:sz w:val="28"/>
              </w:rPr>
              <w:t>390</w:t>
            </w:r>
            <w:r>
              <w:rPr>
                <w:spacing w:val="-4"/>
                <w:sz w:val="28"/>
              </w:rPr>
              <w:t xml:space="preserve"> </w:t>
            </w:r>
            <w:r>
              <w:rPr>
                <w:spacing w:val="-2"/>
                <w:sz w:val="28"/>
              </w:rPr>
              <w:t>(340–450)</w:t>
            </w:r>
          </w:p>
        </w:tc>
        <w:tc>
          <w:tcPr>
            <w:tcW w:w="1843" w:type="dxa"/>
            <w:tcBorders>
              <w:bottom w:val="single" w:color="000000" w:sz="4" w:space="0"/>
            </w:tcBorders>
          </w:tcPr>
          <w:p w14:paraId="2CFCAC61">
            <w:pPr>
              <w:pStyle w:val="11"/>
              <w:spacing w:before="314" w:line="309" w:lineRule="exact"/>
              <w:ind w:left="8" w:right="2"/>
              <w:rPr>
                <w:sz w:val="28"/>
              </w:rPr>
            </w:pPr>
            <w:r>
              <w:rPr>
                <w:sz w:val="28"/>
              </w:rPr>
              <w:t>420</w:t>
            </w:r>
            <w:r>
              <w:rPr>
                <w:spacing w:val="-4"/>
                <w:sz w:val="28"/>
              </w:rPr>
              <w:t xml:space="preserve"> </w:t>
            </w:r>
            <w:r>
              <w:rPr>
                <w:spacing w:val="-2"/>
                <w:sz w:val="28"/>
              </w:rPr>
              <w:t>(360–510)</w:t>
            </w:r>
          </w:p>
        </w:tc>
        <w:tc>
          <w:tcPr>
            <w:tcW w:w="1701" w:type="dxa"/>
            <w:tcBorders>
              <w:bottom w:val="single" w:color="000000" w:sz="4" w:space="0"/>
            </w:tcBorders>
          </w:tcPr>
          <w:p w14:paraId="746DD209">
            <w:pPr>
              <w:pStyle w:val="11"/>
              <w:spacing w:line="315" w:lineRule="exact"/>
              <w:ind w:left="16" w:right="705"/>
              <w:jc w:val="right"/>
              <w:rPr>
                <w:sz w:val="28"/>
              </w:rPr>
            </w:pPr>
            <w:r>
              <w:rPr>
                <w:spacing w:val="-2"/>
                <w:sz w:val="28"/>
              </w:rPr>
              <w:t xml:space="preserve">                  0,044</w:t>
            </w:r>
            <w:r>
              <w:rPr>
                <w:spacing w:val="-2"/>
                <w:sz w:val="28"/>
                <w:vertAlign w:val="superscript"/>
              </w:rPr>
              <w:t>*</w:t>
            </w:r>
          </w:p>
        </w:tc>
      </w:tr>
      <w:tr w14:paraId="0B959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4395" w:type="dxa"/>
            <w:tcBorders>
              <w:bottom w:val="nil"/>
            </w:tcBorders>
          </w:tcPr>
          <w:p w14:paraId="3DDA7E9A">
            <w:pPr>
              <w:pStyle w:val="11"/>
              <w:spacing w:line="315" w:lineRule="exact"/>
              <w:ind w:left="110"/>
              <w:jc w:val="left"/>
              <w:rPr>
                <w:sz w:val="28"/>
              </w:rPr>
            </w:pPr>
            <w:r>
              <w:rPr>
                <w:spacing w:val="-2"/>
                <w:sz w:val="28"/>
              </w:rPr>
              <w:t>Интраоперационная</w:t>
            </w:r>
            <w:r>
              <w:rPr>
                <w:spacing w:val="13"/>
                <w:sz w:val="28"/>
              </w:rPr>
              <w:t xml:space="preserve"> </w:t>
            </w:r>
            <w:r>
              <w:rPr>
                <w:spacing w:val="-2"/>
                <w:sz w:val="28"/>
              </w:rPr>
              <w:t>кровопотеря,</w:t>
            </w:r>
          </w:p>
          <w:p w14:paraId="0237B3B7">
            <w:pPr>
              <w:pStyle w:val="11"/>
              <w:ind w:left="110"/>
              <w:jc w:val="left"/>
              <w:rPr>
                <w:sz w:val="28"/>
              </w:rPr>
            </w:pPr>
            <w:r>
              <w:rPr>
                <w:sz w:val="28"/>
              </w:rPr>
              <w:t>мл, Me</w:t>
            </w:r>
            <w:r>
              <w:rPr>
                <w:spacing w:val="-1"/>
                <w:sz w:val="28"/>
              </w:rPr>
              <w:t xml:space="preserve"> </w:t>
            </w:r>
            <w:r>
              <w:rPr>
                <w:sz w:val="28"/>
              </w:rPr>
              <w:t>[Q1;</w:t>
            </w:r>
            <w:r>
              <w:rPr>
                <w:spacing w:val="-3"/>
                <w:sz w:val="28"/>
              </w:rPr>
              <w:t xml:space="preserve"> </w:t>
            </w:r>
            <w:r>
              <w:rPr>
                <w:spacing w:val="-5"/>
                <w:sz w:val="28"/>
              </w:rPr>
              <w:t>Q3]</w:t>
            </w:r>
          </w:p>
        </w:tc>
        <w:tc>
          <w:tcPr>
            <w:tcW w:w="1842" w:type="dxa"/>
            <w:tcBorders>
              <w:bottom w:val="nil"/>
            </w:tcBorders>
          </w:tcPr>
          <w:p w14:paraId="2DF617D2">
            <w:pPr>
              <w:pStyle w:val="11"/>
              <w:spacing w:before="314"/>
              <w:ind w:left="68" w:right="69"/>
              <w:rPr>
                <w:sz w:val="28"/>
              </w:rPr>
            </w:pPr>
            <w:r>
              <w:rPr>
                <w:sz w:val="28"/>
              </w:rPr>
              <w:t>200</w:t>
            </w:r>
            <w:r>
              <w:rPr>
                <w:spacing w:val="-4"/>
                <w:sz w:val="28"/>
              </w:rPr>
              <w:t xml:space="preserve"> </w:t>
            </w:r>
            <w:r>
              <w:rPr>
                <w:spacing w:val="-2"/>
                <w:sz w:val="28"/>
              </w:rPr>
              <w:t>(175–300)</w:t>
            </w:r>
          </w:p>
        </w:tc>
        <w:tc>
          <w:tcPr>
            <w:tcW w:w="1843" w:type="dxa"/>
            <w:tcBorders>
              <w:bottom w:val="nil"/>
            </w:tcBorders>
          </w:tcPr>
          <w:p w14:paraId="54FCB0CD">
            <w:pPr>
              <w:pStyle w:val="11"/>
              <w:spacing w:before="314"/>
              <w:ind w:left="8" w:right="2"/>
              <w:rPr>
                <w:sz w:val="28"/>
              </w:rPr>
            </w:pPr>
            <w:r>
              <w:rPr>
                <w:sz w:val="28"/>
              </w:rPr>
              <w:t>250</w:t>
            </w:r>
            <w:r>
              <w:rPr>
                <w:spacing w:val="-4"/>
                <w:sz w:val="28"/>
              </w:rPr>
              <w:t xml:space="preserve"> </w:t>
            </w:r>
            <w:r>
              <w:rPr>
                <w:spacing w:val="-2"/>
                <w:sz w:val="28"/>
              </w:rPr>
              <w:t>(200–350)</w:t>
            </w:r>
          </w:p>
        </w:tc>
        <w:tc>
          <w:tcPr>
            <w:tcW w:w="1701" w:type="dxa"/>
            <w:tcBorders>
              <w:bottom w:val="nil"/>
            </w:tcBorders>
          </w:tcPr>
          <w:p w14:paraId="7D178D53">
            <w:pPr>
              <w:pStyle w:val="11"/>
              <w:spacing w:line="315" w:lineRule="exact"/>
              <w:ind w:left="16" w:right="705"/>
              <w:jc w:val="right"/>
              <w:rPr>
                <w:sz w:val="28"/>
              </w:rPr>
            </w:pPr>
            <w:r>
              <w:rPr>
                <w:spacing w:val="-2"/>
                <w:sz w:val="28"/>
              </w:rPr>
              <w:t>0,019</w:t>
            </w:r>
            <w:r>
              <w:rPr>
                <w:spacing w:val="-2"/>
                <w:sz w:val="28"/>
                <w:vertAlign w:val="superscript"/>
              </w:rPr>
              <w:t>*</w:t>
            </w:r>
          </w:p>
        </w:tc>
      </w:tr>
      <w:tr w14:paraId="6F7F7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395" w:type="dxa"/>
          </w:tcPr>
          <w:p w14:paraId="2652AF5A">
            <w:pPr>
              <w:pStyle w:val="11"/>
              <w:spacing w:line="320" w:lineRule="exact"/>
              <w:ind w:left="110"/>
              <w:jc w:val="left"/>
              <w:rPr>
                <w:sz w:val="28"/>
              </w:rPr>
            </w:pPr>
            <w:r>
              <w:rPr>
                <w:sz w:val="28"/>
              </w:rPr>
              <w:t>Панкреатический</w:t>
            </w:r>
            <w:r>
              <w:rPr>
                <w:spacing w:val="-9"/>
                <w:sz w:val="28"/>
              </w:rPr>
              <w:t xml:space="preserve"> </w:t>
            </w:r>
            <w:r>
              <w:rPr>
                <w:sz w:val="28"/>
              </w:rPr>
              <w:t>свищ,</w:t>
            </w:r>
            <w:r>
              <w:rPr>
                <w:spacing w:val="-3"/>
                <w:sz w:val="28"/>
              </w:rPr>
              <w:t xml:space="preserve"> </w:t>
            </w:r>
            <w:r>
              <w:rPr>
                <w:sz w:val="28"/>
              </w:rPr>
              <w:t>n</w:t>
            </w:r>
            <w:r>
              <w:rPr>
                <w:spacing w:val="-12"/>
                <w:sz w:val="28"/>
              </w:rPr>
              <w:t xml:space="preserve"> </w:t>
            </w:r>
            <w:r>
              <w:rPr>
                <w:spacing w:val="-5"/>
                <w:sz w:val="28"/>
              </w:rPr>
              <w:t>(%)</w:t>
            </w:r>
          </w:p>
        </w:tc>
        <w:tc>
          <w:tcPr>
            <w:tcW w:w="1842" w:type="dxa"/>
          </w:tcPr>
          <w:p w14:paraId="4D1DD707">
            <w:pPr>
              <w:pStyle w:val="11"/>
              <w:spacing w:line="320" w:lineRule="exact"/>
              <w:ind w:left="68" w:right="67"/>
              <w:rPr>
                <w:sz w:val="28"/>
              </w:rPr>
            </w:pPr>
            <w:r>
              <w:rPr>
                <w:sz w:val="28"/>
              </w:rPr>
              <w:t>15</w:t>
            </w:r>
            <w:r>
              <w:rPr>
                <w:spacing w:val="-2"/>
                <w:sz w:val="28"/>
              </w:rPr>
              <w:t xml:space="preserve"> (17,2%)</w:t>
            </w:r>
          </w:p>
        </w:tc>
        <w:tc>
          <w:tcPr>
            <w:tcW w:w="1843" w:type="dxa"/>
          </w:tcPr>
          <w:p w14:paraId="0CCEFE63">
            <w:pPr>
              <w:pStyle w:val="11"/>
              <w:spacing w:line="320" w:lineRule="exact"/>
              <w:ind w:left="8" w:right="1"/>
              <w:rPr>
                <w:sz w:val="28"/>
              </w:rPr>
            </w:pPr>
            <w:r>
              <w:rPr>
                <w:sz w:val="28"/>
              </w:rPr>
              <w:t>8</w:t>
            </w:r>
            <w:r>
              <w:rPr>
                <w:spacing w:val="-1"/>
                <w:sz w:val="28"/>
              </w:rPr>
              <w:t xml:space="preserve"> </w:t>
            </w:r>
            <w:r>
              <w:rPr>
                <w:spacing w:val="-2"/>
                <w:sz w:val="28"/>
              </w:rPr>
              <w:t>(11,4%)</w:t>
            </w:r>
          </w:p>
        </w:tc>
        <w:tc>
          <w:tcPr>
            <w:tcW w:w="1701" w:type="dxa"/>
          </w:tcPr>
          <w:p w14:paraId="7C01E371">
            <w:pPr>
              <w:pStyle w:val="11"/>
              <w:spacing w:line="320" w:lineRule="exact"/>
              <w:ind w:left="16" w:right="1"/>
              <w:jc w:val="left"/>
              <w:rPr>
                <w:sz w:val="28"/>
              </w:rPr>
            </w:pPr>
            <w:r>
              <w:rPr>
                <w:spacing w:val="-4"/>
                <w:sz w:val="28"/>
              </w:rPr>
              <w:t xml:space="preserve">     0,387</w:t>
            </w:r>
          </w:p>
        </w:tc>
      </w:tr>
      <w:tr w14:paraId="3CA2FD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4395" w:type="dxa"/>
          </w:tcPr>
          <w:p w14:paraId="07264A7B">
            <w:pPr>
              <w:pStyle w:val="11"/>
              <w:spacing w:line="315" w:lineRule="exact"/>
              <w:ind w:left="110"/>
              <w:jc w:val="left"/>
              <w:rPr>
                <w:sz w:val="28"/>
              </w:rPr>
            </w:pPr>
            <w:r>
              <w:rPr>
                <w:sz w:val="28"/>
              </w:rPr>
              <w:t>Панкреатический</w:t>
            </w:r>
            <w:r>
              <w:rPr>
                <w:spacing w:val="-6"/>
                <w:sz w:val="28"/>
              </w:rPr>
              <w:t xml:space="preserve"> </w:t>
            </w:r>
            <w:r>
              <w:rPr>
                <w:sz w:val="28"/>
              </w:rPr>
              <w:t>свищ,</w:t>
            </w:r>
            <w:r>
              <w:rPr>
                <w:spacing w:val="2"/>
                <w:sz w:val="28"/>
              </w:rPr>
              <w:t xml:space="preserve"> </w:t>
            </w:r>
            <w:r>
              <w:rPr>
                <w:sz w:val="28"/>
              </w:rPr>
              <w:t>n</w:t>
            </w:r>
            <w:r>
              <w:rPr>
                <w:spacing w:val="-9"/>
                <w:sz w:val="28"/>
              </w:rPr>
              <w:t xml:space="preserve"> </w:t>
            </w:r>
            <w:r>
              <w:rPr>
                <w:sz w:val="28"/>
              </w:rPr>
              <w:t>(%):</w:t>
            </w:r>
            <w:r>
              <w:rPr>
                <w:spacing w:val="56"/>
                <w:sz w:val="28"/>
              </w:rPr>
              <w:t xml:space="preserve"> </w:t>
            </w:r>
            <w:r>
              <w:rPr>
                <w:spacing w:val="-10"/>
                <w:sz w:val="28"/>
              </w:rPr>
              <w:t>А</w:t>
            </w:r>
          </w:p>
          <w:p w14:paraId="630416E4">
            <w:pPr>
              <w:pStyle w:val="11"/>
              <w:spacing w:line="322" w:lineRule="exact"/>
              <w:ind w:left="3748" w:right="225"/>
              <w:rPr>
                <w:sz w:val="28"/>
              </w:rPr>
            </w:pPr>
            <w:r>
              <w:rPr>
                <w:spacing w:val="-10"/>
                <w:sz w:val="28"/>
              </w:rPr>
              <w:t>В С</w:t>
            </w:r>
          </w:p>
        </w:tc>
        <w:tc>
          <w:tcPr>
            <w:tcW w:w="1842" w:type="dxa"/>
          </w:tcPr>
          <w:p w14:paraId="2EEF0A3C">
            <w:pPr>
              <w:pStyle w:val="11"/>
              <w:spacing w:line="315" w:lineRule="exact"/>
              <w:ind w:left="68" w:right="9"/>
              <w:rPr>
                <w:sz w:val="28"/>
              </w:rPr>
            </w:pPr>
            <w:r>
              <w:rPr>
                <w:sz w:val="28"/>
              </w:rPr>
              <w:t>10</w:t>
            </w:r>
            <w:r>
              <w:rPr>
                <w:spacing w:val="-2"/>
                <w:sz w:val="28"/>
              </w:rPr>
              <w:t xml:space="preserve"> (11,5%)</w:t>
            </w:r>
          </w:p>
          <w:p w14:paraId="23687EBC">
            <w:pPr>
              <w:pStyle w:val="11"/>
              <w:spacing w:line="322" w:lineRule="exact"/>
              <w:ind w:left="68" w:right="67"/>
              <w:rPr>
                <w:sz w:val="28"/>
              </w:rPr>
            </w:pPr>
            <w:r>
              <w:rPr>
                <w:sz w:val="28"/>
              </w:rPr>
              <w:t>5</w:t>
            </w:r>
            <w:r>
              <w:rPr>
                <w:spacing w:val="-1"/>
                <w:sz w:val="28"/>
              </w:rPr>
              <w:t xml:space="preserve"> </w:t>
            </w:r>
            <w:r>
              <w:rPr>
                <w:spacing w:val="-2"/>
                <w:sz w:val="28"/>
              </w:rPr>
              <w:t>(5,7%)</w:t>
            </w:r>
          </w:p>
          <w:p w14:paraId="7AD2AB17">
            <w:pPr>
              <w:pStyle w:val="11"/>
              <w:spacing w:line="313" w:lineRule="exact"/>
              <w:ind w:left="68" w:right="67"/>
              <w:rPr>
                <w:sz w:val="28"/>
              </w:rPr>
            </w:pPr>
            <w:r>
              <w:rPr>
                <w:sz w:val="28"/>
              </w:rPr>
              <w:t>0</w:t>
            </w:r>
            <w:r>
              <w:rPr>
                <w:spacing w:val="-1"/>
                <w:sz w:val="28"/>
              </w:rPr>
              <w:t xml:space="preserve"> </w:t>
            </w:r>
            <w:r>
              <w:rPr>
                <w:spacing w:val="-4"/>
                <w:sz w:val="28"/>
              </w:rPr>
              <w:t>(0%)</w:t>
            </w:r>
          </w:p>
        </w:tc>
        <w:tc>
          <w:tcPr>
            <w:tcW w:w="1843" w:type="dxa"/>
          </w:tcPr>
          <w:p w14:paraId="7EFA856A">
            <w:pPr>
              <w:pStyle w:val="11"/>
              <w:spacing w:line="315" w:lineRule="exact"/>
              <w:ind w:left="480"/>
              <w:jc w:val="left"/>
              <w:rPr>
                <w:sz w:val="28"/>
              </w:rPr>
            </w:pPr>
            <w:r>
              <w:rPr>
                <w:sz w:val="28"/>
              </w:rPr>
              <w:t>5</w:t>
            </w:r>
            <w:r>
              <w:rPr>
                <w:spacing w:val="-1"/>
                <w:sz w:val="28"/>
              </w:rPr>
              <w:t xml:space="preserve"> </w:t>
            </w:r>
            <w:r>
              <w:rPr>
                <w:spacing w:val="-2"/>
                <w:sz w:val="28"/>
              </w:rPr>
              <w:t>(7,2%)</w:t>
            </w:r>
          </w:p>
          <w:p w14:paraId="6BDD41A5">
            <w:pPr>
              <w:pStyle w:val="11"/>
              <w:spacing w:line="322" w:lineRule="exact"/>
              <w:ind w:left="480"/>
              <w:jc w:val="left"/>
              <w:rPr>
                <w:sz w:val="28"/>
              </w:rPr>
            </w:pPr>
            <w:r>
              <w:rPr>
                <w:sz w:val="28"/>
              </w:rPr>
              <w:t>3</w:t>
            </w:r>
            <w:r>
              <w:rPr>
                <w:spacing w:val="-1"/>
                <w:sz w:val="28"/>
              </w:rPr>
              <w:t xml:space="preserve"> </w:t>
            </w:r>
            <w:r>
              <w:rPr>
                <w:spacing w:val="-2"/>
                <w:sz w:val="28"/>
              </w:rPr>
              <w:t>(4,2%)</w:t>
            </w:r>
          </w:p>
          <w:p w14:paraId="222C46D0">
            <w:pPr>
              <w:pStyle w:val="11"/>
              <w:spacing w:line="313" w:lineRule="exact"/>
              <w:ind w:left="586"/>
              <w:jc w:val="left"/>
              <w:rPr>
                <w:sz w:val="28"/>
              </w:rPr>
            </w:pPr>
            <w:r>
              <w:rPr>
                <w:sz w:val="28"/>
              </w:rPr>
              <w:t>0</w:t>
            </w:r>
            <w:r>
              <w:rPr>
                <w:spacing w:val="-1"/>
                <w:sz w:val="28"/>
              </w:rPr>
              <w:t xml:space="preserve"> </w:t>
            </w:r>
            <w:r>
              <w:rPr>
                <w:spacing w:val="-4"/>
                <w:sz w:val="28"/>
              </w:rPr>
              <w:t>(0%)</w:t>
            </w:r>
          </w:p>
        </w:tc>
        <w:tc>
          <w:tcPr>
            <w:tcW w:w="1701" w:type="dxa"/>
          </w:tcPr>
          <w:p w14:paraId="17A55462">
            <w:pPr>
              <w:pStyle w:val="11"/>
              <w:spacing w:line="315" w:lineRule="exact"/>
              <w:jc w:val="left"/>
              <w:rPr>
                <w:sz w:val="28"/>
              </w:rPr>
            </w:pPr>
            <w:r>
              <w:rPr>
                <w:spacing w:val="-4"/>
                <w:sz w:val="28"/>
              </w:rPr>
              <w:t xml:space="preserve">     0,509</w:t>
            </w:r>
          </w:p>
        </w:tc>
      </w:tr>
      <w:tr w14:paraId="65B33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4395" w:type="dxa"/>
          </w:tcPr>
          <w:p w14:paraId="53E8F502">
            <w:pPr>
              <w:pStyle w:val="11"/>
              <w:spacing w:line="301" w:lineRule="exact"/>
              <w:ind w:left="110"/>
              <w:jc w:val="left"/>
              <w:rPr>
                <w:sz w:val="28"/>
              </w:rPr>
            </w:pPr>
            <w:r>
              <w:rPr>
                <w:sz w:val="28"/>
              </w:rPr>
              <w:t>КЗ-ПС</w:t>
            </w:r>
            <w:r>
              <w:rPr>
                <w:spacing w:val="-5"/>
                <w:sz w:val="28"/>
              </w:rPr>
              <w:t xml:space="preserve"> </w:t>
            </w:r>
            <w:r>
              <w:rPr>
                <w:sz w:val="28"/>
              </w:rPr>
              <w:t>В/С,</w:t>
            </w:r>
            <w:r>
              <w:rPr>
                <w:spacing w:val="-2"/>
                <w:sz w:val="28"/>
              </w:rPr>
              <w:t xml:space="preserve"> </w:t>
            </w:r>
            <w:r>
              <w:rPr>
                <w:sz w:val="28"/>
              </w:rPr>
              <w:t>n</w:t>
            </w:r>
            <w:r>
              <w:rPr>
                <w:spacing w:val="-9"/>
                <w:sz w:val="28"/>
              </w:rPr>
              <w:t xml:space="preserve"> </w:t>
            </w:r>
            <w:r>
              <w:rPr>
                <w:spacing w:val="-5"/>
                <w:sz w:val="28"/>
              </w:rPr>
              <w:t>(%)</w:t>
            </w:r>
          </w:p>
        </w:tc>
        <w:tc>
          <w:tcPr>
            <w:tcW w:w="1842" w:type="dxa"/>
          </w:tcPr>
          <w:p w14:paraId="2B0C40AB">
            <w:pPr>
              <w:pStyle w:val="11"/>
              <w:spacing w:line="301" w:lineRule="exact"/>
              <w:ind w:left="68" w:right="67"/>
              <w:rPr>
                <w:sz w:val="28"/>
              </w:rPr>
            </w:pPr>
            <w:r>
              <w:rPr>
                <w:sz w:val="28"/>
              </w:rPr>
              <w:t>5</w:t>
            </w:r>
            <w:r>
              <w:rPr>
                <w:spacing w:val="-1"/>
                <w:sz w:val="28"/>
              </w:rPr>
              <w:t xml:space="preserve"> </w:t>
            </w:r>
            <w:r>
              <w:rPr>
                <w:spacing w:val="-2"/>
                <w:sz w:val="28"/>
              </w:rPr>
              <w:t>(5,7%)</w:t>
            </w:r>
          </w:p>
        </w:tc>
        <w:tc>
          <w:tcPr>
            <w:tcW w:w="1843" w:type="dxa"/>
          </w:tcPr>
          <w:p w14:paraId="1019AC07">
            <w:pPr>
              <w:pStyle w:val="11"/>
              <w:spacing w:line="301" w:lineRule="exact"/>
              <w:ind w:left="480"/>
              <w:jc w:val="left"/>
              <w:rPr>
                <w:sz w:val="28"/>
              </w:rPr>
            </w:pPr>
            <w:r>
              <w:rPr>
                <w:sz w:val="28"/>
              </w:rPr>
              <w:t>3</w:t>
            </w:r>
            <w:r>
              <w:rPr>
                <w:spacing w:val="-1"/>
                <w:sz w:val="28"/>
              </w:rPr>
              <w:t xml:space="preserve"> </w:t>
            </w:r>
            <w:r>
              <w:rPr>
                <w:spacing w:val="-2"/>
                <w:sz w:val="28"/>
              </w:rPr>
              <w:t>(4,2%)</w:t>
            </w:r>
          </w:p>
        </w:tc>
        <w:tc>
          <w:tcPr>
            <w:tcW w:w="1701" w:type="dxa"/>
          </w:tcPr>
          <w:p w14:paraId="43E93C18">
            <w:pPr>
              <w:pStyle w:val="11"/>
              <w:spacing w:line="301" w:lineRule="exact"/>
              <w:jc w:val="left"/>
              <w:rPr>
                <w:sz w:val="28"/>
              </w:rPr>
            </w:pPr>
            <w:r>
              <w:rPr>
                <w:spacing w:val="-4"/>
                <w:sz w:val="28"/>
              </w:rPr>
              <w:t xml:space="preserve">     1,000</w:t>
            </w:r>
          </w:p>
        </w:tc>
      </w:tr>
      <w:tr w14:paraId="740BB4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4395" w:type="dxa"/>
          </w:tcPr>
          <w:p w14:paraId="2845C7B1">
            <w:pPr>
              <w:pStyle w:val="11"/>
              <w:spacing w:line="302" w:lineRule="exact"/>
              <w:ind w:left="110"/>
              <w:jc w:val="left"/>
              <w:rPr>
                <w:sz w:val="28"/>
              </w:rPr>
            </w:pPr>
            <w:r>
              <w:rPr>
                <w:sz w:val="28"/>
              </w:rPr>
              <w:t>Кровотечение,</w:t>
            </w:r>
            <w:r>
              <w:rPr>
                <w:spacing w:val="-6"/>
                <w:sz w:val="28"/>
              </w:rPr>
              <w:t xml:space="preserve"> </w:t>
            </w:r>
            <w:r>
              <w:rPr>
                <w:sz w:val="28"/>
              </w:rPr>
              <w:t>n</w:t>
            </w:r>
            <w:r>
              <w:rPr>
                <w:spacing w:val="-11"/>
                <w:sz w:val="28"/>
              </w:rPr>
              <w:t xml:space="preserve"> </w:t>
            </w:r>
            <w:r>
              <w:rPr>
                <w:spacing w:val="-5"/>
                <w:sz w:val="28"/>
              </w:rPr>
              <w:t>(%)</w:t>
            </w:r>
          </w:p>
        </w:tc>
        <w:tc>
          <w:tcPr>
            <w:tcW w:w="1842" w:type="dxa"/>
          </w:tcPr>
          <w:p w14:paraId="180A9FE7">
            <w:pPr>
              <w:pStyle w:val="11"/>
              <w:spacing w:line="302" w:lineRule="exact"/>
              <w:ind w:left="68" w:right="67"/>
              <w:rPr>
                <w:sz w:val="28"/>
              </w:rPr>
            </w:pPr>
            <w:r>
              <w:rPr>
                <w:sz w:val="28"/>
              </w:rPr>
              <w:t>4</w:t>
            </w:r>
            <w:r>
              <w:rPr>
                <w:spacing w:val="-1"/>
                <w:sz w:val="28"/>
              </w:rPr>
              <w:t xml:space="preserve"> </w:t>
            </w:r>
            <w:r>
              <w:rPr>
                <w:spacing w:val="-2"/>
                <w:sz w:val="28"/>
              </w:rPr>
              <w:t>(4,6%)</w:t>
            </w:r>
          </w:p>
        </w:tc>
        <w:tc>
          <w:tcPr>
            <w:tcW w:w="1843" w:type="dxa"/>
          </w:tcPr>
          <w:p w14:paraId="6AA52926">
            <w:pPr>
              <w:pStyle w:val="11"/>
              <w:spacing w:line="302" w:lineRule="exact"/>
              <w:ind w:left="480"/>
              <w:jc w:val="left"/>
              <w:rPr>
                <w:sz w:val="28"/>
              </w:rPr>
            </w:pPr>
            <w:r>
              <w:rPr>
                <w:sz w:val="28"/>
              </w:rPr>
              <w:t>1</w:t>
            </w:r>
            <w:r>
              <w:rPr>
                <w:spacing w:val="-1"/>
                <w:sz w:val="28"/>
              </w:rPr>
              <w:t xml:space="preserve"> </w:t>
            </w:r>
            <w:r>
              <w:rPr>
                <w:spacing w:val="-2"/>
                <w:sz w:val="28"/>
              </w:rPr>
              <w:t>(1,4%)</w:t>
            </w:r>
          </w:p>
        </w:tc>
        <w:tc>
          <w:tcPr>
            <w:tcW w:w="1701" w:type="dxa"/>
          </w:tcPr>
          <w:p w14:paraId="5D28748A">
            <w:pPr>
              <w:pStyle w:val="11"/>
              <w:spacing w:line="302" w:lineRule="exact"/>
              <w:jc w:val="left"/>
              <w:rPr>
                <w:sz w:val="28"/>
              </w:rPr>
            </w:pPr>
            <w:r>
              <w:rPr>
                <w:spacing w:val="-4"/>
                <w:sz w:val="28"/>
              </w:rPr>
              <w:t xml:space="preserve">     0,382</w:t>
            </w:r>
          </w:p>
        </w:tc>
      </w:tr>
      <w:tr w14:paraId="27B057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4395" w:type="dxa"/>
          </w:tcPr>
          <w:p w14:paraId="002751BE">
            <w:pPr>
              <w:pStyle w:val="11"/>
              <w:spacing w:line="301" w:lineRule="exact"/>
              <w:ind w:left="110"/>
              <w:jc w:val="left"/>
              <w:rPr>
                <w:sz w:val="28"/>
              </w:rPr>
            </w:pPr>
            <w:r>
              <w:rPr>
                <w:sz w:val="28"/>
              </w:rPr>
              <w:t>Билиарный</w:t>
            </w:r>
            <w:r>
              <w:rPr>
                <w:spacing w:val="-6"/>
                <w:sz w:val="28"/>
              </w:rPr>
              <w:t xml:space="preserve"> </w:t>
            </w:r>
            <w:r>
              <w:rPr>
                <w:sz w:val="28"/>
              </w:rPr>
              <w:t>свищ,</w:t>
            </w:r>
            <w:r>
              <w:rPr>
                <w:spacing w:val="-2"/>
                <w:sz w:val="28"/>
              </w:rPr>
              <w:t xml:space="preserve"> </w:t>
            </w:r>
            <w:r>
              <w:rPr>
                <w:sz w:val="28"/>
              </w:rPr>
              <w:t>n</w:t>
            </w:r>
            <w:r>
              <w:rPr>
                <w:spacing w:val="-9"/>
                <w:sz w:val="28"/>
              </w:rPr>
              <w:t xml:space="preserve"> </w:t>
            </w:r>
            <w:r>
              <w:rPr>
                <w:spacing w:val="-5"/>
                <w:sz w:val="28"/>
              </w:rPr>
              <w:t>(%)</w:t>
            </w:r>
          </w:p>
        </w:tc>
        <w:tc>
          <w:tcPr>
            <w:tcW w:w="1842" w:type="dxa"/>
          </w:tcPr>
          <w:p w14:paraId="7F77A170">
            <w:pPr>
              <w:pStyle w:val="11"/>
              <w:spacing w:line="301" w:lineRule="exact"/>
              <w:ind w:left="68" w:right="67"/>
              <w:rPr>
                <w:sz w:val="28"/>
              </w:rPr>
            </w:pPr>
            <w:r>
              <w:rPr>
                <w:sz w:val="28"/>
              </w:rPr>
              <w:t>0</w:t>
            </w:r>
            <w:r>
              <w:rPr>
                <w:spacing w:val="-1"/>
                <w:sz w:val="28"/>
              </w:rPr>
              <w:t xml:space="preserve"> </w:t>
            </w:r>
            <w:r>
              <w:rPr>
                <w:spacing w:val="-4"/>
                <w:sz w:val="28"/>
              </w:rPr>
              <w:t>(0%)</w:t>
            </w:r>
          </w:p>
        </w:tc>
        <w:tc>
          <w:tcPr>
            <w:tcW w:w="1843" w:type="dxa"/>
          </w:tcPr>
          <w:p w14:paraId="2B794777">
            <w:pPr>
              <w:pStyle w:val="11"/>
              <w:spacing w:line="301" w:lineRule="exact"/>
              <w:ind w:left="586"/>
              <w:jc w:val="left"/>
              <w:rPr>
                <w:sz w:val="28"/>
              </w:rPr>
            </w:pPr>
            <w:r>
              <w:rPr>
                <w:sz w:val="28"/>
              </w:rPr>
              <w:t>0</w:t>
            </w:r>
            <w:r>
              <w:rPr>
                <w:spacing w:val="-1"/>
                <w:sz w:val="28"/>
              </w:rPr>
              <w:t xml:space="preserve"> </w:t>
            </w:r>
            <w:r>
              <w:rPr>
                <w:spacing w:val="-4"/>
                <w:sz w:val="28"/>
              </w:rPr>
              <w:t>(0%)</w:t>
            </w:r>
          </w:p>
        </w:tc>
        <w:tc>
          <w:tcPr>
            <w:tcW w:w="1701" w:type="dxa"/>
          </w:tcPr>
          <w:p w14:paraId="66B7792B">
            <w:pPr>
              <w:pStyle w:val="11"/>
              <w:spacing w:line="301" w:lineRule="exact"/>
              <w:jc w:val="left"/>
              <w:rPr>
                <w:sz w:val="28"/>
              </w:rPr>
            </w:pPr>
            <w:r>
              <w:rPr>
                <w:spacing w:val="-5"/>
                <w:sz w:val="28"/>
              </w:rPr>
              <w:t xml:space="preserve">      NA</w:t>
            </w:r>
          </w:p>
        </w:tc>
      </w:tr>
      <w:tr w14:paraId="45507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4395" w:type="dxa"/>
          </w:tcPr>
          <w:p w14:paraId="3323B852">
            <w:pPr>
              <w:pStyle w:val="11"/>
              <w:spacing w:line="301" w:lineRule="exact"/>
              <w:ind w:left="110"/>
              <w:jc w:val="left"/>
              <w:rPr>
                <w:sz w:val="28"/>
              </w:rPr>
            </w:pPr>
            <w:r>
              <w:rPr>
                <w:sz w:val="28"/>
              </w:rPr>
              <w:t>Реоперация,</w:t>
            </w:r>
            <w:r>
              <w:rPr>
                <w:spacing w:val="-5"/>
                <w:sz w:val="28"/>
              </w:rPr>
              <w:t xml:space="preserve"> </w:t>
            </w:r>
            <w:r>
              <w:rPr>
                <w:sz w:val="28"/>
              </w:rPr>
              <w:t>n</w:t>
            </w:r>
            <w:r>
              <w:rPr>
                <w:spacing w:val="-10"/>
                <w:sz w:val="28"/>
              </w:rPr>
              <w:t xml:space="preserve"> </w:t>
            </w:r>
            <w:r>
              <w:rPr>
                <w:spacing w:val="-5"/>
                <w:sz w:val="28"/>
              </w:rPr>
              <w:t>(%)</w:t>
            </w:r>
          </w:p>
        </w:tc>
        <w:tc>
          <w:tcPr>
            <w:tcW w:w="1842" w:type="dxa"/>
          </w:tcPr>
          <w:p w14:paraId="7C62EB84">
            <w:pPr>
              <w:pStyle w:val="11"/>
              <w:spacing w:line="301" w:lineRule="exact"/>
              <w:ind w:left="68" w:right="67"/>
              <w:rPr>
                <w:sz w:val="28"/>
              </w:rPr>
            </w:pPr>
            <w:r>
              <w:rPr>
                <w:sz w:val="28"/>
              </w:rPr>
              <w:t>4</w:t>
            </w:r>
            <w:r>
              <w:rPr>
                <w:spacing w:val="-1"/>
                <w:sz w:val="28"/>
              </w:rPr>
              <w:t xml:space="preserve"> </w:t>
            </w:r>
            <w:r>
              <w:rPr>
                <w:spacing w:val="-2"/>
                <w:sz w:val="28"/>
              </w:rPr>
              <w:t>(4,6%)</w:t>
            </w:r>
          </w:p>
        </w:tc>
        <w:tc>
          <w:tcPr>
            <w:tcW w:w="1843" w:type="dxa"/>
          </w:tcPr>
          <w:p w14:paraId="79F21CF6">
            <w:pPr>
              <w:pStyle w:val="11"/>
              <w:spacing w:line="301" w:lineRule="exact"/>
              <w:ind w:left="586"/>
              <w:jc w:val="left"/>
              <w:rPr>
                <w:sz w:val="28"/>
              </w:rPr>
            </w:pPr>
            <w:r>
              <w:rPr>
                <w:sz w:val="28"/>
              </w:rPr>
              <w:t>0</w:t>
            </w:r>
            <w:r>
              <w:rPr>
                <w:spacing w:val="-1"/>
                <w:sz w:val="28"/>
              </w:rPr>
              <w:t xml:space="preserve"> </w:t>
            </w:r>
            <w:r>
              <w:rPr>
                <w:spacing w:val="-4"/>
                <w:sz w:val="28"/>
              </w:rPr>
              <w:t>(0%)</w:t>
            </w:r>
          </w:p>
        </w:tc>
        <w:tc>
          <w:tcPr>
            <w:tcW w:w="1701" w:type="dxa"/>
          </w:tcPr>
          <w:p w14:paraId="584E0CDD">
            <w:pPr>
              <w:pStyle w:val="11"/>
              <w:spacing w:line="301" w:lineRule="exact"/>
              <w:jc w:val="left"/>
              <w:rPr>
                <w:sz w:val="28"/>
              </w:rPr>
            </w:pPr>
            <w:r>
              <w:rPr>
                <w:spacing w:val="-4"/>
                <w:sz w:val="28"/>
              </w:rPr>
              <w:t xml:space="preserve">     0,129</w:t>
            </w:r>
          </w:p>
        </w:tc>
      </w:tr>
      <w:tr w14:paraId="7409E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4395" w:type="dxa"/>
          </w:tcPr>
          <w:p w14:paraId="3A35ED91">
            <w:pPr>
              <w:pStyle w:val="11"/>
              <w:spacing w:line="301" w:lineRule="exact"/>
              <w:ind w:left="110"/>
              <w:jc w:val="left"/>
              <w:rPr>
                <w:sz w:val="28"/>
              </w:rPr>
            </w:pPr>
            <w:r>
              <w:rPr>
                <w:sz w:val="28"/>
              </w:rPr>
              <w:t>Гастростаз,</w:t>
            </w:r>
            <w:r>
              <w:rPr>
                <w:spacing w:val="-5"/>
                <w:sz w:val="28"/>
              </w:rPr>
              <w:t xml:space="preserve"> </w:t>
            </w:r>
            <w:r>
              <w:rPr>
                <w:sz w:val="28"/>
              </w:rPr>
              <w:t>n</w:t>
            </w:r>
            <w:r>
              <w:rPr>
                <w:spacing w:val="-11"/>
                <w:sz w:val="28"/>
              </w:rPr>
              <w:t xml:space="preserve"> </w:t>
            </w:r>
            <w:r>
              <w:rPr>
                <w:spacing w:val="-5"/>
                <w:sz w:val="28"/>
              </w:rPr>
              <w:t>(%)</w:t>
            </w:r>
          </w:p>
        </w:tc>
        <w:tc>
          <w:tcPr>
            <w:tcW w:w="1842" w:type="dxa"/>
          </w:tcPr>
          <w:p w14:paraId="41E7AE44">
            <w:pPr>
              <w:pStyle w:val="11"/>
              <w:spacing w:line="301" w:lineRule="exact"/>
              <w:ind w:left="73" w:right="5"/>
              <w:rPr>
                <w:sz w:val="28"/>
              </w:rPr>
            </w:pPr>
            <w:r>
              <w:rPr>
                <w:sz w:val="28"/>
              </w:rPr>
              <w:t>5</w:t>
            </w:r>
            <w:r>
              <w:rPr>
                <w:spacing w:val="-1"/>
                <w:sz w:val="28"/>
              </w:rPr>
              <w:t xml:space="preserve"> </w:t>
            </w:r>
            <w:r>
              <w:rPr>
                <w:spacing w:val="-2"/>
                <w:sz w:val="28"/>
              </w:rPr>
              <w:t>(5,7%)</w:t>
            </w:r>
          </w:p>
        </w:tc>
        <w:tc>
          <w:tcPr>
            <w:tcW w:w="1843" w:type="dxa"/>
          </w:tcPr>
          <w:p w14:paraId="70153154">
            <w:pPr>
              <w:pStyle w:val="11"/>
              <w:spacing w:line="301" w:lineRule="exact"/>
              <w:ind w:left="672"/>
              <w:jc w:val="left"/>
              <w:rPr>
                <w:sz w:val="28"/>
              </w:rPr>
            </w:pPr>
            <w:r>
              <w:rPr>
                <w:sz w:val="28"/>
              </w:rPr>
              <w:t>0</w:t>
            </w:r>
            <w:r>
              <w:rPr>
                <w:spacing w:val="-1"/>
                <w:sz w:val="28"/>
              </w:rPr>
              <w:t xml:space="preserve"> </w:t>
            </w:r>
            <w:r>
              <w:rPr>
                <w:spacing w:val="-4"/>
                <w:sz w:val="28"/>
              </w:rPr>
              <w:t>(0%)</w:t>
            </w:r>
          </w:p>
        </w:tc>
        <w:tc>
          <w:tcPr>
            <w:tcW w:w="1701" w:type="dxa"/>
          </w:tcPr>
          <w:p w14:paraId="7812606B">
            <w:pPr>
              <w:pStyle w:val="11"/>
              <w:spacing w:line="301" w:lineRule="exact"/>
              <w:jc w:val="left"/>
              <w:rPr>
                <w:sz w:val="28"/>
              </w:rPr>
            </w:pPr>
            <w:r>
              <w:rPr>
                <w:spacing w:val="-4"/>
                <w:sz w:val="28"/>
              </w:rPr>
              <w:t xml:space="preserve">     0,066</w:t>
            </w:r>
          </w:p>
        </w:tc>
      </w:tr>
      <w:tr w14:paraId="6FFEA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3" w:hRule="atLeast"/>
        </w:trPr>
        <w:tc>
          <w:tcPr>
            <w:tcW w:w="4395" w:type="dxa"/>
          </w:tcPr>
          <w:p w14:paraId="3A145D1A">
            <w:pPr>
              <w:pStyle w:val="11"/>
              <w:spacing w:line="306" w:lineRule="exact"/>
              <w:ind w:left="110"/>
              <w:jc w:val="left"/>
              <w:rPr>
                <w:sz w:val="28"/>
              </w:rPr>
            </w:pPr>
            <w:r>
              <w:rPr>
                <w:sz w:val="28"/>
              </w:rPr>
              <w:t>Госпитальная</w:t>
            </w:r>
            <w:r>
              <w:rPr>
                <w:spacing w:val="-8"/>
                <w:sz w:val="28"/>
              </w:rPr>
              <w:t xml:space="preserve"> </w:t>
            </w:r>
            <w:r>
              <w:rPr>
                <w:sz w:val="28"/>
              </w:rPr>
              <w:t>летальность,</w:t>
            </w:r>
            <w:r>
              <w:rPr>
                <w:spacing w:val="-4"/>
                <w:sz w:val="28"/>
              </w:rPr>
              <w:t xml:space="preserve"> </w:t>
            </w:r>
            <w:r>
              <w:rPr>
                <w:sz w:val="28"/>
              </w:rPr>
              <w:t>n</w:t>
            </w:r>
            <w:r>
              <w:rPr>
                <w:spacing w:val="-12"/>
                <w:sz w:val="28"/>
              </w:rPr>
              <w:t xml:space="preserve"> </w:t>
            </w:r>
            <w:r>
              <w:rPr>
                <w:spacing w:val="-5"/>
                <w:sz w:val="28"/>
              </w:rPr>
              <w:t>(%)</w:t>
            </w:r>
          </w:p>
        </w:tc>
        <w:tc>
          <w:tcPr>
            <w:tcW w:w="1842" w:type="dxa"/>
          </w:tcPr>
          <w:p w14:paraId="3A446F1C">
            <w:pPr>
              <w:pStyle w:val="11"/>
              <w:spacing w:line="306" w:lineRule="exact"/>
              <w:ind w:left="68" w:right="67"/>
              <w:rPr>
                <w:sz w:val="28"/>
              </w:rPr>
            </w:pPr>
            <w:r>
              <w:rPr>
                <w:sz w:val="28"/>
              </w:rPr>
              <w:t>3</w:t>
            </w:r>
            <w:r>
              <w:rPr>
                <w:spacing w:val="-1"/>
                <w:sz w:val="28"/>
              </w:rPr>
              <w:t xml:space="preserve"> </w:t>
            </w:r>
            <w:r>
              <w:rPr>
                <w:spacing w:val="-2"/>
                <w:sz w:val="28"/>
              </w:rPr>
              <w:t>(3,4%)</w:t>
            </w:r>
          </w:p>
        </w:tc>
        <w:tc>
          <w:tcPr>
            <w:tcW w:w="1843" w:type="dxa"/>
          </w:tcPr>
          <w:p w14:paraId="6E6755A4">
            <w:pPr>
              <w:pStyle w:val="11"/>
              <w:spacing w:line="306" w:lineRule="exact"/>
              <w:ind w:left="586"/>
              <w:jc w:val="left"/>
              <w:rPr>
                <w:sz w:val="28"/>
              </w:rPr>
            </w:pPr>
            <w:r>
              <w:rPr>
                <w:sz w:val="28"/>
              </w:rPr>
              <w:t>0</w:t>
            </w:r>
            <w:r>
              <w:rPr>
                <w:spacing w:val="-1"/>
                <w:sz w:val="28"/>
              </w:rPr>
              <w:t xml:space="preserve"> </w:t>
            </w:r>
            <w:r>
              <w:rPr>
                <w:spacing w:val="-4"/>
                <w:sz w:val="28"/>
              </w:rPr>
              <w:t>(0%)</w:t>
            </w:r>
          </w:p>
        </w:tc>
        <w:tc>
          <w:tcPr>
            <w:tcW w:w="1701" w:type="dxa"/>
          </w:tcPr>
          <w:p w14:paraId="0D4D77EE">
            <w:pPr>
              <w:pStyle w:val="11"/>
              <w:spacing w:line="306" w:lineRule="exact"/>
              <w:jc w:val="left"/>
              <w:rPr>
                <w:sz w:val="28"/>
              </w:rPr>
            </w:pPr>
            <w:r>
              <w:rPr>
                <w:spacing w:val="-4"/>
                <w:sz w:val="28"/>
              </w:rPr>
              <w:t xml:space="preserve">     0,254</w:t>
            </w:r>
          </w:p>
        </w:tc>
      </w:tr>
      <w:tr w14:paraId="4A97D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4395" w:type="dxa"/>
          </w:tcPr>
          <w:p w14:paraId="17A52530">
            <w:pPr>
              <w:pStyle w:val="11"/>
              <w:spacing w:line="240" w:lineRule="auto"/>
              <w:ind w:left="110" w:right="496"/>
              <w:jc w:val="left"/>
              <w:rPr>
                <w:sz w:val="28"/>
              </w:rPr>
            </w:pPr>
            <w:r>
              <w:rPr>
                <w:sz w:val="28"/>
              </w:rPr>
              <w:t>Длительность</w:t>
            </w:r>
            <w:r>
              <w:rPr>
                <w:spacing w:val="-18"/>
                <w:sz w:val="28"/>
              </w:rPr>
              <w:t xml:space="preserve"> </w:t>
            </w:r>
            <w:r>
              <w:rPr>
                <w:sz w:val="28"/>
              </w:rPr>
              <w:t>госпитализации, дни, Me [Q1; Q3]</w:t>
            </w:r>
          </w:p>
        </w:tc>
        <w:tc>
          <w:tcPr>
            <w:tcW w:w="1842" w:type="dxa"/>
          </w:tcPr>
          <w:p w14:paraId="359055EA">
            <w:pPr>
              <w:pStyle w:val="11"/>
              <w:spacing w:before="314" w:line="240" w:lineRule="auto"/>
              <w:jc w:val="left"/>
              <w:rPr>
                <w:sz w:val="28"/>
              </w:rPr>
            </w:pPr>
          </w:p>
          <w:p w14:paraId="7D3CC3AD">
            <w:pPr>
              <w:pStyle w:val="11"/>
              <w:ind w:left="68" w:right="69"/>
              <w:rPr>
                <w:sz w:val="28"/>
              </w:rPr>
            </w:pPr>
            <w:r>
              <w:rPr>
                <w:sz w:val="28"/>
              </w:rPr>
              <w:t>24</w:t>
            </w:r>
            <w:r>
              <w:rPr>
                <w:spacing w:val="-4"/>
                <w:sz w:val="28"/>
              </w:rPr>
              <w:t xml:space="preserve"> </w:t>
            </w:r>
            <w:r>
              <w:rPr>
                <w:sz w:val="28"/>
              </w:rPr>
              <w:t>[22;</w:t>
            </w:r>
            <w:r>
              <w:rPr>
                <w:spacing w:val="-4"/>
                <w:sz w:val="28"/>
              </w:rPr>
              <w:t xml:space="preserve"> </w:t>
            </w:r>
            <w:r>
              <w:rPr>
                <w:spacing w:val="-5"/>
                <w:sz w:val="28"/>
              </w:rPr>
              <w:t>26]</w:t>
            </w:r>
          </w:p>
        </w:tc>
        <w:tc>
          <w:tcPr>
            <w:tcW w:w="1843" w:type="dxa"/>
          </w:tcPr>
          <w:p w14:paraId="1F2BC39A">
            <w:pPr>
              <w:pStyle w:val="11"/>
              <w:spacing w:before="314" w:line="240" w:lineRule="auto"/>
              <w:jc w:val="left"/>
              <w:rPr>
                <w:sz w:val="28"/>
              </w:rPr>
            </w:pPr>
          </w:p>
          <w:p w14:paraId="6CFBB93E">
            <w:pPr>
              <w:pStyle w:val="11"/>
              <w:ind w:left="351"/>
              <w:jc w:val="left"/>
              <w:rPr>
                <w:sz w:val="28"/>
              </w:rPr>
            </w:pPr>
            <w:r>
              <w:rPr>
                <w:sz w:val="28"/>
              </w:rPr>
              <w:t>15</w:t>
            </w:r>
            <w:r>
              <w:rPr>
                <w:spacing w:val="-4"/>
                <w:sz w:val="28"/>
              </w:rPr>
              <w:t xml:space="preserve"> </w:t>
            </w:r>
            <w:r>
              <w:rPr>
                <w:sz w:val="28"/>
              </w:rPr>
              <w:t>[13;</w:t>
            </w:r>
            <w:r>
              <w:rPr>
                <w:spacing w:val="-4"/>
                <w:sz w:val="28"/>
              </w:rPr>
              <w:t xml:space="preserve"> </w:t>
            </w:r>
            <w:r>
              <w:rPr>
                <w:spacing w:val="-5"/>
                <w:sz w:val="28"/>
              </w:rPr>
              <w:t>17]</w:t>
            </w:r>
          </w:p>
        </w:tc>
        <w:tc>
          <w:tcPr>
            <w:tcW w:w="1701" w:type="dxa"/>
          </w:tcPr>
          <w:p w14:paraId="3065C088">
            <w:pPr>
              <w:pStyle w:val="11"/>
              <w:spacing w:before="314" w:line="318" w:lineRule="exact"/>
              <w:ind w:left="16" w:right="5"/>
              <w:jc w:val="left"/>
              <w:rPr>
                <w:sz w:val="28"/>
                <w:vertAlign w:val="superscript"/>
              </w:rPr>
            </w:pPr>
            <w:r>
              <w:rPr>
                <w:spacing w:val="-2"/>
                <w:sz w:val="28"/>
              </w:rPr>
              <w:t xml:space="preserve">    &lt;0,001</w:t>
            </w:r>
            <w:r>
              <w:rPr>
                <w:spacing w:val="-2"/>
                <w:sz w:val="28"/>
                <w:vertAlign w:val="superscript"/>
              </w:rPr>
              <w:t>***</w:t>
            </w:r>
          </w:p>
        </w:tc>
      </w:tr>
      <w:tr w14:paraId="3E3DF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9781" w:type="dxa"/>
            <w:gridSpan w:val="4"/>
          </w:tcPr>
          <w:p w14:paraId="3EEB46F8">
            <w:pPr>
              <w:pStyle w:val="11"/>
              <w:spacing w:line="267" w:lineRule="exact"/>
              <w:ind w:left="110" w:firstLine="604"/>
              <w:jc w:val="both"/>
              <w:rPr>
                <w:sz w:val="28"/>
                <w:szCs w:val="28"/>
              </w:rPr>
            </w:pPr>
            <w:r>
              <w:rPr>
                <w:sz w:val="28"/>
                <w:szCs w:val="28"/>
              </w:rPr>
              <w:t>Примечание: Категориальные</w:t>
            </w:r>
            <w:r>
              <w:rPr>
                <w:spacing w:val="-3"/>
                <w:sz w:val="28"/>
                <w:szCs w:val="28"/>
              </w:rPr>
              <w:t xml:space="preserve"> </w:t>
            </w:r>
            <w:r>
              <w:rPr>
                <w:sz w:val="28"/>
                <w:szCs w:val="28"/>
              </w:rPr>
              <w:t>данные</w:t>
            </w:r>
            <w:r>
              <w:rPr>
                <w:spacing w:val="-7"/>
                <w:sz w:val="28"/>
                <w:szCs w:val="28"/>
              </w:rPr>
              <w:t xml:space="preserve"> </w:t>
            </w:r>
            <w:r>
              <w:rPr>
                <w:sz w:val="28"/>
                <w:szCs w:val="28"/>
              </w:rPr>
              <w:t>представлены</w:t>
            </w:r>
            <w:r>
              <w:rPr>
                <w:spacing w:val="-4"/>
                <w:sz w:val="28"/>
                <w:szCs w:val="28"/>
              </w:rPr>
              <w:t xml:space="preserve"> </w:t>
            </w:r>
            <w:r>
              <w:rPr>
                <w:sz w:val="28"/>
                <w:szCs w:val="28"/>
              </w:rPr>
              <w:t>как</w:t>
            </w:r>
            <w:r>
              <w:rPr>
                <w:spacing w:val="-4"/>
                <w:sz w:val="28"/>
                <w:szCs w:val="28"/>
              </w:rPr>
              <w:t xml:space="preserve"> </w:t>
            </w:r>
            <w:r>
              <w:rPr>
                <w:sz w:val="28"/>
                <w:szCs w:val="28"/>
              </w:rPr>
              <w:t>абсолютные</w:t>
            </w:r>
            <w:r>
              <w:rPr>
                <w:spacing w:val="-2"/>
                <w:sz w:val="28"/>
                <w:szCs w:val="28"/>
              </w:rPr>
              <w:t xml:space="preserve"> </w:t>
            </w:r>
            <w:r>
              <w:rPr>
                <w:sz w:val="28"/>
                <w:szCs w:val="28"/>
              </w:rPr>
              <w:t>значения</w:t>
            </w:r>
            <w:r>
              <w:rPr>
                <w:spacing w:val="-6"/>
                <w:sz w:val="28"/>
                <w:szCs w:val="28"/>
              </w:rPr>
              <w:t xml:space="preserve"> </w:t>
            </w:r>
            <w:r>
              <w:rPr>
                <w:sz w:val="28"/>
                <w:szCs w:val="28"/>
              </w:rPr>
              <w:t>и</w:t>
            </w:r>
            <w:r>
              <w:rPr>
                <w:spacing w:val="-6"/>
                <w:sz w:val="28"/>
                <w:szCs w:val="28"/>
              </w:rPr>
              <w:t xml:space="preserve"> </w:t>
            </w:r>
            <w:r>
              <w:rPr>
                <w:sz w:val="28"/>
                <w:szCs w:val="28"/>
              </w:rPr>
              <w:t>проценты</w:t>
            </w:r>
            <w:r>
              <w:rPr>
                <w:spacing w:val="10"/>
                <w:sz w:val="28"/>
                <w:szCs w:val="28"/>
              </w:rPr>
              <w:t xml:space="preserve"> </w:t>
            </w:r>
            <w:r>
              <w:rPr>
                <w:sz w:val="28"/>
                <w:szCs w:val="28"/>
              </w:rPr>
              <w:t>—</w:t>
            </w:r>
            <w:r>
              <w:rPr>
                <w:spacing w:val="-6"/>
                <w:sz w:val="28"/>
                <w:szCs w:val="28"/>
              </w:rPr>
              <w:t xml:space="preserve"> </w:t>
            </w:r>
            <w:r>
              <w:rPr>
                <w:sz w:val="28"/>
                <w:szCs w:val="28"/>
              </w:rPr>
              <w:t>n</w:t>
            </w:r>
            <w:r>
              <w:rPr>
                <w:spacing w:val="-6"/>
                <w:sz w:val="28"/>
                <w:szCs w:val="28"/>
              </w:rPr>
              <w:t xml:space="preserve"> </w:t>
            </w:r>
            <w:r>
              <w:rPr>
                <w:sz w:val="28"/>
                <w:szCs w:val="28"/>
              </w:rPr>
              <w:t>(%).*</w:t>
            </w:r>
            <w:r>
              <w:rPr>
                <w:spacing w:val="-1"/>
                <w:sz w:val="28"/>
                <w:szCs w:val="28"/>
              </w:rPr>
              <w:t xml:space="preserve"> </w:t>
            </w:r>
            <w:r>
              <w:rPr>
                <w:spacing w:val="-10"/>
                <w:sz w:val="28"/>
                <w:szCs w:val="28"/>
              </w:rPr>
              <w:t>p</w:t>
            </w:r>
          </w:p>
          <w:p w14:paraId="630E7F7E">
            <w:pPr>
              <w:pStyle w:val="11"/>
              <w:spacing w:line="240" w:lineRule="auto"/>
              <w:ind w:right="258"/>
              <w:jc w:val="both"/>
              <w:rPr>
                <w:sz w:val="28"/>
                <w:szCs w:val="28"/>
              </w:rPr>
            </w:pPr>
            <w:r>
              <w:rPr>
                <w:sz w:val="28"/>
                <w:szCs w:val="28"/>
              </w:rPr>
              <w:t>&lt; 0,05, ** p &lt; 0,01, *** p &lt; 0,001. Для сравнения категориальных переменных применён точный критерий Фишера. Для</w:t>
            </w:r>
            <w:r>
              <w:rPr>
                <w:spacing w:val="-1"/>
                <w:sz w:val="28"/>
                <w:szCs w:val="28"/>
              </w:rPr>
              <w:t xml:space="preserve"> </w:t>
            </w:r>
            <w:r>
              <w:rPr>
                <w:sz w:val="28"/>
                <w:szCs w:val="28"/>
              </w:rPr>
              <w:t>сравнения</w:t>
            </w:r>
            <w:r>
              <w:rPr>
                <w:spacing w:val="-1"/>
                <w:sz w:val="28"/>
                <w:szCs w:val="28"/>
              </w:rPr>
              <w:t xml:space="preserve"> </w:t>
            </w:r>
            <w:r>
              <w:rPr>
                <w:sz w:val="28"/>
                <w:szCs w:val="28"/>
              </w:rPr>
              <w:t>количественных</w:t>
            </w:r>
            <w:r>
              <w:rPr>
                <w:spacing w:val="-1"/>
                <w:sz w:val="28"/>
                <w:szCs w:val="28"/>
              </w:rPr>
              <w:t xml:space="preserve"> </w:t>
            </w:r>
            <w:r>
              <w:rPr>
                <w:sz w:val="28"/>
                <w:szCs w:val="28"/>
              </w:rPr>
              <w:t>переменных</w:t>
            </w:r>
            <w:r>
              <w:rPr>
                <w:spacing w:val="-1"/>
                <w:sz w:val="28"/>
                <w:szCs w:val="28"/>
              </w:rPr>
              <w:t xml:space="preserve"> </w:t>
            </w:r>
            <w:r>
              <w:rPr>
                <w:sz w:val="28"/>
                <w:szCs w:val="28"/>
              </w:rPr>
              <w:t>использован U- критерий</w:t>
            </w:r>
            <w:r>
              <w:rPr>
                <w:spacing w:val="-4"/>
                <w:sz w:val="28"/>
                <w:szCs w:val="28"/>
              </w:rPr>
              <w:t xml:space="preserve"> </w:t>
            </w:r>
            <w:r>
              <w:rPr>
                <w:sz w:val="28"/>
                <w:szCs w:val="28"/>
              </w:rPr>
              <w:t>Манна—Уитни.</w:t>
            </w:r>
            <w:r>
              <w:rPr>
                <w:spacing w:val="-1"/>
                <w:sz w:val="28"/>
                <w:szCs w:val="28"/>
              </w:rPr>
              <w:t xml:space="preserve"> </w:t>
            </w:r>
            <w:r>
              <w:rPr>
                <w:sz w:val="28"/>
                <w:szCs w:val="28"/>
              </w:rPr>
              <w:t>Для</w:t>
            </w:r>
            <w:r>
              <w:rPr>
                <w:spacing w:val="-8"/>
                <w:sz w:val="28"/>
                <w:szCs w:val="28"/>
              </w:rPr>
              <w:t xml:space="preserve"> </w:t>
            </w:r>
            <w:r>
              <w:rPr>
                <w:sz w:val="28"/>
                <w:szCs w:val="28"/>
              </w:rPr>
              <w:t>сравнения</w:t>
            </w:r>
            <w:r>
              <w:rPr>
                <w:spacing w:val="-7"/>
                <w:sz w:val="28"/>
                <w:szCs w:val="28"/>
              </w:rPr>
              <w:t xml:space="preserve"> </w:t>
            </w:r>
            <w:r>
              <w:rPr>
                <w:sz w:val="28"/>
                <w:szCs w:val="28"/>
              </w:rPr>
              <w:t>распределения</w:t>
            </w:r>
            <w:r>
              <w:rPr>
                <w:spacing w:val="-3"/>
                <w:sz w:val="28"/>
                <w:szCs w:val="28"/>
              </w:rPr>
              <w:t xml:space="preserve"> </w:t>
            </w:r>
            <w:r>
              <w:rPr>
                <w:sz w:val="28"/>
                <w:szCs w:val="28"/>
              </w:rPr>
              <w:t>ПС</w:t>
            </w:r>
            <w:r>
              <w:rPr>
                <w:spacing w:val="-4"/>
                <w:sz w:val="28"/>
                <w:szCs w:val="28"/>
              </w:rPr>
              <w:t xml:space="preserve"> </w:t>
            </w:r>
            <w:r>
              <w:rPr>
                <w:sz w:val="28"/>
                <w:szCs w:val="28"/>
              </w:rPr>
              <w:t>по</w:t>
            </w:r>
            <w:r>
              <w:rPr>
                <w:spacing w:val="-3"/>
                <w:sz w:val="28"/>
                <w:szCs w:val="28"/>
              </w:rPr>
              <w:t xml:space="preserve"> </w:t>
            </w:r>
            <w:r>
              <w:rPr>
                <w:sz w:val="28"/>
                <w:szCs w:val="28"/>
              </w:rPr>
              <w:t>степеням</w:t>
            </w:r>
            <w:r>
              <w:rPr>
                <w:spacing w:val="-6"/>
                <w:sz w:val="28"/>
                <w:szCs w:val="28"/>
              </w:rPr>
              <w:t xml:space="preserve"> </w:t>
            </w:r>
            <w:r>
              <w:rPr>
                <w:sz w:val="28"/>
                <w:szCs w:val="28"/>
              </w:rPr>
              <w:t>(A/B/C)</w:t>
            </w:r>
            <w:r>
              <w:rPr>
                <w:spacing w:val="-1"/>
                <w:sz w:val="28"/>
                <w:szCs w:val="28"/>
              </w:rPr>
              <w:t xml:space="preserve"> </w:t>
            </w:r>
            <w:r>
              <w:rPr>
                <w:spacing w:val="-2"/>
                <w:sz w:val="28"/>
                <w:szCs w:val="28"/>
              </w:rPr>
              <w:t>между</w:t>
            </w:r>
            <w:r>
              <w:rPr>
                <w:sz w:val="28"/>
                <w:szCs w:val="28"/>
              </w:rPr>
              <w:t xml:space="preserve"> группами</w:t>
            </w:r>
            <w:r>
              <w:rPr>
                <w:spacing w:val="-3"/>
                <w:sz w:val="28"/>
                <w:szCs w:val="28"/>
              </w:rPr>
              <w:t xml:space="preserve"> </w:t>
            </w:r>
            <w:r>
              <w:rPr>
                <w:sz w:val="28"/>
                <w:szCs w:val="28"/>
              </w:rPr>
              <w:t>использован</w:t>
            </w:r>
            <w:r>
              <w:rPr>
                <w:spacing w:val="-3"/>
                <w:sz w:val="28"/>
                <w:szCs w:val="28"/>
              </w:rPr>
              <w:t xml:space="preserve"> </w:t>
            </w:r>
            <w:r>
              <w:rPr>
                <w:sz w:val="28"/>
                <w:szCs w:val="28"/>
              </w:rPr>
              <w:t>χ²-критерий</w:t>
            </w:r>
            <w:r>
              <w:rPr>
                <w:spacing w:val="-6"/>
                <w:sz w:val="28"/>
                <w:szCs w:val="28"/>
              </w:rPr>
              <w:t xml:space="preserve"> </w:t>
            </w:r>
            <w:r>
              <w:rPr>
                <w:spacing w:val="-2"/>
                <w:sz w:val="28"/>
                <w:szCs w:val="28"/>
              </w:rPr>
              <w:t>Пирсона.</w:t>
            </w:r>
          </w:p>
        </w:tc>
      </w:tr>
    </w:tbl>
    <w:p w14:paraId="2933464B">
      <w:pPr>
        <w:pStyle w:val="7"/>
        <w:spacing w:before="67"/>
        <w:ind w:left="0" w:right="3" w:firstLine="709"/>
        <w:rPr>
          <w:lang w:val="kk-KZ"/>
        </w:rPr>
      </w:pPr>
      <w:bookmarkStart w:id="47" w:name="Таблица_31_отражает_интраоперационные_и_"/>
      <w:bookmarkEnd w:id="47"/>
    </w:p>
    <w:p w14:paraId="41C0EB8E">
      <w:pPr>
        <w:pStyle w:val="7"/>
        <w:spacing w:before="67"/>
        <w:ind w:left="0" w:right="3" w:firstLine="709"/>
        <w:rPr>
          <w:lang w:val="kk-KZ"/>
        </w:rPr>
      </w:pPr>
    </w:p>
    <w:p w14:paraId="6A6352BC">
      <w:pPr>
        <w:pStyle w:val="7"/>
        <w:spacing w:before="67"/>
        <w:ind w:left="0" w:right="3" w:firstLine="709"/>
      </w:pPr>
      <w:r>
        <w:t>Таблица</w:t>
      </w:r>
      <w:r>
        <w:rPr>
          <w:spacing w:val="-12"/>
        </w:rPr>
        <w:t xml:space="preserve"> </w:t>
      </w:r>
      <w:r>
        <w:t>31</w:t>
      </w:r>
      <w:r>
        <w:rPr>
          <w:spacing w:val="-12"/>
        </w:rPr>
        <w:t xml:space="preserve"> </w:t>
      </w:r>
      <w:r>
        <w:t>отражает</w:t>
      </w:r>
      <w:r>
        <w:rPr>
          <w:spacing w:val="-14"/>
        </w:rPr>
        <w:t xml:space="preserve"> </w:t>
      </w:r>
      <w:r>
        <w:t>интраоперационные</w:t>
      </w:r>
      <w:r>
        <w:rPr>
          <w:spacing w:val="-12"/>
        </w:rPr>
        <w:t xml:space="preserve"> </w:t>
      </w:r>
      <w:r>
        <w:t>и</w:t>
      </w:r>
      <w:r>
        <w:rPr>
          <w:spacing w:val="-12"/>
        </w:rPr>
        <w:t xml:space="preserve"> </w:t>
      </w:r>
      <w:r>
        <w:t>послеоперационные</w:t>
      </w:r>
      <w:r>
        <w:rPr>
          <w:spacing w:val="-7"/>
        </w:rPr>
        <w:t xml:space="preserve"> </w:t>
      </w:r>
      <w:r>
        <w:t>результаты у пациентов с диаметром ПП ≤5 мм в зависимости от типа ПЕА: контрольная группа (n=119) и основная группа (n=99).</w:t>
      </w:r>
    </w:p>
    <w:p w14:paraId="7F69E1F7">
      <w:pPr>
        <w:pStyle w:val="7"/>
        <w:ind w:left="0" w:right="3" w:firstLine="709"/>
      </w:pPr>
      <w:bookmarkStart w:id="48" w:name="По_длительности_оперативного_вмешательст"/>
      <w:bookmarkEnd w:id="48"/>
      <w:r>
        <w:t>По длительности оперативного вмешательства статистически значимых различий не выявлено: медиана 390 [350; 450] мин в контрольной группе и 370 [330; 460] мин в основной (p=0,186), что указывает на сопоставимую техническую сложность операций в обеих выборках.</w:t>
      </w:r>
    </w:p>
    <w:p w14:paraId="1C0EC19C">
      <w:pPr>
        <w:pStyle w:val="7"/>
        <w:spacing w:before="3"/>
        <w:ind w:left="0" w:right="3" w:firstLine="709"/>
      </w:pPr>
      <w:bookmarkStart w:id="49" w:name="В_то_же_время_объём_интраоперационной_кр"/>
      <w:bookmarkEnd w:id="49"/>
      <w:r>
        <w:t>В</w:t>
      </w:r>
      <w:r>
        <w:rPr>
          <w:spacing w:val="-18"/>
        </w:rPr>
        <w:t xml:space="preserve"> </w:t>
      </w:r>
      <w:r>
        <w:t>то</w:t>
      </w:r>
      <w:r>
        <w:rPr>
          <w:spacing w:val="-16"/>
        </w:rPr>
        <w:t xml:space="preserve"> </w:t>
      </w:r>
      <w:r>
        <w:t>же</w:t>
      </w:r>
      <w:r>
        <w:rPr>
          <w:spacing w:val="-14"/>
        </w:rPr>
        <w:t xml:space="preserve"> </w:t>
      </w:r>
      <w:r>
        <w:t>время</w:t>
      </w:r>
      <w:r>
        <w:rPr>
          <w:spacing w:val="-18"/>
        </w:rPr>
        <w:t xml:space="preserve"> </w:t>
      </w:r>
      <w:r>
        <w:t>объём</w:t>
      </w:r>
      <w:r>
        <w:rPr>
          <w:spacing w:val="-17"/>
        </w:rPr>
        <w:t xml:space="preserve"> </w:t>
      </w:r>
      <w:r>
        <w:t>интраоперационной</w:t>
      </w:r>
      <w:r>
        <w:rPr>
          <w:spacing w:val="-12"/>
        </w:rPr>
        <w:t xml:space="preserve"> </w:t>
      </w:r>
      <w:r>
        <w:t>кровопотери</w:t>
      </w:r>
      <w:r>
        <w:rPr>
          <w:spacing w:val="-15"/>
        </w:rPr>
        <w:t xml:space="preserve"> </w:t>
      </w:r>
      <w:r>
        <w:t>был</w:t>
      </w:r>
      <w:r>
        <w:rPr>
          <w:spacing w:val="-18"/>
        </w:rPr>
        <w:t xml:space="preserve"> </w:t>
      </w:r>
      <w:r>
        <w:t>достоверно</w:t>
      </w:r>
      <w:r>
        <w:rPr>
          <w:spacing w:val="-15"/>
        </w:rPr>
        <w:t xml:space="preserve"> </w:t>
      </w:r>
      <w:r>
        <w:t>ниже в основной группе — 300 [200; 400] мл против 380 [350; 400] мл в контрольной (p&lt;0,001), что свидетельствует о большей прецизионности хирургической техники при выполнении модифицированного ПЕА.</w:t>
      </w:r>
    </w:p>
    <w:p w14:paraId="7D264154">
      <w:pPr>
        <w:pStyle w:val="7"/>
        <w:ind w:left="0" w:right="3" w:firstLine="709"/>
      </w:pPr>
      <w:bookmarkStart w:id="50" w:name="Ключевые_различия_отмечены_в_структуре_п"/>
      <w:bookmarkEnd w:id="50"/>
      <w:r>
        <w:t>Ключевые различия отмечены в структуре панкреатических осложнений. Общая частота ПС была существенно ниже в основной группе — 28,3% против 55,4% в контрольной (p&lt;0,001). Анализ распределения свищей по степеням (A/B/C) также продемонстрировал статистически значимые различия (p=0,011): в основной группе отмечено снижение доли всех степеней ПС, включая клинически значимые формы.</w:t>
      </w:r>
    </w:p>
    <w:p w14:paraId="3FA5348B">
      <w:pPr>
        <w:pStyle w:val="7"/>
        <w:spacing w:before="2"/>
        <w:ind w:left="0" w:right="3" w:firstLine="709"/>
      </w:pPr>
      <w:bookmarkStart w:id="51" w:name="Частота_КЗ-ПС_в_основной_группе_составил"/>
      <w:bookmarkEnd w:id="51"/>
      <w:r>
        <w:t>Частота КЗ-ПС в основной группе составила 19,1% против 32,8% в контрольной (p=0,032), что указывает на выраженное снижение тяжёлых форм несостоятельности</w:t>
      </w:r>
      <w:r>
        <w:rPr>
          <w:spacing w:val="-18"/>
        </w:rPr>
        <w:t xml:space="preserve"> </w:t>
      </w:r>
      <w:r>
        <w:t>панкреатодигестивного</w:t>
      </w:r>
      <w:r>
        <w:rPr>
          <w:spacing w:val="-17"/>
        </w:rPr>
        <w:t xml:space="preserve"> </w:t>
      </w:r>
      <w:r>
        <w:t>анастомоза</w:t>
      </w:r>
      <w:r>
        <w:rPr>
          <w:spacing w:val="-18"/>
        </w:rPr>
        <w:t xml:space="preserve"> </w:t>
      </w:r>
      <w:r>
        <w:t>при</w:t>
      </w:r>
      <w:r>
        <w:rPr>
          <w:spacing w:val="-17"/>
        </w:rPr>
        <w:t xml:space="preserve"> </w:t>
      </w:r>
      <w:r>
        <w:t>использовании</w:t>
      </w:r>
      <w:r>
        <w:rPr>
          <w:spacing w:val="-18"/>
        </w:rPr>
        <w:t xml:space="preserve"> </w:t>
      </w:r>
      <w:r>
        <w:t>новой техники ПЕА.</w:t>
      </w:r>
    </w:p>
    <w:p w14:paraId="3FDD8A3E">
      <w:pPr>
        <w:pStyle w:val="7"/>
        <w:ind w:left="0" w:right="3" w:firstLine="709"/>
      </w:pPr>
      <w:bookmarkStart w:id="52" w:name="Частота_релапаротомий_также_была_достове"/>
      <w:bookmarkEnd w:id="52"/>
      <w:r>
        <w:t xml:space="preserve">Частота релапаротомий также была достоверно ниже в основной группе — 1,0% против 7,5% (p=0,028), что отражает уменьшение числа тяжёлых послеоперационных осложнений, требующих повторного хирургического </w:t>
      </w:r>
      <w:r>
        <w:rPr>
          <w:spacing w:val="-2"/>
        </w:rPr>
        <w:t>вмешательства.</w:t>
      </w:r>
    </w:p>
    <w:p w14:paraId="310D4CE2">
      <w:pPr>
        <w:pStyle w:val="7"/>
        <w:ind w:left="0" w:right="3" w:firstLine="709"/>
      </w:pPr>
      <w:bookmarkStart w:id="53" w:name="Различия_по_частоте_послеоперационного_к"/>
      <w:bookmarkEnd w:id="53"/>
      <w:r>
        <w:t>Различия</w:t>
      </w:r>
      <w:r>
        <w:rPr>
          <w:spacing w:val="-12"/>
        </w:rPr>
        <w:t xml:space="preserve"> </w:t>
      </w:r>
      <w:r>
        <w:t>по</w:t>
      </w:r>
      <w:r>
        <w:rPr>
          <w:spacing w:val="-13"/>
        </w:rPr>
        <w:t xml:space="preserve"> </w:t>
      </w:r>
      <w:r>
        <w:t>частоте</w:t>
      </w:r>
      <w:r>
        <w:rPr>
          <w:spacing w:val="-12"/>
        </w:rPr>
        <w:t xml:space="preserve"> </w:t>
      </w:r>
      <w:r>
        <w:t>послеоперационного</w:t>
      </w:r>
      <w:r>
        <w:rPr>
          <w:spacing w:val="-13"/>
        </w:rPr>
        <w:t xml:space="preserve"> </w:t>
      </w:r>
      <w:r>
        <w:t>кровотечения,</w:t>
      </w:r>
      <w:r>
        <w:rPr>
          <w:spacing w:val="-11"/>
        </w:rPr>
        <w:t xml:space="preserve"> </w:t>
      </w:r>
      <w:r>
        <w:t>билиарного</w:t>
      </w:r>
      <w:r>
        <w:rPr>
          <w:spacing w:val="-12"/>
        </w:rPr>
        <w:t xml:space="preserve"> </w:t>
      </w:r>
      <w:r>
        <w:t>свища, гастростаза и ПС-ассоциированного</w:t>
      </w:r>
      <w:r>
        <w:rPr>
          <w:spacing w:val="-2"/>
        </w:rPr>
        <w:t xml:space="preserve"> </w:t>
      </w:r>
      <w:r>
        <w:t>кровотечения</w:t>
      </w:r>
      <w:r>
        <w:rPr>
          <w:spacing w:val="-1"/>
        </w:rPr>
        <w:t xml:space="preserve"> </w:t>
      </w:r>
      <w:r>
        <w:t>статистически</w:t>
      </w:r>
      <w:r>
        <w:rPr>
          <w:spacing w:val="-2"/>
        </w:rPr>
        <w:t xml:space="preserve"> </w:t>
      </w:r>
      <w:r>
        <w:t>значимыми</w:t>
      </w:r>
      <w:r>
        <w:rPr>
          <w:spacing w:val="-2"/>
        </w:rPr>
        <w:t xml:space="preserve"> </w:t>
      </w:r>
      <w:r>
        <w:t>не были (p&gt;0,05), что свидетельствует о сопоставимом профиле неспецифических осложнений в обеих группах.</w:t>
      </w:r>
    </w:p>
    <w:p w14:paraId="664B4434">
      <w:pPr>
        <w:pStyle w:val="7"/>
        <w:tabs>
          <w:tab w:val="left" w:pos="1480"/>
          <w:tab w:val="left" w:pos="2016"/>
          <w:tab w:val="left" w:pos="2449"/>
          <w:tab w:val="left" w:pos="3507"/>
          <w:tab w:val="left" w:pos="3979"/>
          <w:tab w:val="left" w:pos="4808"/>
          <w:tab w:val="left" w:pos="5302"/>
          <w:tab w:val="left" w:pos="5514"/>
          <w:tab w:val="left" w:pos="6596"/>
          <w:tab w:val="left" w:pos="7126"/>
          <w:tab w:val="left" w:pos="7865"/>
          <w:tab w:val="left" w:pos="8668"/>
        </w:tabs>
        <w:spacing w:before="1"/>
        <w:ind w:left="0" w:right="3" w:firstLine="0"/>
      </w:pPr>
      <w:bookmarkStart w:id="54" w:name="Показатель_госпитальной_летальности_был_"/>
      <w:bookmarkEnd w:id="54"/>
      <w:r>
        <w:t>Показатель госпитальной летальности был ниже в основной группе (2,0%</w:t>
      </w:r>
      <w:r>
        <w:rPr>
          <w:spacing w:val="-2"/>
        </w:rPr>
        <w:t>против</w:t>
      </w:r>
      <w:r>
        <w:tab/>
      </w:r>
      <w:r>
        <w:rPr>
          <w:spacing w:val="-2"/>
        </w:rPr>
        <w:t>8,4%),</w:t>
      </w:r>
      <w:r>
        <w:tab/>
      </w:r>
      <w:r>
        <w:rPr>
          <w:spacing w:val="-2"/>
        </w:rPr>
        <w:t>однако</w:t>
      </w:r>
      <w:r>
        <w:tab/>
      </w:r>
      <w:r>
        <w:rPr>
          <w:spacing w:val="-2"/>
        </w:rPr>
        <w:t>различие</w:t>
      </w:r>
      <w:r>
        <w:tab/>
      </w:r>
      <w:r>
        <w:rPr>
          <w:spacing w:val="-6"/>
        </w:rPr>
        <w:t>не</w:t>
      </w:r>
      <w:r>
        <w:tab/>
      </w:r>
      <w:r>
        <w:rPr>
          <w:spacing w:val="-2"/>
        </w:rPr>
        <w:t>достигло</w:t>
      </w:r>
      <w:r>
        <w:t xml:space="preserve"> </w:t>
      </w:r>
      <w:r>
        <w:rPr>
          <w:spacing w:val="-2"/>
        </w:rPr>
        <w:t>статистической</w:t>
      </w:r>
      <w:r>
        <w:tab/>
      </w:r>
      <w:r>
        <w:rPr>
          <w:spacing w:val="-2"/>
        </w:rPr>
        <w:t xml:space="preserve">значимости </w:t>
      </w:r>
      <w:r>
        <w:t>(p=0,070),</w:t>
      </w:r>
      <w:r>
        <w:rPr>
          <w:spacing w:val="-2"/>
        </w:rPr>
        <w:t xml:space="preserve"> </w:t>
      </w:r>
      <w:r>
        <w:t>что,</w:t>
      </w:r>
      <w:r>
        <w:rPr>
          <w:spacing w:val="-2"/>
        </w:rPr>
        <w:t xml:space="preserve"> </w:t>
      </w:r>
      <w:r>
        <w:t>вероятно,</w:t>
      </w:r>
      <w:r>
        <w:rPr>
          <w:spacing w:val="-3"/>
        </w:rPr>
        <w:t xml:space="preserve"> </w:t>
      </w:r>
      <w:r>
        <w:t>связано</w:t>
      </w:r>
      <w:r>
        <w:rPr>
          <w:spacing w:val="-5"/>
        </w:rPr>
        <w:t xml:space="preserve"> </w:t>
      </w:r>
      <w:r>
        <w:t>с</w:t>
      </w:r>
      <w:r>
        <w:rPr>
          <w:spacing w:val="-4"/>
        </w:rPr>
        <w:t xml:space="preserve"> </w:t>
      </w:r>
      <w:r>
        <w:t>ограниченным</w:t>
      </w:r>
      <w:r>
        <w:rPr>
          <w:spacing w:val="-4"/>
        </w:rPr>
        <w:t xml:space="preserve"> </w:t>
      </w:r>
      <w:r>
        <w:t>абсолютным</w:t>
      </w:r>
      <w:r>
        <w:rPr>
          <w:spacing w:val="-3"/>
        </w:rPr>
        <w:t xml:space="preserve"> </w:t>
      </w:r>
      <w:r>
        <w:t>числом</w:t>
      </w:r>
      <w:r>
        <w:rPr>
          <w:spacing w:val="-3"/>
        </w:rPr>
        <w:t xml:space="preserve"> </w:t>
      </w:r>
      <w:r>
        <w:t xml:space="preserve">событий. </w:t>
      </w:r>
      <w:bookmarkStart w:id="55" w:name="Наиболее_выраженные_различия_отмечены_по"/>
      <w:bookmarkEnd w:id="55"/>
      <w:r>
        <w:rPr>
          <w:spacing w:val="-2"/>
        </w:rPr>
        <w:t>Наиболее</w:t>
      </w:r>
      <w:r>
        <w:tab/>
      </w:r>
      <w:r>
        <w:rPr>
          <w:spacing w:val="-2"/>
        </w:rPr>
        <w:t>выраженные</w:t>
      </w:r>
      <w:r>
        <w:tab/>
      </w:r>
      <w:r>
        <w:rPr>
          <w:spacing w:val="-2"/>
        </w:rPr>
        <w:t>различия</w:t>
      </w:r>
      <w:r>
        <w:t xml:space="preserve"> </w:t>
      </w:r>
      <w:r>
        <w:rPr>
          <w:spacing w:val="-2"/>
        </w:rPr>
        <w:t>отмечены</w:t>
      </w:r>
      <w:r>
        <w:t xml:space="preserve"> </w:t>
      </w:r>
      <w:r>
        <w:rPr>
          <w:spacing w:val="-6"/>
        </w:rPr>
        <w:t>по</w:t>
      </w:r>
      <w:r>
        <w:tab/>
      </w:r>
      <w:r>
        <w:rPr>
          <w:spacing w:val="-2"/>
        </w:rPr>
        <w:t xml:space="preserve">длительности </w:t>
      </w:r>
      <w:r>
        <w:t>госпитализации: в основной группе медиана составила 16 [13; 18] суток против 25</w:t>
      </w:r>
      <w:r>
        <w:rPr>
          <w:spacing w:val="34"/>
        </w:rPr>
        <w:t xml:space="preserve"> </w:t>
      </w:r>
      <w:r>
        <w:t>[23;</w:t>
      </w:r>
      <w:r>
        <w:rPr>
          <w:spacing w:val="33"/>
        </w:rPr>
        <w:t xml:space="preserve"> </w:t>
      </w:r>
      <w:r>
        <w:t>27]</w:t>
      </w:r>
      <w:r>
        <w:rPr>
          <w:spacing w:val="33"/>
        </w:rPr>
        <w:t xml:space="preserve"> </w:t>
      </w:r>
      <w:r>
        <w:t>суток</w:t>
      </w:r>
      <w:r>
        <w:rPr>
          <w:spacing w:val="33"/>
        </w:rPr>
        <w:t xml:space="preserve"> </w:t>
      </w:r>
      <w:r>
        <w:t>в</w:t>
      </w:r>
      <w:r>
        <w:rPr>
          <w:spacing w:val="33"/>
        </w:rPr>
        <w:t xml:space="preserve"> </w:t>
      </w:r>
      <w:r>
        <w:t>контрольной</w:t>
      </w:r>
      <w:r>
        <w:rPr>
          <w:spacing w:val="33"/>
        </w:rPr>
        <w:t xml:space="preserve"> </w:t>
      </w:r>
      <w:r>
        <w:t>(p&lt;0,001),</w:t>
      </w:r>
      <w:r>
        <w:rPr>
          <w:spacing w:val="36"/>
        </w:rPr>
        <w:t xml:space="preserve"> </w:t>
      </w:r>
      <w:r>
        <w:t>что</w:t>
      </w:r>
      <w:r>
        <w:rPr>
          <w:spacing w:val="35"/>
        </w:rPr>
        <w:t xml:space="preserve"> </w:t>
      </w:r>
      <w:r>
        <w:t>отражает</w:t>
      </w:r>
      <w:r>
        <w:rPr>
          <w:spacing w:val="32"/>
        </w:rPr>
        <w:t xml:space="preserve"> </w:t>
      </w:r>
      <w:r>
        <w:t>более</w:t>
      </w:r>
      <w:r>
        <w:rPr>
          <w:spacing w:val="36"/>
        </w:rPr>
        <w:t xml:space="preserve"> </w:t>
      </w:r>
      <w:r>
        <w:rPr>
          <w:spacing w:val="-2"/>
        </w:rPr>
        <w:t>благоприятное</w:t>
      </w:r>
      <w:r>
        <w:t xml:space="preserve"> течение</w:t>
      </w:r>
      <w:r>
        <w:rPr>
          <w:spacing w:val="-9"/>
        </w:rPr>
        <w:t xml:space="preserve"> </w:t>
      </w:r>
      <w:r>
        <w:t>послеоперационного</w:t>
      </w:r>
      <w:r>
        <w:rPr>
          <w:spacing w:val="-8"/>
        </w:rPr>
        <w:t xml:space="preserve"> </w:t>
      </w:r>
      <w:r>
        <w:t>периода</w:t>
      </w:r>
      <w:r>
        <w:rPr>
          <w:spacing w:val="-9"/>
        </w:rPr>
        <w:t xml:space="preserve"> </w:t>
      </w:r>
      <w:r>
        <w:t>и</w:t>
      </w:r>
      <w:r>
        <w:rPr>
          <w:spacing w:val="-13"/>
        </w:rPr>
        <w:t xml:space="preserve"> </w:t>
      </w:r>
      <w:r>
        <w:t>снижение</w:t>
      </w:r>
      <w:r>
        <w:rPr>
          <w:spacing w:val="-8"/>
        </w:rPr>
        <w:t xml:space="preserve"> </w:t>
      </w:r>
      <w:r>
        <w:t>частоты</w:t>
      </w:r>
      <w:r>
        <w:rPr>
          <w:spacing w:val="-9"/>
        </w:rPr>
        <w:t xml:space="preserve"> </w:t>
      </w:r>
      <w:r>
        <w:rPr>
          <w:spacing w:val="-2"/>
        </w:rPr>
        <w:t>осложнений.</w:t>
      </w:r>
    </w:p>
    <w:p w14:paraId="70847161">
      <w:pPr>
        <w:pStyle w:val="7"/>
        <w:ind w:left="0" w:right="3" w:firstLine="709"/>
      </w:pPr>
      <w:bookmarkStart w:id="56" w:name="Таким_образом,_у_пациентов_с_диаметром_П"/>
      <w:bookmarkEnd w:id="56"/>
      <w:r>
        <w:t>Таким образом, у пациентов с диаметром ПП ≤5 мм применение модифицированного ПЕА в основной группе ассоциировано с достоверным снижением частоты ПС, клинически значимых форм ПС, релапаротомий, интраоперационной кровопотери и продолжительности госпитализации, что свидетельствует о клиническом преимуществе данной реконструктивной методики в группе высокого риска.</w:t>
      </w:r>
    </w:p>
    <w:p w14:paraId="23FE850F">
      <w:pPr>
        <w:pStyle w:val="7"/>
        <w:spacing w:before="3"/>
        <w:ind w:left="0" w:right="3" w:firstLine="0"/>
        <w:jc w:val="left"/>
        <w:rPr>
          <w:lang w:val="kk-KZ"/>
        </w:rPr>
      </w:pPr>
    </w:p>
    <w:p w14:paraId="737DF66C">
      <w:pPr>
        <w:pStyle w:val="7"/>
        <w:spacing w:before="3"/>
        <w:ind w:left="0" w:right="3" w:firstLine="0"/>
        <w:jc w:val="left"/>
        <w:rPr>
          <w:lang w:val="kk-KZ"/>
        </w:rPr>
      </w:pPr>
    </w:p>
    <w:p w14:paraId="76435CCC">
      <w:pPr>
        <w:pStyle w:val="7"/>
        <w:ind w:left="0" w:right="3" w:firstLine="0"/>
      </w:pPr>
      <w:bookmarkStart w:id="57" w:name="Таблица_31_-_Интраоперационные_и_послеоп"/>
      <w:bookmarkEnd w:id="57"/>
      <w:r>
        <w:t>Таблица</w:t>
      </w:r>
      <w:r>
        <w:rPr>
          <w:spacing w:val="-10"/>
        </w:rPr>
        <w:t xml:space="preserve"> </w:t>
      </w:r>
      <w:r>
        <w:t>31</w:t>
      </w:r>
      <w:r>
        <w:rPr>
          <w:spacing w:val="-10"/>
        </w:rPr>
        <w:t xml:space="preserve"> </w:t>
      </w:r>
      <w:r>
        <w:t>-</w:t>
      </w:r>
      <w:r>
        <w:rPr>
          <w:spacing w:val="-12"/>
        </w:rPr>
        <w:t xml:space="preserve"> </w:t>
      </w:r>
      <w:r>
        <w:t>Интраоперационные</w:t>
      </w:r>
      <w:r>
        <w:rPr>
          <w:spacing w:val="-10"/>
        </w:rPr>
        <w:t xml:space="preserve"> </w:t>
      </w:r>
      <w:r>
        <w:t>и</w:t>
      </w:r>
      <w:r>
        <w:rPr>
          <w:spacing w:val="-10"/>
        </w:rPr>
        <w:t xml:space="preserve"> </w:t>
      </w:r>
      <w:r>
        <w:t>послеоперационные</w:t>
      </w:r>
      <w:r>
        <w:rPr>
          <w:spacing w:val="-6"/>
        </w:rPr>
        <w:t xml:space="preserve"> </w:t>
      </w:r>
      <w:r>
        <w:t>результаты</w:t>
      </w:r>
      <w:r>
        <w:rPr>
          <w:spacing w:val="-9"/>
        </w:rPr>
        <w:t xml:space="preserve"> </w:t>
      </w:r>
      <w:r>
        <w:t>у</w:t>
      </w:r>
      <w:r>
        <w:rPr>
          <w:spacing w:val="-14"/>
        </w:rPr>
        <w:t xml:space="preserve"> </w:t>
      </w:r>
      <w:r>
        <w:t>пациентов с диаметром ПП ≤ 5 мм в зависимости от типа ПЕА</w:t>
      </w:r>
    </w:p>
    <w:p w14:paraId="114C01D6">
      <w:pPr>
        <w:pStyle w:val="7"/>
        <w:tabs>
          <w:tab w:val="left" w:pos="2694"/>
        </w:tabs>
        <w:ind w:left="0" w:right="281" w:firstLine="0"/>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5"/>
        <w:gridCol w:w="2126"/>
        <w:gridCol w:w="1843"/>
        <w:gridCol w:w="1275"/>
      </w:tblGrid>
      <w:tr w14:paraId="6EB11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4395" w:type="dxa"/>
          </w:tcPr>
          <w:p w14:paraId="2BEF2ECF">
            <w:pPr>
              <w:pStyle w:val="11"/>
              <w:spacing w:line="315" w:lineRule="exact"/>
              <w:ind w:left="5"/>
              <w:rPr>
                <w:sz w:val="24"/>
                <w:szCs w:val="20"/>
              </w:rPr>
            </w:pPr>
            <w:r>
              <w:rPr>
                <w:spacing w:val="-2"/>
                <w:sz w:val="24"/>
                <w:szCs w:val="20"/>
              </w:rPr>
              <w:t>Показатель</w:t>
            </w:r>
          </w:p>
        </w:tc>
        <w:tc>
          <w:tcPr>
            <w:tcW w:w="2126" w:type="dxa"/>
          </w:tcPr>
          <w:p w14:paraId="11E37A4B">
            <w:pPr>
              <w:pStyle w:val="11"/>
              <w:spacing w:line="315" w:lineRule="exact"/>
              <w:ind w:left="11" w:right="4"/>
              <w:rPr>
                <w:sz w:val="24"/>
                <w:szCs w:val="20"/>
              </w:rPr>
            </w:pPr>
            <w:r>
              <w:rPr>
                <w:spacing w:val="-2"/>
                <w:sz w:val="24"/>
                <w:szCs w:val="20"/>
              </w:rPr>
              <w:t>Контрольная</w:t>
            </w:r>
          </w:p>
          <w:p w14:paraId="5ED74079">
            <w:pPr>
              <w:pStyle w:val="11"/>
              <w:spacing w:line="313" w:lineRule="exact"/>
              <w:ind w:left="11" w:right="2"/>
              <w:rPr>
                <w:sz w:val="24"/>
                <w:szCs w:val="20"/>
              </w:rPr>
            </w:pPr>
            <w:r>
              <w:rPr>
                <w:sz w:val="24"/>
                <w:szCs w:val="20"/>
              </w:rPr>
              <w:t>n</w:t>
            </w:r>
            <w:r>
              <w:rPr>
                <w:spacing w:val="-5"/>
                <w:sz w:val="24"/>
                <w:szCs w:val="20"/>
              </w:rPr>
              <w:t xml:space="preserve"> </w:t>
            </w:r>
            <w:r>
              <w:rPr>
                <w:sz w:val="24"/>
                <w:szCs w:val="20"/>
              </w:rPr>
              <w:t>=</w:t>
            </w:r>
            <w:r>
              <w:rPr>
                <w:spacing w:val="1"/>
                <w:sz w:val="24"/>
                <w:szCs w:val="20"/>
              </w:rPr>
              <w:t xml:space="preserve"> </w:t>
            </w:r>
            <w:r>
              <w:rPr>
                <w:spacing w:val="-5"/>
                <w:sz w:val="24"/>
                <w:szCs w:val="20"/>
              </w:rPr>
              <w:t>119</w:t>
            </w:r>
          </w:p>
        </w:tc>
        <w:tc>
          <w:tcPr>
            <w:tcW w:w="1843" w:type="dxa"/>
          </w:tcPr>
          <w:p w14:paraId="02D148C3">
            <w:pPr>
              <w:pStyle w:val="11"/>
              <w:spacing w:line="315" w:lineRule="exact"/>
              <w:ind w:left="28" w:right="20"/>
              <w:rPr>
                <w:sz w:val="24"/>
                <w:szCs w:val="20"/>
              </w:rPr>
            </w:pPr>
            <w:r>
              <w:rPr>
                <w:spacing w:val="-2"/>
                <w:sz w:val="24"/>
                <w:szCs w:val="20"/>
              </w:rPr>
              <w:t>Основная</w:t>
            </w:r>
          </w:p>
          <w:p w14:paraId="31E11C69">
            <w:pPr>
              <w:pStyle w:val="11"/>
              <w:spacing w:line="313" w:lineRule="exact"/>
              <w:ind w:left="30" w:right="20"/>
              <w:rPr>
                <w:sz w:val="24"/>
                <w:szCs w:val="20"/>
              </w:rPr>
            </w:pPr>
            <w:r>
              <w:rPr>
                <w:sz w:val="24"/>
                <w:szCs w:val="20"/>
              </w:rPr>
              <w:t>n</w:t>
            </w:r>
            <w:r>
              <w:rPr>
                <w:spacing w:val="-5"/>
                <w:sz w:val="24"/>
                <w:szCs w:val="20"/>
              </w:rPr>
              <w:t xml:space="preserve"> </w:t>
            </w:r>
            <w:r>
              <w:rPr>
                <w:sz w:val="24"/>
                <w:szCs w:val="20"/>
              </w:rPr>
              <w:t>=</w:t>
            </w:r>
            <w:r>
              <w:rPr>
                <w:spacing w:val="1"/>
                <w:sz w:val="24"/>
                <w:szCs w:val="20"/>
              </w:rPr>
              <w:t xml:space="preserve"> </w:t>
            </w:r>
            <w:r>
              <w:rPr>
                <w:spacing w:val="-5"/>
                <w:sz w:val="24"/>
                <w:szCs w:val="20"/>
              </w:rPr>
              <w:t>99</w:t>
            </w:r>
          </w:p>
        </w:tc>
        <w:tc>
          <w:tcPr>
            <w:tcW w:w="1275" w:type="dxa"/>
          </w:tcPr>
          <w:p w14:paraId="240BAB23">
            <w:pPr>
              <w:pStyle w:val="11"/>
              <w:spacing w:line="315" w:lineRule="exact"/>
              <w:ind w:left="34" w:right="30"/>
              <w:rPr>
                <w:sz w:val="24"/>
                <w:szCs w:val="20"/>
              </w:rPr>
            </w:pPr>
            <w:r>
              <w:rPr>
                <w:spacing w:val="-2"/>
                <w:sz w:val="24"/>
                <w:szCs w:val="20"/>
              </w:rPr>
              <w:t>P-value</w:t>
            </w:r>
          </w:p>
        </w:tc>
      </w:tr>
      <w:tr w14:paraId="2CBD5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4395" w:type="dxa"/>
          </w:tcPr>
          <w:p w14:paraId="7C9A1C51">
            <w:pPr>
              <w:pStyle w:val="11"/>
              <w:spacing w:line="315" w:lineRule="exact"/>
              <w:ind w:left="110"/>
              <w:jc w:val="left"/>
              <w:rPr>
                <w:sz w:val="24"/>
                <w:szCs w:val="20"/>
              </w:rPr>
            </w:pPr>
            <w:r>
              <w:rPr>
                <w:sz w:val="24"/>
                <w:szCs w:val="20"/>
              </w:rPr>
              <w:t>Время</w:t>
            </w:r>
            <w:r>
              <w:rPr>
                <w:spacing w:val="-9"/>
                <w:sz w:val="24"/>
                <w:szCs w:val="20"/>
              </w:rPr>
              <w:t xml:space="preserve"> </w:t>
            </w:r>
            <w:r>
              <w:rPr>
                <w:sz w:val="24"/>
                <w:szCs w:val="20"/>
              </w:rPr>
              <w:t>операции,</w:t>
            </w:r>
            <w:r>
              <w:rPr>
                <w:spacing w:val="-8"/>
                <w:sz w:val="24"/>
                <w:szCs w:val="20"/>
              </w:rPr>
              <w:t xml:space="preserve"> </w:t>
            </w:r>
            <w:r>
              <w:rPr>
                <w:spacing w:val="-4"/>
                <w:sz w:val="24"/>
                <w:szCs w:val="20"/>
              </w:rPr>
              <w:t>мин,</w:t>
            </w:r>
          </w:p>
          <w:p w14:paraId="3F3D3DDF">
            <w:pPr>
              <w:pStyle w:val="11"/>
              <w:ind w:left="110"/>
              <w:jc w:val="left"/>
              <w:rPr>
                <w:sz w:val="24"/>
                <w:szCs w:val="20"/>
              </w:rPr>
            </w:pPr>
            <w:r>
              <w:rPr>
                <w:sz w:val="24"/>
                <w:szCs w:val="20"/>
              </w:rPr>
              <w:t>Me</w:t>
            </w:r>
            <w:r>
              <w:rPr>
                <w:spacing w:val="-3"/>
                <w:sz w:val="24"/>
                <w:szCs w:val="20"/>
              </w:rPr>
              <w:t xml:space="preserve"> </w:t>
            </w:r>
            <w:r>
              <w:rPr>
                <w:sz w:val="24"/>
                <w:szCs w:val="20"/>
              </w:rPr>
              <w:t>[Q1;</w:t>
            </w:r>
            <w:r>
              <w:rPr>
                <w:spacing w:val="-4"/>
                <w:sz w:val="24"/>
                <w:szCs w:val="20"/>
              </w:rPr>
              <w:t xml:space="preserve"> </w:t>
            </w:r>
            <w:r>
              <w:rPr>
                <w:spacing w:val="-5"/>
                <w:sz w:val="24"/>
                <w:szCs w:val="20"/>
              </w:rPr>
              <w:t>Q3]</w:t>
            </w:r>
          </w:p>
        </w:tc>
        <w:tc>
          <w:tcPr>
            <w:tcW w:w="2126" w:type="dxa"/>
          </w:tcPr>
          <w:p w14:paraId="2B7B63F6">
            <w:pPr>
              <w:pStyle w:val="11"/>
              <w:spacing w:before="315"/>
              <w:ind w:left="11" w:right="1"/>
              <w:rPr>
                <w:sz w:val="24"/>
                <w:szCs w:val="20"/>
              </w:rPr>
            </w:pPr>
            <w:r>
              <w:rPr>
                <w:sz w:val="24"/>
                <w:szCs w:val="20"/>
              </w:rPr>
              <w:t>390</w:t>
            </w:r>
            <w:r>
              <w:rPr>
                <w:spacing w:val="-6"/>
                <w:sz w:val="24"/>
                <w:szCs w:val="20"/>
              </w:rPr>
              <w:t xml:space="preserve"> </w:t>
            </w:r>
            <w:r>
              <w:rPr>
                <w:sz w:val="24"/>
                <w:szCs w:val="20"/>
              </w:rPr>
              <w:t>[350;</w:t>
            </w:r>
            <w:r>
              <w:rPr>
                <w:spacing w:val="-5"/>
                <w:sz w:val="24"/>
                <w:szCs w:val="20"/>
              </w:rPr>
              <w:t xml:space="preserve"> </w:t>
            </w:r>
            <w:r>
              <w:rPr>
                <w:spacing w:val="-4"/>
                <w:sz w:val="24"/>
                <w:szCs w:val="20"/>
              </w:rPr>
              <w:t>450]</w:t>
            </w:r>
          </w:p>
        </w:tc>
        <w:tc>
          <w:tcPr>
            <w:tcW w:w="1843" w:type="dxa"/>
          </w:tcPr>
          <w:p w14:paraId="37B6A6F0">
            <w:pPr>
              <w:pStyle w:val="11"/>
              <w:spacing w:before="315"/>
              <w:ind w:left="36" w:right="20"/>
              <w:rPr>
                <w:sz w:val="24"/>
                <w:szCs w:val="20"/>
              </w:rPr>
            </w:pPr>
            <w:r>
              <w:rPr>
                <w:sz w:val="24"/>
                <w:szCs w:val="20"/>
              </w:rPr>
              <w:t>370</w:t>
            </w:r>
            <w:r>
              <w:rPr>
                <w:spacing w:val="-6"/>
                <w:sz w:val="24"/>
                <w:szCs w:val="20"/>
              </w:rPr>
              <w:t xml:space="preserve"> </w:t>
            </w:r>
            <w:r>
              <w:rPr>
                <w:sz w:val="24"/>
                <w:szCs w:val="20"/>
              </w:rPr>
              <w:t>[330;</w:t>
            </w:r>
            <w:r>
              <w:rPr>
                <w:spacing w:val="-5"/>
                <w:sz w:val="24"/>
                <w:szCs w:val="20"/>
              </w:rPr>
              <w:t xml:space="preserve"> </w:t>
            </w:r>
            <w:r>
              <w:rPr>
                <w:spacing w:val="-4"/>
                <w:sz w:val="24"/>
                <w:szCs w:val="20"/>
              </w:rPr>
              <w:t>460]</w:t>
            </w:r>
          </w:p>
        </w:tc>
        <w:tc>
          <w:tcPr>
            <w:tcW w:w="1275" w:type="dxa"/>
          </w:tcPr>
          <w:p w14:paraId="752F2578">
            <w:pPr>
              <w:pStyle w:val="11"/>
              <w:spacing w:before="315"/>
              <w:ind w:left="45" w:right="30"/>
              <w:rPr>
                <w:sz w:val="24"/>
                <w:szCs w:val="20"/>
              </w:rPr>
            </w:pPr>
            <w:r>
              <w:rPr>
                <w:spacing w:val="-4"/>
                <w:sz w:val="24"/>
                <w:szCs w:val="20"/>
              </w:rPr>
              <w:t>0,186</w:t>
            </w:r>
          </w:p>
        </w:tc>
      </w:tr>
      <w:tr w14:paraId="50040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395" w:type="dxa"/>
          </w:tcPr>
          <w:p w14:paraId="769CA6F7">
            <w:pPr>
              <w:pStyle w:val="11"/>
              <w:spacing w:line="315" w:lineRule="exact"/>
              <w:ind w:left="110"/>
              <w:jc w:val="left"/>
              <w:rPr>
                <w:sz w:val="24"/>
                <w:szCs w:val="20"/>
              </w:rPr>
            </w:pPr>
            <w:r>
              <w:rPr>
                <w:spacing w:val="-2"/>
                <w:sz w:val="24"/>
                <w:szCs w:val="20"/>
              </w:rPr>
              <w:t>Интраоперационная</w:t>
            </w:r>
            <w:r>
              <w:rPr>
                <w:spacing w:val="13"/>
                <w:sz w:val="24"/>
                <w:szCs w:val="20"/>
              </w:rPr>
              <w:t xml:space="preserve"> </w:t>
            </w:r>
            <w:r>
              <w:rPr>
                <w:spacing w:val="-2"/>
                <w:sz w:val="24"/>
                <w:szCs w:val="20"/>
              </w:rPr>
              <w:t>кровопотеря,</w:t>
            </w:r>
          </w:p>
          <w:p w14:paraId="72BE402C">
            <w:pPr>
              <w:pStyle w:val="11"/>
              <w:ind w:left="110"/>
              <w:jc w:val="left"/>
              <w:rPr>
                <w:sz w:val="24"/>
                <w:szCs w:val="20"/>
              </w:rPr>
            </w:pPr>
            <w:r>
              <w:rPr>
                <w:sz w:val="24"/>
                <w:szCs w:val="20"/>
              </w:rPr>
              <w:t>мл, Me</w:t>
            </w:r>
            <w:r>
              <w:rPr>
                <w:spacing w:val="-2"/>
                <w:sz w:val="24"/>
                <w:szCs w:val="20"/>
              </w:rPr>
              <w:t xml:space="preserve"> </w:t>
            </w:r>
            <w:r>
              <w:rPr>
                <w:sz w:val="24"/>
                <w:szCs w:val="20"/>
              </w:rPr>
              <w:t>[Q1;</w:t>
            </w:r>
            <w:r>
              <w:rPr>
                <w:spacing w:val="-3"/>
                <w:sz w:val="24"/>
                <w:szCs w:val="20"/>
              </w:rPr>
              <w:t xml:space="preserve"> </w:t>
            </w:r>
            <w:r>
              <w:rPr>
                <w:spacing w:val="-5"/>
                <w:sz w:val="24"/>
                <w:szCs w:val="20"/>
              </w:rPr>
              <w:t>Q3]</w:t>
            </w:r>
          </w:p>
        </w:tc>
        <w:tc>
          <w:tcPr>
            <w:tcW w:w="2126" w:type="dxa"/>
          </w:tcPr>
          <w:p w14:paraId="07B0CE4D">
            <w:pPr>
              <w:pStyle w:val="11"/>
              <w:spacing w:before="314"/>
              <w:ind w:left="11" w:right="1"/>
              <w:rPr>
                <w:sz w:val="24"/>
                <w:szCs w:val="20"/>
              </w:rPr>
            </w:pPr>
            <w:r>
              <w:rPr>
                <w:sz w:val="24"/>
                <w:szCs w:val="20"/>
              </w:rPr>
              <w:t>380</w:t>
            </w:r>
            <w:r>
              <w:rPr>
                <w:spacing w:val="-6"/>
                <w:sz w:val="24"/>
                <w:szCs w:val="20"/>
              </w:rPr>
              <w:t xml:space="preserve"> </w:t>
            </w:r>
            <w:r>
              <w:rPr>
                <w:sz w:val="24"/>
                <w:szCs w:val="20"/>
              </w:rPr>
              <w:t>[350;</w:t>
            </w:r>
            <w:r>
              <w:rPr>
                <w:spacing w:val="-5"/>
                <w:sz w:val="24"/>
                <w:szCs w:val="20"/>
              </w:rPr>
              <w:t xml:space="preserve"> </w:t>
            </w:r>
            <w:r>
              <w:rPr>
                <w:spacing w:val="-4"/>
                <w:sz w:val="24"/>
                <w:szCs w:val="20"/>
              </w:rPr>
              <w:t>400]</w:t>
            </w:r>
          </w:p>
        </w:tc>
        <w:tc>
          <w:tcPr>
            <w:tcW w:w="1843" w:type="dxa"/>
          </w:tcPr>
          <w:p w14:paraId="24E70C42">
            <w:pPr>
              <w:pStyle w:val="11"/>
              <w:spacing w:before="314"/>
              <w:ind w:left="16" w:right="36"/>
              <w:rPr>
                <w:sz w:val="24"/>
                <w:szCs w:val="20"/>
              </w:rPr>
            </w:pPr>
            <w:r>
              <w:rPr>
                <w:sz w:val="24"/>
                <w:szCs w:val="20"/>
              </w:rPr>
              <w:t>300</w:t>
            </w:r>
            <w:r>
              <w:rPr>
                <w:spacing w:val="-6"/>
                <w:sz w:val="24"/>
                <w:szCs w:val="20"/>
              </w:rPr>
              <w:t xml:space="preserve"> </w:t>
            </w:r>
            <w:r>
              <w:rPr>
                <w:sz w:val="24"/>
                <w:szCs w:val="20"/>
              </w:rPr>
              <w:t>[200;</w:t>
            </w:r>
            <w:r>
              <w:rPr>
                <w:spacing w:val="-5"/>
                <w:sz w:val="24"/>
                <w:szCs w:val="20"/>
              </w:rPr>
              <w:t xml:space="preserve"> </w:t>
            </w:r>
            <w:r>
              <w:rPr>
                <w:spacing w:val="-4"/>
                <w:sz w:val="24"/>
                <w:szCs w:val="20"/>
              </w:rPr>
              <w:t>400]</w:t>
            </w:r>
          </w:p>
        </w:tc>
        <w:tc>
          <w:tcPr>
            <w:tcW w:w="1275" w:type="dxa"/>
          </w:tcPr>
          <w:p w14:paraId="4ECE00DD">
            <w:pPr>
              <w:pStyle w:val="11"/>
              <w:spacing w:before="314"/>
              <w:ind w:left="15" w:right="45"/>
              <w:rPr>
                <w:sz w:val="24"/>
                <w:szCs w:val="20"/>
              </w:rPr>
            </w:pPr>
            <w:r>
              <w:rPr>
                <w:spacing w:val="-2"/>
                <w:sz w:val="24"/>
                <w:szCs w:val="20"/>
              </w:rPr>
              <w:t>&lt;0,001</w:t>
            </w:r>
            <w:r>
              <w:rPr>
                <w:spacing w:val="-2"/>
                <w:sz w:val="24"/>
                <w:szCs w:val="20"/>
                <w:vertAlign w:val="superscript"/>
              </w:rPr>
              <w:t>***</w:t>
            </w:r>
          </w:p>
        </w:tc>
      </w:tr>
      <w:tr w14:paraId="2E846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450D6161">
            <w:pPr>
              <w:pStyle w:val="11"/>
              <w:spacing w:line="301" w:lineRule="exact"/>
              <w:ind w:left="110"/>
              <w:jc w:val="left"/>
              <w:rPr>
                <w:sz w:val="24"/>
                <w:szCs w:val="20"/>
              </w:rPr>
            </w:pPr>
            <w:r>
              <w:rPr>
                <w:sz w:val="24"/>
                <w:szCs w:val="20"/>
              </w:rPr>
              <w:t>Панкреатический</w:t>
            </w:r>
            <w:r>
              <w:rPr>
                <w:spacing w:val="-9"/>
                <w:sz w:val="24"/>
                <w:szCs w:val="20"/>
              </w:rPr>
              <w:t xml:space="preserve"> </w:t>
            </w:r>
            <w:r>
              <w:rPr>
                <w:sz w:val="24"/>
                <w:szCs w:val="20"/>
              </w:rPr>
              <w:t>свищ,</w:t>
            </w:r>
            <w:r>
              <w:rPr>
                <w:spacing w:val="-3"/>
                <w:sz w:val="24"/>
                <w:szCs w:val="20"/>
              </w:rPr>
              <w:t xml:space="preserve"> </w:t>
            </w:r>
            <w:r>
              <w:rPr>
                <w:sz w:val="24"/>
                <w:szCs w:val="20"/>
              </w:rPr>
              <w:t>n</w:t>
            </w:r>
            <w:r>
              <w:rPr>
                <w:spacing w:val="-12"/>
                <w:sz w:val="24"/>
                <w:szCs w:val="20"/>
              </w:rPr>
              <w:t xml:space="preserve"> </w:t>
            </w:r>
            <w:r>
              <w:rPr>
                <w:spacing w:val="-5"/>
                <w:sz w:val="24"/>
                <w:szCs w:val="20"/>
              </w:rPr>
              <w:t>(%)</w:t>
            </w:r>
          </w:p>
        </w:tc>
        <w:tc>
          <w:tcPr>
            <w:tcW w:w="2126" w:type="dxa"/>
          </w:tcPr>
          <w:p w14:paraId="2D5DB12A">
            <w:pPr>
              <w:pStyle w:val="11"/>
              <w:spacing w:line="301" w:lineRule="exact"/>
              <w:ind w:left="11" w:right="5"/>
              <w:rPr>
                <w:sz w:val="24"/>
                <w:szCs w:val="20"/>
              </w:rPr>
            </w:pPr>
            <w:r>
              <w:rPr>
                <w:sz w:val="24"/>
                <w:szCs w:val="20"/>
              </w:rPr>
              <w:t>66</w:t>
            </w:r>
            <w:r>
              <w:rPr>
                <w:spacing w:val="-2"/>
                <w:sz w:val="24"/>
                <w:szCs w:val="20"/>
              </w:rPr>
              <w:t xml:space="preserve"> (55,4%)</w:t>
            </w:r>
          </w:p>
        </w:tc>
        <w:tc>
          <w:tcPr>
            <w:tcW w:w="1843" w:type="dxa"/>
          </w:tcPr>
          <w:p w14:paraId="7E625373">
            <w:pPr>
              <w:pStyle w:val="11"/>
              <w:spacing w:line="301" w:lineRule="exact"/>
              <w:ind w:left="32" w:right="20"/>
              <w:rPr>
                <w:sz w:val="24"/>
                <w:szCs w:val="20"/>
              </w:rPr>
            </w:pPr>
            <w:r>
              <w:rPr>
                <w:sz w:val="24"/>
                <w:szCs w:val="20"/>
              </w:rPr>
              <w:t>28</w:t>
            </w:r>
            <w:r>
              <w:rPr>
                <w:spacing w:val="-2"/>
                <w:sz w:val="24"/>
                <w:szCs w:val="20"/>
              </w:rPr>
              <w:t xml:space="preserve"> (28,3%)</w:t>
            </w:r>
          </w:p>
        </w:tc>
        <w:tc>
          <w:tcPr>
            <w:tcW w:w="1275" w:type="dxa"/>
          </w:tcPr>
          <w:p w14:paraId="1D284FA7">
            <w:pPr>
              <w:pStyle w:val="11"/>
              <w:spacing w:line="301" w:lineRule="exact"/>
              <w:ind w:left="15" w:right="45"/>
              <w:rPr>
                <w:sz w:val="24"/>
                <w:szCs w:val="20"/>
              </w:rPr>
            </w:pPr>
            <w:r>
              <w:rPr>
                <w:spacing w:val="-2"/>
                <w:sz w:val="24"/>
                <w:szCs w:val="20"/>
              </w:rPr>
              <w:t>&lt;0,001</w:t>
            </w:r>
            <w:r>
              <w:rPr>
                <w:spacing w:val="-2"/>
                <w:sz w:val="24"/>
                <w:szCs w:val="20"/>
                <w:vertAlign w:val="superscript"/>
              </w:rPr>
              <w:t>***</w:t>
            </w:r>
          </w:p>
        </w:tc>
      </w:tr>
      <w:tr w14:paraId="1340A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4395" w:type="dxa"/>
          </w:tcPr>
          <w:p w14:paraId="28EEBB08">
            <w:pPr>
              <w:pStyle w:val="11"/>
              <w:spacing w:line="315" w:lineRule="exact"/>
              <w:ind w:left="110"/>
              <w:jc w:val="left"/>
              <w:rPr>
                <w:sz w:val="24"/>
                <w:szCs w:val="20"/>
              </w:rPr>
            </w:pPr>
            <w:r>
              <w:rPr>
                <w:sz w:val="24"/>
                <w:szCs w:val="20"/>
              </w:rPr>
              <w:t>Панкреатический</w:t>
            </w:r>
            <w:r>
              <w:rPr>
                <w:spacing w:val="-6"/>
                <w:sz w:val="24"/>
                <w:szCs w:val="20"/>
              </w:rPr>
              <w:t xml:space="preserve"> </w:t>
            </w:r>
            <w:r>
              <w:rPr>
                <w:sz w:val="24"/>
                <w:szCs w:val="20"/>
              </w:rPr>
              <w:t>свищ,</w:t>
            </w:r>
            <w:r>
              <w:rPr>
                <w:spacing w:val="2"/>
                <w:sz w:val="24"/>
                <w:szCs w:val="20"/>
              </w:rPr>
              <w:t xml:space="preserve"> </w:t>
            </w:r>
            <w:r>
              <w:rPr>
                <w:sz w:val="24"/>
                <w:szCs w:val="20"/>
              </w:rPr>
              <w:t>n</w:t>
            </w:r>
            <w:r>
              <w:rPr>
                <w:spacing w:val="-9"/>
                <w:sz w:val="24"/>
                <w:szCs w:val="20"/>
              </w:rPr>
              <w:t xml:space="preserve"> </w:t>
            </w:r>
            <w:r>
              <w:rPr>
                <w:sz w:val="24"/>
                <w:szCs w:val="20"/>
              </w:rPr>
              <w:t>(%):</w:t>
            </w:r>
            <w:r>
              <w:rPr>
                <w:spacing w:val="56"/>
                <w:sz w:val="24"/>
                <w:szCs w:val="20"/>
              </w:rPr>
              <w:t xml:space="preserve">   </w:t>
            </w:r>
            <w:r>
              <w:rPr>
                <w:spacing w:val="-10"/>
                <w:sz w:val="24"/>
                <w:szCs w:val="20"/>
              </w:rPr>
              <w:t>А</w:t>
            </w:r>
          </w:p>
          <w:p w14:paraId="6989D814">
            <w:pPr>
              <w:pStyle w:val="11"/>
              <w:spacing w:line="322" w:lineRule="exact"/>
              <w:ind w:right="460"/>
              <w:jc w:val="left"/>
              <w:rPr>
                <w:spacing w:val="-10"/>
                <w:sz w:val="24"/>
                <w:szCs w:val="20"/>
              </w:rPr>
            </w:pPr>
            <w:r>
              <w:rPr>
                <w:spacing w:val="-10"/>
                <w:sz w:val="24"/>
                <w:szCs w:val="20"/>
              </w:rPr>
              <w:t xml:space="preserve">                                                                       В </w:t>
            </w:r>
          </w:p>
          <w:p w14:paraId="68335D9E">
            <w:pPr>
              <w:pStyle w:val="11"/>
              <w:spacing w:line="322" w:lineRule="exact"/>
              <w:ind w:right="460"/>
              <w:jc w:val="left"/>
              <w:rPr>
                <w:sz w:val="24"/>
                <w:szCs w:val="20"/>
              </w:rPr>
            </w:pPr>
            <w:r>
              <w:rPr>
                <w:spacing w:val="-10"/>
                <w:sz w:val="24"/>
                <w:szCs w:val="20"/>
              </w:rPr>
              <w:t xml:space="preserve">                                                                       С</w:t>
            </w:r>
          </w:p>
        </w:tc>
        <w:tc>
          <w:tcPr>
            <w:tcW w:w="2126" w:type="dxa"/>
          </w:tcPr>
          <w:p w14:paraId="159B54E3">
            <w:pPr>
              <w:pStyle w:val="11"/>
              <w:spacing w:line="315" w:lineRule="exact"/>
              <w:ind w:left="312"/>
              <w:jc w:val="left"/>
              <w:rPr>
                <w:sz w:val="24"/>
                <w:szCs w:val="20"/>
              </w:rPr>
            </w:pPr>
            <w:r>
              <w:rPr>
                <w:sz w:val="24"/>
                <w:szCs w:val="20"/>
              </w:rPr>
              <w:t xml:space="preserve">    27</w:t>
            </w:r>
            <w:r>
              <w:rPr>
                <w:spacing w:val="-2"/>
                <w:sz w:val="24"/>
                <w:szCs w:val="20"/>
              </w:rPr>
              <w:t xml:space="preserve"> (22,7%)</w:t>
            </w:r>
          </w:p>
          <w:p w14:paraId="03143DD1">
            <w:pPr>
              <w:pStyle w:val="11"/>
              <w:spacing w:line="322" w:lineRule="exact"/>
              <w:ind w:left="312"/>
              <w:jc w:val="left"/>
              <w:rPr>
                <w:sz w:val="24"/>
                <w:szCs w:val="20"/>
              </w:rPr>
            </w:pPr>
            <w:r>
              <w:rPr>
                <w:sz w:val="24"/>
                <w:szCs w:val="20"/>
              </w:rPr>
              <w:t xml:space="preserve">    33</w:t>
            </w:r>
            <w:r>
              <w:rPr>
                <w:spacing w:val="-2"/>
                <w:sz w:val="24"/>
                <w:szCs w:val="20"/>
              </w:rPr>
              <w:t xml:space="preserve"> (27,8%)</w:t>
            </w:r>
          </w:p>
          <w:p w14:paraId="3A943AFD">
            <w:pPr>
              <w:pStyle w:val="11"/>
              <w:spacing w:line="313" w:lineRule="exact"/>
              <w:ind w:left="451"/>
              <w:jc w:val="left"/>
              <w:rPr>
                <w:sz w:val="24"/>
                <w:szCs w:val="20"/>
              </w:rPr>
            </w:pPr>
            <w:r>
              <w:rPr>
                <w:sz w:val="24"/>
                <w:szCs w:val="20"/>
              </w:rPr>
              <w:t xml:space="preserve">    6</w:t>
            </w:r>
            <w:r>
              <w:rPr>
                <w:spacing w:val="-1"/>
                <w:sz w:val="24"/>
                <w:szCs w:val="20"/>
              </w:rPr>
              <w:t xml:space="preserve"> </w:t>
            </w:r>
            <w:r>
              <w:rPr>
                <w:spacing w:val="-2"/>
                <w:sz w:val="24"/>
                <w:szCs w:val="20"/>
              </w:rPr>
              <w:t>(5,0%)</w:t>
            </w:r>
          </w:p>
        </w:tc>
        <w:tc>
          <w:tcPr>
            <w:tcW w:w="1843" w:type="dxa"/>
          </w:tcPr>
          <w:p w14:paraId="63A7E15D">
            <w:pPr>
              <w:pStyle w:val="11"/>
              <w:spacing w:line="315" w:lineRule="exact"/>
              <w:ind w:left="471"/>
              <w:jc w:val="left"/>
              <w:rPr>
                <w:sz w:val="24"/>
                <w:szCs w:val="20"/>
              </w:rPr>
            </w:pPr>
            <w:r>
              <w:rPr>
                <w:sz w:val="24"/>
                <w:szCs w:val="20"/>
              </w:rPr>
              <w:t>9</w:t>
            </w:r>
            <w:r>
              <w:rPr>
                <w:spacing w:val="-1"/>
                <w:sz w:val="24"/>
                <w:szCs w:val="20"/>
              </w:rPr>
              <w:t xml:space="preserve"> </w:t>
            </w:r>
            <w:r>
              <w:rPr>
                <w:spacing w:val="-2"/>
                <w:sz w:val="24"/>
                <w:szCs w:val="20"/>
              </w:rPr>
              <w:t>(9,1%)</w:t>
            </w:r>
          </w:p>
          <w:p w14:paraId="3A7D9B61">
            <w:pPr>
              <w:pStyle w:val="11"/>
              <w:spacing w:line="322" w:lineRule="exact"/>
              <w:ind w:left="331"/>
              <w:jc w:val="left"/>
              <w:rPr>
                <w:sz w:val="24"/>
                <w:szCs w:val="20"/>
              </w:rPr>
            </w:pPr>
            <w:r>
              <w:rPr>
                <w:sz w:val="24"/>
                <w:szCs w:val="20"/>
              </w:rPr>
              <w:t>17</w:t>
            </w:r>
            <w:r>
              <w:rPr>
                <w:spacing w:val="-2"/>
                <w:sz w:val="24"/>
                <w:szCs w:val="20"/>
              </w:rPr>
              <w:t xml:space="preserve"> (17,1%)</w:t>
            </w:r>
          </w:p>
          <w:p w14:paraId="7FBEB5F8">
            <w:pPr>
              <w:pStyle w:val="11"/>
              <w:spacing w:line="313" w:lineRule="exact"/>
              <w:ind w:left="471"/>
              <w:jc w:val="left"/>
              <w:rPr>
                <w:sz w:val="24"/>
                <w:szCs w:val="20"/>
              </w:rPr>
            </w:pPr>
            <w:r>
              <w:rPr>
                <w:sz w:val="24"/>
                <w:szCs w:val="20"/>
              </w:rPr>
              <w:t>2</w:t>
            </w:r>
            <w:r>
              <w:rPr>
                <w:spacing w:val="-1"/>
                <w:sz w:val="24"/>
                <w:szCs w:val="20"/>
              </w:rPr>
              <w:t xml:space="preserve"> </w:t>
            </w:r>
            <w:r>
              <w:rPr>
                <w:spacing w:val="-2"/>
                <w:sz w:val="24"/>
                <w:szCs w:val="20"/>
              </w:rPr>
              <w:t>(2,1%)</w:t>
            </w:r>
          </w:p>
        </w:tc>
        <w:tc>
          <w:tcPr>
            <w:tcW w:w="1275" w:type="dxa"/>
          </w:tcPr>
          <w:p w14:paraId="5257F436">
            <w:pPr>
              <w:pStyle w:val="11"/>
              <w:spacing w:line="315" w:lineRule="exact"/>
              <w:ind w:left="41" w:right="30"/>
              <w:rPr>
                <w:sz w:val="24"/>
                <w:szCs w:val="20"/>
              </w:rPr>
            </w:pPr>
            <w:r>
              <w:rPr>
                <w:spacing w:val="-2"/>
                <w:sz w:val="24"/>
                <w:szCs w:val="20"/>
              </w:rPr>
              <w:t>0,011</w:t>
            </w:r>
            <w:r>
              <w:rPr>
                <w:spacing w:val="-2"/>
                <w:sz w:val="24"/>
                <w:szCs w:val="20"/>
                <w:vertAlign w:val="superscript"/>
              </w:rPr>
              <w:t>*</w:t>
            </w:r>
          </w:p>
        </w:tc>
      </w:tr>
      <w:tr w14:paraId="3B849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32086047">
            <w:pPr>
              <w:pStyle w:val="11"/>
              <w:spacing w:line="301" w:lineRule="exact"/>
              <w:ind w:left="110"/>
              <w:jc w:val="left"/>
              <w:rPr>
                <w:sz w:val="24"/>
                <w:szCs w:val="20"/>
              </w:rPr>
            </w:pPr>
            <w:r>
              <w:rPr>
                <w:sz w:val="24"/>
                <w:szCs w:val="20"/>
              </w:rPr>
              <w:t>КЗ-ПС</w:t>
            </w:r>
            <w:r>
              <w:rPr>
                <w:spacing w:val="-5"/>
                <w:sz w:val="24"/>
                <w:szCs w:val="20"/>
              </w:rPr>
              <w:t xml:space="preserve"> </w:t>
            </w:r>
            <w:r>
              <w:rPr>
                <w:sz w:val="24"/>
                <w:szCs w:val="20"/>
              </w:rPr>
              <w:t>В/С,</w:t>
            </w:r>
            <w:r>
              <w:rPr>
                <w:spacing w:val="-2"/>
                <w:sz w:val="24"/>
                <w:szCs w:val="20"/>
              </w:rPr>
              <w:t xml:space="preserve"> </w:t>
            </w:r>
            <w:r>
              <w:rPr>
                <w:sz w:val="24"/>
                <w:szCs w:val="20"/>
              </w:rPr>
              <w:t>n</w:t>
            </w:r>
            <w:r>
              <w:rPr>
                <w:spacing w:val="-9"/>
                <w:sz w:val="24"/>
                <w:szCs w:val="20"/>
              </w:rPr>
              <w:t xml:space="preserve"> </w:t>
            </w:r>
            <w:r>
              <w:rPr>
                <w:spacing w:val="-5"/>
                <w:sz w:val="24"/>
                <w:szCs w:val="20"/>
              </w:rPr>
              <w:t>(%)</w:t>
            </w:r>
          </w:p>
        </w:tc>
        <w:tc>
          <w:tcPr>
            <w:tcW w:w="2126" w:type="dxa"/>
          </w:tcPr>
          <w:p w14:paraId="06625000">
            <w:pPr>
              <w:pStyle w:val="11"/>
              <w:spacing w:line="301" w:lineRule="exact"/>
              <w:ind w:left="11" w:right="5"/>
              <w:rPr>
                <w:sz w:val="24"/>
                <w:szCs w:val="20"/>
              </w:rPr>
            </w:pPr>
            <w:r>
              <w:rPr>
                <w:sz w:val="24"/>
                <w:szCs w:val="20"/>
              </w:rPr>
              <w:t>39</w:t>
            </w:r>
            <w:r>
              <w:rPr>
                <w:spacing w:val="-2"/>
                <w:sz w:val="24"/>
                <w:szCs w:val="20"/>
              </w:rPr>
              <w:t xml:space="preserve"> (32,8%)</w:t>
            </w:r>
          </w:p>
        </w:tc>
        <w:tc>
          <w:tcPr>
            <w:tcW w:w="1843" w:type="dxa"/>
          </w:tcPr>
          <w:p w14:paraId="04A3B911">
            <w:pPr>
              <w:pStyle w:val="11"/>
              <w:spacing w:line="301" w:lineRule="exact"/>
              <w:ind w:left="32" w:right="20"/>
              <w:rPr>
                <w:sz w:val="24"/>
                <w:szCs w:val="20"/>
              </w:rPr>
            </w:pPr>
            <w:r>
              <w:rPr>
                <w:sz w:val="24"/>
                <w:szCs w:val="20"/>
              </w:rPr>
              <w:t>19</w:t>
            </w:r>
            <w:r>
              <w:rPr>
                <w:spacing w:val="-2"/>
                <w:sz w:val="24"/>
                <w:szCs w:val="20"/>
              </w:rPr>
              <w:t xml:space="preserve"> (19,1%)</w:t>
            </w:r>
          </w:p>
        </w:tc>
        <w:tc>
          <w:tcPr>
            <w:tcW w:w="1275" w:type="dxa"/>
          </w:tcPr>
          <w:p w14:paraId="17FF62F9">
            <w:pPr>
              <w:pStyle w:val="11"/>
              <w:spacing w:line="301" w:lineRule="exact"/>
              <w:ind w:left="41" w:right="30"/>
              <w:rPr>
                <w:sz w:val="24"/>
                <w:szCs w:val="20"/>
              </w:rPr>
            </w:pPr>
            <w:r>
              <w:rPr>
                <w:spacing w:val="-2"/>
                <w:sz w:val="24"/>
                <w:szCs w:val="20"/>
              </w:rPr>
              <w:t>0,032</w:t>
            </w:r>
            <w:r>
              <w:rPr>
                <w:spacing w:val="-2"/>
                <w:sz w:val="24"/>
                <w:szCs w:val="20"/>
                <w:vertAlign w:val="superscript"/>
              </w:rPr>
              <w:t>*</w:t>
            </w:r>
          </w:p>
        </w:tc>
      </w:tr>
      <w:tr w14:paraId="4A2EF8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6935D0CC">
            <w:pPr>
              <w:pStyle w:val="11"/>
              <w:spacing w:line="301" w:lineRule="exact"/>
              <w:ind w:left="110"/>
              <w:jc w:val="left"/>
              <w:rPr>
                <w:sz w:val="24"/>
                <w:szCs w:val="20"/>
              </w:rPr>
            </w:pPr>
            <w:r>
              <w:rPr>
                <w:sz w:val="24"/>
                <w:szCs w:val="20"/>
              </w:rPr>
              <w:t>Кровотечение,</w:t>
            </w:r>
            <w:r>
              <w:rPr>
                <w:spacing w:val="-6"/>
                <w:sz w:val="24"/>
                <w:szCs w:val="20"/>
              </w:rPr>
              <w:t xml:space="preserve"> </w:t>
            </w:r>
            <w:r>
              <w:rPr>
                <w:sz w:val="24"/>
                <w:szCs w:val="20"/>
              </w:rPr>
              <w:t>n</w:t>
            </w:r>
            <w:r>
              <w:rPr>
                <w:spacing w:val="-11"/>
                <w:sz w:val="24"/>
                <w:szCs w:val="20"/>
              </w:rPr>
              <w:t xml:space="preserve"> </w:t>
            </w:r>
            <w:r>
              <w:rPr>
                <w:spacing w:val="-5"/>
                <w:sz w:val="24"/>
                <w:szCs w:val="20"/>
              </w:rPr>
              <w:t>(%)</w:t>
            </w:r>
          </w:p>
        </w:tc>
        <w:tc>
          <w:tcPr>
            <w:tcW w:w="2126" w:type="dxa"/>
          </w:tcPr>
          <w:p w14:paraId="50980B02">
            <w:pPr>
              <w:pStyle w:val="11"/>
              <w:spacing w:line="301" w:lineRule="exact"/>
              <w:ind w:left="11" w:right="5"/>
              <w:rPr>
                <w:sz w:val="24"/>
                <w:szCs w:val="20"/>
              </w:rPr>
            </w:pPr>
            <w:r>
              <w:rPr>
                <w:sz w:val="24"/>
                <w:szCs w:val="20"/>
              </w:rPr>
              <w:t>4</w:t>
            </w:r>
            <w:r>
              <w:rPr>
                <w:spacing w:val="-1"/>
                <w:sz w:val="24"/>
                <w:szCs w:val="20"/>
              </w:rPr>
              <w:t xml:space="preserve"> </w:t>
            </w:r>
            <w:r>
              <w:rPr>
                <w:spacing w:val="-2"/>
                <w:sz w:val="24"/>
                <w:szCs w:val="20"/>
              </w:rPr>
              <w:t>(3,4%)</w:t>
            </w:r>
          </w:p>
        </w:tc>
        <w:tc>
          <w:tcPr>
            <w:tcW w:w="1843" w:type="dxa"/>
          </w:tcPr>
          <w:p w14:paraId="73EB30F4">
            <w:pPr>
              <w:pStyle w:val="11"/>
              <w:spacing w:line="301" w:lineRule="exact"/>
              <w:ind w:left="32" w:right="20"/>
              <w:rPr>
                <w:sz w:val="24"/>
                <w:szCs w:val="20"/>
              </w:rPr>
            </w:pPr>
            <w:r>
              <w:rPr>
                <w:sz w:val="24"/>
                <w:szCs w:val="20"/>
              </w:rPr>
              <w:t>2</w:t>
            </w:r>
            <w:r>
              <w:rPr>
                <w:spacing w:val="-1"/>
                <w:sz w:val="24"/>
                <w:szCs w:val="20"/>
              </w:rPr>
              <w:t xml:space="preserve"> </w:t>
            </w:r>
            <w:r>
              <w:rPr>
                <w:spacing w:val="-2"/>
                <w:sz w:val="24"/>
                <w:szCs w:val="20"/>
              </w:rPr>
              <w:t>(2,0%)</w:t>
            </w:r>
          </w:p>
        </w:tc>
        <w:tc>
          <w:tcPr>
            <w:tcW w:w="1275" w:type="dxa"/>
          </w:tcPr>
          <w:p w14:paraId="20C1E9B1">
            <w:pPr>
              <w:pStyle w:val="11"/>
              <w:spacing w:line="301" w:lineRule="exact"/>
              <w:ind w:left="45" w:right="30"/>
              <w:rPr>
                <w:sz w:val="24"/>
                <w:szCs w:val="20"/>
              </w:rPr>
            </w:pPr>
            <w:r>
              <w:rPr>
                <w:spacing w:val="-4"/>
                <w:sz w:val="24"/>
                <w:szCs w:val="20"/>
              </w:rPr>
              <w:t>0,694</w:t>
            </w:r>
          </w:p>
        </w:tc>
      </w:tr>
      <w:tr w14:paraId="106D3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06F69DFF">
            <w:pPr>
              <w:pStyle w:val="11"/>
              <w:spacing w:line="301" w:lineRule="exact"/>
              <w:ind w:left="110"/>
              <w:jc w:val="left"/>
              <w:rPr>
                <w:sz w:val="24"/>
                <w:szCs w:val="20"/>
              </w:rPr>
            </w:pPr>
            <w:r>
              <w:rPr>
                <w:sz w:val="24"/>
                <w:szCs w:val="20"/>
              </w:rPr>
              <w:t>Билиарный</w:t>
            </w:r>
            <w:r>
              <w:rPr>
                <w:spacing w:val="-6"/>
                <w:sz w:val="24"/>
                <w:szCs w:val="20"/>
              </w:rPr>
              <w:t xml:space="preserve"> </w:t>
            </w:r>
            <w:r>
              <w:rPr>
                <w:sz w:val="24"/>
                <w:szCs w:val="20"/>
              </w:rPr>
              <w:t>свищ,</w:t>
            </w:r>
            <w:r>
              <w:rPr>
                <w:spacing w:val="-2"/>
                <w:sz w:val="24"/>
                <w:szCs w:val="20"/>
              </w:rPr>
              <w:t xml:space="preserve"> </w:t>
            </w:r>
            <w:r>
              <w:rPr>
                <w:sz w:val="24"/>
                <w:szCs w:val="20"/>
              </w:rPr>
              <w:t>n</w:t>
            </w:r>
            <w:r>
              <w:rPr>
                <w:spacing w:val="-9"/>
                <w:sz w:val="24"/>
                <w:szCs w:val="20"/>
              </w:rPr>
              <w:t xml:space="preserve"> </w:t>
            </w:r>
            <w:r>
              <w:rPr>
                <w:spacing w:val="-5"/>
                <w:sz w:val="24"/>
                <w:szCs w:val="20"/>
              </w:rPr>
              <w:t>(%)</w:t>
            </w:r>
          </w:p>
        </w:tc>
        <w:tc>
          <w:tcPr>
            <w:tcW w:w="2126" w:type="dxa"/>
          </w:tcPr>
          <w:p w14:paraId="3E1804F2">
            <w:pPr>
              <w:pStyle w:val="11"/>
              <w:spacing w:line="301" w:lineRule="exact"/>
              <w:ind w:left="11" w:right="5"/>
              <w:rPr>
                <w:sz w:val="24"/>
                <w:szCs w:val="20"/>
              </w:rPr>
            </w:pPr>
            <w:r>
              <w:rPr>
                <w:sz w:val="24"/>
                <w:szCs w:val="20"/>
              </w:rPr>
              <w:t>3</w:t>
            </w:r>
            <w:r>
              <w:rPr>
                <w:spacing w:val="-1"/>
                <w:sz w:val="24"/>
                <w:szCs w:val="20"/>
              </w:rPr>
              <w:t xml:space="preserve"> </w:t>
            </w:r>
            <w:r>
              <w:rPr>
                <w:spacing w:val="-2"/>
                <w:sz w:val="24"/>
                <w:szCs w:val="20"/>
              </w:rPr>
              <w:t>(2,5%)</w:t>
            </w:r>
          </w:p>
        </w:tc>
        <w:tc>
          <w:tcPr>
            <w:tcW w:w="1843" w:type="dxa"/>
          </w:tcPr>
          <w:p w14:paraId="3A82926E">
            <w:pPr>
              <w:pStyle w:val="11"/>
              <w:spacing w:line="301" w:lineRule="exact"/>
              <w:ind w:left="32" w:right="20"/>
              <w:rPr>
                <w:sz w:val="24"/>
                <w:szCs w:val="20"/>
              </w:rPr>
            </w:pPr>
            <w:r>
              <w:rPr>
                <w:sz w:val="24"/>
                <w:szCs w:val="20"/>
              </w:rPr>
              <w:t>2</w:t>
            </w:r>
            <w:r>
              <w:rPr>
                <w:spacing w:val="-1"/>
                <w:sz w:val="24"/>
                <w:szCs w:val="20"/>
              </w:rPr>
              <w:t xml:space="preserve"> </w:t>
            </w:r>
            <w:r>
              <w:rPr>
                <w:spacing w:val="-2"/>
                <w:sz w:val="24"/>
                <w:szCs w:val="20"/>
              </w:rPr>
              <w:t>(2,0%)</w:t>
            </w:r>
          </w:p>
        </w:tc>
        <w:tc>
          <w:tcPr>
            <w:tcW w:w="1275" w:type="dxa"/>
          </w:tcPr>
          <w:p w14:paraId="3E38499F">
            <w:pPr>
              <w:pStyle w:val="11"/>
              <w:spacing w:line="301" w:lineRule="exact"/>
              <w:ind w:left="45" w:right="30"/>
              <w:rPr>
                <w:sz w:val="24"/>
                <w:szCs w:val="20"/>
              </w:rPr>
            </w:pPr>
            <w:r>
              <w:rPr>
                <w:spacing w:val="-4"/>
                <w:sz w:val="24"/>
                <w:szCs w:val="20"/>
              </w:rPr>
              <w:t>1,000</w:t>
            </w:r>
          </w:p>
        </w:tc>
      </w:tr>
      <w:tr w14:paraId="5EADC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Pr>
          <w:p w14:paraId="485AAE32">
            <w:pPr>
              <w:pStyle w:val="11"/>
              <w:spacing w:line="302" w:lineRule="exact"/>
              <w:ind w:left="110"/>
              <w:jc w:val="left"/>
              <w:rPr>
                <w:sz w:val="24"/>
                <w:szCs w:val="20"/>
              </w:rPr>
            </w:pPr>
            <w:r>
              <w:rPr>
                <w:sz w:val="24"/>
                <w:szCs w:val="20"/>
              </w:rPr>
              <w:t>Релапаротомия,</w:t>
            </w:r>
            <w:r>
              <w:rPr>
                <w:spacing w:val="-5"/>
                <w:sz w:val="24"/>
                <w:szCs w:val="20"/>
              </w:rPr>
              <w:t xml:space="preserve"> </w:t>
            </w:r>
            <w:r>
              <w:rPr>
                <w:sz w:val="24"/>
                <w:szCs w:val="20"/>
              </w:rPr>
              <w:t>n</w:t>
            </w:r>
            <w:r>
              <w:rPr>
                <w:spacing w:val="-10"/>
                <w:sz w:val="24"/>
                <w:szCs w:val="20"/>
              </w:rPr>
              <w:t xml:space="preserve"> </w:t>
            </w:r>
            <w:r>
              <w:rPr>
                <w:spacing w:val="-5"/>
                <w:sz w:val="24"/>
                <w:szCs w:val="20"/>
              </w:rPr>
              <w:t>(%)</w:t>
            </w:r>
          </w:p>
        </w:tc>
        <w:tc>
          <w:tcPr>
            <w:tcW w:w="2126" w:type="dxa"/>
          </w:tcPr>
          <w:p w14:paraId="59D98695">
            <w:pPr>
              <w:pStyle w:val="11"/>
              <w:spacing w:line="302" w:lineRule="exact"/>
              <w:ind w:left="11" w:right="5"/>
              <w:rPr>
                <w:sz w:val="24"/>
                <w:szCs w:val="20"/>
              </w:rPr>
            </w:pPr>
            <w:r>
              <w:rPr>
                <w:sz w:val="24"/>
                <w:szCs w:val="20"/>
              </w:rPr>
              <w:t>9</w:t>
            </w:r>
            <w:r>
              <w:rPr>
                <w:spacing w:val="-1"/>
                <w:sz w:val="24"/>
                <w:szCs w:val="20"/>
              </w:rPr>
              <w:t xml:space="preserve"> </w:t>
            </w:r>
            <w:r>
              <w:rPr>
                <w:spacing w:val="-2"/>
                <w:sz w:val="24"/>
                <w:szCs w:val="20"/>
              </w:rPr>
              <w:t>(7,5%)</w:t>
            </w:r>
          </w:p>
        </w:tc>
        <w:tc>
          <w:tcPr>
            <w:tcW w:w="1843" w:type="dxa"/>
          </w:tcPr>
          <w:p w14:paraId="090CFAD8">
            <w:pPr>
              <w:pStyle w:val="11"/>
              <w:spacing w:line="302" w:lineRule="exact"/>
              <w:ind w:left="32" w:right="20"/>
              <w:rPr>
                <w:sz w:val="24"/>
                <w:szCs w:val="20"/>
              </w:rPr>
            </w:pPr>
            <w:r>
              <w:rPr>
                <w:sz w:val="24"/>
                <w:szCs w:val="20"/>
              </w:rPr>
              <w:t>1</w:t>
            </w:r>
            <w:r>
              <w:rPr>
                <w:spacing w:val="-1"/>
                <w:sz w:val="24"/>
                <w:szCs w:val="20"/>
              </w:rPr>
              <w:t xml:space="preserve"> </w:t>
            </w:r>
            <w:r>
              <w:rPr>
                <w:spacing w:val="-2"/>
                <w:sz w:val="24"/>
                <w:szCs w:val="20"/>
              </w:rPr>
              <w:t>(1,0%)</w:t>
            </w:r>
          </w:p>
        </w:tc>
        <w:tc>
          <w:tcPr>
            <w:tcW w:w="1275" w:type="dxa"/>
          </w:tcPr>
          <w:p w14:paraId="51FFD57C">
            <w:pPr>
              <w:pStyle w:val="11"/>
              <w:spacing w:line="302" w:lineRule="exact"/>
              <w:ind w:left="41" w:right="30"/>
              <w:rPr>
                <w:sz w:val="24"/>
                <w:szCs w:val="20"/>
              </w:rPr>
            </w:pPr>
            <w:r>
              <w:rPr>
                <w:spacing w:val="-2"/>
                <w:sz w:val="24"/>
                <w:szCs w:val="20"/>
              </w:rPr>
              <w:t>0,028</w:t>
            </w:r>
            <w:r>
              <w:rPr>
                <w:spacing w:val="-2"/>
                <w:sz w:val="24"/>
                <w:szCs w:val="20"/>
                <w:vertAlign w:val="superscript"/>
              </w:rPr>
              <w:t>*</w:t>
            </w:r>
          </w:p>
        </w:tc>
      </w:tr>
      <w:tr w14:paraId="111A0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Borders>
              <w:bottom w:val="single" w:color="000000" w:sz="4" w:space="0"/>
            </w:tcBorders>
          </w:tcPr>
          <w:p w14:paraId="4B805AFC">
            <w:pPr>
              <w:pStyle w:val="11"/>
              <w:spacing w:line="301" w:lineRule="exact"/>
              <w:ind w:left="110"/>
              <w:jc w:val="left"/>
              <w:rPr>
                <w:sz w:val="24"/>
                <w:szCs w:val="20"/>
              </w:rPr>
            </w:pPr>
            <w:r>
              <w:rPr>
                <w:sz w:val="24"/>
                <w:szCs w:val="20"/>
              </w:rPr>
              <w:t>Кровотечение</w:t>
            </w:r>
            <w:r>
              <w:rPr>
                <w:spacing w:val="-9"/>
                <w:sz w:val="24"/>
                <w:szCs w:val="20"/>
              </w:rPr>
              <w:t xml:space="preserve"> </w:t>
            </w:r>
            <w:r>
              <w:rPr>
                <w:sz w:val="24"/>
                <w:szCs w:val="20"/>
              </w:rPr>
              <w:t>связанное</w:t>
            </w:r>
            <w:r>
              <w:rPr>
                <w:spacing w:val="-9"/>
                <w:sz w:val="24"/>
                <w:szCs w:val="20"/>
              </w:rPr>
              <w:t xml:space="preserve"> </w:t>
            </w:r>
            <w:r>
              <w:rPr>
                <w:sz w:val="24"/>
                <w:szCs w:val="20"/>
              </w:rPr>
              <w:t>со</w:t>
            </w:r>
            <w:r>
              <w:rPr>
                <w:spacing w:val="-10"/>
                <w:sz w:val="24"/>
                <w:szCs w:val="20"/>
              </w:rPr>
              <w:t xml:space="preserve"> </w:t>
            </w:r>
            <w:r>
              <w:rPr>
                <w:spacing w:val="-2"/>
                <w:sz w:val="24"/>
                <w:szCs w:val="20"/>
              </w:rPr>
              <w:t>свищем</w:t>
            </w:r>
          </w:p>
        </w:tc>
        <w:tc>
          <w:tcPr>
            <w:tcW w:w="2126" w:type="dxa"/>
            <w:tcBorders>
              <w:bottom w:val="single" w:color="000000" w:sz="4" w:space="0"/>
            </w:tcBorders>
          </w:tcPr>
          <w:p w14:paraId="162F4832">
            <w:pPr>
              <w:pStyle w:val="11"/>
              <w:spacing w:line="301" w:lineRule="exact"/>
              <w:ind w:left="11" w:right="5"/>
              <w:rPr>
                <w:sz w:val="24"/>
                <w:szCs w:val="20"/>
              </w:rPr>
            </w:pPr>
            <w:r>
              <w:rPr>
                <w:sz w:val="24"/>
                <w:szCs w:val="20"/>
              </w:rPr>
              <w:t>6</w:t>
            </w:r>
            <w:r>
              <w:rPr>
                <w:spacing w:val="-1"/>
                <w:sz w:val="24"/>
                <w:szCs w:val="20"/>
              </w:rPr>
              <w:t xml:space="preserve"> </w:t>
            </w:r>
            <w:r>
              <w:rPr>
                <w:spacing w:val="-2"/>
                <w:sz w:val="24"/>
                <w:szCs w:val="20"/>
              </w:rPr>
              <w:t>(5,0%)</w:t>
            </w:r>
          </w:p>
        </w:tc>
        <w:tc>
          <w:tcPr>
            <w:tcW w:w="1843" w:type="dxa"/>
            <w:tcBorders>
              <w:bottom w:val="single" w:color="000000" w:sz="4" w:space="0"/>
            </w:tcBorders>
          </w:tcPr>
          <w:p w14:paraId="2EF1670E">
            <w:pPr>
              <w:pStyle w:val="11"/>
              <w:spacing w:line="301" w:lineRule="exact"/>
              <w:ind w:left="32" w:right="20"/>
              <w:rPr>
                <w:sz w:val="24"/>
                <w:szCs w:val="20"/>
              </w:rPr>
            </w:pPr>
            <w:r>
              <w:rPr>
                <w:sz w:val="24"/>
                <w:szCs w:val="20"/>
              </w:rPr>
              <w:t>2</w:t>
            </w:r>
            <w:r>
              <w:rPr>
                <w:spacing w:val="-1"/>
                <w:sz w:val="24"/>
                <w:szCs w:val="20"/>
              </w:rPr>
              <w:t xml:space="preserve"> </w:t>
            </w:r>
            <w:r>
              <w:rPr>
                <w:spacing w:val="-2"/>
                <w:sz w:val="24"/>
                <w:szCs w:val="20"/>
              </w:rPr>
              <w:t>(2,0%)</w:t>
            </w:r>
          </w:p>
        </w:tc>
        <w:tc>
          <w:tcPr>
            <w:tcW w:w="1275" w:type="dxa"/>
            <w:tcBorders>
              <w:bottom w:val="single" w:color="000000" w:sz="4" w:space="0"/>
            </w:tcBorders>
          </w:tcPr>
          <w:p w14:paraId="7E0B4319">
            <w:pPr>
              <w:pStyle w:val="11"/>
              <w:spacing w:line="301" w:lineRule="exact"/>
              <w:ind w:left="45" w:right="30"/>
              <w:rPr>
                <w:sz w:val="24"/>
                <w:szCs w:val="20"/>
              </w:rPr>
            </w:pPr>
            <w:r>
              <w:rPr>
                <w:spacing w:val="-4"/>
                <w:sz w:val="24"/>
                <w:szCs w:val="20"/>
              </w:rPr>
              <w:t>0,305</w:t>
            </w:r>
          </w:p>
        </w:tc>
      </w:tr>
      <w:tr w14:paraId="405C0D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95" w:type="dxa"/>
            <w:tcBorders>
              <w:bottom w:val="nil"/>
            </w:tcBorders>
          </w:tcPr>
          <w:p w14:paraId="2F74301A">
            <w:pPr>
              <w:pStyle w:val="11"/>
              <w:spacing w:line="301" w:lineRule="exact"/>
              <w:ind w:left="110"/>
              <w:jc w:val="left"/>
              <w:rPr>
                <w:sz w:val="24"/>
                <w:szCs w:val="20"/>
              </w:rPr>
            </w:pPr>
            <w:r>
              <w:rPr>
                <w:sz w:val="24"/>
                <w:szCs w:val="20"/>
              </w:rPr>
              <w:t>Гастростаз,</w:t>
            </w:r>
            <w:r>
              <w:rPr>
                <w:spacing w:val="-5"/>
                <w:sz w:val="24"/>
                <w:szCs w:val="20"/>
              </w:rPr>
              <w:t xml:space="preserve"> </w:t>
            </w:r>
            <w:r>
              <w:rPr>
                <w:sz w:val="24"/>
                <w:szCs w:val="20"/>
              </w:rPr>
              <w:t>n</w:t>
            </w:r>
            <w:r>
              <w:rPr>
                <w:spacing w:val="-11"/>
                <w:sz w:val="24"/>
                <w:szCs w:val="20"/>
              </w:rPr>
              <w:t xml:space="preserve"> </w:t>
            </w:r>
            <w:r>
              <w:rPr>
                <w:spacing w:val="-5"/>
                <w:sz w:val="24"/>
                <w:szCs w:val="20"/>
              </w:rPr>
              <w:t>(%)</w:t>
            </w:r>
          </w:p>
        </w:tc>
        <w:tc>
          <w:tcPr>
            <w:tcW w:w="2126" w:type="dxa"/>
            <w:tcBorders>
              <w:bottom w:val="nil"/>
            </w:tcBorders>
          </w:tcPr>
          <w:p w14:paraId="176610A4">
            <w:pPr>
              <w:pStyle w:val="11"/>
              <w:spacing w:line="301" w:lineRule="exact"/>
              <w:ind w:left="11" w:right="5"/>
              <w:rPr>
                <w:sz w:val="24"/>
                <w:szCs w:val="20"/>
              </w:rPr>
            </w:pPr>
            <w:r>
              <w:rPr>
                <w:sz w:val="24"/>
                <w:szCs w:val="20"/>
              </w:rPr>
              <w:t>5</w:t>
            </w:r>
            <w:r>
              <w:rPr>
                <w:spacing w:val="-1"/>
                <w:sz w:val="24"/>
                <w:szCs w:val="20"/>
              </w:rPr>
              <w:t xml:space="preserve"> </w:t>
            </w:r>
            <w:r>
              <w:rPr>
                <w:spacing w:val="-2"/>
                <w:sz w:val="24"/>
                <w:szCs w:val="20"/>
              </w:rPr>
              <w:t>(4,2%)</w:t>
            </w:r>
          </w:p>
        </w:tc>
        <w:tc>
          <w:tcPr>
            <w:tcW w:w="1843" w:type="dxa"/>
            <w:tcBorders>
              <w:bottom w:val="nil"/>
            </w:tcBorders>
          </w:tcPr>
          <w:p w14:paraId="41992A16">
            <w:pPr>
              <w:pStyle w:val="11"/>
              <w:spacing w:line="301" w:lineRule="exact"/>
              <w:ind w:left="32" w:right="20"/>
              <w:rPr>
                <w:sz w:val="24"/>
                <w:szCs w:val="20"/>
              </w:rPr>
            </w:pPr>
            <w:r>
              <w:rPr>
                <w:sz w:val="24"/>
                <w:szCs w:val="20"/>
              </w:rPr>
              <w:t>5</w:t>
            </w:r>
            <w:r>
              <w:rPr>
                <w:spacing w:val="-1"/>
                <w:sz w:val="24"/>
                <w:szCs w:val="20"/>
              </w:rPr>
              <w:t xml:space="preserve"> </w:t>
            </w:r>
            <w:r>
              <w:rPr>
                <w:spacing w:val="-2"/>
                <w:sz w:val="24"/>
                <w:szCs w:val="20"/>
              </w:rPr>
              <w:t>(5,0%)</w:t>
            </w:r>
          </w:p>
        </w:tc>
        <w:tc>
          <w:tcPr>
            <w:tcW w:w="1275" w:type="dxa"/>
            <w:tcBorders>
              <w:bottom w:val="nil"/>
            </w:tcBorders>
          </w:tcPr>
          <w:p w14:paraId="2BF064E9">
            <w:pPr>
              <w:pStyle w:val="11"/>
              <w:spacing w:line="301" w:lineRule="exact"/>
              <w:ind w:left="45" w:right="30"/>
              <w:rPr>
                <w:sz w:val="24"/>
                <w:szCs w:val="20"/>
              </w:rPr>
            </w:pPr>
            <w:r>
              <w:rPr>
                <w:spacing w:val="-4"/>
                <w:sz w:val="24"/>
                <w:szCs w:val="20"/>
              </w:rPr>
              <w:t>1,000</w:t>
            </w:r>
          </w:p>
        </w:tc>
      </w:tr>
      <w:tr w14:paraId="213F7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395" w:type="dxa"/>
          </w:tcPr>
          <w:p w14:paraId="2C925924">
            <w:pPr>
              <w:pStyle w:val="11"/>
              <w:spacing w:line="306" w:lineRule="exact"/>
              <w:ind w:left="110"/>
              <w:jc w:val="left"/>
              <w:rPr>
                <w:sz w:val="24"/>
                <w:szCs w:val="20"/>
              </w:rPr>
            </w:pPr>
            <w:r>
              <w:rPr>
                <w:sz w:val="24"/>
                <w:szCs w:val="20"/>
              </w:rPr>
              <w:t>Госпитальная</w:t>
            </w:r>
            <w:r>
              <w:rPr>
                <w:spacing w:val="-8"/>
                <w:sz w:val="24"/>
                <w:szCs w:val="20"/>
              </w:rPr>
              <w:t xml:space="preserve"> </w:t>
            </w:r>
            <w:r>
              <w:rPr>
                <w:sz w:val="24"/>
                <w:szCs w:val="20"/>
              </w:rPr>
              <w:t>летальность,</w:t>
            </w:r>
            <w:r>
              <w:rPr>
                <w:spacing w:val="-4"/>
                <w:sz w:val="24"/>
                <w:szCs w:val="20"/>
              </w:rPr>
              <w:t xml:space="preserve"> </w:t>
            </w:r>
            <w:r>
              <w:rPr>
                <w:sz w:val="24"/>
                <w:szCs w:val="20"/>
              </w:rPr>
              <w:t>n</w:t>
            </w:r>
            <w:r>
              <w:rPr>
                <w:spacing w:val="-12"/>
                <w:sz w:val="24"/>
                <w:szCs w:val="20"/>
              </w:rPr>
              <w:t xml:space="preserve"> </w:t>
            </w:r>
            <w:r>
              <w:rPr>
                <w:spacing w:val="-5"/>
                <w:sz w:val="24"/>
                <w:szCs w:val="20"/>
              </w:rPr>
              <w:t>(%)</w:t>
            </w:r>
          </w:p>
        </w:tc>
        <w:tc>
          <w:tcPr>
            <w:tcW w:w="2126" w:type="dxa"/>
          </w:tcPr>
          <w:p w14:paraId="057280F7">
            <w:pPr>
              <w:pStyle w:val="11"/>
              <w:spacing w:line="306" w:lineRule="exact"/>
              <w:ind w:left="11"/>
              <w:rPr>
                <w:sz w:val="24"/>
                <w:szCs w:val="20"/>
              </w:rPr>
            </w:pPr>
            <w:r>
              <w:rPr>
                <w:sz w:val="24"/>
                <w:szCs w:val="20"/>
              </w:rPr>
              <w:t>10</w:t>
            </w:r>
            <w:r>
              <w:rPr>
                <w:spacing w:val="-2"/>
                <w:sz w:val="24"/>
                <w:szCs w:val="20"/>
              </w:rPr>
              <w:t xml:space="preserve"> (8,4%)</w:t>
            </w:r>
          </w:p>
        </w:tc>
        <w:tc>
          <w:tcPr>
            <w:tcW w:w="1843" w:type="dxa"/>
          </w:tcPr>
          <w:p w14:paraId="14CA30C4">
            <w:pPr>
              <w:pStyle w:val="11"/>
              <w:spacing w:line="306" w:lineRule="exact"/>
              <w:ind w:left="32" w:right="20"/>
              <w:rPr>
                <w:sz w:val="24"/>
                <w:szCs w:val="20"/>
              </w:rPr>
            </w:pPr>
            <w:r>
              <w:rPr>
                <w:sz w:val="24"/>
                <w:szCs w:val="20"/>
              </w:rPr>
              <w:t xml:space="preserve">2 </w:t>
            </w:r>
            <w:r>
              <w:rPr>
                <w:spacing w:val="-2"/>
                <w:sz w:val="24"/>
                <w:szCs w:val="20"/>
              </w:rPr>
              <w:t>(2,0%)</w:t>
            </w:r>
          </w:p>
        </w:tc>
        <w:tc>
          <w:tcPr>
            <w:tcW w:w="1275" w:type="dxa"/>
          </w:tcPr>
          <w:p w14:paraId="2BBD890D">
            <w:pPr>
              <w:pStyle w:val="11"/>
              <w:spacing w:line="306" w:lineRule="exact"/>
              <w:ind w:left="45" w:right="30"/>
              <w:rPr>
                <w:sz w:val="24"/>
                <w:szCs w:val="20"/>
              </w:rPr>
            </w:pPr>
            <w:r>
              <w:rPr>
                <w:spacing w:val="-4"/>
                <w:sz w:val="24"/>
                <w:szCs w:val="20"/>
              </w:rPr>
              <w:t>0,070</w:t>
            </w:r>
          </w:p>
        </w:tc>
      </w:tr>
      <w:tr w14:paraId="0D040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4395" w:type="dxa"/>
          </w:tcPr>
          <w:p w14:paraId="1A4DC633">
            <w:pPr>
              <w:pStyle w:val="11"/>
              <w:spacing w:line="315" w:lineRule="exact"/>
              <w:ind w:left="110"/>
              <w:jc w:val="left"/>
              <w:rPr>
                <w:sz w:val="24"/>
                <w:szCs w:val="20"/>
              </w:rPr>
            </w:pPr>
            <w:r>
              <w:rPr>
                <w:sz w:val="24"/>
                <w:szCs w:val="20"/>
              </w:rPr>
              <w:t>Длительность</w:t>
            </w:r>
            <w:r>
              <w:rPr>
                <w:spacing w:val="-16"/>
                <w:sz w:val="24"/>
                <w:szCs w:val="20"/>
              </w:rPr>
              <w:t xml:space="preserve"> </w:t>
            </w:r>
            <w:r>
              <w:rPr>
                <w:sz w:val="24"/>
                <w:szCs w:val="20"/>
              </w:rPr>
              <w:t>госпитализация,</w:t>
            </w:r>
            <w:r>
              <w:rPr>
                <w:spacing w:val="-12"/>
                <w:sz w:val="24"/>
                <w:szCs w:val="20"/>
              </w:rPr>
              <w:t xml:space="preserve"> </w:t>
            </w:r>
            <w:r>
              <w:rPr>
                <w:spacing w:val="-4"/>
                <w:sz w:val="24"/>
                <w:szCs w:val="20"/>
              </w:rPr>
              <w:t>дни,</w:t>
            </w:r>
          </w:p>
          <w:p w14:paraId="34B95A3C">
            <w:pPr>
              <w:pStyle w:val="11"/>
              <w:ind w:left="110"/>
              <w:jc w:val="left"/>
              <w:rPr>
                <w:sz w:val="24"/>
                <w:szCs w:val="20"/>
              </w:rPr>
            </w:pPr>
            <w:r>
              <w:rPr>
                <w:sz w:val="24"/>
                <w:szCs w:val="20"/>
              </w:rPr>
              <w:t>Me</w:t>
            </w:r>
            <w:r>
              <w:rPr>
                <w:spacing w:val="-3"/>
                <w:sz w:val="24"/>
                <w:szCs w:val="20"/>
              </w:rPr>
              <w:t xml:space="preserve"> </w:t>
            </w:r>
            <w:r>
              <w:rPr>
                <w:sz w:val="24"/>
                <w:szCs w:val="20"/>
              </w:rPr>
              <w:t>[Q1;</w:t>
            </w:r>
            <w:r>
              <w:rPr>
                <w:spacing w:val="-4"/>
                <w:sz w:val="24"/>
                <w:szCs w:val="20"/>
              </w:rPr>
              <w:t xml:space="preserve"> </w:t>
            </w:r>
            <w:r>
              <w:rPr>
                <w:spacing w:val="-5"/>
                <w:sz w:val="24"/>
                <w:szCs w:val="20"/>
              </w:rPr>
              <w:t>Q3]</w:t>
            </w:r>
          </w:p>
        </w:tc>
        <w:tc>
          <w:tcPr>
            <w:tcW w:w="2126" w:type="dxa"/>
          </w:tcPr>
          <w:p w14:paraId="45C7831E">
            <w:pPr>
              <w:pStyle w:val="11"/>
              <w:spacing w:line="306" w:lineRule="exact"/>
              <w:ind w:left="11"/>
              <w:rPr>
                <w:sz w:val="24"/>
                <w:szCs w:val="20"/>
              </w:rPr>
            </w:pPr>
            <w:r>
              <w:rPr>
                <w:sz w:val="24"/>
                <w:szCs w:val="20"/>
              </w:rPr>
              <w:t>25 [23; 27]</w:t>
            </w:r>
          </w:p>
        </w:tc>
        <w:tc>
          <w:tcPr>
            <w:tcW w:w="1843" w:type="dxa"/>
          </w:tcPr>
          <w:p w14:paraId="11FDEF24">
            <w:pPr>
              <w:pStyle w:val="11"/>
              <w:spacing w:line="306" w:lineRule="exact"/>
              <w:ind w:left="26"/>
              <w:rPr>
                <w:sz w:val="24"/>
                <w:szCs w:val="20"/>
              </w:rPr>
            </w:pPr>
            <w:r>
              <w:rPr>
                <w:sz w:val="24"/>
                <w:szCs w:val="20"/>
              </w:rPr>
              <w:t>16 [13; 18]</w:t>
            </w:r>
          </w:p>
        </w:tc>
        <w:tc>
          <w:tcPr>
            <w:tcW w:w="1275" w:type="dxa"/>
          </w:tcPr>
          <w:p w14:paraId="55CBF85E">
            <w:pPr>
              <w:pStyle w:val="11"/>
              <w:spacing w:line="306" w:lineRule="exact"/>
              <w:ind w:left="45"/>
              <w:rPr>
                <w:sz w:val="24"/>
                <w:szCs w:val="20"/>
                <w:vertAlign w:val="superscript"/>
              </w:rPr>
            </w:pPr>
            <w:r>
              <w:rPr>
                <w:sz w:val="24"/>
                <w:szCs w:val="20"/>
              </w:rPr>
              <w:t>&lt;0,001</w:t>
            </w:r>
            <w:r>
              <w:rPr>
                <w:sz w:val="24"/>
                <w:szCs w:val="20"/>
                <w:vertAlign w:val="superscript"/>
              </w:rPr>
              <w:t>***</w:t>
            </w:r>
          </w:p>
        </w:tc>
      </w:tr>
      <w:tr w14:paraId="55335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639" w:type="dxa"/>
            <w:gridSpan w:val="4"/>
          </w:tcPr>
          <w:p w14:paraId="6DD310AB">
            <w:pPr>
              <w:pStyle w:val="11"/>
              <w:spacing w:line="240" w:lineRule="auto"/>
              <w:ind w:left="110" w:right="116" w:firstLine="599"/>
              <w:jc w:val="both"/>
              <w:rPr>
                <w:sz w:val="24"/>
                <w:szCs w:val="20"/>
              </w:rPr>
            </w:pPr>
            <w:r>
              <w:rPr>
                <w:sz w:val="24"/>
                <w:szCs w:val="20"/>
              </w:rPr>
              <w:t>Примечание: Категориальные</w:t>
            </w:r>
            <w:r>
              <w:rPr>
                <w:spacing w:val="-2"/>
                <w:sz w:val="24"/>
                <w:szCs w:val="20"/>
              </w:rPr>
              <w:t xml:space="preserve"> </w:t>
            </w:r>
            <w:r>
              <w:rPr>
                <w:sz w:val="24"/>
                <w:szCs w:val="20"/>
              </w:rPr>
              <w:t>данные</w:t>
            </w:r>
            <w:r>
              <w:rPr>
                <w:spacing w:val="-2"/>
                <w:sz w:val="24"/>
                <w:szCs w:val="20"/>
              </w:rPr>
              <w:t xml:space="preserve"> </w:t>
            </w:r>
            <w:r>
              <w:rPr>
                <w:sz w:val="24"/>
                <w:szCs w:val="20"/>
              </w:rPr>
              <w:t>представлены как</w:t>
            </w:r>
            <w:r>
              <w:rPr>
                <w:spacing w:val="-2"/>
                <w:sz w:val="24"/>
                <w:szCs w:val="20"/>
              </w:rPr>
              <w:t xml:space="preserve"> </w:t>
            </w:r>
            <w:r>
              <w:rPr>
                <w:sz w:val="24"/>
                <w:szCs w:val="20"/>
              </w:rPr>
              <w:t>абсолютные</w:t>
            </w:r>
            <w:r>
              <w:rPr>
                <w:spacing w:val="-2"/>
                <w:sz w:val="24"/>
                <w:szCs w:val="20"/>
              </w:rPr>
              <w:t xml:space="preserve"> </w:t>
            </w:r>
            <w:r>
              <w:rPr>
                <w:sz w:val="24"/>
                <w:szCs w:val="20"/>
              </w:rPr>
              <w:t>значения и проценты — n</w:t>
            </w:r>
            <w:r>
              <w:rPr>
                <w:spacing w:val="-1"/>
                <w:sz w:val="24"/>
                <w:szCs w:val="20"/>
              </w:rPr>
              <w:t xml:space="preserve"> </w:t>
            </w:r>
            <w:r>
              <w:rPr>
                <w:sz w:val="24"/>
                <w:szCs w:val="20"/>
              </w:rPr>
              <w:t>(%). *</w:t>
            </w:r>
            <w:r>
              <w:rPr>
                <w:spacing w:val="-6"/>
                <w:sz w:val="24"/>
                <w:szCs w:val="20"/>
              </w:rPr>
              <w:t xml:space="preserve"> </w:t>
            </w:r>
            <w:r>
              <w:rPr>
                <w:sz w:val="24"/>
                <w:szCs w:val="20"/>
              </w:rPr>
              <w:t>p &lt; 0,05, ** p &lt; 0,01, ***</w:t>
            </w:r>
            <w:r>
              <w:rPr>
                <w:spacing w:val="-2"/>
                <w:sz w:val="24"/>
                <w:szCs w:val="20"/>
              </w:rPr>
              <w:t xml:space="preserve"> </w:t>
            </w:r>
            <w:r>
              <w:rPr>
                <w:sz w:val="24"/>
                <w:szCs w:val="20"/>
              </w:rPr>
              <w:t>p &lt; 0,001. Для сравнения категориальных переменных применён точный критерий Фишера.</w:t>
            </w:r>
            <w:r>
              <w:rPr>
                <w:spacing w:val="-3"/>
                <w:sz w:val="24"/>
                <w:szCs w:val="20"/>
              </w:rPr>
              <w:t xml:space="preserve"> </w:t>
            </w:r>
            <w:r>
              <w:rPr>
                <w:sz w:val="24"/>
                <w:szCs w:val="20"/>
              </w:rPr>
              <w:t>Для</w:t>
            </w:r>
            <w:r>
              <w:rPr>
                <w:spacing w:val="-6"/>
                <w:sz w:val="24"/>
                <w:szCs w:val="20"/>
              </w:rPr>
              <w:t xml:space="preserve"> </w:t>
            </w:r>
            <w:r>
              <w:rPr>
                <w:sz w:val="24"/>
                <w:szCs w:val="20"/>
              </w:rPr>
              <w:t>сравнения</w:t>
            </w:r>
            <w:r>
              <w:rPr>
                <w:spacing w:val="-6"/>
                <w:sz w:val="24"/>
                <w:szCs w:val="20"/>
              </w:rPr>
              <w:t xml:space="preserve"> </w:t>
            </w:r>
            <w:r>
              <w:rPr>
                <w:sz w:val="24"/>
                <w:szCs w:val="20"/>
              </w:rPr>
              <w:t>количественных</w:t>
            </w:r>
            <w:r>
              <w:rPr>
                <w:spacing w:val="-5"/>
                <w:sz w:val="24"/>
                <w:szCs w:val="20"/>
              </w:rPr>
              <w:t xml:space="preserve"> </w:t>
            </w:r>
            <w:r>
              <w:rPr>
                <w:sz w:val="24"/>
                <w:szCs w:val="20"/>
              </w:rPr>
              <w:t>переменных</w:t>
            </w:r>
            <w:r>
              <w:rPr>
                <w:spacing w:val="-5"/>
                <w:sz w:val="24"/>
                <w:szCs w:val="20"/>
              </w:rPr>
              <w:t xml:space="preserve"> </w:t>
            </w:r>
            <w:r>
              <w:rPr>
                <w:sz w:val="24"/>
                <w:szCs w:val="20"/>
              </w:rPr>
              <w:t>использован U-критерий</w:t>
            </w:r>
            <w:r>
              <w:rPr>
                <w:spacing w:val="-4"/>
                <w:sz w:val="24"/>
                <w:szCs w:val="20"/>
              </w:rPr>
              <w:t xml:space="preserve"> </w:t>
            </w:r>
            <w:r>
              <w:rPr>
                <w:sz w:val="24"/>
                <w:szCs w:val="20"/>
              </w:rPr>
              <w:t>Манна—Уитни.</w:t>
            </w:r>
            <w:r>
              <w:rPr>
                <w:spacing w:val="-8"/>
                <w:sz w:val="24"/>
                <w:szCs w:val="20"/>
              </w:rPr>
              <w:t xml:space="preserve"> </w:t>
            </w:r>
            <w:r>
              <w:rPr>
                <w:sz w:val="24"/>
                <w:szCs w:val="20"/>
              </w:rPr>
              <w:t>Для сравнения</w:t>
            </w:r>
            <w:r>
              <w:rPr>
                <w:spacing w:val="-4"/>
                <w:sz w:val="24"/>
                <w:szCs w:val="20"/>
              </w:rPr>
              <w:t xml:space="preserve"> </w:t>
            </w:r>
            <w:r>
              <w:rPr>
                <w:sz w:val="24"/>
                <w:szCs w:val="20"/>
              </w:rPr>
              <w:t>распределения</w:t>
            </w:r>
            <w:r>
              <w:rPr>
                <w:spacing w:val="-4"/>
                <w:sz w:val="24"/>
                <w:szCs w:val="20"/>
              </w:rPr>
              <w:t xml:space="preserve"> </w:t>
            </w:r>
            <w:r>
              <w:rPr>
                <w:sz w:val="24"/>
                <w:szCs w:val="20"/>
              </w:rPr>
              <w:t>ПС</w:t>
            </w:r>
            <w:r>
              <w:rPr>
                <w:spacing w:val="-6"/>
                <w:sz w:val="24"/>
                <w:szCs w:val="20"/>
              </w:rPr>
              <w:t xml:space="preserve"> </w:t>
            </w:r>
            <w:r>
              <w:rPr>
                <w:sz w:val="24"/>
                <w:szCs w:val="20"/>
              </w:rPr>
              <w:t>по</w:t>
            </w:r>
            <w:r>
              <w:rPr>
                <w:spacing w:val="-8"/>
                <w:sz w:val="24"/>
                <w:szCs w:val="20"/>
              </w:rPr>
              <w:t xml:space="preserve"> </w:t>
            </w:r>
            <w:r>
              <w:rPr>
                <w:sz w:val="24"/>
                <w:szCs w:val="20"/>
              </w:rPr>
              <w:t>степеням</w:t>
            </w:r>
            <w:r>
              <w:rPr>
                <w:spacing w:val="-4"/>
                <w:sz w:val="24"/>
                <w:szCs w:val="20"/>
              </w:rPr>
              <w:t xml:space="preserve"> </w:t>
            </w:r>
            <w:r>
              <w:rPr>
                <w:sz w:val="24"/>
                <w:szCs w:val="20"/>
              </w:rPr>
              <w:t>(A/B/C)</w:t>
            </w:r>
            <w:r>
              <w:rPr>
                <w:spacing w:val="-5"/>
                <w:sz w:val="24"/>
                <w:szCs w:val="20"/>
              </w:rPr>
              <w:t xml:space="preserve"> </w:t>
            </w:r>
            <w:r>
              <w:rPr>
                <w:sz w:val="24"/>
                <w:szCs w:val="20"/>
              </w:rPr>
              <w:t>между</w:t>
            </w:r>
            <w:r>
              <w:rPr>
                <w:spacing w:val="-8"/>
                <w:sz w:val="24"/>
                <w:szCs w:val="20"/>
              </w:rPr>
              <w:t xml:space="preserve"> </w:t>
            </w:r>
            <w:r>
              <w:rPr>
                <w:sz w:val="24"/>
                <w:szCs w:val="20"/>
              </w:rPr>
              <w:t>группами</w:t>
            </w:r>
            <w:r>
              <w:rPr>
                <w:spacing w:val="-7"/>
                <w:sz w:val="24"/>
                <w:szCs w:val="20"/>
              </w:rPr>
              <w:t xml:space="preserve"> </w:t>
            </w:r>
            <w:r>
              <w:rPr>
                <w:sz w:val="24"/>
                <w:szCs w:val="20"/>
              </w:rPr>
              <w:t xml:space="preserve">использован χ²-критерий </w:t>
            </w:r>
            <w:r>
              <w:rPr>
                <w:spacing w:val="-2"/>
                <w:sz w:val="24"/>
                <w:szCs w:val="20"/>
              </w:rPr>
              <w:t>Пирсона.</w:t>
            </w:r>
          </w:p>
        </w:tc>
      </w:tr>
    </w:tbl>
    <w:p w14:paraId="2DC59BCD">
      <w:pPr>
        <w:pStyle w:val="7"/>
        <w:spacing w:before="15"/>
        <w:ind w:left="0" w:firstLine="0"/>
        <w:jc w:val="left"/>
      </w:pPr>
    </w:p>
    <w:p w14:paraId="10F6E057">
      <w:pPr>
        <w:pStyle w:val="7"/>
        <w:ind w:left="0" w:right="3" w:firstLine="709"/>
      </w:pPr>
      <w:r>
        <w:t>Таблица 32 представляет интраоперационные и послеоперационные результаты у пациентов с диаметром ПП &gt;5 мм в зависимости от типа ПЕА: контрольная группа (n=60) и основная группа (n=42).</w:t>
      </w:r>
    </w:p>
    <w:p w14:paraId="6A092D6A">
      <w:pPr>
        <w:pStyle w:val="7"/>
        <w:ind w:left="0" w:right="3" w:firstLine="709"/>
      </w:pPr>
      <w:r>
        <w:t>Длительность операции в основной группе была статистически значимо больше</w:t>
      </w:r>
      <w:r>
        <w:rPr>
          <w:spacing w:val="-11"/>
        </w:rPr>
        <w:t xml:space="preserve"> </w:t>
      </w:r>
      <w:r>
        <w:t>—</w:t>
      </w:r>
      <w:r>
        <w:rPr>
          <w:spacing w:val="-12"/>
        </w:rPr>
        <w:t xml:space="preserve"> </w:t>
      </w:r>
      <w:r>
        <w:t>420</w:t>
      </w:r>
      <w:r>
        <w:rPr>
          <w:spacing w:val="-12"/>
        </w:rPr>
        <w:t xml:space="preserve"> </w:t>
      </w:r>
      <w:r>
        <w:t>[360;</w:t>
      </w:r>
      <w:r>
        <w:rPr>
          <w:spacing w:val="-13"/>
        </w:rPr>
        <w:t xml:space="preserve"> </w:t>
      </w:r>
      <w:r>
        <w:t>510]</w:t>
      </w:r>
      <w:r>
        <w:rPr>
          <w:spacing w:val="-14"/>
        </w:rPr>
        <w:t xml:space="preserve"> </w:t>
      </w:r>
      <w:r>
        <w:t>мин</w:t>
      </w:r>
      <w:r>
        <w:rPr>
          <w:spacing w:val="-12"/>
        </w:rPr>
        <w:t xml:space="preserve"> </w:t>
      </w:r>
      <w:r>
        <w:t>против</w:t>
      </w:r>
      <w:r>
        <w:rPr>
          <w:spacing w:val="-14"/>
        </w:rPr>
        <w:t xml:space="preserve"> </w:t>
      </w:r>
      <w:r>
        <w:t>390</w:t>
      </w:r>
      <w:r>
        <w:rPr>
          <w:spacing w:val="-8"/>
        </w:rPr>
        <w:t xml:space="preserve"> </w:t>
      </w:r>
      <w:r>
        <w:t>[340;</w:t>
      </w:r>
      <w:r>
        <w:rPr>
          <w:spacing w:val="-13"/>
        </w:rPr>
        <w:t xml:space="preserve"> </w:t>
      </w:r>
      <w:r>
        <w:t>450]</w:t>
      </w:r>
      <w:r>
        <w:rPr>
          <w:spacing w:val="-14"/>
        </w:rPr>
        <w:t xml:space="preserve"> </w:t>
      </w:r>
      <w:r>
        <w:t>мин</w:t>
      </w:r>
      <w:r>
        <w:rPr>
          <w:spacing w:val="-12"/>
        </w:rPr>
        <w:t xml:space="preserve"> </w:t>
      </w:r>
      <w:r>
        <w:t>в</w:t>
      </w:r>
      <w:r>
        <w:rPr>
          <w:spacing w:val="-14"/>
        </w:rPr>
        <w:t xml:space="preserve"> </w:t>
      </w:r>
      <w:r>
        <w:t>контрольной</w:t>
      </w:r>
      <w:r>
        <w:rPr>
          <w:spacing w:val="-12"/>
        </w:rPr>
        <w:t xml:space="preserve"> </w:t>
      </w:r>
      <w:r>
        <w:t>(p=0,044). Аналогичная</w:t>
      </w:r>
      <w:r>
        <w:rPr>
          <w:spacing w:val="-12"/>
        </w:rPr>
        <w:t xml:space="preserve"> </w:t>
      </w:r>
      <w:r>
        <w:t>тенденция</w:t>
      </w:r>
      <w:r>
        <w:rPr>
          <w:spacing w:val="-12"/>
        </w:rPr>
        <w:t xml:space="preserve"> </w:t>
      </w:r>
      <w:r>
        <w:t>отмечена</w:t>
      </w:r>
      <w:r>
        <w:rPr>
          <w:spacing w:val="-12"/>
        </w:rPr>
        <w:t xml:space="preserve"> </w:t>
      </w:r>
      <w:r>
        <w:t>и</w:t>
      </w:r>
      <w:r>
        <w:rPr>
          <w:spacing w:val="-13"/>
        </w:rPr>
        <w:t xml:space="preserve"> </w:t>
      </w:r>
      <w:r>
        <w:t>по</w:t>
      </w:r>
      <w:r>
        <w:rPr>
          <w:spacing w:val="-13"/>
        </w:rPr>
        <w:t xml:space="preserve"> </w:t>
      </w:r>
      <w:r>
        <w:t>объёму</w:t>
      </w:r>
      <w:r>
        <w:rPr>
          <w:spacing w:val="-18"/>
        </w:rPr>
        <w:t xml:space="preserve"> </w:t>
      </w:r>
      <w:r>
        <w:t>интраоперационной</w:t>
      </w:r>
      <w:r>
        <w:rPr>
          <w:spacing w:val="-8"/>
        </w:rPr>
        <w:t xml:space="preserve"> </w:t>
      </w:r>
      <w:r>
        <w:t xml:space="preserve">кровопотери: 250 [200; 350] мл в основной группе против 200 [150; 300] мл в контрольной (p=0,019). Эти различия отражают большую техническую трудоёмкость реконструктивного этапа при использовании модифицированной методики </w:t>
      </w:r>
      <w:r>
        <w:rPr>
          <w:spacing w:val="-4"/>
        </w:rPr>
        <w:t>ПЕА.</w:t>
      </w:r>
    </w:p>
    <w:p w14:paraId="4A5E814A">
      <w:pPr>
        <w:pStyle w:val="7"/>
        <w:ind w:left="0" w:right="3" w:firstLine="709"/>
      </w:pPr>
      <w:r>
        <w:t>Несмотря на это, структура панкреатических осложнений в обеих группах оставалась благоприятной и статистически сопоставимой. Частота ПС всех степеней (A/B/C) была низкой и не различалась между группами (p=0,861). Частота КЗ-ПС также была одинаково низкой: 3,4% в контрольной и 4,2% в основной группе (p=1,000), что соответствует ожидаемо низкому риску несостоятельности анастомоза при расширенном ПП.</w:t>
      </w:r>
      <w:r>
        <w:rPr>
          <w:lang w:val="kk-KZ"/>
        </w:rPr>
        <w:t xml:space="preserve"> </w:t>
      </w:r>
      <w:r>
        <w:t>Показатели послеоперационного кровотечения, билиарного свища, ПС- ассоциированного кровотечения и релапаротомий не имели статистически значимых</w:t>
      </w:r>
      <w:r>
        <w:rPr>
          <w:spacing w:val="80"/>
        </w:rPr>
        <w:t xml:space="preserve"> </w:t>
      </w:r>
      <w:r>
        <w:t>различий</w:t>
      </w:r>
      <w:r>
        <w:rPr>
          <w:spacing w:val="80"/>
        </w:rPr>
        <w:t xml:space="preserve"> </w:t>
      </w:r>
      <w:r>
        <w:t>(p&gt;0,05).</w:t>
      </w:r>
      <w:r>
        <w:rPr>
          <w:spacing w:val="80"/>
        </w:rPr>
        <w:t xml:space="preserve"> </w:t>
      </w:r>
      <w:r>
        <w:t>Следует</w:t>
      </w:r>
      <w:r>
        <w:rPr>
          <w:spacing w:val="80"/>
        </w:rPr>
        <w:t xml:space="preserve"> </w:t>
      </w:r>
      <w:r>
        <w:t>отметить</w:t>
      </w:r>
      <w:r>
        <w:rPr>
          <w:spacing w:val="80"/>
        </w:rPr>
        <w:t xml:space="preserve"> </w:t>
      </w:r>
      <w:r>
        <w:t>отсутствие</w:t>
      </w:r>
      <w:r>
        <w:rPr>
          <w:spacing w:val="80"/>
        </w:rPr>
        <w:t xml:space="preserve"> </w:t>
      </w:r>
      <w:r>
        <w:t>релапаротомий, гастростаза и госпитальной летальности в основной группе, тогда как в контрольной группе данные осложнения регистрировались, что отражает клинически более благоприятное течение послеоперационного периода.</w:t>
      </w:r>
      <w:r>
        <w:rPr>
          <w:lang w:val="kk-KZ"/>
        </w:rPr>
        <w:t xml:space="preserve"> </w:t>
      </w:r>
      <w:r>
        <w:t>Длительность госпитализации статистически различалась: в основной группе медиана составила 20 [16; 25] суток против 18 [14; 23] суток в контрольной</w:t>
      </w:r>
      <w:r>
        <w:rPr>
          <w:spacing w:val="-12"/>
        </w:rPr>
        <w:t xml:space="preserve"> </w:t>
      </w:r>
      <w:r>
        <w:t>(p=0,031).</w:t>
      </w:r>
      <w:r>
        <w:rPr>
          <w:spacing w:val="-10"/>
        </w:rPr>
        <w:t xml:space="preserve"> </w:t>
      </w:r>
      <w:r>
        <w:t>Увеличение</w:t>
      </w:r>
      <w:r>
        <w:rPr>
          <w:spacing w:val="-11"/>
        </w:rPr>
        <w:t xml:space="preserve"> </w:t>
      </w:r>
      <w:r>
        <w:t>сроков</w:t>
      </w:r>
      <w:r>
        <w:rPr>
          <w:spacing w:val="-14"/>
        </w:rPr>
        <w:t xml:space="preserve"> </w:t>
      </w:r>
      <w:r>
        <w:t>пребывания</w:t>
      </w:r>
      <w:r>
        <w:rPr>
          <w:spacing w:val="-12"/>
        </w:rPr>
        <w:t xml:space="preserve"> </w:t>
      </w:r>
      <w:r>
        <w:t>в</w:t>
      </w:r>
      <w:r>
        <w:rPr>
          <w:spacing w:val="-14"/>
        </w:rPr>
        <w:t xml:space="preserve"> </w:t>
      </w:r>
      <w:r>
        <w:t>стационаре</w:t>
      </w:r>
      <w:r>
        <w:rPr>
          <w:spacing w:val="-11"/>
        </w:rPr>
        <w:t xml:space="preserve"> </w:t>
      </w:r>
      <w:r>
        <w:t>в</w:t>
      </w:r>
      <w:r>
        <w:rPr>
          <w:spacing w:val="-14"/>
        </w:rPr>
        <w:t xml:space="preserve"> </w:t>
      </w:r>
      <w:r>
        <w:t>основной группе, вероятно, связано с более осторожной послеоперационной тактикой наблюдения при использовании новой реконструктивной методики, а не с ростом частоты осложнений.</w:t>
      </w:r>
    </w:p>
    <w:p w14:paraId="2692C628">
      <w:pPr>
        <w:pStyle w:val="7"/>
        <w:spacing w:before="3"/>
        <w:ind w:left="0" w:right="3" w:firstLine="709"/>
      </w:pPr>
      <w:r>
        <w:t>Таким образом, у пациентов с диаметром ПП &gt;5 мм применение модифицированного ПЕА, несмотря на большую интраоперационную трудоёмкость, не сопровождается увеличением частоты панкреатических осложнений</w:t>
      </w:r>
      <w:r>
        <w:rPr>
          <w:spacing w:val="-9"/>
        </w:rPr>
        <w:t xml:space="preserve"> </w:t>
      </w:r>
      <w:r>
        <w:t>и</w:t>
      </w:r>
      <w:r>
        <w:rPr>
          <w:spacing w:val="-5"/>
        </w:rPr>
        <w:t xml:space="preserve"> </w:t>
      </w:r>
      <w:r>
        <w:t>характеризуется</w:t>
      </w:r>
      <w:r>
        <w:rPr>
          <w:spacing w:val="-7"/>
        </w:rPr>
        <w:t xml:space="preserve"> </w:t>
      </w:r>
      <w:r>
        <w:t>клинически</w:t>
      </w:r>
      <w:r>
        <w:rPr>
          <w:spacing w:val="-9"/>
        </w:rPr>
        <w:t xml:space="preserve"> </w:t>
      </w:r>
      <w:r>
        <w:t>благоприятным</w:t>
      </w:r>
      <w:r>
        <w:rPr>
          <w:spacing w:val="-7"/>
        </w:rPr>
        <w:t xml:space="preserve"> </w:t>
      </w:r>
      <w:r>
        <w:t>послеоперационным течением с отсутствием тяжёлых неблагоприятных исходов.</w:t>
      </w:r>
    </w:p>
    <w:p w14:paraId="67C8B0F0">
      <w:pPr>
        <w:pStyle w:val="7"/>
        <w:spacing w:before="320"/>
        <w:ind w:left="0" w:right="3" w:firstLine="0"/>
      </w:pPr>
      <w:bookmarkStart w:id="58" w:name="Таблица_32_-_Интраоперационные_и_послеоп"/>
      <w:bookmarkEnd w:id="58"/>
      <w:r>
        <w:t>Таблица</w:t>
      </w:r>
      <w:r>
        <w:rPr>
          <w:spacing w:val="-10"/>
        </w:rPr>
        <w:t xml:space="preserve"> </w:t>
      </w:r>
      <w:r>
        <w:t>32</w:t>
      </w:r>
      <w:r>
        <w:rPr>
          <w:spacing w:val="-10"/>
        </w:rPr>
        <w:t xml:space="preserve"> </w:t>
      </w:r>
      <w:r>
        <w:t>-</w:t>
      </w:r>
      <w:r>
        <w:rPr>
          <w:spacing w:val="-11"/>
        </w:rPr>
        <w:t xml:space="preserve"> </w:t>
      </w:r>
      <w:r>
        <w:t>Интраоперационные</w:t>
      </w:r>
      <w:r>
        <w:rPr>
          <w:spacing w:val="-10"/>
        </w:rPr>
        <w:t xml:space="preserve"> </w:t>
      </w:r>
      <w:r>
        <w:t>и</w:t>
      </w:r>
      <w:r>
        <w:rPr>
          <w:spacing w:val="-10"/>
        </w:rPr>
        <w:t xml:space="preserve"> </w:t>
      </w:r>
      <w:r>
        <w:t>послеоперационные</w:t>
      </w:r>
      <w:r>
        <w:rPr>
          <w:spacing w:val="-9"/>
        </w:rPr>
        <w:t xml:space="preserve"> </w:t>
      </w:r>
      <w:r>
        <w:t>результаты</w:t>
      </w:r>
      <w:r>
        <w:rPr>
          <w:spacing w:val="-9"/>
        </w:rPr>
        <w:t xml:space="preserve"> </w:t>
      </w:r>
      <w:r>
        <w:t>у</w:t>
      </w:r>
      <w:r>
        <w:rPr>
          <w:spacing w:val="-14"/>
        </w:rPr>
        <w:t xml:space="preserve"> </w:t>
      </w:r>
      <w:r>
        <w:t>пациентов с диаметром ПП &gt; 5 мм в зависимости от типа ПЕА</w:t>
      </w:r>
    </w:p>
    <w:p w14:paraId="1938E12C">
      <w:pPr>
        <w:pStyle w:val="7"/>
        <w:spacing w:before="103"/>
        <w:ind w:left="0" w:firstLine="709"/>
        <w:jc w:val="left"/>
        <w:rPr>
          <w:sz w:val="20"/>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78"/>
        <w:gridCol w:w="2126"/>
        <w:gridCol w:w="1985"/>
        <w:gridCol w:w="850"/>
      </w:tblGrid>
      <w:tr w14:paraId="5E3A44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4678" w:type="dxa"/>
          </w:tcPr>
          <w:p w14:paraId="362323BC">
            <w:pPr>
              <w:pStyle w:val="11"/>
              <w:spacing w:line="315" w:lineRule="exact"/>
              <w:ind w:left="5"/>
              <w:rPr>
                <w:sz w:val="24"/>
                <w:szCs w:val="24"/>
              </w:rPr>
            </w:pPr>
            <w:r>
              <w:rPr>
                <w:spacing w:val="-2"/>
                <w:sz w:val="24"/>
                <w:szCs w:val="24"/>
              </w:rPr>
              <w:t>Показатель</w:t>
            </w:r>
          </w:p>
        </w:tc>
        <w:tc>
          <w:tcPr>
            <w:tcW w:w="2126" w:type="dxa"/>
          </w:tcPr>
          <w:p w14:paraId="7D1EB976">
            <w:pPr>
              <w:pStyle w:val="11"/>
              <w:spacing w:line="315" w:lineRule="exact"/>
              <w:ind w:left="72" w:right="72"/>
              <w:rPr>
                <w:sz w:val="24"/>
                <w:szCs w:val="24"/>
              </w:rPr>
            </w:pPr>
            <w:r>
              <w:rPr>
                <w:spacing w:val="-2"/>
                <w:sz w:val="24"/>
                <w:szCs w:val="24"/>
              </w:rPr>
              <w:t>Контрольная</w:t>
            </w:r>
          </w:p>
          <w:p w14:paraId="1EBDDFBA">
            <w:pPr>
              <w:pStyle w:val="11"/>
              <w:spacing w:line="309" w:lineRule="exact"/>
              <w:ind w:left="72" w:right="75"/>
              <w:rPr>
                <w:sz w:val="24"/>
                <w:szCs w:val="24"/>
              </w:rPr>
            </w:pPr>
            <w:r>
              <w:rPr>
                <w:sz w:val="24"/>
                <w:szCs w:val="24"/>
              </w:rPr>
              <w:t>n</w:t>
            </w:r>
            <w:r>
              <w:rPr>
                <w:spacing w:val="-5"/>
                <w:sz w:val="24"/>
                <w:szCs w:val="24"/>
              </w:rPr>
              <w:t xml:space="preserve"> </w:t>
            </w:r>
            <w:r>
              <w:rPr>
                <w:sz w:val="24"/>
                <w:szCs w:val="24"/>
              </w:rPr>
              <w:t>=</w:t>
            </w:r>
            <w:r>
              <w:rPr>
                <w:spacing w:val="1"/>
                <w:sz w:val="24"/>
                <w:szCs w:val="24"/>
              </w:rPr>
              <w:t xml:space="preserve"> </w:t>
            </w:r>
            <w:r>
              <w:rPr>
                <w:spacing w:val="-5"/>
                <w:sz w:val="24"/>
                <w:szCs w:val="24"/>
              </w:rPr>
              <w:t>60</w:t>
            </w:r>
          </w:p>
        </w:tc>
        <w:tc>
          <w:tcPr>
            <w:tcW w:w="1985" w:type="dxa"/>
          </w:tcPr>
          <w:p w14:paraId="753C9FC9">
            <w:pPr>
              <w:pStyle w:val="11"/>
              <w:spacing w:line="315" w:lineRule="exact"/>
              <w:ind w:left="8" w:right="9"/>
              <w:rPr>
                <w:sz w:val="24"/>
                <w:szCs w:val="24"/>
              </w:rPr>
            </w:pPr>
            <w:r>
              <w:rPr>
                <w:spacing w:val="-2"/>
                <w:sz w:val="24"/>
                <w:szCs w:val="24"/>
              </w:rPr>
              <w:t>Основная</w:t>
            </w:r>
          </w:p>
          <w:p w14:paraId="31CACB38">
            <w:pPr>
              <w:pStyle w:val="11"/>
              <w:spacing w:line="309" w:lineRule="exact"/>
              <w:ind w:left="8" w:right="8"/>
              <w:rPr>
                <w:sz w:val="24"/>
                <w:szCs w:val="24"/>
              </w:rPr>
            </w:pPr>
            <w:r>
              <w:rPr>
                <w:sz w:val="24"/>
                <w:szCs w:val="24"/>
              </w:rPr>
              <w:t>n</w:t>
            </w:r>
            <w:r>
              <w:rPr>
                <w:spacing w:val="-5"/>
                <w:sz w:val="24"/>
                <w:szCs w:val="24"/>
              </w:rPr>
              <w:t xml:space="preserve"> </w:t>
            </w:r>
            <w:r>
              <w:rPr>
                <w:sz w:val="24"/>
                <w:szCs w:val="24"/>
              </w:rPr>
              <w:t>=</w:t>
            </w:r>
            <w:r>
              <w:rPr>
                <w:spacing w:val="1"/>
                <w:sz w:val="24"/>
                <w:szCs w:val="24"/>
              </w:rPr>
              <w:t xml:space="preserve"> </w:t>
            </w:r>
            <w:r>
              <w:rPr>
                <w:spacing w:val="-5"/>
                <w:sz w:val="24"/>
                <w:szCs w:val="24"/>
              </w:rPr>
              <w:t>42</w:t>
            </w:r>
          </w:p>
        </w:tc>
        <w:tc>
          <w:tcPr>
            <w:tcW w:w="850" w:type="dxa"/>
          </w:tcPr>
          <w:p w14:paraId="4BE2FE15">
            <w:pPr>
              <w:pStyle w:val="11"/>
              <w:spacing w:line="315" w:lineRule="exact"/>
              <w:ind w:left="91" w:right="80"/>
              <w:rPr>
                <w:sz w:val="24"/>
                <w:szCs w:val="24"/>
              </w:rPr>
            </w:pPr>
            <w:r>
              <w:rPr>
                <w:spacing w:val="-2"/>
                <w:sz w:val="24"/>
                <w:szCs w:val="24"/>
              </w:rPr>
              <w:t>P-value</w:t>
            </w:r>
          </w:p>
        </w:tc>
      </w:tr>
      <w:tr w14:paraId="42EC8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678" w:type="dxa"/>
          </w:tcPr>
          <w:p w14:paraId="7C570076">
            <w:pPr>
              <w:pStyle w:val="11"/>
              <w:spacing w:line="315" w:lineRule="exact"/>
              <w:ind w:left="110"/>
              <w:jc w:val="left"/>
              <w:rPr>
                <w:sz w:val="24"/>
                <w:szCs w:val="24"/>
              </w:rPr>
            </w:pPr>
            <w:r>
              <w:rPr>
                <w:sz w:val="24"/>
                <w:szCs w:val="24"/>
              </w:rPr>
              <w:t>Время</w:t>
            </w:r>
            <w:r>
              <w:rPr>
                <w:spacing w:val="-9"/>
                <w:sz w:val="24"/>
                <w:szCs w:val="24"/>
              </w:rPr>
              <w:t xml:space="preserve"> </w:t>
            </w:r>
            <w:r>
              <w:rPr>
                <w:sz w:val="24"/>
                <w:szCs w:val="24"/>
              </w:rPr>
              <w:t>операции,</w:t>
            </w:r>
            <w:r>
              <w:rPr>
                <w:spacing w:val="-8"/>
                <w:sz w:val="24"/>
                <w:szCs w:val="24"/>
              </w:rPr>
              <w:t xml:space="preserve"> </w:t>
            </w:r>
            <w:r>
              <w:rPr>
                <w:spacing w:val="-4"/>
                <w:sz w:val="24"/>
                <w:szCs w:val="24"/>
              </w:rPr>
              <w:t>мин,</w:t>
            </w:r>
          </w:p>
          <w:p w14:paraId="30B9A7F4">
            <w:pPr>
              <w:pStyle w:val="11"/>
              <w:ind w:left="110"/>
              <w:jc w:val="left"/>
              <w:rPr>
                <w:sz w:val="24"/>
                <w:szCs w:val="24"/>
              </w:rPr>
            </w:pPr>
            <w:r>
              <w:rPr>
                <w:sz w:val="24"/>
                <w:szCs w:val="24"/>
              </w:rPr>
              <w:t>Me</w:t>
            </w:r>
            <w:r>
              <w:rPr>
                <w:spacing w:val="-3"/>
                <w:sz w:val="24"/>
                <w:szCs w:val="24"/>
              </w:rPr>
              <w:t xml:space="preserve"> </w:t>
            </w:r>
            <w:r>
              <w:rPr>
                <w:sz w:val="24"/>
                <w:szCs w:val="24"/>
              </w:rPr>
              <w:t>[Q1;</w:t>
            </w:r>
            <w:r>
              <w:rPr>
                <w:spacing w:val="-4"/>
                <w:sz w:val="24"/>
                <w:szCs w:val="24"/>
              </w:rPr>
              <w:t xml:space="preserve"> </w:t>
            </w:r>
            <w:r>
              <w:rPr>
                <w:spacing w:val="-5"/>
                <w:sz w:val="24"/>
                <w:szCs w:val="24"/>
              </w:rPr>
              <w:t>Q3]</w:t>
            </w:r>
          </w:p>
        </w:tc>
        <w:tc>
          <w:tcPr>
            <w:tcW w:w="2126" w:type="dxa"/>
          </w:tcPr>
          <w:p w14:paraId="5D6D037F">
            <w:pPr>
              <w:pStyle w:val="11"/>
              <w:spacing w:before="314"/>
              <w:ind w:left="72" w:right="72"/>
              <w:rPr>
                <w:sz w:val="24"/>
                <w:szCs w:val="24"/>
              </w:rPr>
            </w:pPr>
            <w:r>
              <w:rPr>
                <w:sz w:val="24"/>
                <w:szCs w:val="24"/>
              </w:rPr>
              <w:t>390</w:t>
            </w:r>
            <w:r>
              <w:rPr>
                <w:spacing w:val="-6"/>
                <w:sz w:val="24"/>
                <w:szCs w:val="24"/>
              </w:rPr>
              <w:t xml:space="preserve"> </w:t>
            </w:r>
            <w:r>
              <w:rPr>
                <w:sz w:val="24"/>
                <w:szCs w:val="24"/>
              </w:rPr>
              <w:t>[340;</w:t>
            </w:r>
            <w:r>
              <w:rPr>
                <w:spacing w:val="-5"/>
                <w:sz w:val="24"/>
                <w:szCs w:val="24"/>
              </w:rPr>
              <w:t xml:space="preserve"> </w:t>
            </w:r>
            <w:r>
              <w:rPr>
                <w:spacing w:val="-4"/>
                <w:sz w:val="24"/>
                <w:szCs w:val="24"/>
              </w:rPr>
              <w:t>450]</w:t>
            </w:r>
          </w:p>
        </w:tc>
        <w:tc>
          <w:tcPr>
            <w:tcW w:w="1985" w:type="dxa"/>
          </w:tcPr>
          <w:p w14:paraId="3A2C0065">
            <w:pPr>
              <w:pStyle w:val="11"/>
              <w:spacing w:before="314"/>
              <w:ind w:left="8" w:right="3"/>
              <w:rPr>
                <w:sz w:val="24"/>
                <w:szCs w:val="24"/>
              </w:rPr>
            </w:pPr>
            <w:r>
              <w:rPr>
                <w:sz w:val="24"/>
                <w:szCs w:val="24"/>
              </w:rPr>
              <w:t>420</w:t>
            </w:r>
            <w:r>
              <w:rPr>
                <w:spacing w:val="-6"/>
                <w:sz w:val="24"/>
                <w:szCs w:val="24"/>
              </w:rPr>
              <w:t xml:space="preserve"> </w:t>
            </w:r>
            <w:r>
              <w:rPr>
                <w:sz w:val="24"/>
                <w:szCs w:val="24"/>
              </w:rPr>
              <w:t>[360;</w:t>
            </w:r>
            <w:r>
              <w:rPr>
                <w:spacing w:val="-5"/>
                <w:sz w:val="24"/>
                <w:szCs w:val="24"/>
              </w:rPr>
              <w:t xml:space="preserve"> </w:t>
            </w:r>
            <w:r>
              <w:rPr>
                <w:spacing w:val="-4"/>
                <w:sz w:val="24"/>
                <w:szCs w:val="24"/>
              </w:rPr>
              <w:t>510]</w:t>
            </w:r>
          </w:p>
        </w:tc>
        <w:tc>
          <w:tcPr>
            <w:tcW w:w="850" w:type="dxa"/>
          </w:tcPr>
          <w:p w14:paraId="4517F3B0">
            <w:pPr>
              <w:pStyle w:val="11"/>
              <w:spacing w:before="314"/>
              <w:ind w:left="89" w:right="80"/>
              <w:rPr>
                <w:sz w:val="24"/>
                <w:szCs w:val="24"/>
              </w:rPr>
            </w:pPr>
            <w:r>
              <w:rPr>
                <w:spacing w:val="-2"/>
                <w:sz w:val="24"/>
                <w:szCs w:val="24"/>
              </w:rPr>
              <w:t>0,044</w:t>
            </w:r>
            <w:r>
              <w:rPr>
                <w:spacing w:val="-2"/>
                <w:sz w:val="24"/>
                <w:szCs w:val="24"/>
                <w:vertAlign w:val="superscript"/>
              </w:rPr>
              <w:t>*</w:t>
            </w:r>
          </w:p>
        </w:tc>
      </w:tr>
      <w:tr w14:paraId="4CE29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678" w:type="dxa"/>
          </w:tcPr>
          <w:p w14:paraId="081D6C90">
            <w:pPr>
              <w:pStyle w:val="11"/>
              <w:spacing w:line="315" w:lineRule="exact"/>
              <w:ind w:left="110"/>
              <w:jc w:val="left"/>
              <w:rPr>
                <w:sz w:val="24"/>
                <w:szCs w:val="24"/>
              </w:rPr>
            </w:pPr>
            <w:r>
              <w:rPr>
                <w:spacing w:val="-2"/>
                <w:sz w:val="24"/>
                <w:szCs w:val="24"/>
              </w:rPr>
              <w:t>Интраоперационная</w:t>
            </w:r>
            <w:r>
              <w:rPr>
                <w:spacing w:val="13"/>
                <w:sz w:val="24"/>
                <w:szCs w:val="24"/>
              </w:rPr>
              <w:t xml:space="preserve"> </w:t>
            </w:r>
            <w:r>
              <w:rPr>
                <w:spacing w:val="-2"/>
                <w:sz w:val="24"/>
                <w:szCs w:val="24"/>
              </w:rPr>
              <w:t>кровопотеря,</w:t>
            </w:r>
          </w:p>
          <w:p w14:paraId="6BDA7254">
            <w:pPr>
              <w:pStyle w:val="11"/>
              <w:ind w:left="110"/>
              <w:jc w:val="left"/>
              <w:rPr>
                <w:sz w:val="24"/>
                <w:szCs w:val="24"/>
              </w:rPr>
            </w:pPr>
            <w:r>
              <w:rPr>
                <w:sz w:val="24"/>
                <w:szCs w:val="24"/>
              </w:rPr>
              <w:t>мл, Me</w:t>
            </w:r>
            <w:r>
              <w:rPr>
                <w:spacing w:val="-2"/>
                <w:sz w:val="24"/>
                <w:szCs w:val="24"/>
              </w:rPr>
              <w:t xml:space="preserve"> </w:t>
            </w:r>
            <w:r>
              <w:rPr>
                <w:sz w:val="24"/>
                <w:szCs w:val="24"/>
              </w:rPr>
              <w:t>[Q1;</w:t>
            </w:r>
            <w:r>
              <w:rPr>
                <w:spacing w:val="-3"/>
                <w:sz w:val="24"/>
                <w:szCs w:val="24"/>
              </w:rPr>
              <w:t xml:space="preserve"> </w:t>
            </w:r>
            <w:r>
              <w:rPr>
                <w:spacing w:val="-5"/>
                <w:sz w:val="24"/>
                <w:szCs w:val="24"/>
              </w:rPr>
              <w:t>Q3]</w:t>
            </w:r>
          </w:p>
        </w:tc>
        <w:tc>
          <w:tcPr>
            <w:tcW w:w="2126" w:type="dxa"/>
          </w:tcPr>
          <w:p w14:paraId="3660EC30">
            <w:pPr>
              <w:pStyle w:val="11"/>
              <w:spacing w:before="314"/>
              <w:ind w:left="75" w:right="3"/>
              <w:rPr>
                <w:sz w:val="24"/>
                <w:szCs w:val="24"/>
              </w:rPr>
            </w:pPr>
            <w:r>
              <w:rPr>
                <w:sz w:val="24"/>
                <w:szCs w:val="24"/>
              </w:rPr>
              <w:t>200</w:t>
            </w:r>
            <w:r>
              <w:rPr>
                <w:spacing w:val="-6"/>
                <w:sz w:val="24"/>
                <w:szCs w:val="24"/>
              </w:rPr>
              <w:t xml:space="preserve"> </w:t>
            </w:r>
            <w:r>
              <w:rPr>
                <w:sz w:val="24"/>
                <w:szCs w:val="24"/>
              </w:rPr>
              <w:t>[150;</w:t>
            </w:r>
            <w:r>
              <w:rPr>
                <w:spacing w:val="-5"/>
                <w:sz w:val="24"/>
                <w:szCs w:val="24"/>
              </w:rPr>
              <w:t xml:space="preserve"> </w:t>
            </w:r>
            <w:r>
              <w:rPr>
                <w:spacing w:val="-4"/>
                <w:sz w:val="24"/>
                <w:szCs w:val="24"/>
              </w:rPr>
              <w:t>300]</w:t>
            </w:r>
          </w:p>
        </w:tc>
        <w:tc>
          <w:tcPr>
            <w:tcW w:w="1985" w:type="dxa"/>
          </w:tcPr>
          <w:p w14:paraId="3F51C807">
            <w:pPr>
              <w:pStyle w:val="11"/>
              <w:spacing w:before="314"/>
              <w:ind w:left="8" w:right="3"/>
              <w:rPr>
                <w:sz w:val="24"/>
                <w:szCs w:val="24"/>
              </w:rPr>
            </w:pPr>
            <w:r>
              <w:rPr>
                <w:sz w:val="24"/>
                <w:szCs w:val="24"/>
              </w:rPr>
              <w:t>250</w:t>
            </w:r>
            <w:r>
              <w:rPr>
                <w:spacing w:val="-6"/>
                <w:sz w:val="24"/>
                <w:szCs w:val="24"/>
              </w:rPr>
              <w:t xml:space="preserve"> </w:t>
            </w:r>
            <w:r>
              <w:rPr>
                <w:sz w:val="24"/>
                <w:szCs w:val="24"/>
              </w:rPr>
              <w:t>[200;</w:t>
            </w:r>
            <w:r>
              <w:rPr>
                <w:spacing w:val="-5"/>
                <w:sz w:val="24"/>
                <w:szCs w:val="24"/>
              </w:rPr>
              <w:t xml:space="preserve"> </w:t>
            </w:r>
            <w:r>
              <w:rPr>
                <w:spacing w:val="-4"/>
                <w:sz w:val="24"/>
                <w:szCs w:val="24"/>
              </w:rPr>
              <w:t>350]</w:t>
            </w:r>
          </w:p>
        </w:tc>
        <w:tc>
          <w:tcPr>
            <w:tcW w:w="850" w:type="dxa"/>
          </w:tcPr>
          <w:p w14:paraId="3F737F2C">
            <w:pPr>
              <w:pStyle w:val="11"/>
              <w:spacing w:before="314"/>
              <w:ind w:left="89" w:right="80"/>
              <w:rPr>
                <w:sz w:val="24"/>
                <w:szCs w:val="24"/>
              </w:rPr>
            </w:pPr>
            <w:r>
              <w:rPr>
                <w:spacing w:val="-2"/>
                <w:sz w:val="24"/>
                <w:szCs w:val="24"/>
              </w:rPr>
              <w:t>0,019</w:t>
            </w:r>
            <w:r>
              <w:rPr>
                <w:spacing w:val="-2"/>
                <w:sz w:val="24"/>
                <w:szCs w:val="24"/>
                <w:vertAlign w:val="superscript"/>
              </w:rPr>
              <w:t>*</w:t>
            </w:r>
          </w:p>
        </w:tc>
      </w:tr>
      <w:tr w14:paraId="6E4B5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4678" w:type="dxa"/>
          </w:tcPr>
          <w:p w14:paraId="2AF5BA04">
            <w:pPr>
              <w:pStyle w:val="11"/>
              <w:spacing w:line="315" w:lineRule="exact"/>
              <w:ind w:left="110"/>
              <w:jc w:val="left"/>
              <w:rPr>
                <w:sz w:val="24"/>
                <w:szCs w:val="24"/>
              </w:rPr>
            </w:pPr>
            <w:r>
              <w:rPr>
                <w:sz w:val="24"/>
                <w:szCs w:val="24"/>
              </w:rPr>
              <w:t>Панкреатический</w:t>
            </w:r>
            <w:r>
              <w:rPr>
                <w:spacing w:val="-7"/>
                <w:sz w:val="24"/>
                <w:szCs w:val="24"/>
              </w:rPr>
              <w:t xml:space="preserve"> </w:t>
            </w:r>
            <w:r>
              <w:rPr>
                <w:sz w:val="24"/>
                <w:szCs w:val="24"/>
              </w:rPr>
              <w:t>свищ, n</w:t>
            </w:r>
            <w:r>
              <w:rPr>
                <w:spacing w:val="-11"/>
                <w:sz w:val="24"/>
                <w:szCs w:val="24"/>
              </w:rPr>
              <w:t xml:space="preserve"> </w:t>
            </w:r>
            <w:r>
              <w:rPr>
                <w:sz w:val="24"/>
                <w:szCs w:val="24"/>
              </w:rPr>
              <w:t>(%):</w:t>
            </w:r>
            <w:r>
              <w:rPr>
                <w:spacing w:val="-11"/>
                <w:sz w:val="24"/>
                <w:szCs w:val="24"/>
              </w:rPr>
              <w:t xml:space="preserve">        </w:t>
            </w:r>
            <w:r>
              <w:rPr>
                <w:spacing w:val="-10"/>
                <w:sz w:val="24"/>
                <w:szCs w:val="24"/>
              </w:rPr>
              <w:t>А</w:t>
            </w:r>
          </w:p>
          <w:p w14:paraId="1BB3F00F">
            <w:pPr>
              <w:pStyle w:val="11"/>
              <w:spacing w:line="322" w:lineRule="exact"/>
              <w:ind w:right="460"/>
              <w:jc w:val="left"/>
              <w:rPr>
                <w:spacing w:val="-10"/>
                <w:sz w:val="24"/>
                <w:szCs w:val="24"/>
              </w:rPr>
            </w:pPr>
            <w:r>
              <w:rPr>
                <w:spacing w:val="-10"/>
                <w:sz w:val="24"/>
                <w:szCs w:val="24"/>
              </w:rPr>
              <w:t xml:space="preserve">                                                                        В </w:t>
            </w:r>
          </w:p>
          <w:p w14:paraId="2FEDFA5B">
            <w:pPr>
              <w:pStyle w:val="11"/>
              <w:spacing w:line="322" w:lineRule="exact"/>
              <w:ind w:right="460"/>
              <w:jc w:val="left"/>
              <w:rPr>
                <w:sz w:val="24"/>
                <w:szCs w:val="24"/>
              </w:rPr>
            </w:pPr>
            <w:r>
              <w:rPr>
                <w:spacing w:val="-10"/>
                <w:sz w:val="24"/>
                <w:szCs w:val="24"/>
              </w:rPr>
              <w:t xml:space="preserve">                                                                        С</w:t>
            </w:r>
          </w:p>
        </w:tc>
        <w:tc>
          <w:tcPr>
            <w:tcW w:w="2126" w:type="dxa"/>
          </w:tcPr>
          <w:p w14:paraId="57AA32CC">
            <w:pPr>
              <w:pStyle w:val="11"/>
              <w:spacing w:line="315" w:lineRule="exact"/>
              <w:ind w:left="547"/>
              <w:jc w:val="left"/>
              <w:rPr>
                <w:sz w:val="24"/>
                <w:szCs w:val="24"/>
              </w:rPr>
            </w:pPr>
            <w:r>
              <w:rPr>
                <w:sz w:val="24"/>
                <w:szCs w:val="24"/>
              </w:rPr>
              <w:t>4</w:t>
            </w:r>
            <w:r>
              <w:rPr>
                <w:spacing w:val="-1"/>
                <w:sz w:val="24"/>
                <w:szCs w:val="24"/>
              </w:rPr>
              <w:t xml:space="preserve"> </w:t>
            </w:r>
            <w:r>
              <w:rPr>
                <w:spacing w:val="-2"/>
                <w:sz w:val="24"/>
                <w:szCs w:val="24"/>
              </w:rPr>
              <w:t>(6,7%)</w:t>
            </w:r>
          </w:p>
          <w:p w14:paraId="376BAFB9">
            <w:pPr>
              <w:pStyle w:val="11"/>
              <w:spacing w:before="5" w:line="322" w:lineRule="exact"/>
              <w:ind w:left="547"/>
              <w:jc w:val="left"/>
              <w:rPr>
                <w:sz w:val="24"/>
                <w:szCs w:val="24"/>
              </w:rPr>
            </w:pPr>
            <w:r>
              <w:rPr>
                <w:sz w:val="24"/>
                <w:szCs w:val="24"/>
              </w:rPr>
              <w:t>2</w:t>
            </w:r>
            <w:r>
              <w:rPr>
                <w:spacing w:val="-1"/>
                <w:sz w:val="24"/>
                <w:szCs w:val="24"/>
              </w:rPr>
              <w:t xml:space="preserve"> </w:t>
            </w:r>
            <w:r>
              <w:rPr>
                <w:spacing w:val="-2"/>
                <w:sz w:val="24"/>
                <w:szCs w:val="24"/>
              </w:rPr>
              <w:t>(3,4%)</w:t>
            </w:r>
          </w:p>
          <w:p w14:paraId="39413076">
            <w:pPr>
              <w:pStyle w:val="11"/>
              <w:ind w:left="652"/>
              <w:jc w:val="left"/>
              <w:rPr>
                <w:sz w:val="24"/>
                <w:szCs w:val="24"/>
              </w:rPr>
            </w:pPr>
            <w:r>
              <w:rPr>
                <w:sz w:val="24"/>
                <w:szCs w:val="24"/>
              </w:rPr>
              <w:t>0</w:t>
            </w:r>
            <w:r>
              <w:rPr>
                <w:spacing w:val="-1"/>
                <w:sz w:val="24"/>
                <w:szCs w:val="24"/>
              </w:rPr>
              <w:t xml:space="preserve"> </w:t>
            </w:r>
            <w:r>
              <w:rPr>
                <w:spacing w:val="-4"/>
                <w:sz w:val="24"/>
                <w:szCs w:val="24"/>
              </w:rPr>
              <w:t>(0%)</w:t>
            </w:r>
          </w:p>
        </w:tc>
        <w:tc>
          <w:tcPr>
            <w:tcW w:w="1985" w:type="dxa"/>
          </w:tcPr>
          <w:p w14:paraId="14ECFA0F">
            <w:pPr>
              <w:pStyle w:val="11"/>
              <w:spacing w:line="315" w:lineRule="exact"/>
              <w:ind w:left="475"/>
              <w:jc w:val="left"/>
              <w:rPr>
                <w:sz w:val="24"/>
                <w:szCs w:val="24"/>
              </w:rPr>
            </w:pPr>
            <w:r>
              <w:rPr>
                <w:sz w:val="24"/>
                <w:szCs w:val="24"/>
              </w:rPr>
              <w:t>2</w:t>
            </w:r>
            <w:r>
              <w:rPr>
                <w:spacing w:val="-1"/>
                <w:sz w:val="24"/>
                <w:szCs w:val="24"/>
              </w:rPr>
              <w:t xml:space="preserve"> </w:t>
            </w:r>
            <w:r>
              <w:rPr>
                <w:spacing w:val="-2"/>
                <w:sz w:val="24"/>
                <w:szCs w:val="24"/>
              </w:rPr>
              <w:t>(4,2%)</w:t>
            </w:r>
          </w:p>
          <w:p w14:paraId="6241C719">
            <w:pPr>
              <w:pStyle w:val="11"/>
              <w:spacing w:before="5" w:line="322" w:lineRule="exact"/>
              <w:ind w:left="475"/>
              <w:jc w:val="left"/>
              <w:rPr>
                <w:sz w:val="24"/>
                <w:szCs w:val="24"/>
              </w:rPr>
            </w:pPr>
            <w:r>
              <w:rPr>
                <w:sz w:val="24"/>
                <w:szCs w:val="24"/>
              </w:rPr>
              <w:t>2</w:t>
            </w:r>
            <w:r>
              <w:rPr>
                <w:spacing w:val="-1"/>
                <w:sz w:val="24"/>
                <w:szCs w:val="24"/>
              </w:rPr>
              <w:t xml:space="preserve"> </w:t>
            </w:r>
            <w:r>
              <w:rPr>
                <w:spacing w:val="-2"/>
                <w:sz w:val="24"/>
                <w:szCs w:val="24"/>
              </w:rPr>
              <w:t>(4,2%)</w:t>
            </w:r>
          </w:p>
          <w:p w14:paraId="107FE606">
            <w:pPr>
              <w:pStyle w:val="11"/>
              <w:ind w:left="580"/>
              <w:jc w:val="left"/>
              <w:rPr>
                <w:sz w:val="24"/>
                <w:szCs w:val="24"/>
              </w:rPr>
            </w:pPr>
            <w:r>
              <w:rPr>
                <w:sz w:val="24"/>
                <w:szCs w:val="24"/>
              </w:rPr>
              <w:t>0</w:t>
            </w:r>
            <w:r>
              <w:rPr>
                <w:spacing w:val="-1"/>
                <w:sz w:val="24"/>
                <w:szCs w:val="24"/>
              </w:rPr>
              <w:t xml:space="preserve"> </w:t>
            </w:r>
            <w:r>
              <w:rPr>
                <w:spacing w:val="-4"/>
                <w:sz w:val="24"/>
                <w:szCs w:val="24"/>
              </w:rPr>
              <w:t>(0%)</w:t>
            </w:r>
          </w:p>
        </w:tc>
        <w:tc>
          <w:tcPr>
            <w:tcW w:w="850" w:type="dxa"/>
          </w:tcPr>
          <w:p w14:paraId="15A822CA">
            <w:pPr>
              <w:pStyle w:val="11"/>
              <w:spacing w:line="315" w:lineRule="exact"/>
              <w:ind w:left="13" w:right="93"/>
              <w:rPr>
                <w:sz w:val="24"/>
                <w:szCs w:val="24"/>
              </w:rPr>
            </w:pPr>
            <w:r>
              <w:rPr>
                <w:spacing w:val="-4"/>
                <w:sz w:val="24"/>
                <w:szCs w:val="24"/>
              </w:rPr>
              <w:t>0,861</w:t>
            </w:r>
          </w:p>
        </w:tc>
      </w:tr>
      <w:tr w14:paraId="237A9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678" w:type="dxa"/>
          </w:tcPr>
          <w:p w14:paraId="5A99D4E3">
            <w:pPr>
              <w:pStyle w:val="11"/>
              <w:spacing w:line="301" w:lineRule="exact"/>
              <w:ind w:left="110"/>
              <w:jc w:val="left"/>
              <w:rPr>
                <w:sz w:val="24"/>
                <w:szCs w:val="24"/>
              </w:rPr>
            </w:pPr>
            <w:r>
              <w:rPr>
                <w:sz w:val="24"/>
                <w:szCs w:val="24"/>
              </w:rPr>
              <w:t>КЗ-ПС</w:t>
            </w:r>
            <w:r>
              <w:rPr>
                <w:spacing w:val="-5"/>
                <w:sz w:val="24"/>
                <w:szCs w:val="24"/>
              </w:rPr>
              <w:t xml:space="preserve"> </w:t>
            </w:r>
            <w:r>
              <w:rPr>
                <w:sz w:val="24"/>
                <w:szCs w:val="24"/>
              </w:rPr>
              <w:t>В/С,</w:t>
            </w:r>
            <w:r>
              <w:rPr>
                <w:spacing w:val="-2"/>
                <w:sz w:val="24"/>
                <w:szCs w:val="24"/>
              </w:rPr>
              <w:t xml:space="preserve"> </w:t>
            </w:r>
            <w:r>
              <w:rPr>
                <w:sz w:val="24"/>
                <w:szCs w:val="24"/>
              </w:rPr>
              <w:t>n</w:t>
            </w:r>
            <w:r>
              <w:rPr>
                <w:spacing w:val="-9"/>
                <w:sz w:val="24"/>
                <w:szCs w:val="24"/>
              </w:rPr>
              <w:t xml:space="preserve"> </w:t>
            </w:r>
            <w:r>
              <w:rPr>
                <w:spacing w:val="-5"/>
                <w:sz w:val="24"/>
                <w:szCs w:val="24"/>
              </w:rPr>
              <w:t>(%)</w:t>
            </w:r>
          </w:p>
        </w:tc>
        <w:tc>
          <w:tcPr>
            <w:tcW w:w="2126" w:type="dxa"/>
          </w:tcPr>
          <w:p w14:paraId="5A88E4B3">
            <w:pPr>
              <w:pStyle w:val="11"/>
              <w:spacing w:line="301" w:lineRule="exact"/>
              <w:ind w:left="72" w:right="73"/>
              <w:rPr>
                <w:sz w:val="24"/>
                <w:szCs w:val="24"/>
              </w:rPr>
            </w:pPr>
            <w:r>
              <w:rPr>
                <w:sz w:val="24"/>
                <w:szCs w:val="24"/>
              </w:rPr>
              <w:t>2</w:t>
            </w:r>
            <w:r>
              <w:rPr>
                <w:spacing w:val="-1"/>
                <w:sz w:val="24"/>
                <w:szCs w:val="24"/>
              </w:rPr>
              <w:t xml:space="preserve"> </w:t>
            </w:r>
            <w:r>
              <w:rPr>
                <w:spacing w:val="-2"/>
                <w:sz w:val="24"/>
                <w:szCs w:val="24"/>
              </w:rPr>
              <w:t>(3,4%)</w:t>
            </w:r>
          </w:p>
        </w:tc>
        <w:tc>
          <w:tcPr>
            <w:tcW w:w="1985" w:type="dxa"/>
          </w:tcPr>
          <w:p w14:paraId="50BA97DE">
            <w:pPr>
              <w:pStyle w:val="11"/>
              <w:spacing w:line="301" w:lineRule="exact"/>
              <w:ind w:left="8" w:right="7"/>
              <w:rPr>
                <w:sz w:val="24"/>
                <w:szCs w:val="24"/>
              </w:rPr>
            </w:pPr>
            <w:r>
              <w:rPr>
                <w:sz w:val="24"/>
                <w:szCs w:val="24"/>
              </w:rPr>
              <w:t>2</w:t>
            </w:r>
            <w:r>
              <w:rPr>
                <w:spacing w:val="-1"/>
                <w:sz w:val="24"/>
                <w:szCs w:val="24"/>
              </w:rPr>
              <w:t xml:space="preserve"> </w:t>
            </w:r>
            <w:r>
              <w:rPr>
                <w:spacing w:val="-2"/>
                <w:sz w:val="24"/>
                <w:szCs w:val="24"/>
              </w:rPr>
              <w:t>(4,2%)</w:t>
            </w:r>
          </w:p>
        </w:tc>
        <w:tc>
          <w:tcPr>
            <w:tcW w:w="850" w:type="dxa"/>
          </w:tcPr>
          <w:p w14:paraId="21610E9F">
            <w:pPr>
              <w:pStyle w:val="11"/>
              <w:spacing w:line="301" w:lineRule="exact"/>
              <w:ind w:left="93" w:right="80"/>
              <w:rPr>
                <w:sz w:val="24"/>
                <w:szCs w:val="24"/>
              </w:rPr>
            </w:pPr>
            <w:r>
              <w:rPr>
                <w:spacing w:val="-4"/>
                <w:sz w:val="24"/>
                <w:szCs w:val="24"/>
              </w:rPr>
              <w:t>1,000</w:t>
            </w:r>
          </w:p>
        </w:tc>
      </w:tr>
      <w:tr w14:paraId="07CDA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4678" w:type="dxa"/>
          </w:tcPr>
          <w:p w14:paraId="31FD5E30">
            <w:pPr>
              <w:pStyle w:val="11"/>
              <w:spacing w:line="315" w:lineRule="exact"/>
              <w:ind w:left="110"/>
              <w:jc w:val="left"/>
              <w:rPr>
                <w:sz w:val="24"/>
                <w:szCs w:val="24"/>
              </w:rPr>
            </w:pPr>
            <w:r>
              <w:rPr>
                <w:sz w:val="24"/>
                <w:szCs w:val="24"/>
              </w:rPr>
              <w:t>Кровотечение,</w:t>
            </w:r>
            <w:r>
              <w:rPr>
                <w:spacing w:val="-6"/>
                <w:sz w:val="24"/>
                <w:szCs w:val="24"/>
              </w:rPr>
              <w:t xml:space="preserve"> </w:t>
            </w:r>
            <w:r>
              <w:rPr>
                <w:sz w:val="24"/>
                <w:szCs w:val="24"/>
              </w:rPr>
              <w:t>n</w:t>
            </w:r>
            <w:r>
              <w:rPr>
                <w:spacing w:val="-11"/>
                <w:sz w:val="24"/>
                <w:szCs w:val="24"/>
              </w:rPr>
              <w:t xml:space="preserve"> </w:t>
            </w:r>
            <w:r>
              <w:rPr>
                <w:spacing w:val="-5"/>
                <w:sz w:val="24"/>
                <w:szCs w:val="24"/>
              </w:rPr>
              <w:t>(%)</w:t>
            </w:r>
          </w:p>
        </w:tc>
        <w:tc>
          <w:tcPr>
            <w:tcW w:w="2126" w:type="dxa"/>
          </w:tcPr>
          <w:p w14:paraId="60131C38">
            <w:pPr>
              <w:pStyle w:val="11"/>
              <w:spacing w:before="50"/>
              <w:ind w:left="72" w:right="73"/>
              <w:rPr>
                <w:sz w:val="24"/>
                <w:szCs w:val="24"/>
              </w:rPr>
            </w:pPr>
            <w:r>
              <w:rPr>
                <w:sz w:val="24"/>
                <w:szCs w:val="24"/>
              </w:rPr>
              <w:t>1</w:t>
            </w:r>
            <w:r>
              <w:rPr>
                <w:spacing w:val="-1"/>
                <w:sz w:val="24"/>
                <w:szCs w:val="24"/>
              </w:rPr>
              <w:t xml:space="preserve"> </w:t>
            </w:r>
            <w:r>
              <w:rPr>
                <w:spacing w:val="-2"/>
                <w:sz w:val="24"/>
                <w:szCs w:val="24"/>
              </w:rPr>
              <w:t>(1,7%)</w:t>
            </w:r>
          </w:p>
        </w:tc>
        <w:tc>
          <w:tcPr>
            <w:tcW w:w="1985" w:type="dxa"/>
          </w:tcPr>
          <w:p w14:paraId="582E86CE">
            <w:pPr>
              <w:pStyle w:val="11"/>
              <w:spacing w:before="50"/>
              <w:ind w:left="8" w:right="7"/>
              <w:rPr>
                <w:sz w:val="24"/>
                <w:szCs w:val="24"/>
              </w:rPr>
            </w:pPr>
            <w:r>
              <w:rPr>
                <w:sz w:val="24"/>
                <w:szCs w:val="24"/>
              </w:rPr>
              <w:t>1</w:t>
            </w:r>
            <w:r>
              <w:rPr>
                <w:spacing w:val="-1"/>
                <w:sz w:val="24"/>
                <w:szCs w:val="24"/>
              </w:rPr>
              <w:t xml:space="preserve"> </w:t>
            </w:r>
            <w:r>
              <w:rPr>
                <w:spacing w:val="-2"/>
                <w:sz w:val="24"/>
                <w:szCs w:val="24"/>
              </w:rPr>
              <w:t>(2,3%)</w:t>
            </w:r>
          </w:p>
        </w:tc>
        <w:tc>
          <w:tcPr>
            <w:tcW w:w="850" w:type="dxa"/>
          </w:tcPr>
          <w:p w14:paraId="0BF66D59">
            <w:pPr>
              <w:pStyle w:val="11"/>
              <w:spacing w:line="315" w:lineRule="exact"/>
              <w:ind w:left="93" w:right="80"/>
              <w:rPr>
                <w:sz w:val="24"/>
                <w:szCs w:val="24"/>
              </w:rPr>
            </w:pPr>
            <w:r>
              <w:rPr>
                <w:spacing w:val="-4"/>
                <w:sz w:val="24"/>
                <w:szCs w:val="24"/>
              </w:rPr>
              <w:t>1,000</w:t>
            </w:r>
          </w:p>
        </w:tc>
      </w:tr>
      <w:tr w14:paraId="76B0B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678" w:type="dxa"/>
          </w:tcPr>
          <w:p w14:paraId="76A6B3F9">
            <w:pPr>
              <w:pStyle w:val="11"/>
              <w:spacing w:line="302" w:lineRule="exact"/>
              <w:ind w:left="110"/>
              <w:jc w:val="left"/>
              <w:rPr>
                <w:sz w:val="24"/>
                <w:szCs w:val="24"/>
              </w:rPr>
            </w:pPr>
            <w:r>
              <w:rPr>
                <w:sz w:val="24"/>
                <w:szCs w:val="24"/>
              </w:rPr>
              <w:t>Билиарный</w:t>
            </w:r>
            <w:r>
              <w:rPr>
                <w:spacing w:val="-6"/>
                <w:sz w:val="24"/>
                <w:szCs w:val="24"/>
              </w:rPr>
              <w:t xml:space="preserve"> </w:t>
            </w:r>
            <w:r>
              <w:rPr>
                <w:sz w:val="24"/>
                <w:szCs w:val="24"/>
              </w:rPr>
              <w:t>свищ,</w:t>
            </w:r>
            <w:r>
              <w:rPr>
                <w:spacing w:val="-2"/>
                <w:sz w:val="24"/>
                <w:szCs w:val="24"/>
              </w:rPr>
              <w:t xml:space="preserve"> </w:t>
            </w:r>
            <w:r>
              <w:rPr>
                <w:sz w:val="24"/>
                <w:szCs w:val="24"/>
              </w:rPr>
              <w:t>n</w:t>
            </w:r>
            <w:r>
              <w:rPr>
                <w:spacing w:val="-9"/>
                <w:sz w:val="24"/>
                <w:szCs w:val="24"/>
              </w:rPr>
              <w:t xml:space="preserve"> </w:t>
            </w:r>
            <w:r>
              <w:rPr>
                <w:spacing w:val="-5"/>
                <w:sz w:val="24"/>
                <w:szCs w:val="24"/>
              </w:rPr>
              <w:t>(%)</w:t>
            </w:r>
          </w:p>
        </w:tc>
        <w:tc>
          <w:tcPr>
            <w:tcW w:w="2126" w:type="dxa"/>
          </w:tcPr>
          <w:p w14:paraId="74534706">
            <w:pPr>
              <w:pStyle w:val="11"/>
              <w:spacing w:line="302" w:lineRule="exact"/>
              <w:ind w:left="72" w:right="73"/>
              <w:rPr>
                <w:sz w:val="24"/>
                <w:szCs w:val="24"/>
              </w:rPr>
            </w:pPr>
            <w:r>
              <w:rPr>
                <w:sz w:val="24"/>
                <w:szCs w:val="24"/>
              </w:rPr>
              <w:t>0</w:t>
            </w:r>
            <w:r>
              <w:rPr>
                <w:spacing w:val="-1"/>
                <w:sz w:val="24"/>
                <w:szCs w:val="24"/>
              </w:rPr>
              <w:t xml:space="preserve"> </w:t>
            </w:r>
            <w:r>
              <w:rPr>
                <w:spacing w:val="-4"/>
                <w:sz w:val="24"/>
                <w:szCs w:val="24"/>
              </w:rPr>
              <w:t>(0%)</w:t>
            </w:r>
          </w:p>
        </w:tc>
        <w:tc>
          <w:tcPr>
            <w:tcW w:w="1985" w:type="dxa"/>
          </w:tcPr>
          <w:p w14:paraId="39D89CDA">
            <w:pPr>
              <w:pStyle w:val="11"/>
              <w:spacing w:line="302" w:lineRule="exact"/>
              <w:ind w:left="8" w:right="7"/>
              <w:rPr>
                <w:sz w:val="24"/>
                <w:szCs w:val="24"/>
              </w:rPr>
            </w:pPr>
            <w:r>
              <w:rPr>
                <w:sz w:val="24"/>
                <w:szCs w:val="24"/>
              </w:rPr>
              <w:t>0</w:t>
            </w:r>
            <w:r>
              <w:rPr>
                <w:spacing w:val="-1"/>
                <w:sz w:val="24"/>
                <w:szCs w:val="24"/>
              </w:rPr>
              <w:t xml:space="preserve"> </w:t>
            </w:r>
            <w:r>
              <w:rPr>
                <w:spacing w:val="-4"/>
                <w:sz w:val="24"/>
                <w:szCs w:val="24"/>
              </w:rPr>
              <w:t>(0%)</w:t>
            </w:r>
          </w:p>
        </w:tc>
        <w:tc>
          <w:tcPr>
            <w:tcW w:w="850" w:type="dxa"/>
          </w:tcPr>
          <w:p w14:paraId="460631C9">
            <w:pPr>
              <w:pStyle w:val="11"/>
              <w:spacing w:line="302" w:lineRule="exact"/>
              <w:ind w:left="89" w:right="80"/>
              <w:rPr>
                <w:sz w:val="24"/>
                <w:szCs w:val="24"/>
              </w:rPr>
            </w:pPr>
            <w:r>
              <w:rPr>
                <w:spacing w:val="-5"/>
                <w:sz w:val="24"/>
                <w:szCs w:val="24"/>
              </w:rPr>
              <w:t>NA</w:t>
            </w:r>
          </w:p>
        </w:tc>
      </w:tr>
      <w:tr w14:paraId="70547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678" w:type="dxa"/>
          </w:tcPr>
          <w:p w14:paraId="745BD4D8">
            <w:pPr>
              <w:pStyle w:val="11"/>
              <w:spacing w:line="301" w:lineRule="exact"/>
              <w:ind w:left="110"/>
              <w:jc w:val="left"/>
              <w:rPr>
                <w:sz w:val="24"/>
                <w:szCs w:val="24"/>
              </w:rPr>
            </w:pPr>
            <w:r>
              <w:rPr>
                <w:sz w:val="24"/>
                <w:szCs w:val="24"/>
              </w:rPr>
              <w:t>Релапаротомия,</w:t>
            </w:r>
            <w:r>
              <w:rPr>
                <w:spacing w:val="-5"/>
                <w:sz w:val="24"/>
                <w:szCs w:val="24"/>
              </w:rPr>
              <w:t xml:space="preserve"> </w:t>
            </w:r>
            <w:r>
              <w:rPr>
                <w:sz w:val="24"/>
                <w:szCs w:val="24"/>
              </w:rPr>
              <w:t>n</w:t>
            </w:r>
            <w:r>
              <w:rPr>
                <w:spacing w:val="-10"/>
                <w:sz w:val="24"/>
                <w:szCs w:val="24"/>
              </w:rPr>
              <w:t xml:space="preserve"> </w:t>
            </w:r>
            <w:r>
              <w:rPr>
                <w:spacing w:val="-5"/>
                <w:sz w:val="24"/>
                <w:szCs w:val="24"/>
              </w:rPr>
              <w:t>(%)</w:t>
            </w:r>
          </w:p>
        </w:tc>
        <w:tc>
          <w:tcPr>
            <w:tcW w:w="2126" w:type="dxa"/>
          </w:tcPr>
          <w:p w14:paraId="02015AE2">
            <w:pPr>
              <w:pStyle w:val="11"/>
              <w:spacing w:line="301" w:lineRule="exact"/>
              <w:ind w:left="72" w:right="73"/>
              <w:rPr>
                <w:sz w:val="24"/>
                <w:szCs w:val="24"/>
              </w:rPr>
            </w:pPr>
            <w:r>
              <w:rPr>
                <w:sz w:val="24"/>
                <w:szCs w:val="24"/>
              </w:rPr>
              <w:t>2</w:t>
            </w:r>
            <w:r>
              <w:rPr>
                <w:spacing w:val="-1"/>
                <w:sz w:val="24"/>
                <w:szCs w:val="24"/>
              </w:rPr>
              <w:t xml:space="preserve"> </w:t>
            </w:r>
            <w:r>
              <w:rPr>
                <w:spacing w:val="-2"/>
                <w:sz w:val="24"/>
                <w:szCs w:val="24"/>
              </w:rPr>
              <w:t>(3,4%)</w:t>
            </w:r>
          </w:p>
        </w:tc>
        <w:tc>
          <w:tcPr>
            <w:tcW w:w="1985" w:type="dxa"/>
          </w:tcPr>
          <w:p w14:paraId="09083FAF">
            <w:pPr>
              <w:pStyle w:val="11"/>
              <w:spacing w:line="301" w:lineRule="exact"/>
              <w:ind w:left="8" w:right="7"/>
              <w:rPr>
                <w:sz w:val="24"/>
                <w:szCs w:val="24"/>
              </w:rPr>
            </w:pPr>
            <w:r>
              <w:rPr>
                <w:sz w:val="24"/>
                <w:szCs w:val="24"/>
              </w:rPr>
              <w:t>0</w:t>
            </w:r>
            <w:r>
              <w:rPr>
                <w:spacing w:val="-1"/>
                <w:sz w:val="24"/>
                <w:szCs w:val="24"/>
              </w:rPr>
              <w:t xml:space="preserve"> </w:t>
            </w:r>
            <w:r>
              <w:rPr>
                <w:spacing w:val="-4"/>
                <w:sz w:val="24"/>
                <w:szCs w:val="24"/>
              </w:rPr>
              <w:t>(0%)</w:t>
            </w:r>
          </w:p>
        </w:tc>
        <w:tc>
          <w:tcPr>
            <w:tcW w:w="850" w:type="dxa"/>
          </w:tcPr>
          <w:p w14:paraId="1C7FDD2B">
            <w:pPr>
              <w:pStyle w:val="11"/>
              <w:spacing w:line="301" w:lineRule="exact"/>
              <w:ind w:left="93" w:right="80"/>
              <w:rPr>
                <w:sz w:val="24"/>
                <w:szCs w:val="24"/>
              </w:rPr>
            </w:pPr>
            <w:r>
              <w:rPr>
                <w:spacing w:val="-4"/>
                <w:sz w:val="24"/>
                <w:szCs w:val="24"/>
              </w:rPr>
              <w:t>0,523</w:t>
            </w:r>
          </w:p>
        </w:tc>
      </w:tr>
      <w:tr w14:paraId="1D9F6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4678" w:type="dxa"/>
          </w:tcPr>
          <w:p w14:paraId="730FFF44">
            <w:pPr>
              <w:pStyle w:val="11"/>
              <w:spacing w:line="322" w:lineRule="exact"/>
              <w:ind w:left="110" w:right="163"/>
              <w:jc w:val="left"/>
              <w:rPr>
                <w:sz w:val="24"/>
                <w:szCs w:val="24"/>
              </w:rPr>
            </w:pPr>
            <w:r>
              <w:rPr>
                <w:sz w:val="24"/>
                <w:szCs w:val="24"/>
              </w:rPr>
              <w:t>Кровотечение</w:t>
            </w:r>
            <w:r>
              <w:rPr>
                <w:spacing w:val="-18"/>
                <w:sz w:val="24"/>
                <w:szCs w:val="24"/>
              </w:rPr>
              <w:t xml:space="preserve"> </w:t>
            </w:r>
            <w:r>
              <w:rPr>
                <w:sz w:val="24"/>
                <w:szCs w:val="24"/>
              </w:rPr>
              <w:t>связанное</w:t>
            </w:r>
            <w:r>
              <w:rPr>
                <w:spacing w:val="-17"/>
                <w:sz w:val="24"/>
                <w:szCs w:val="24"/>
              </w:rPr>
              <w:t xml:space="preserve"> </w:t>
            </w:r>
            <w:r>
              <w:rPr>
                <w:sz w:val="24"/>
                <w:szCs w:val="24"/>
              </w:rPr>
              <w:t>со свищем, n (%)</w:t>
            </w:r>
          </w:p>
        </w:tc>
        <w:tc>
          <w:tcPr>
            <w:tcW w:w="2126" w:type="dxa"/>
          </w:tcPr>
          <w:p w14:paraId="47C0D28E">
            <w:pPr>
              <w:pStyle w:val="11"/>
              <w:spacing w:line="320" w:lineRule="exact"/>
              <w:ind w:left="72" w:right="73"/>
              <w:rPr>
                <w:sz w:val="24"/>
                <w:szCs w:val="24"/>
              </w:rPr>
            </w:pPr>
            <w:r>
              <w:rPr>
                <w:sz w:val="24"/>
                <w:szCs w:val="24"/>
              </w:rPr>
              <w:t>0</w:t>
            </w:r>
            <w:r>
              <w:rPr>
                <w:spacing w:val="-1"/>
                <w:sz w:val="24"/>
                <w:szCs w:val="24"/>
              </w:rPr>
              <w:t xml:space="preserve"> </w:t>
            </w:r>
            <w:r>
              <w:rPr>
                <w:spacing w:val="-4"/>
                <w:sz w:val="24"/>
                <w:szCs w:val="24"/>
              </w:rPr>
              <w:t>(0%)</w:t>
            </w:r>
          </w:p>
        </w:tc>
        <w:tc>
          <w:tcPr>
            <w:tcW w:w="1985" w:type="dxa"/>
          </w:tcPr>
          <w:p w14:paraId="4B5A7F5B">
            <w:pPr>
              <w:pStyle w:val="11"/>
              <w:spacing w:line="320" w:lineRule="exact"/>
              <w:ind w:left="8" w:right="7"/>
              <w:rPr>
                <w:sz w:val="24"/>
                <w:szCs w:val="24"/>
              </w:rPr>
            </w:pPr>
            <w:r>
              <w:rPr>
                <w:sz w:val="24"/>
                <w:szCs w:val="24"/>
              </w:rPr>
              <w:t>0</w:t>
            </w:r>
            <w:r>
              <w:rPr>
                <w:spacing w:val="-1"/>
                <w:sz w:val="24"/>
                <w:szCs w:val="24"/>
              </w:rPr>
              <w:t xml:space="preserve"> </w:t>
            </w:r>
            <w:r>
              <w:rPr>
                <w:spacing w:val="-4"/>
                <w:sz w:val="24"/>
                <w:szCs w:val="24"/>
              </w:rPr>
              <w:t>(0%)</w:t>
            </w:r>
          </w:p>
        </w:tc>
        <w:tc>
          <w:tcPr>
            <w:tcW w:w="850" w:type="dxa"/>
          </w:tcPr>
          <w:p w14:paraId="69D4A3DE">
            <w:pPr>
              <w:pStyle w:val="11"/>
              <w:spacing w:line="320" w:lineRule="exact"/>
              <w:ind w:left="89" w:right="80"/>
              <w:rPr>
                <w:sz w:val="24"/>
                <w:szCs w:val="24"/>
              </w:rPr>
            </w:pPr>
            <w:r>
              <w:rPr>
                <w:spacing w:val="-5"/>
                <w:sz w:val="24"/>
                <w:szCs w:val="24"/>
              </w:rPr>
              <w:t>NA</w:t>
            </w:r>
          </w:p>
        </w:tc>
      </w:tr>
      <w:tr w14:paraId="194B4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678" w:type="dxa"/>
          </w:tcPr>
          <w:p w14:paraId="0700D2AB">
            <w:pPr>
              <w:pStyle w:val="11"/>
              <w:spacing w:line="301" w:lineRule="exact"/>
              <w:ind w:left="110"/>
              <w:jc w:val="left"/>
              <w:rPr>
                <w:sz w:val="24"/>
                <w:szCs w:val="24"/>
              </w:rPr>
            </w:pPr>
            <w:r>
              <w:rPr>
                <w:sz w:val="24"/>
                <w:szCs w:val="24"/>
              </w:rPr>
              <w:t>Гастростаз,</w:t>
            </w:r>
            <w:r>
              <w:rPr>
                <w:spacing w:val="-5"/>
                <w:sz w:val="24"/>
                <w:szCs w:val="24"/>
              </w:rPr>
              <w:t xml:space="preserve"> </w:t>
            </w:r>
            <w:r>
              <w:rPr>
                <w:sz w:val="24"/>
                <w:szCs w:val="24"/>
              </w:rPr>
              <w:t>n</w:t>
            </w:r>
            <w:r>
              <w:rPr>
                <w:spacing w:val="-11"/>
                <w:sz w:val="24"/>
                <w:szCs w:val="24"/>
              </w:rPr>
              <w:t xml:space="preserve"> </w:t>
            </w:r>
            <w:r>
              <w:rPr>
                <w:spacing w:val="-5"/>
                <w:sz w:val="24"/>
                <w:szCs w:val="24"/>
              </w:rPr>
              <w:t>(%)</w:t>
            </w:r>
          </w:p>
        </w:tc>
        <w:tc>
          <w:tcPr>
            <w:tcW w:w="2126" w:type="dxa"/>
          </w:tcPr>
          <w:p w14:paraId="459EA5D7">
            <w:pPr>
              <w:pStyle w:val="11"/>
              <w:spacing w:line="301" w:lineRule="exact"/>
              <w:ind w:left="72" w:right="73"/>
              <w:rPr>
                <w:sz w:val="24"/>
                <w:szCs w:val="24"/>
              </w:rPr>
            </w:pPr>
            <w:r>
              <w:rPr>
                <w:sz w:val="24"/>
                <w:szCs w:val="24"/>
              </w:rPr>
              <w:t>2</w:t>
            </w:r>
            <w:r>
              <w:rPr>
                <w:spacing w:val="-1"/>
                <w:sz w:val="24"/>
                <w:szCs w:val="24"/>
              </w:rPr>
              <w:t xml:space="preserve"> </w:t>
            </w:r>
            <w:r>
              <w:rPr>
                <w:spacing w:val="-2"/>
                <w:sz w:val="24"/>
                <w:szCs w:val="24"/>
              </w:rPr>
              <w:t>(3,4%)</w:t>
            </w:r>
          </w:p>
        </w:tc>
        <w:tc>
          <w:tcPr>
            <w:tcW w:w="1985" w:type="dxa"/>
          </w:tcPr>
          <w:p w14:paraId="724CFA06">
            <w:pPr>
              <w:pStyle w:val="11"/>
              <w:spacing w:line="301" w:lineRule="exact"/>
              <w:ind w:left="8" w:right="7"/>
              <w:rPr>
                <w:sz w:val="24"/>
                <w:szCs w:val="24"/>
              </w:rPr>
            </w:pPr>
            <w:r>
              <w:rPr>
                <w:sz w:val="24"/>
                <w:szCs w:val="24"/>
              </w:rPr>
              <w:t>0</w:t>
            </w:r>
            <w:r>
              <w:rPr>
                <w:spacing w:val="-1"/>
                <w:sz w:val="24"/>
                <w:szCs w:val="24"/>
              </w:rPr>
              <w:t xml:space="preserve"> </w:t>
            </w:r>
            <w:r>
              <w:rPr>
                <w:spacing w:val="-4"/>
                <w:sz w:val="24"/>
                <w:szCs w:val="24"/>
              </w:rPr>
              <w:t>(0%)</w:t>
            </w:r>
          </w:p>
        </w:tc>
        <w:tc>
          <w:tcPr>
            <w:tcW w:w="850" w:type="dxa"/>
          </w:tcPr>
          <w:p w14:paraId="0E20BEFB">
            <w:pPr>
              <w:pStyle w:val="11"/>
              <w:spacing w:line="301" w:lineRule="exact"/>
              <w:ind w:left="93" w:right="80"/>
              <w:rPr>
                <w:sz w:val="24"/>
                <w:szCs w:val="24"/>
              </w:rPr>
            </w:pPr>
            <w:r>
              <w:rPr>
                <w:spacing w:val="-4"/>
                <w:sz w:val="24"/>
                <w:szCs w:val="24"/>
              </w:rPr>
              <w:t>0,523</w:t>
            </w:r>
          </w:p>
        </w:tc>
      </w:tr>
      <w:tr w14:paraId="0B8D6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678" w:type="dxa"/>
          </w:tcPr>
          <w:p w14:paraId="78FAF211">
            <w:pPr>
              <w:pStyle w:val="11"/>
              <w:spacing w:line="302" w:lineRule="exact"/>
              <w:ind w:left="110"/>
              <w:jc w:val="left"/>
              <w:rPr>
                <w:sz w:val="24"/>
                <w:szCs w:val="24"/>
              </w:rPr>
            </w:pPr>
            <w:r>
              <w:rPr>
                <w:sz w:val="24"/>
                <w:szCs w:val="24"/>
              </w:rPr>
              <w:t>Госпитальная</w:t>
            </w:r>
            <w:r>
              <w:rPr>
                <w:spacing w:val="-8"/>
                <w:sz w:val="24"/>
                <w:szCs w:val="24"/>
              </w:rPr>
              <w:t xml:space="preserve"> </w:t>
            </w:r>
            <w:r>
              <w:rPr>
                <w:sz w:val="24"/>
                <w:szCs w:val="24"/>
              </w:rPr>
              <w:t>летальность,</w:t>
            </w:r>
            <w:r>
              <w:rPr>
                <w:spacing w:val="-4"/>
                <w:sz w:val="24"/>
                <w:szCs w:val="24"/>
              </w:rPr>
              <w:t xml:space="preserve"> </w:t>
            </w:r>
            <w:r>
              <w:rPr>
                <w:sz w:val="24"/>
                <w:szCs w:val="24"/>
              </w:rPr>
              <w:t>n</w:t>
            </w:r>
            <w:r>
              <w:rPr>
                <w:spacing w:val="-12"/>
                <w:sz w:val="24"/>
                <w:szCs w:val="24"/>
              </w:rPr>
              <w:t xml:space="preserve"> </w:t>
            </w:r>
            <w:r>
              <w:rPr>
                <w:spacing w:val="-5"/>
                <w:sz w:val="24"/>
                <w:szCs w:val="24"/>
              </w:rPr>
              <w:t>(%)</w:t>
            </w:r>
          </w:p>
        </w:tc>
        <w:tc>
          <w:tcPr>
            <w:tcW w:w="2126" w:type="dxa"/>
          </w:tcPr>
          <w:p w14:paraId="4E25613F">
            <w:pPr>
              <w:pStyle w:val="11"/>
              <w:spacing w:line="302" w:lineRule="exact"/>
              <w:ind w:left="72" w:right="73"/>
              <w:rPr>
                <w:sz w:val="24"/>
                <w:szCs w:val="24"/>
              </w:rPr>
            </w:pPr>
            <w:r>
              <w:rPr>
                <w:sz w:val="24"/>
                <w:szCs w:val="24"/>
              </w:rPr>
              <w:t>1</w:t>
            </w:r>
            <w:r>
              <w:rPr>
                <w:spacing w:val="-1"/>
                <w:sz w:val="24"/>
                <w:szCs w:val="24"/>
              </w:rPr>
              <w:t xml:space="preserve"> </w:t>
            </w:r>
            <w:r>
              <w:rPr>
                <w:spacing w:val="-2"/>
                <w:sz w:val="24"/>
                <w:szCs w:val="24"/>
              </w:rPr>
              <w:t>(1,7%)</w:t>
            </w:r>
          </w:p>
        </w:tc>
        <w:tc>
          <w:tcPr>
            <w:tcW w:w="1985" w:type="dxa"/>
          </w:tcPr>
          <w:p w14:paraId="0B109D75">
            <w:pPr>
              <w:pStyle w:val="11"/>
              <w:spacing w:line="302" w:lineRule="exact"/>
              <w:ind w:left="8" w:right="7"/>
              <w:rPr>
                <w:sz w:val="24"/>
                <w:szCs w:val="24"/>
              </w:rPr>
            </w:pPr>
            <w:r>
              <w:rPr>
                <w:sz w:val="24"/>
                <w:szCs w:val="24"/>
              </w:rPr>
              <w:t>0</w:t>
            </w:r>
            <w:r>
              <w:rPr>
                <w:spacing w:val="-1"/>
                <w:sz w:val="24"/>
                <w:szCs w:val="24"/>
              </w:rPr>
              <w:t xml:space="preserve"> </w:t>
            </w:r>
            <w:r>
              <w:rPr>
                <w:spacing w:val="-4"/>
                <w:sz w:val="24"/>
                <w:szCs w:val="24"/>
              </w:rPr>
              <w:t>(0%)</w:t>
            </w:r>
          </w:p>
        </w:tc>
        <w:tc>
          <w:tcPr>
            <w:tcW w:w="850" w:type="dxa"/>
          </w:tcPr>
          <w:p w14:paraId="177556BE">
            <w:pPr>
              <w:pStyle w:val="11"/>
              <w:spacing w:line="302" w:lineRule="exact"/>
              <w:ind w:left="93" w:right="80"/>
              <w:rPr>
                <w:sz w:val="24"/>
                <w:szCs w:val="24"/>
              </w:rPr>
            </w:pPr>
            <w:r>
              <w:rPr>
                <w:spacing w:val="-4"/>
                <w:sz w:val="24"/>
                <w:szCs w:val="24"/>
              </w:rPr>
              <w:t>1,000</w:t>
            </w:r>
          </w:p>
        </w:tc>
      </w:tr>
      <w:tr w14:paraId="24DB6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678" w:type="dxa"/>
          </w:tcPr>
          <w:p w14:paraId="4A4A0D09">
            <w:pPr>
              <w:pStyle w:val="11"/>
              <w:spacing w:line="315" w:lineRule="exact"/>
              <w:ind w:left="110"/>
              <w:jc w:val="left"/>
              <w:rPr>
                <w:sz w:val="24"/>
                <w:szCs w:val="24"/>
              </w:rPr>
            </w:pPr>
            <w:r>
              <w:rPr>
                <w:sz w:val="24"/>
                <w:szCs w:val="24"/>
              </w:rPr>
              <w:t>Длительность</w:t>
            </w:r>
            <w:r>
              <w:rPr>
                <w:spacing w:val="-16"/>
                <w:sz w:val="24"/>
                <w:szCs w:val="24"/>
              </w:rPr>
              <w:t xml:space="preserve"> </w:t>
            </w:r>
            <w:r>
              <w:rPr>
                <w:sz w:val="24"/>
                <w:szCs w:val="24"/>
              </w:rPr>
              <w:t>госпитализация,</w:t>
            </w:r>
            <w:r>
              <w:rPr>
                <w:spacing w:val="-12"/>
                <w:sz w:val="24"/>
                <w:szCs w:val="24"/>
              </w:rPr>
              <w:t xml:space="preserve"> </w:t>
            </w:r>
            <w:r>
              <w:rPr>
                <w:spacing w:val="-4"/>
                <w:sz w:val="24"/>
                <w:szCs w:val="24"/>
              </w:rPr>
              <w:t>дни,</w:t>
            </w:r>
          </w:p>
          <w:p w14:paraId="15E2EC90">
            <w:pPr>
              <w:pStyle w:val="11"/>
              <w:ind w:left="110"/>
              <w:jc w:val="left"/>
              <w:rPr>
                <w:sz w:val="24"/>
                <w:szCs w:val="24"/>
              </w:rPr>
            </w:pPr>
            <w:r>
              <w:rPr>
                <w:sz w:val="24"/>
                <w:szCs w:val="24"/>
              </w:rPr>
              <w:t>Me</w:t>
            </w:r>
            <w:r>
              <w:rPr>
                <w:spacing w:val="-3"/>
                <w:sz w:val="24"/>
                <w:szCs w:val="24"/>
              </w:rPr>
              <w:t xml:space="preserve"> </w:t>
            </w:r>
            <w:r>
              <w:rPr>
                <w:sz w:val="24"/>
                <w:szCs w:val="24"/>
              </w:rPr>
              <w:t>[Q1;</w:t>
            </w:r>
            <w:r>
              <w:rPr>
                <w:spacing w:val="-4"/>
                <w:sz w:val="24"/>
                <w:szCs w:val="24"/>
              </w:rPr>
              <w:t xml:space="preserve"> </w:t>
            </w:r>
            <w:r>
              <w:rPr>
                <w:spacing w:val="-5"/>
                <w:sz w:val="24"/>
                <w:szCs w:val="24"/>
              </w:rPr>
              <w:t>Q3]</w:t>
            </w:r>
          </w:p>
        </w:tc>
        <w:tc>
          <w:tcPr>
            <w:tcW w:w="2126" w:type="dxa"/>
          </w:tcPr>
          <w:p w14:paraId="3D99FF11">
            <w:pPr>
              <w:pStyle w:val="11"/>
              <w:spacing w:before="314"/>
              <w:ind w:left="72" w:right="72"/>
              <w:rPr>
                <w:sz w:val="24"/>
                <w:szCs w:val="24"/>
              </w:rPr>
            </w:pPr>
            <w:r>
              <w:rPr>
                <w:sz w:val="24"/>
                <w:szCs w:val="24"/>
              </w:rPr>
              <w:t>18</w:t>
            </w:r>
            <w:r>
              <w:rPr>
                <w:spacing w:val="-4"/>
                <w:sz w:val="24"/>
                <w:szCs w:val="24"/>
              </w:rPr>
              <w:t xml:space="preserve"> </w:t>
            </w:r>
            <w:r>
              <w:rPr>
                <w:sz w:val="24"/>
                <w:szCs w:val="24"/>
              </w:rPr>
              <w:t>[14;</w:t>
            </w:r>
            <w:r>
              <w:rPr>
                <w:spacing w:val="-4"/>
                <w:sz w:val="24"/>
                <w:szCs w:val="24"/>
              </w:rPr>
              <w:t xml:space="preserve"> </w:t>
            </w:r>
            <w:r>
              <w:rPr>
                <w:spacing w:val="-5"/>
                <w:sz w:val="24"/>
                <w:szCs w:val="24"/>
              </w:rPr>
              <w:t>23]</w:t>
            </w:r>
          </w:p>
        </w:tc>
        <w:tc>
          <w:tcPr>
            <w:tcW w:w="1985" w:type="dxa"/>
          </w:tcPr>
          <w:p w14:paraId="57DB1633">
            <w:pPr>
              <w:pStyle w:val="11"/>
              <w:spacing w:before="314"/>
              <w:ind w:left="8" w:right="3"/>
              <w:rPr>
                <w:sz w:val="24"/>
                <w:szCs w:val="24"/>
              </w:rPr>
            </w:pPr>
            <w:r>
              <w:rPr>
                <w:sz w:val="24"/>
                <w:szCs w:val="24"/>
              </w:rPr>
              <w:t>20</w:t>
            </w:r>
            <w:r>
              <w:rPr>
                <w:spacing w:val="-4"/>
                <w:sz w:val="24"/>
                <w:szCs w:val="24"/>
              </w:rPr>
              <w:t xml:space="preserve"> </w:t>
            </w:r>
            <w:r>
              <w:rPr>
                <w:sz w:val="24"/>
                <w:szCs w:val="24"/>
              </w:rPr>
              <w:t>[16;</w:t>
            </w:r>
            <w:r>
              <w:rPr>
                <w:spacing w:val="-4"/>
                <w:sz w:val="24"/>
                <w:szCs w:val="24"/>
              </w:rPr>
              <w:t xml:space="preserve"> </w:t>
            </w:r>
            <w:r>
              <w:rPr>
                <w:spacing w:val="-5"/>
                <w:sz w:val="24"/>
                <w:szCs w:val="24"/>
              </w:rPr>
              <w:t>25]</w:t>
            </w:r>
          </w:p>
        </w:tc>
        <w:tc>
          <w:tcPr>
            <w:tcW w:w="850" w:type="dxa"/>
          </w:tcPr>
          <w:p w14:paraId="0AEF995E">
            <w:pPr>
              <w:pStyle w:val="11"/>
              <w:spacing w:before="314"/>
              <w:ind w:left="89" w:right="80"/>
              <w:rPr>
                <w:sz w:val="24"/>
                <w:szCs w:val="24"/>
              </w:rPr>
            </w:pPr>
            <w:r>
              <w:rPr>
                <w:spacing w:val="-2"/>
                <w:sz w:val="24"/>
                <w:szCs w:val="24"/>
              </w:rPr>
              <w:t>0,031</w:t>
            </w:r>
            <w:r>
              <w:rPr>
                <w:spacing w:val="-2"/>
                <w:sz w:val="24"/>
                <w:szCs w:val="24"/>
                <w:vertAlign w:val="superscript"/>
              </w:rPr>
              <w:t>*</w:t>
            </w:r>
          </w:p>
        </w:tc>
      </w:tr>
      <w:tr w14:paraId="78C83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639" w:type="dxa"/>
            <w:gridSpan w:val="4"/>
          </w:tcPr>
          <w:p w14:paraId="0BDB57E9">
            <w:pPr>
              <w:pStyle w:val="11"/>
              <w:spacing w:line="240" w:lineRule="auto"/>
              <w:ind w:left="110" w:right="63" w:firstLine="599"/>
              <w:jc w:val="both"/>
              <w:rPr>
                <w:sz w:val="24"/>
                <w:szCs w:val="24"/>
              </w:rPr>
            </w:pPr>
            <w:r>
              <w:rPr>
                <w:sz w:val="24"/>
                <w:szCs w:val="24"/>
              </w:rPr>
              <w:t>Примечание: Категориальные</w:t>
            </w:r>
            <w:r>
              <w:rPr>
                <w:spacing w:val="-2"/>
                <w:sz w:val="24"/>
                <w:szCs w:val="24"/>
              </w:rPr>
              <w:t xml:space="preserve"> </w:t>
            </w:r>
            <w:r>
              <w:rPr>
                <w:sz w:val="24"/>
                <w:szCs w:val="24"/>
              </w:rPr>
              <w:t>данные</w:t>
            </w:r>
            <w:r>
              <w:rPr>
                <w:spacing w:val="-7"/>
                <w:sz w:val="24"/>
                <w:szCs w:val="24"/>
              </w:rPr>
              <w:t xml:space="preserve"> </w:t>
            </w:r>
            <w:r>
              <w:rPr>
                <w:sz w:val="24"/>
                <w:szCs w:val="24"/>
              </w:rPr>
              <w:t>представлены</w:t>
            </w:r>
            <w:r>
              <w:rPr>
                <w:spacing w:val="-4"/>
                <w:sz w:val="24"/>
                <w:szCs w:val="24"/>
              </w:rPr>
              <w:t xml:space="preserve"> </w:t>
            </w:r>
            <w:r>
              <w:rPr>
                <w:sz w:val="24"/>
                <w:szCs w:val="24"/>
              </w:rPr>
              <w:t>как</w:t>
            </w:r>
            <w:r>
              <w:rPr>
                <w:spacing w:val="-3"/>
                <w:sz w:val="24"/>
                <w:szCs w:val="24"/>
              </w:rPr>
              <w:t xml:space="preserve"> </w:t>
            </w:r>
            <w:r>
              <w:rPr>
                <w:sz w:val="24"/>
                <w:szCs w:val="24"/>
              </w:rPr>
              <w:t>абсолютные</w:t>
            </w:r>
            <w:r>
              <w:rPr>
                <w:spacing w:val="-2"/>
                <w:sz w:val="24"/>
                <w:szCs w:val="24"/>
              </w:rPr>
              <w:t xml:space="preserve"> </w:t>
            </w:r>
            <w:r>
              <w:rPr>
                <w:sz w:val="24"/>
                <w:szCs w:val="24"/>
              </w:rPr>
              <w:t>значения</w:t>
            </w:r>
            <w:r>
              <w:rPr>
                <w:spacing w:val="-6"/>
                <w:sz w:val="24"/>
                <w:szCs w:val="24"/>
              </w:rPr>
              <w:t xml:space="preserve"> </w:t>
            </w:r>
            <w:r>
              <w:rPr>
                <w:sz w:val="24"/>
                <w:szCs w:val="24"/>
              </w:rPr>
              <w:t>и</w:t>
            </w:r>
            <w:r>
              <w:rPr>
                <w:spacing w:val="-5"/>
                <w:sz w:val="24"/>
                <w:szCs w:val="24"/>
              </w:rPr>
              <w:t xml:space="preserve"> </w:t>
            </w:r>
            <w:r>
              <w:rPr>
                <w:sz w:val="24"/>
                <w:szCs w:val="24"/>
              </w:rPr>
              <w:t>проценты —</w:t>
            </w:r>
            <w:r>
              <w:rPr>
                <w:spacing w:val="-6"/>
                <w:sz w:val="24"/>
                <w:szCs w:val="24"/>
              </w:rPr>
              <w:t xml:space="preserve"> </w:t>
            </w:r>
            <w:r>
              <w:rPr>
                <w:sz w:val="24"/>
                <w:szCs w:val="24"/>
              </w:rPr>
              <w:t>n</w:t>
            </w:r>
            <w:r>
              <w:rPr>
                <w:spacing w:val="-6"/>
                <w:sz w:val="24"/>
                <w:szCs w:val="24"/>
              </w:rPr>
              <w:t xml:space="preserve"> </w:t>
            </w:r>
            <w:r>
              <w:rPr>
                <w:sz w:val="24"/>
                <w:szCs w:val="24"/>
              </w:rPr>
              <w:t>(%). *</w:t>
            </w:r>
            <w:r>
              <w:rPr>
                <w:spacing w:val="-1"/>
                <w:sz w:val="24"/>
                <w:szCs w:val="24"/>
              </w:rPr>
              <w:t xml:space="preserve"> </w:t>
            </w:r>
            <w:r>
              <w:rPr>
                <w:sz w:val="24"/>
                <w:szCs w:val="24"/>
              </w:rPr>
              <w:t>p</w:t>
            </w:r>
            <w:r>
              <w:rPr>
                <w:spacing w:val="-6"/>
                <w:sz w:val="24"/>
                <w:szCs w:val="24"/>
              </w:rPr>
              <w:t xml:space="preserve"> </w:t>
            </w:r>
            <w:r>
              <w:rPr>
                <w:sz w:val="24"/>
                <w:szCs w:val="24"/>
              </w:rPr>
              <w:t>&lt; 0,05, ** p &lt; 0,01, *** p &lt; 0,001. Для сравнения категориальных переменных применён точный критерий Фишера. Для сравнения количественных переменных использован U-критерий</w:t>
            </w:r>
            <w:r>
              <w:rPr>
                <w:spacing w:val="-3"/>
                <w:sz w:val="24"/>
                <w:szCs w:val="24"/>
              </w:rPr>
              <w:t xml:space="preserve"> </w:t>
            </w:r>
            <w:r>
              <w:rPr>
                <w:sz w:val="24"/>
                <w:szCs w:val="24"/>
              </w:rPr>
              <w:t>Манна—Уитни.</w:t>
            </w:r>
            <w:r>
              <w:rPr>
                <w:spacing w:val="-2"/>
                <w:sz w:val="24"/>
                <w:szCs w:val="24"/>
              </w:rPr>
              <w:t xml:space="preserve"> </w:t>
            </w:r>
            <w:r>
              <w:rPr>
                <w:sz w:val="24"/>
                <w:szCs w:val="24"/>
              </w:rPr>
              <w:t>Для</w:t>
            </w:r>
            <w:r>
              <w:rPr>
                <w:spacing w:val="-9"/>
                <w:sz w:val="24"/>
                <w:szCs w:val="24"/>
              </w:rPr>
              <w:t xml:space="preserve"> </w:t>
            </w:r>
            <w:r>
              <w:rPr>
                <w:sz w:val="24"/>
                <w:szCs w:val="24"/>
              </w:rPr>
              <w:t>сравнения</w:t>
            </w:r>
            <w:r>
              <w:rPr>
                <w:spacing w:val="-9"/>
                <w:sz w:val="24"/>
                <w:szCs w:val="24"/>
              </w:rPr>
              <w:t xml:space="preserve"> </w:t>
            </w:r>
            <w:r>
              <w:rPr>
                <w:sz w:val="24"/>
                <w:szCs w:val="24"/>
              </w:rPr>
              <w:t>распределения</w:t>
            </w:r>
            <w:r>
              <w:rPr>
                <w:spacing w:val="-4"/>
                <w:sz w:val="24"/>
                <w:szCs w:val="24"/>
              </w:rPr>
              <w:t xml:space="preserve"> </w:t>
            </w:r>
            <w:r>
              <w:rPr>
                <w:sz w:val="24"/>
                <w:szCs w:val="24"/>
              </w:rPr>
              <w:t>ПС</w:t>
            </w:r>
            <w:r>
              <w:rPr>
                <w:spacing w:val="-6"/>
                <w:sz w:val="24"/>
                <w:szCs w:val="24"/>
              </w:rPr>
              <w:t xml:space="preserve"> </w:t>
            </w:r>
            <w:r>
              <w:rPr>
                <w:sz w:val="24"/>
                <w:szCs w:val="24"/>
              </w:rPr>
              <w:t>по</w:t>
            </w:r>
            <w:r>
              <w:rPr>
                <w:spacing w:val="-4"/>
                <w:sz w:val="24"/>
                <w:szCs w:val="24"/>
              </w:rPr>
              <w:t xml:space="preserve"> </w:t>
            </w:r>
            <w:r>
              <w:rPr>
                <w:sz w:val="24"/>
                <w:szCs w:val="24"/>
              </w:rPr>
              <w:t>степеням</w:t>
            </w:r>
            <w:r>
              <w:rPr>
                <w:spacing w:val="-7"/>
                <w:sz w:val="24"/>
                <w:szCs w:val="24"/>
              </w:rPr>
              <w:t xml:space="preserve"> </w:t>
            </w:r>
            <w:r>
              <w:rPr>
                <w:sz w:val="24"/>
                <w:szCs w:val="24"/>
              </w:rPr>
              <w:t>(A/B/C)</w:t>
            </w:r>
            <w:r>
              <w:rPr>
                <w:spacing w:val="-3"/>
                <w:sz w:val="24"/>
                <w:szCs w:val="24"/>
              </w:rPr>
              <w:t xml:space="preserve"> </w:t>
            </w:r>
            <w:r>
              <w:rPr>
                <w:sz w:val="24"/>
                <w:szCs w:val="24"/>
              </w:rPr>
              <w:t>между группами использован χ²-критерий Пирсона.</w:t>
            </w:r>
          </w:p>
        </w:tc>
      </w:tr>
    </w:tbl>
    <w:p w14:paraId="34E244D2">
      <w:pPr>
        <w:pStyle w:val="3"/>
        <w:tabs>
          <w:tab w:val="left" w:pos="1664"/>
        </w:tabs>
        <w:ind w:left="709" w:right="3" w:firstLine="0"/>
        <w:rPr>
          <w:b w:val="0"/>
        </w:rPr>
      </w:pPr>
    </w:p>
    <w:p w14:paraId="67770946">
      <w:pPr>
        <w:pStyle w:val="3"/>
        <w:numPr>
          <w:ilvl w:val="2"/>
          <w:numId w:val="8"/>
        </w:numPr>
        <w:tabs>
          <w:tab w:val="left" w:pos="1664"/>
        </w:tabs>
        <w:spacing w:before="72"/>
        <w:ind w:left="0" w:right="3" w:firstLine="709"/>
        <w:rPr>
          <w:b w:val="0"/>
        </w:rPr>
      </w:pPr>
      <w:r>
        <w:rPr>
          <w:b w:val="0"/>
        </w:rPr>
        <w:t>Сравнительная</w:t>
      </w:r>
      <w:r>
        <w:rPr>
          <w:b w:val="0"/>
          <w:spacing w:val="39"/>
        </w:rPr>
        <w:t xml:space="preserve"> </w:t>
      </w:r>
      <w:r>
        <w:rPr>
          <w:b w:val="0"/>
        </w:rPr>
        <w:t>оценка</w:t>
      </w:r>
      <w:r>
        <w:rPr>
          <w:b w:val="0"/>
          <w:spacing w:val="36"/>
        </w:rPr>
        <w:t xml:space="preserve"> </w:t>
      </w:r>
      <w:r>
        <w:rPr>
          <w:b w:val="0"/>
        </w:rPr>
        <w:t>различных</w:t>
      </w:r>
      <w:r>
        <w:rPr>
          <w:b w:val="0"/>
          <w:spacing w:val="32"/>
        </w:rPr>
        <w:t xml:space="preserve"> </w:t>
      </w:r>
      <w:r>
        <w:rPr>
          <w:b w:val="0"/>
        </w:rPr>
        <w:t>методов</w:t>
      </w:r>
      <w:r>
        <w:rPr>
          <w:b w:val="0"/>
          <w:spacing w:val="40"/>
        </w:rPr>
        <w:t xml:space="preserve"> </w:t>
      </w:r>
      <w:r>
        <w:rPr>
          <w:b w:val="0"/>
        </w:rPr>
        <w:t>формирования</w:t>
      </w:r>
      <w:r>
        <w:rPr>
          <w:b w:val="0"/>
          <w:spacing w:val="35"/>
        </w:rPr>
        <w:t xml:space="preserve"> </w:t>
      </w:r>
      <w:r>
        <w:rPr>
          <w:b w:val="0"/>
        </w:rPr>
        <w:t>ПЕА при ГПДР</w:t>
      </w:r>
    </w:p>
    <w:p w14:paraId="5CABAC3A">
      <w:pPr>
        <w:pStyle w:val="7"/>
        <w:ind w:left="0" w:right="3" w:firstLine="709"/>
      </w:pPr>
      <w:r>
        <w:t>По</w:t>
      </w:r>
      <w:r>
        <w:rPr>
          <w:spacing w:val="-3"/>
        </w:rPr>
        <w:t xml:space="preserve"> </w:t>
      </w:r>
      <w:r>
        <w:t>данным</w:t>
      </w:r>
      <w:r>
        <w:rPr>
          <w:spacing w:val="-2"/>
        </w:rPr>
        <w:t xml:space="preserve"> </w:t>
      </w:r>
      <w:r>
        <w:t>сравнительного</w:t>
      </w:r>
      <w:r>
        <w:rPr>
          <w:spacing w:val="-3"/>
        </w:rPr>
        <w:t xml:space="preserve"> </w:t>
      </w:r>
      <w:r>
        <w:t>анализа</w:t>
      </w:r>
      <w:r>
        <w:rPr>
          <w:spacing w:val="-2"/>
        </w:rPr>
        <w:t xml:space="preserve"> </w:t>
      </w:r>
      <w:r>
        <w:t>послеоперационных</w:t>
      </w:r>
      <w:r>
        <w:rPr>
          <w:spacing w:val="-7"/>
        </w:rPr>
        <w:t xml:space="preserve"> </w:t>
      </w:r>
      <w:r>
        <w:t>осложнений</w:t>
      </w:r>
      <w:r>
        <w:rPr>
          <w:spacing w:val="-3"/>
        </w:rPr>
        <w:t xml:space="preserve"> </w:t>
      </w:r>
      <w:r>
        <w:t>после ГПДР у пациентов с мягкой ПЖ в зависимости от метода формирования ПЕА существенных</w:t>
      </w:r>
      <w:r>
        <w:rPr>
          <w:spacing w:val="-7"/>
        </w:rPr>
        <w:t xml:space="preserve"> </w:t>
      </w:r>
      <w:r>
        <w:t>различий</w:t>
      </w:r>
      <w:r>
        <w:rPr>
          <w:spacing w:val="-4"/>
        </w:rPr>
        <w:t xml:space="preserve"> </w:t>
      </w:r>
      <w:r>
        <w:t>по</w:t>
      </w:r>
      <w:r>
        <w:rPr>
          <w:spacing w:val="-4"/>
        </w:rPr>
        <w:t xml:space="preserve"> </w:t>
      </w:r>
      <w:r>
        <w:t>общей</w:t>
      </w:r>
      <w:r>
        <w:rPr>
          <w:spacing w:val="-4"/>
        </w:rPr>
        <w:t xml:space="preserve"> </w:t>
      </w:r>
      <w:r>
        <w:t>частоте</w:t>
      </w:r>
      <w:r>
        <w:rPr>
          <w:spacing w:val="-3"/>
        </w:rPr>
        <w:t xml:space="preserve"> </w:t>
      </w:r>
      <w:r>
        <w:t>осложнений</w:t>
      </w:r>
      <w:r>
        <w:rPr>
          <w:spacing w:val="-4"/>
        </w:rPr>
        <w:t xml:space="preserve"> </w:t>
      </w:r>
      <w:r>
        <w:t>≥</w:t>
      </w:r>
      <w:r>
        <w:rPr>
          <w:spacing w:val="-3"/>
        </w:rPr>
        <w:t xml:space="preserve"> </w:t>
      </w:r>
      <w:r>
        <w:t>III</w:t>
      </w:r>
      <w:r>
        <w:rPr>
          <w:spacing w:val="-5"/>
        </w:rPr>
        <w:t xml:space="preserve"> </w:t>
      </w:r>
      <w:r>
        <w:t>степени</w:t>
      </w:r>
      <w:r>
        <w:rPr>
          <w:spacing w:val="-4"/>
        </w:rPr>
        <w:t xml:space="preserve"> </w:t>
      </w:r>
      <w:r>
        <w:t>по</w:t>
      </w:r>
      <w:r>
        <w:rPr>
          <w:spacing w:val="-4"/>
        </w:rPr>
        <w:t xml:space="preserve"> </w:t>
      </w:r>
      <w:r>
        <w:t>Clavien– Dindo, раневым инфекциям, послеоперационным кровотечениям, билиарным свищам и гастростазом не выявлено (p&gt;0,05). Вместе с тем установлены статистически значимые различия в структуре ПС: частота биохимической утечки (ПС Степень A) была достоверно ниже при использовании основного и инвагинационного методов по сравнению с контрольной группой (p=0,013), тогда как КЗ-ПС, степень B+C встречался реже в основной группе.</w:t>
      </w:r>
    </w:p>
    <w:p w14:paraId="7EFAEC22">
      <w:pPr>
        <w:pStyle w:val="7"/>
        <w:spacing w:before="321"/>
        <w:ind w:left="0" w:right="3" w:firstLine="0"/>
      </w:pPr>
      <w:r>
        <w:t>Таблица 33 - Послеоперационные результаты после ГПДР при мягкой железе в зависимости от типа ПЕА</w:t>
      </w:r>
    </w:p>
    <w:p w14:paraId="7B41D7B3">
      <w:pPr>
        <w:pStyle w:val="7"/>
        <w:spacing w:before="98"/>
        <w:ind w:left="0" w:firstLine="0"/>
        <w:jc w:val="left"/>
        <w:rPr>
          <w:sz w:val="20"/>
        </w:rPr>
      </w:pPr>
    </w:p>
    <w:tbl>
      <w:tblPr>
        <w:tblStyle w:val="5"/>
        <w:tblW w:w="9497"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35"/>
        <w:gridCol w:w="1843"/>
        <w:gridCol w:w="1559"/>
        <w:gridCol w:w="2410"/>
        <w:gridCol w:w="850"/>
      </w:tblGrid>
      <w:tr w14:paraId="4E451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6" w:hRule="atLeast"/>
        </w:trPr>
        <w:tc>
          <w:tcPr>
            <w:tcW w:w="2835" w:type="dxa"/>
          </w:tcPr>
          <w:p w14:paraId="27FCD7E7">
            <w:pPr>
              <w:pStyle w:val="11"/>
              <w:spacing w:line="315" w:lineRule="exact"/>
              <w:ind w:left="729"/>
              <w:jc w:val="left"/>
              <w:rPr>
                <w:sz w:val="28"/>
                <w:szCs w:val="28"/>
              </w:rPr>
            </w:pPr>
            <w:r>
              <w:rPr>
                <w:spacing w:val="-2"/>
                <w:sz w:val="28"/>
                <w:szCs w:val="28"/>
              </w:rPr>
              <w:t>Показатель</w:t>
            </w:r>
          </w:p>
        </w:tc>
        <w:tc>
          <w:tcPr>
            <w:tcW w:w="1843" w:type="dxa"/>
          </w:tcPr>
          <w:p w14:paraId="29F385B9">
            <w:pPr>
              <w:pStyle w:val="11"/>
              <w:spacing w:line="240" w:lineRule="auto"/>
              <w:ind w:left="619" w:right="123" w:hanging="490"/>
              <w:jc w:val="left"/>
              <w:rPr>
                <w:sz w:val="28"/>
                <w:szCs w:val="28"/>
              </w:rPr>
            </w:pPr>
            <w:r>
              <w:rPr>
                <w:spacing w:val="-2"/>
                <w:sz w:val="28"/>
                <w:szCs w:val="28"/>
              </w:rPr>
              <w:t xml:space="preserve">Контрольная </w:t>
            </w:r>
            <w:r>
              <w:rPr>
                <w:spacing w:val="-4"/>
                <w:sz w:val="28"/>
                <w:szCs w:val="28"/>
              </w:rPr>
              <w:t>n=92</w:t>
            </w:r>
          </w:p>
        </w:tc>
        <w:tc>
          <w:tcPr>
            <w:tcW w:w="1559" w:type="dxa"/>
          </w:tcPr>
          <w:p w14:paraId="7E5DC4A6">
            <w:pPr>
              <w:pStyle w:val="11"/>
              <w:spacing w:line="240" w:lineRule="auto"/>
              <w:ind w:left="456" w:right="164" w:hanging="288"/>
              <w:jc w:val="left"/>
              <w:rPr>
                <w:sz w:val="28"/>
                <w:szCs w:val="28"/>
              </w:rPr>
            </w:pPr>
            <w:r>
              <w:rPr>
                <w:spacing w:val="-2"/>
                <w:sz w:val="28"/>
                <w:szCs w:val="28"/>
              </w:rPr>
              <w:t xml:space="preserve">Основная </w:t>
            </w:r>
            <w:r>
              <w:rPr>
                <w:spacing w:val="-4"/>
                <w:sz w:val="28"/>
                <w:szCs w:val="28"/>
              </w:rPr>
              <w:t>n=71</w:t>
            </w:r>
          </w:p>
        </w:tc>
        <w:tc>
          <w:tcPr>
            <w:tcW w:w="2410" w:type="dxa"/>
          </w:tcPr>
          <w:p w14:paraId="6E4E0837">
            <w:pPr>
              <w:pStyle w:val="11"/>
              <w:spacing w:line="240" w:lineRule="auto"/>
              <w:ind w:left="936" w:hanging="822"/>
              <w:jc w:val="left"/>
              <w:rPr>
                <w:sz w:val="28"/>
                <w:szCs w:val="28"/>
              </w:rPr>
            </w:pPr>
            <w:r>
              <w:rPr>
                <w:spacing w:val="-2"/>
                <w:sz w:val="28"/>
                <w:szCs w:val="28"/>
              </w:rPr>
              <w:t xml:space="preserve">Инвагинационный </w:t>
            </w:r>
            <w:r>
              <w:rPr>
                <w:spacing w:val="-4"/>
                <w:sz w:val="28"/>
                <w:szCs w:val="28"/>
              </w:rPr>
              <w:t>n=36</w:t>
            </w:r>
          </w:p>
        </w:tc>
        <w:tc>
          <w:tcPr>
            <w:tcW w:w="850" w:type="dxa"/>
          </w:tcPr>
          <w:p w14:paraId="429E262F">
            <w:pPr>
              <w:pStyle w:val="11"/>
              <w:spacing w:line="315" w:lineRule="exact"/>
              <w:ind w:left="10" w:right="3"/>
              <w:rPr>
                <w:sz w:val="28"/>
                <w:szCs w:val="28"/>
              </w:rPr>
            </w:pPr>
            <w:r>
              <w:rPr>
                <w:spacing w:val="-5"/>
                <w:sz w:val="28"/>
                <w:szCs w:val="28"/>
              </w:rPr>
              <w:t>P-</w:t>
            </w:r>
          </w:p>
          <w:p w14:paraId="482BAAD2">
            <w:pPr>
              <w:pStyle w:val="11"/>
              <w:spacing w:line="240" w:lineRule="auto"/>
              <w:ind w:left="10" w:right="7"/>
              <w:rPr>
                <w:sz w:val="28"/>
                <w:szCs w:val="28"/>
              </w:rPr>
            </w:pPr>
            <w:r>
              <w:rPr>
                <w:spacing w:val="-2"/>
                <w:sz w:val="28"/>
                <w:szCs w:val="28"/>
              </w:rPr>
              <w:t>value</w:t>
            </w:r>
          </w:p>
        </w:tc>
      </w:tr>
      <w:tr w14:paraId="74658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35" w:type="dxa"/>
          </w:tcPr>
          <w:p w14:paraId="4C1C1C69">
            <w:pPr>
              <w:pStyle w:val="11"/>
              <w:spacing w:line="301" w:lineRule="exact"/>
              <w:ind w:left="14"/>
              <w:rPr>
                <w:sz w:val="28"/>
                <w:szCs w:val="28"/>
              </w:rPr>
            </w:pPr>
            <w:r>
              <w:rPr>
                <w:spacing w:val="-10"/>
                <w:sz w:val="28"/>
                <w:szCs w:val="28"/>
              </w:rPr>
              <w:t>1</w:t>
            </w:r>
          </w:p>
        </w:tc>
        <w:tc>
          <w:tcPr>
            <w:tcW w:w="1843" w:type="dxa"/>
          </w:tcPr>
          <w:p w14:paraId="6D7AB445">
            <w:pPr>
              <w:pStyle w:val="11"/>
              <w:spacing w:line="301" w:lineRule="exact"/>
              <w:ind w:left="11" w:right="2"/>
              <w:rPr>
                <w:sz w:val="28"/>
                <w:szCs w:val="28"/>
              </w:rPr>
            </w:pPr>
            <w:r>
              <w:rPr>
                <w:spacing w:val="-10"/>
                <w:sz w:val="28"/>
                <w:szCs w:val="28"/>
              </w:rPr>
              <w:t>2</w:t>
            </w:r>
          </w:p>
        </w:tc>
        <w:tc>
          <w:tcPr>
            <w:tcW w:w="1559" w:type="dxa"/>
          </w:tcPr>
          <w:p w14:paraId="1762A9E3">
            <w:pPr>
              <w:pStyle w:val="11"/>
              <w:spacing w:line="301" w:lineRule="exact"/>
              <w:ind w:left="6" w:right="1"/>
              <w:rPr>
                <w:sz w:val="28"/>
                <w:szCs w:val="28"/>
              </w:rPr>
            </w:pPr>
            <w:r>
              <w:rPr>
                <w:spacing w:val="-10"/>
                <w:sz w:val="28"/>
                <w:szCs w:val="28"/>
              </w:rPr>
              <w:t>3</w:t>
            </w:r>
          </w:p>
        </w:tc>
        <w:tc>
          <w:tcPr>
            <w:tcW w:w="2410" w:type="dxa"/>
          </w:tcPr>
          <w:p w14:paraId="3F1C35D1">
            <w:pPr>
              <w:pStyle w:val="11"/>
              <w:spacing w:line="301" w:lineRule="exact"/>
              <w:ind w:left="10"/>
              <w:rPr>
                <w:sz w:val="28"/>
                <w:szCs w:val="28"/>
              </w:rPr>
            </w:pPr>
            <w:r>
              <w:rPr>
                <w:spacing w:val="-10"/>
                <w:sz w:val="28"/>
                <w:szCs w:val="28"/>
              </w:rPr>
              <w:t>4</w:t>
            </w:r>
          </w:p>
        </w:tc>
        <w:tc>
          <w:tcPr>
            <w:tcW w:w="850" w:type="dxa"/>
          </w:tcPr>
          <w:p w14:paraId="3849704A">
            <w:pPr>
              <w:pStyle w:val="11"/>
              <w:spacing w:line="301" w:lineRule="exact"/>
              <w:ind w:left="10" w:right="5"/>
              <w:rPr>
                <w:sz w:val="28"/>
                <w:szCs w:val="28"/>
              </w:rPr>
            </w:pPr>
            <w:r>
              <w:rPr>
                <w:spacing w:val="-10"/>
                <w:sz w:val="28"/>
                <w:szCs w:val="28"/>
              </w:rPr>
              <w:t>5</w:t>
            </w:r>
          </w:p>
        </w:tc>
      </w:tr>
      <w:tr w14:paraId="31B3A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835" w:type="dxa"/>
          </w:tcPr>
          <w:p w14:paraId="75F1179F">
            <w:pPr>
              <w:pStyle w:val="11"/>
              <w:spacing w:line="360" w:lineRule="auto"/>
              <w:ind w:left="110"/>
              <w:jc w:val="left"/>
              <w:rPr>
                <w:sz w:val="24"/>
                <w:szCs w:val="24"/>
              </w:rPr>
            </w:pPr>
            <w:r>
              <w:rPr>
                <w:sz w:val="24"/>
                <w:szCs w:val="24"/>
              </w:rPr>
              <w:t>Осложнения</w:t>
            </w:r>
            <w:r>
              <w:rPr>
                <w:spacing w:val="-13"/>
                <w:sz w:val="24"/>
                <w:szCs w:val="24"/>
              </w:rPr>
              <w:t xml:space="preserve"> </w:t>
            </w:r>
            <w:r>
              <w:rPr>
                <w:sz w:val="24"/>
                <w:szCs w:val="24"/>
              </w:rPr>
              <w:t>≥</w:t>
            </w:r>
            <w:r>
              <w:rPr>
                <w:spacing w:val="-15"/>
                <w:sz w:val="24"/>
                <w:szCs w:val="24"/>
              </w:rPr>
              <w:t xml:space="preserve"> </w:t>
            </w:r>
            <w:r>
              <w:rPr>
                <w:sz w:val="24"/>
                <w:szCs w:val="24"/>
              </w:rPr>
              <w:t>III</w:t>
            </w:r>
            <w:r>
              <w:rPr>
                <w:spacing w:val="-17"/>
                <w:sz w:val="24"/>
                <w:szCs w:val="24"/>
              </w:rPr>
              <w:t xml:space="preserve"> </w:t>
            </w:r>
            <w:r>
              <w:rPr>
                <w:sz w:val="24"/>
                <w:szCs w:val="24"/>
              </w:rPr>
              <w:t xml:space="preserve">ст. </w:t>
            </w:r>
            <w:r>
              <w:rPr>
                <w:spacing w:val="-2"/>
                <w:sz w:val="24"/>
                <w:szCs w:val="24"/>
              </w:rPr>
              <w:t>Clavien–Dindo</w:t>
            </w:r>
          </w:p>
        </w:tc>
        <w:tc>
          <w:tcPr>
            <w:tcW w:w="1843" w:type="dxa"/>
          </w:tcPr>
          <w:p w14:paraId="3D2434F5">
            <w:pPr>
              <w:pStyle w:val="11"/>
              <w:spacing w:before="319" w:line="360" w:lineRule="auto"/>
              <w:ind w:left="11"/>
              <w:rPr>
                <w:sz w:val="24"/>
                <w:szCs w:val="24"/>
              </w:rPr>
            </w:pPr>
            <w:r>
              <w:rPr>
                <w:sz w:val="24"/>
                <w:szCs w:val="24"/>
              </w:rPr>
              <w:t>15</w:t>
            </w:r>
            <w:r>
              <w:rPr>
                <w:spacing w:val="-2"/>
                <w:sz w:val="24"/>
                <w:szCs w:val="24"/>
              </w:rPr>
              <w:t xml:space="preserve"> (16,3%)</w:t>
            </w:r>
          </w:p>
        </w:tc>
        <w:tc>
          <w:tcPr>
            <w:tcW w:w="1559" w:type="dxa"/>
          </w:tcPr>
          <w:p w14:paraId="31108122">
            <w:pPr>
              <w:pStyle w:val="11"/>
              <w:spacing w:before="319" w:line="360" w:lineRule="auto"/>
              <w:ind w:left="5" w:right="4"/>
              <w:rPr>
                <w:sz w:val="24"/>
                <w:szCs w:val="24"/>
              </w:rPr>
            </w:pPr>
            <w:r>
              <w:rPr>
                <w:sz w:val="24"/>
                <w:szCs w:val="24"/>
              </w:rPr>
              <w:t>8</w:t>
            </w:r>
            <w:r>
              <w:rPr>
                <w:spacing w:val="-1"/>
                <w:sz w:val="24"/>
                <w:szCs w:val="24"/>
              </w:rPr>
              <w:t xml:space="preserve"> </w:t>
            </w:r>
            <w:r>
              <w:rPr>
                <w:spacing w:val="-2"/>
                <w:sz w:val="24"/>
                <w:szCs w:val="24"/>
              </w:rPr>
              <w:t>(11,2%)</w:t>
            </w:r>
          </w:p>
        </w:tc>
        <w:tc>
          <w:tcPr>
            <w:tcW w:w="2410" w:type="dxa"/>
          </w:tcPr>
          <w:p w14:paraId="6136BEEE">
            <w:pPr>
              <w:pStyle w:val="11"/>
              <w:spacing w:before="319" w:line="360" w:lineRule="auto"/>
              <w:ind w:left="10" w:right="4"/>
              <w:rPr>
                <w:sz w:val="24"/>
                <w:szCs w:val="24"/>
              </w:rPr>
            </w:pPr>
            <w:r>
              <w:rPr>
                <w:sz w:val="24"/>
                <w:szCs w:val="24"/>
              </w:rPr>
              <w:t>7</w:t>
            </w:r>
            <w:r>
              <w:rPr>
                <w:spacing w:val="-1"/>
                <w:sz w:val="24"/>
                <w:szCs w:val="24"/>
              </w:rPr>
              <w:t xml:space="preserve"> </w:t>
            </w:r>
            <w:r>
              <w:rPr>
                <w:spacing w:val="-2"/>
                <w:sz w:val="24"/>
                <w:szCs w:val="24"/>
              </w:rPr>
              <w:t>(19,5%)</w:t>
            </w:r>
          </w:p>
        </w:tc>
        <w:tc>
          <w:tcPr>
            <w:tcW w:w="850" w:type="dxa"/>
          </w:tcPr>
          <w:p w14:paraId="0C47988A">
            <w:pPr>
              <w:pStyle w:val="11"/>
              <w:spacing w:before="319" w:line="360" w:lineRule="auto"/>
              <w:ind w:left="10" w:right="6"/>
              <w:rPr>
                <w:sz w:val="24"/>
                <w:szCs w:val="24"/>
              </w:rPr>
            </w:pPr>
            <w:r>
              <w:rPr>
                <w:spacing w:val="-4"/>
                <w:sz w:val="24"/>
                <w:szCs w:val="24"/>
              </w:rPr>
              <w:t>0,479</w:t>
            </w:r>
          </w:p>
        </w:tc>
      </w:tr>
      <w:tr w14:paraId="209EB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2835" w:type="dxa"/>
          </w:tcPr>
          <w:p w14:paraId="53D0938E">
            <w:pPr>
              <w:pStyle w:val="11"/>
              <w:spacing w:line="360" w:lineRule="auto"/>
              <w:ind w:left="110"/>
              <w:jc w:val="left"/>
              <w:rPr>
                <w:sz w:val="24"/>
                <w:szCs w:val="24"/>
              </w:rPr>
            </w:pPr>
            <w:r>
              <w:rPr>
                <w:sz w:val="24"/>
                <w:szCs w:val="24"/>
              </w:rPr>
              <w:t>Раневая</w:t>
            </w:r>
            <w:r>
              <w:rPr>
                <w:spacing w:val="-11"/>
                <w:sz w:val="24"/>
                <w:szCs w:val="24"/>
              </w:rPr>
              <w:t xml:space="preserve"> </w:t>
            </w:r>
            <w:r>
              <w:rPr>
                <w:spacing w:val="-2"/>
                <w:sz w:val="24"/>
                <w:szCs w:val="24"/>
              </w:rPr>
              <w:t>инфекция</w:t>
            </w:r>
          </w:p>
        </w:tc>
        <w:tc>
          <w:tcPr>
            <w:tcW w:w="1843" w:type="dxa"/>
          </w:tcPr>
          <w:p w14:paraId="03B99DA2">
            <w:pPr>
              <w:pStyle w:val="11"/>
              <w:spacing w:before="79" w:line="360" w:lineRule="auto"/>
              <w:ind w:left="11"/>
              <w:rPr>
                <w:sz w:val="24"/>
                <w:szCs w:val="24"/>
              </w:rPr>
            </w:pPr>
            <w:r>
              <w:rPr>
                <w:sz w:val="24"/>
                <w:szCs w:val="24"/>
              </w:rPr>
              <w:t>5</w:t>
            </w:r>
            <w:r>
              <w:rPr>
                <w:spacing w:val="-1"/>
                <w:sz w:val="24"/>
                <w:szCs w:val="24"/>
              </w:rPr>
              <w:t xml:space="preserve"> </w:t>
            </w:r>
            <w:r>
              <w:rPr>
                <w:spacing w:val="-2"/>
                <w:sz w:val="24"/>
                <w:szCs w:val="24"/>
              </w:rPr>
              <w:t>(5,4%)</w:t>
            </w:r>
          </w:p>
        </w:tc>
        <w:tc>
          <w:tcPr>
            <w:tcW w:w="1559" w:type="dxa"/>
          </w:tcPr>
          <w:p w14:paraId="02E10AAD">
            <w:pPr>
              <w:pStyle w:val="11"/>
              <w:spacing w:before="79" w:line="360" w:lineRule="auto"/>
              <w:ind w:left="5" w:right="4"/>
              <w:rPr>
                <w:sz w:val="24"/>
                <w:szCs w:val="24"/>
              </w:rPr>
            </w:pPr>
            <w:r>
              <w:rPr>
                <w:sz w:val="24"/>
                <w:szCs w:val="24"/>
              </w:rPr>
              <w:t xml:space="preserve">9 </w:t>
            </w:r>
            <w:r>
              <w:rPr>
                <w:spacing w:val="-2"/>
                <w:sz w:val="24"/>
                <w:szCs w:val="24"/>
              </w:rPr>
              <w:t>(12,6%)</w:t>
            </w:r>
          </w:p>
        </w:tc>
        <w:tc>
          <w:tcPr>
            <w:tcW w:w="2410" w:type="dxa"/>
          </w:tcPr>
          <w:p w14:paraId="0E633284">
            <w:pPr>
              <w:pStyle w:val="11"/>
              <w:spacing w:before="79" w:line="360" w:lineRule="auto"/>
              <w:ind w:left="10" w:right="8"/>
              <w:rPr>
                <w:sz w:val="24"/>
                <w:szCs w:val="24"/>
              </w:rPr>
            </w:pPr>
            <w:r>
              <w:rPr>
                <w:sz w:val="24"/>
                <w:szCs w:val="24"/>
              </w:rPr>
              <w:t>3</w:t>
            </w:r>
            <w:r>
              <w:rPr>
                <w:spacing w:val="-1"/>
                <w:sz w:val="24"/>
                <w:szCs w:val="24"/>
              </w:rPr>
              <w:t xml:space="preserve"> </w:t>
            </w:r>
            <w:r>
              <w:rPr>
                <w:spacing w:val="-2"/>
                <w:sz w:val="24"/>
                <w:szCs w:val="24"/>
              </w:rPr>
              <w:t>(8,4%)</w:t>
            </w:r>
          </w:p>
        </w:tc>
        <w:tc>
          <w:tcPr>
            <w:tcW w:w="850" w:type="dxa"/>
          </w:tcPr>
          <w:p w14:paraId="0E95B71E">
            <w:pPr>
              <w:pStyle w:val="11"/>
              <w:spacing w:line="360" w:lineRule="auto"/>
              <w:ind w:left="10" w:right="6"/>
              <w:rPr>
                <w:sz w:val="24"/>
                <w:szCs w:val="24"/>
              </w:rPr>
            </w:pPr>
            <w:r>
              <w:rPr>
                <w:spacing w:val="-4"/>
                <w:sz w:val="24"/>
                <w:szCs w:val="24"/>
              </w:rPr>
              <w:t>0,264</w:t>
            </w:r>
          </w:p>
        </w:tc>
      </w:tr>
      <w:tr w14:paraId="5B998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2835" w:type="dxa"/>
          </w:tcPr>
          <w:p w14:paraId="03E3BCBD">
            <w:pPr>
              <w:pStyle w:val="11"/>
              <w:spacing w:line="360" w:lineRule="auto"/>
              <w:ind w:left="110"/>
              <w:jc w:val="left"/>
              <w:rPr>
                <w:sz w:val="24"/>
                <w:szCs w:val="24"/>
              </w:rPr>
            </w:pPr>
            <w:r>
              <w:rPr>
                <w:spacing w:val="-2"/>
                <w:sz w:val="24"/>
                <w:szCs w:val="24"/>
              </w:rPr>
              <w:t>Кровотечение</w:t>
            </w:r>
          </w:p>
        </w:tc>
        <w:tc>
          <w:tcPr>
            <w:tcW w:w="1843" w:type="dxa"/>
          </w:tcPr>
          <w:p w14:paraId="52CC5309">
            <w:pPr>
              <w:pStyle w:val="11"/>
              <w:spacing w:before="45" w:line="360" w:lineRule="auto"/>
              <w:ind w:left="11"/>
              <w:rPr>
                <w:sz w:val="24"/>
                <w:szCs w:val="24"/>
              </w:rPr>
            </w:pPr>
            <w:r>
              <w:rPr>
                <w:sz w:val="24"/>
                <w:szCs w:val="24"/>
              </w:rPr>
              <w:t>1</w:t>
            </w:r>
            <w:r>
              <w:rPr>
                <w:spacing w:val="-1"/>
                <w:sz w:val="24"/>
                <w:szCs w:val="24"/>
              </w:rPr>
              <w:t xml:space="preserve"> </w:t>
            </w:r>
            <w:r>
              <w:rPr>
                <w:spacing w:val="-2"/>
                <w:sz w:val="24"/>
                <w:szCs w:val="24"/>
              </w:rPr>
              <w:t>(1,1%)</w:t>
            </w:r>
          </w:p>
        </w:tc>
        <w:tc>
          <w:tcPr>
            <w:tcW w:w="1559" w:type="dxa"/>
          </w:tcPr>
          <w:p w14:paraId="039A58D7">
            <w:pPr>
              <w:pStyle w:val="11"/>
              <w:spacing w:before="45" w:line="360" w:lineRule="auto"/>
              <w:ind w:left="5" w:right="6"/>
              <w:rPr>
                <w:sz w:val="24"/>
                <w:szCs w:val="24"/>
              </w:rPr>
            </w:pPr>
            <w:r>
              <w:rPr>
                <w:sz w:val="24"/>
                <w:szCs w:val="24"/>
              </w:rPr>
              <w:t>2</w:t>
            </w:r>
            <w:r>
              <w:rPr>
                <w:spacing w:val="-1"/>
                <w:sz w:val="24"/>
                <w:szCs w:val="24"/>
              </w:rPr>
              <w:t xml:space="preserve"> </w:t>
            </w:r>
            <w:r>
              <w:rPr>
                <w:spacing w:val="-2"/>
                <w:sz w:val="24"/>
                <w:szCs w:val="24"/>
              </w:rPr>
              <w:t>(2,8%)</w:t>
            </w:r>
          </w:p>
        </w:tc>
        <w:tc>
          <w:tcPr>
            <w:tcW w:w="2410" w:type="dxa"/>
          </w:tcPr>
          <w:p w14:paraId="534ED80B">
            <w:pPr>
              <w:pStyle w:val="11"/>
              <w:spacing w:before="45" w:line="360" w:lineRule="auto"/>
              <w:ind w:left="10" w:right="8"/>
              <w:rPr>
                <w:sz w:val="24"/>
                <w:szCs w:val="24"/>
              </w:rPr>
            </w:pPr>
            <w:r>
              <w:rPr>
                <w:sz w:val="24"/>
                <w:szCs w:val="24"/>
              </w:rPr>
              <w:t>1</w:t>
            </w:r>
            <w:r>
              <w:rPr>
                <w:spacing w:val="-1"/>
                <w:sz w:val="24"/>
                <w:szCs w:val="24"/>
              </w:rPr>
              <w:t xml:space="preserve"> </w:t>
            </w:r>
            <w:r>
              <w:rPr>
                <w:spacing w:val="-2"/>
                <w:sz w:val="24"/>
                <w:szCs w:val="24"/>
              </w:rPr>
              <w:t>(2,8%)</w:t>
            </w:r>
          </w:p>
        </w:tc>
        <w:tc>
          <w:tcPr>
            <w:tcW w:w="850" w:type="dxa"/>
          </w:tcPr>
          <w:p w14:paraId="12C2F0B8">
            <w:pPr>
              <w:pStyle w:val="11"/>
              <w:spacing w:line="360" w:lineRule="auto"/>
              <w:ind w:left="10" w:right="6"/>
              <w:rPr>
                <w:sz w:val="24"/>
                <w:szCs w:val="24"/>
              </w:rPr>
            </w:pPr>
            <w:r>
              <w:rPr>
                <w:spacing w:val="-4"/>
                <w:sz w:val="24"/>
                <w:szCs w:val="24"/>
              </w:rPr>
              <w:t>0,676</w:t>
            </w:r>
          </w:p>
        </w:tc>
      </w:tr>
      <w:tr w14:paraId="1F233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2835" w:type="dxa"/>
          </w:tcPr>
          <w:p w14:paraId="2C6AD649">
            <w:pPr>
              <w:pStyle w:val="11"/>
              <w:spacing w:line="360" w:lineRule="auto"/>
              <w:ind w:left="110"/>
              <w:jc w:val="left"/>
              <w:rPr>
                <w:sz w:val="24"/>
                <w:szCs w:val="24"/>
              </w:rPr>
            </w:pPr>
            <w:r>
              <w:rPr>
                <w:spacing w:val="-2"/>
                <w:sz w:val="24"/>
                <w:szCs w:val="24"/>
              </w:rPr>
              <w:t>Кровотечение</w:t>
            </w:r>
          </w:p>
          <w:p w14:paraId="19AB7F85">
            <w:pPr>
              <w:pStyle w:val="11"/>
              <w:spacing w:line="360" w:lineRule="auto"/>
              <w:ind w:left="110"/>
              <w:jc w:val="left"/>
              <w:rPr>
                <w:sz w:val="24"/>
                <w:szCs w:val="24"/>
              </w:rPr>
            </w:pPr>
            <w:r>
              <w:rPr>
                <w:sz w:val="24"/>
                <w:szCs w:val="24"/>
              </w:rPr>
              <w:t>связанное</w:t>
            </w:r>
            <w:r>
              <w:rPr>
                <w:spacing w:val="-6"/>
                <w:sz w:val="24"/>
                <w:szCs w:val="24"/>
              </w:rPr>
              <w:t xml:space="preserve"> </w:t>
            </w:r>
            <w:r>
              <w:rPr>
                <w:sz w:val="24"/>
                <w:szCs w:val="24"/>
              </w:rPr>
              <w:t>со</w:t>
            </w:r>
            <w:r>
              <w:rPr>
                <w:spacing w:val="-6"/>
                <w:sz w:val="24"/>
                <w:szCs w:val="24"/>
              </w:rPr>
              <w:t xml:space="preserve"> </w:t>
            </w:r>
            <w:r>
              <w:rPr>
                <w:spacing w:val="-2"/>
                <w:sz w:val="24"/>
                <w:szCs w:val="24"/>
              </w:rPr>
              <w:t>свищем</w:t>
            </w:r>
          </w:p>
        </w:tc>
        <w:tc>
          <w:tcPr>
            <w:tcW w:w="1843" w:type="dxa"/>
          </w:tcPr>
          <w:p w14:paraId="6347D25A">
            <w:pPr>
              <w:pStyle w:val="11"/>
              <w:spacing w:before="2" w:line="360" w:lineRule="auto"/>
              <w:jc w:val="left"/>
              <w:rPr>
                <w:sz w:val="24"/>
                <w:szCs w:val="24"/>
              </w:rPr>
            </w:pPr>
          </w:p>
          <w:p w14:paraId="555DBA02">
            <w:pPr>
              <w:pStyle w:val="11"/>
              <w:spacing w:line="360" w:lineRule="auto"/>
              <w:ind w:left="11"/>
              <w:rPr>
                <w:sz w:val="24"/>
                <w:szCs w:val="24"/>
              </w:rPr>
            </w:pPr>
            <w:r>
              <w:rPr>
                <w:sz w:val="24"/>
                <w:szCs w:val="24"/>
              </w:rPr>
              <w:t>6</w:t>
            </w:r>
            <w:r>
              <w:rPr>
                <w:spacing w:val="-1"/>
                <w:sz w:val="24"/>
                <w:szCs w:val="24"/>
              </w:rPr>
              <w:t xml:space="preserve"> </w:t>
            </w:r>
            <w:r>
              <w:rPr>
                <w:spacing w:val="-2"/>
                <w:sz w:val="24"/>
                <w:szCs w:val="24"/>
              </w:rPr>
              <w:t>(4,3%)</w:t>
            </w:r>
          </w:p>
        </w:tc>
        <w:tc>
          <w:tcPr>
            <w:tcW w:w="1559" w:type="dxa"/>
          </w:tcPr>
          <w:p w14:paraId="07B5CD79">
            <w:pPr>
              <w:pStyle w:val="11"/>
              <w:spacing w:before="2" w:line="360" w:lineRule="auto"/>
              <w:jc w:val="left"/>
              <w:rPr>
                <w:sz w:val="24"/>
                <w:szCs w:val="24"/>
              </w:rPr>
            </w:pPr>
          </w:p>
          <w:p w14:paraId="64986044">
            <w:pPr>
              <w:pStyle w:val="11"/>
              <w:spacing w:line="360" w:lineRule="auto"/>
              <w:ind w:left="5" w:right="6"/>
              <w:rPr>
                <w:sz w:val="24"/>
                <w:szCs w:val="24"/>
              </w:rPr>
            </w:pPr>
            <w:r>
              <w:rPr>
                <w:sz w:val="24"/>
                <w:szCs w:val="24"/>
              </w:rPr>
              <w:t>2</w:t>
            </w:r>
            <w:r>
              <w:rPr>
                <w:spacing w:val="-1"/>
                <w:sz w:val="24"/>
                <w:szCs w:val="24"/>
              </w:rPr>
              <w:t xml:space="preserve"> </w:t>
            </w:r>
            <w:r>
              <w:rPr>
                <w:spacing w:val="-2"/>
                <w:sz w:val="24"/>
                <w:szCs w:val="24"/>
              </w:rPr>
              <w:t>(2,8%)</w:t>
            </w:r>
          </w:p>
        </w:tc>
        <w:tc>
          <w:tcPr>
            <w:tcW w:w="2410" w:type="dxa"/>
          </w:tcPr>
          <w:p w14:paraId="44B1EB37">
            <w:pPr>
              <w:pStyle w:val="11"/>
              <w:spacing w:before="2" w:line="360" w:lineRule="auto"/>
              <w:jc w:val="left"/>
              <w:rPr>
                <w:sz w:val="24"/>
                <w:szCs w:val="24"/>
              </w:rPr>
            </w:pPr>
          </w:p>
          <w:p w14:paraId="78998700">
            <w:pPr>
              <w:pStyle w:val="11"/>
              <w:spacing w:line="360" w:lineRule="auto"/>
              <w:ind w:left="10" w:right="4"/>
              <w:rPr>
                <w:sz w:val="24"/>
                <w:szCs w:val="24"/>
              </w:rPr>
            </w:pPr>
            <w:r>
              <w:rPr>
                <w:sz w:val="24"/>
                <w:szCs w:val="24"/>
              </w:rPr>
              <w:t>5</w:t>
            </w:r>
            <w:r>
              <w:rPr>
                <w:spacing w:val="-1"/>
                <w:sz w:val="24"/>
                <w:szCs w:val="24"/>
              </w:rPr>
              <w:t xml:space="preserve"> </w:t>
            </w:r>
            <w:r>
              <w:rPr>
                <w:spacing w:val="-2"/>
                <w:sz w:val="24"/>
                <w:szCs w:val="24"/>
              </w:rPr>
              <w:t>(13,9%)</w:t>
            </w:r>
          </w:p>
        </w:tc>
        <w:tc>
          <w:tcPr>
            <w:tcW w:w="850" w:type="dxa"/>
          </w:tcPr>
          <w:p w14:paraId="34DD0C07">
            <w:pPr>
              <w:pStyle w:val="11"/>
              <w:spacing w:before="314" w:line="360" w:lineRule="auto"/>
              <w:ind w:left="10" w:right="6"/>
              <w:rPr>
                <w:sz w:val="24"/>
                <w:szCs w:val="24"/>
              </w:rPr>
            </w:pPr>
            <w:r>
              <w:rPr>
                <w:spacing w:val="-4"/>
                <w:sz w:val="24"/>
                <w:szCs w:val="24"/>
              </w:rPr>
              <w:t>0,107</w:t>
            </w:r>
          </w:p>
        </w:tc>
      </w:tr>
      <w:tr w14:paraId="120A6E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2835" w:type="dxa"/>
          </w:tcPr>
          <w:p w14:paraId="2580093E">
            <w:pPr>
              <w:pStyle w:val="11"/>
              <w:tabs>
                <w:tab w:val="left" w:pos="786"/>
              </w:tabs>
              <w:spacing w:line="360" w:lineRule="auto"/>
              <w:ind w:left="110"/>
              <w:jc w:val="left"/>
              <w:rPr>
                <w:sz w:val="24"/>
                <w:szCs w:val="24"/>
              </w:rPr>
            </w:pPr>
            <w:r>
              <w:rPr>
                <w:spacing w:val="-5"/>
                <w:sz w:val="24"/>
                <w:szCs w:val="24"/>
              </w:rPr>
              <w:t>ПС:</w:t>
            </w:r>
            <w:r>
              <w:rPr>
                <w:sz w:val="24"/>
                <w:szCs w:val="24"/>
              </w:rPr>
              <w:tab/>
            </w:r>
            <w:r>
              <w:rPr>
                <w:sz w:val="24"/>
                <w:szCs w:val="24"/>
              </w:rPr>
              <w:t>Степень</w:t>
            </w:r>
            <w:r>
              <w:rPr>
                <w:spacing w:val="-8"/>
                <w:sz w:val="24"/>
                <w:szCs w:val="24"/>
              </w:rPr>
              <w:t xml:space="preserve"> </w:t>
            </w:r>
            <w:r>
              <w:rPr>
                <w:spacing w:val="-10"/>
                <w:sz w:val="24"/>
                <w:szCs w:val="24"/>
              </w:rPr>
              <w:t>А</w:t>
            </w:r>
          </w:p>
          <w:p w14:paraId="60479F0B">
            <w:pPr>
              <w:pStyle w:val="11"/>
              <w:spacing w:line="360" w:lineRule="auto"/>
              <w:ind w:left="811"/>
              <w:jc w:val="left"/>
              <w:rPr>
                <w:sz w:val="24"/>
                <w:szCs w:val="24"/>
              </w:rPr>
            </w:pPr>
            <w:r>
              <w:rPr>
                <w:sz w:val="24"/>
                <w:szCs w:val="24"/>
              </w:rPr>
              <w:t>Степень</w:t>
            </w:r>
            <w:r>
              <w:rPr>
                <w:spacing w:val="-18"/>
                <w:sz w:val="24"/>
                <w:szCs w:val="24"/>
              </w:rPr>
              <w:t xml:space="preserve"> </w:t>
            </w:r>
            <w:r>
              <w:rPr>
                <w:sz w:val="24"/>
                <w:szCs w:val="24"/>
              </w:rPr>
              <w:t xml:space="preserve">В </w:t>
            </w:r>
          </w:p>
          <w:p w14:paraId="3BEF59A1">
            <w:pPr>
              <w:pStyle w:val="11"/>
              <w:spacing w:line="360" w:lineRule="auto"/>
              <w:ind w:left="811"/>
              <w:jc w:val="left"/>
              <w:rPr>
                <w:sz w:val="24"/>
                <w:szCs w:val="24"/>
              </w:rPr>
            </w:pPr>
            <w:r>
              <w:rPr>
                <w:sz w:val="24"/>
                <w:szCs w:val="24"/>
              </w:rPr>
              <w:t>Степень</w:t>
            </w:r>
            <w:r>
              <w:rPr>
                <w:spacing w:val="-13"/>
                <w:sz w:val="24"/>
                <w:szCs w:val="24"/>
              </w:rPr>
              <w:t xml:space="preserve"> </w:t>
            </w:r>
            <w:r>
              <w:rPr>
                <w:spacing w:val="-10"/>
                <w:sz w:val="24"/>
                <w:szCs w:val="24"/>
              </w:rPr>
              <w:t>C</w:t>
            </w:r>
          </w:p>
        </w:tc>
        <w:tc>
          <w:tcPr>
            <w:tcW w:w="1843" w:type="dxa"/>
          </w:tcPr>
          <w:p w14:paraId="684E419D">
            <w:pPr>
              <w:pStyle w:val="11"/>
              <w:spacing w:before="31" w:line="360" w:lineRule="auto"/>
              <w:ind w:left="278"/>
              <w:jc w:val="left"/>
              <w:rPr>
                <w:sz w:val="24"/>
                <w:szCs w:val="24"/>
              </w:rPr>
            </w:pPr>
            <w:r>
              <w:rPr>
                <w:sz w:val="24"/>
                <w:szCs w:val="24"/>
              </w:rPr>
              <w:t>25</w:t>
            </w:r>
            <w:r>
              <w:rPr>
                <w:spacing w:val="-2"/>
                <w:sz w:val="24"/>
                <w:szCs w:val="24"/>
              </w:rPr>
              <w:t xml:space="preserve"> (27,1%)</w:t>
            </w:r>
          </w:p>
          <w:p w14:paraId="1D3812DB">
            <w:pPr>
              <w:pStyle w:val="11"/>
              <w:spacing w:line="360" w:lineRule="auto"/>
              <w:ind w:left="278"/>
              <w:jc w:val="left"/>
              <w:rPr>
                <w:sz w:val="24"/>
                <w:szCs w:val="24"/>
              </w:rPr>
            </w:pPr>
            <w:r>
              <w:rPr>
                <w:sz w:val="24"/>
                <w:szCs w:val="24"/>
              </w:rPr>
              <w:t>36</w:t>
            </w:r>
            <w:r>
              <w:rPr>
                <w:spacing w:val="-2"/>
                <w:sz w:val="24"/>
                <w:szCs w:val="24"/>
              </w:rPr>
              <w:t xml:space="preserve"> (39,1%)</w:t>
            </w:r>
          </w:p>
          <w:p w14:paraId="0B3827D7">
            <w:pPr>
              <w:pStyle w:val="11"/>
              <w:spacing w:line="360" w:lineRule="auto"/>
              <w:ind w:left="278"/>
              <w:jc w:val="left"/>
              <w:rPr>
                <w:sz w:val="24"/>
                <w:szCs w:val="24"/>
              </w:rPr>
            </w:pPr>
            <w:r>
              <w:rPr>
                <w:sz w:val="24"/>
                <w:szCs w:val="24"/>
              </w:rPr>
              <w:t>11</w:t>
            </w:r>
            <w:r>
              <w:rPr>
                <w:spacing w:val="-2"/>
                <w:sz w:val="24"/>
                <w:szCs w:val="24"/>
              </w:rPr>
              <w:t xml:space="preserve"> (12,0%)</w:t>
            </w:r>
          </w:p>
        </w:tc>
        <w:tc>
          <w:tcPr>
            <w:tcW w:w="1559" w:type="dxa"/>
          </w:tcPr>
          <w:p w14:paraId="045D1323">
            <w:pPr>
              <w:pStyle w:val="11"/>
              <w:spacing w:before="31" w:line="360" w:lineRule="auto"/>
              <w:ind w:left="254"/>
              <w:jc w:val="left"/>
              <w:rPr>
                <w:sz w:val="24"/>
                <w:szCs w:val="24"/>
              </w:rPr>
            </w:pPr>
            <w:r>
              <w:rPr>
                <w:sz w:val="24"/>
                <w:szCs w:val="24"/>
              </w:rPr>
              <w:t>6</w:t>
            </w:r>
            <w:r>
              <w:rPr>
                <w:spacing w:val="-1"/>
                <w:sz w:val="24"/>
                <w:szCs w:val="24"/>
              </w:rPr>
              <w:t xml:space="preserve"> </w:t>
            </w:r>
            <w:r>
              <w:rPr>
                <w:spacing w:val="-2"/>
                <w:sz w:val="24"/>
                <w:szCs w:val="24"/>
              </w:rPr>
              <w:t>(8,4%)</w:t>
            </w:r>
          </w:p>
          <w:p w14:paraId="01B3E9C1">
            <w:pPr>
              <w:pStyle w:val="11"/>
              <w:spacing w:line="360" w:lineRule="auto"/>
              <w:ind w:left="115"/>
              <w:jc w:val="left"/>
              <w:rPr>
                <w:sz w:val="24"/>
                <w:szCs w:val="24"/>
              </w:rPr>
            </w:pPr>
            <w:r>
              <w:rPr>
                <w:sz w:val="24"/>
                <w:szCs w:val="24"/>
              </w:rPr>
              <w:t>17</w:t>
            </w:r>
            <w:r>
              <w:rPr>
                <w:spacing w:val="-2"/>
                <w:sz w:val="24"/>
                <w:szCs w:val="24"/>
              </w:rPr>
              <w:t xml:space="preserve"> (24,0%)</w:t>
            </w:r>
          </w:p>
          <w:p w14:paraId="6E1B41E4">
            <w:pPr>
              <w:pStyle w:val="11"/>
              <w:spacing w:line="360" w:lineRule="auto"/>
              <w:ind w:left="254"/>
              <w:jc w:val="left"/>
              <w:rPr>
                <w:sz w:val="24"/>
                <w:szCs w:val="24"/>
              </w:rPr>
            </w:pPr>
            <w:r>
              <w:rPr>
                <w:sz w:val="24"/>
                <w:szCs w:val="24"/>
              </w:rPr>
              <w:t>2</w:t>
            </w:r>
            <w:r>
              <w:rPr>
                <w:spacing w:val="-1"/>
                <w:sz w:val="24"/>
                <w:szCs w:val="24"/>
              </w:rPr>
              <w:t xml:space="preserve"> </w:t>
            </w:r>
            <w:r>
              <w:rPr>
                <w:spacing w:val="-2"/>
                <w:sz w:val="24"/>
                <w:szCs w:val="24"/>
              </w:rPr>
              <w:t>(2,8%)</w:t>
            </w:r>
          </w:p>
        </w:tc>
        <w:tc>
          <w:tcPr>
            <w:tcW w:w="2410" w:type="dxa"/>
          </w:tcPr>
          <w:p w14:paraId="26BBAB30">
            <w:pPr>
              <w:pStyle w:val="11"/>
              <w:spacing w:before="31" w:line="360" w:lineRule="auto"/>
              <w:ind w:left="667"/>
              <w:jc w:val="left"/>
              <w:rPr>
                <w:sz w:val="24"/>
                <w:szCs w:val="24"/>
              </w:rPr>
            </w:pPr>
            <w:r>
              <w:rPr>
                <w:sz w:val="24"/>
                <w:szCs w:val="24"/>
              </w:rPr>
              <w:t>4</w:t>
            </w:r>
            <w:r>
              <w:rPr>
                <w:spacing w:val="-1"/>
                <w:sz w:val="24"/>
                <w:szCs w:val="24"/>
              </w:rPr>
              <w:t xml:space="preserve"> </w:t>
            </w:r>
            <w:r>
              <w:rPr>
                <w:spacing w:val="-2"/>
                <w:sz w:val="24"/>
                <w:szCs w:val="24"/>
              </w:rPr>
              <w:t>(11,2%)</w:t>
            </w:r>
          </w:p>
          <w:p w14:paraId="08A31573">
            <w:pPr>
              <w:pStyle w:val="11"/>
              <w:spacing w:line="360" w:lineRule="auto"/>
              <w:ind w:left="667"/>
              <w:jc w:val="left"/>
              <w:rPr>
                <w:sz w:val="24"/>
                <w:szCs w:val="24"/>
              </w:rPr>
            </w:pPr>
            <w:r>
              <w:rPr>
                <w:sz w:val="24"/>
                <w:szCs w:val="24"/>
              </w:rPr>
              <w:t xml:space="preserve">6 </w:t>
            </w:r>
            <w:r>
              <w:rPr>
                <w:spacing w:val="-2"/>
                <w:sz w:val="24"/>
                <w:szCs w:val="24"/>
              </w:rPr>
              <w:t>(16,7%)</w:t>
            </w:r>
          </w:p>
          <w:p w14:paraId="737A9B6A">
            <w:pPr>
              <w:pStyle w:val="11"/>
              <w:spacing w:line="360" w:lineRule="auto"/>
              <w:ind w:left="667"/>
              <w:jc w:val="left"/>
              <w:rPr>
                <w:sz w:val="24"/>
                <w:szCs w:val="24"/>
              </w:rPr>
            </w:pPr>
            <w:r>
              <w:rPr>
                <w:sz w:val="24"/>
                <w:szCs w:val="24"/>
              </w:rPr>
              <w:t>5</w:t>
            </w:r>
            <w:r>
              <w:rPr>
                <w:spacing w:val="-1"/>
                <w:sz w:val="24"/>
                <w:szCs w:val="24"/>
              </w:rPr>
              <w:t xml:space="preserve"> </w:t>
            </w:r>
            <w:r>
              <w:rPr>
                <w:spacing w:val="-2"/>
                <w:sz w:val="24"/>
                <w:szCs w:val="24"/>
              </w:rPr>
              <w:t>(13,9%)</w:t>
            </w:r>
          </w:p>
        </w:tc>
        <w:tc>
          <w:tcPr>
            <w:tcW w:w="850" w:type="dxa"/>
          </w:tcPr>
          <w:p w14:paraId="41A92C04">
            <w:pPr>
              <w:pStyle w:val="11"/>
              <w:spacing w:line="360" w:lineRule="auto"/>
              <w:ind w:left="10" w:right="6"/>
              <w:rPr>
                <w:sz w:val="24"/>
                <w:szCs w:val="24"/>
              </w:rPr>
            </w:pPr>
            <w:r>
              <w:rPr>
                <w:spacing w:val="-4"/>
                <w:sz w:val="24"/>
                <w:szCs w:val="24"/>
              </w:rPr>
              <w:t>0,097</w:t>
            </w:r>
          </w:p>
        </w:tc>
      </w:tr>
      <w:tr w14:paraId="2698B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2835" w:type="dxa"/>
          </w:tcPr>
          <w:p w14:paraId="354562F4">
            <w:pPr>
              <w:pStyle w:val="11"/>
              <w:spacing w:line="360" w:lineRule="auto"/>
              <w:ind w:left="110"/>
              <w:jc w:val="left"/>
              <w:rPr>
                <w:sz w:val="24"/>
                <w:szCs w:val="24"/>
              </w:rPr>
            </w:pPr>
            <w:r>
              <w:rPr>
                <w:sz w:val="24"/>
                <w:szCs w:val="24"/>
              </w:rPr>
              <w:t>КЗ-ПС</w:t>
            </w:r>
            <w:r>
              <w:rPr>
                <w:spacing w:val="-8"/>
                <w:sz w:val="24"/>
                <w:szCs w:val="24"/>
              </w:rPr>
              <w:t xml:space="preserve"> </w:t>
            </w:r>
            <w:r>
              <w:rPr>
                <w:spacing w:val="-4"/>
                <w:sz w:val="24"/>
                <w:szCs w:val="24"/>
              </w:rPr>
              <w:t>(B+C)</w:t>
            </w:r>
          </w:p>
        </w:tc>
        <w:tc>
          <w:tcPr>
            <w:tcW w:w="1843" w:type="dxa"/>
          </w:tcPr>
          <w:p w14:paraId="41F1FEA3">
            <w:pPr>
              <w:pStyle w:val="11"/>
              <w:spacing w:before="69" w:line="360" w:lineRule="auto"/>
              <w:ind w:left="11"/>
              <w:rPr>
                <w:sz w:val="24"/>
                <w:szCs w:val="24"/>
              </w:rPr>
            </w:pPr>
            <w:r>
              <w:rPr>
                <w:sz w:val="24"/>
                <w:szCs w:val="24"/>
              </w:rPr>
              <w:t>47</w:t>
            </w:r>
            <w:r>
              <w:rPr>
                <w:spacing w:val="-2"/>
                <w:sz w:val="24"/>
                <w:szCs w:val="24"/>
              </w:rPr>
              <w:t xml:space="preserve"> (51,0%)</w:t>
            </w:r>
          </w:p>
        </w:tc>
        <w:tc>
          <w:tcPr>
            <w:tcW w:w="1559" w:type="dxa"/>
          </w:tcPr>
          <w:p w14:paraId="7BC27E71">
            <w:pPr>
              <w:pStyle w:val="11"/>
              <w:spacing w:before="69" w:line="360" w:lineRule="auto"/>
              <w:ind w:left="5" w:right="6"/>
              <w:rPr>
                <w:sz w:val="24"/>
                <w:szCs w:val="24"/>
              </w:rPr>
            </w:pPr>
            <w:r>
              <w:rPr>
                <w:sz w:val="24"/>
                <w:szCs w:val="24"/>
              </w:rPr>
              <w:t>19</w:t>
            </w:r>
            <w:r>
              <w:rPr>
                <w:spacing w:val="-2"/>
                <w:sz w:val="24"/>
                <w:szCs w:val="24"/>
              </w:rPr>
              <w:t xml:space="preserve"> (26,7%)</w:t>
            </w:r>
          </w:p>
        </w:tc>
        <w:tc>
          <w:tcPr>
            <w:tcW w:w="2410" w:type="dxa"/>
          </w:tcPr>
          <w:p w14:paraId="6F799CF9">
            <w:pPr>
              <w:pStyle w:val="11"/>
              <w:spacing w:before="69" w:line="360" w:lineRule="auto"/>
              <w:ind w:left="10" w:right="8"/>
              <w:rPr>
                <w:sz w:val="24"/>
                <w:szCs w:val="24"/>
              </w:rPr>
            </w:pPr>
            <w:r>
              <w:rPr>
                <w:sz w:val="24"/>
                <w:szCs w:val="24"/>
              </w:rPr>
              <w:t>11</w:t>
            </w:r>
            <w:r>
              <w:rPr>
                <w:spacing w:val="-2"/>
                <w:sz w:val="24"/>
                <w:szCs w:val="24"/>
              </w:rPr>
              <w:t xml:space="preserve"> (30,6%)</w:t>
            </w:r>
          </w:p>
        </w:tc>
        <w:tc>
          <w:tcPr>
            <w:tcW w:w="850" w:type="dxa"/>
          </w:tcPr>
          <w:p w14:paraId="2787FA43">
            <w:pPr>
              <w:pStyle w:val="11"/>
              <w:spacing w:line="360" w:lineRule="auto"/>
              <w:ind w:left="10" w:right="5"/>
              <w:rPr>
                <w:sz w:val="24"/>
                <w:szCs w:val="24"/>
              </w:rPr>
            </w:pPr>
            <w:r>
              <w:rPr>
                <w:spacing w:val="-2"/>
                <w:sz w:val="24"/>
                <w:szCs w:val="24"/>
              </w:rPr>
              <w:t>0,004</w:t>
            </w:r>
            <w:r>
              <w:rPr>
                <w:spacing w:val="-2"/>
                <w:sz w:val="24"/>
                <w:szCs w:val="24"/>
                <w:vertAlign w:val="superscript"/>
              </w:rPr>
              <w:t>**</w:t>
            </w:r>
          </w:p>
        </w:tc>
      </w:tr>
      <w:tr w14:paraId="0DAF3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835" w:type="dxa"/>
          </w:tcPr>
          <w:p w14:paraId="4B6F55EF">
            <w:pPr>
              <w:pStyle w:val="11"/>
              <w:spacing w:line="360" w:lineRule="auto"/>
              <w:ind w:left="110"/>
              <w:jc w:val="left"/>
              <w:rPr>
                <w:sz w:val="24"/>
                <w:szCs w:val="24"/>
              </w:rPr>
            </w:pPr>
            <w:r>
              <w:rPr>
                <w:spacing w:val="-2"/>
                <w:sz w:val="24"/>
                <w:szCs w:val="24"/>
              </w:rPr>
              <w:t>Гастростаз</w:t>
            </w:r>
          </w:p>
        </w:tc>
        <w:tc>
          <w:tcPr>
            <w:tcW w:w="1843" w:type="dxa"/>
          </w:tcPr>
          <w:p w14:paraId="0940964F">
            <w:pPr>
              <w:pStyle w:val="11"/>
              <w:spacing w:before="141" w:line="360" w:lineRule="auto"/>
              <w:ind w:left="11"/>
              <w:rPr>
                <w:sz w:val="24"/>
                <w:szCs w:val="24"/>
              </w:rPr>
            </w:pPr>
            <w:r>
              <w:rPr>
                <w:sz w:val="24"/>
                <w:szCs w:val="24"/>
              </w:rPr>
              <w:t>2</w:t>
            </w:r>
            <w:r>
              <w:rPr>
                <w:spacing w:val="-1"/>
                <w:sz w:val="24"/>
                <w:szCs w:val="24"/>
              </w:rPr>
              <w:t xml:space="preserve"> </w:t>
            </w:r>
            <w:r>
              <w:rPr>
                <w:spacing w:val="-2"/>
                <w:sz w:val="24"/>
                <w:szCs w:val="24"/>
              </w:rPr>
              <w:t>(2,2%)</w:t>
            </w:r>
          </w:p>
        </w:tc>
        <w:tc>
          <w:tcPr>
            <w:tcW w:w="1559" w:type="dxa"/>
          </w:tcPr>
          <w:p w14:paraId="0DD2F812">
            <w:pPr>
              <w:pStyle w:val="11"/>
              <w:spacing w:before="141" w:line="360" w:lineRule="auto"/>
              <w:ind w:left="5" w:right="6"/>
              <w:rPr>
                <w:sz w:val="24"/>
                <w:szCs w:val="24"/>
              </w:rPr>
            </w:pPr>
            <w:r>
              <w:rPr>
                <w:sz w:val="24"/>
                <w:szCs w:val="24"/>
              </w:rPr>
              <w:t>5</w:t>
            </w:r>
            <w:r>
              <w:rPr>
                <w:spacing w:val="-1"/>
                <w:sz w:val="24"/>
                <w:szCs w:val="24"/>
              </w:rPr>
              <w:t xml:space="preserve"> </w:t>
            </w:r>
            <w:r>
              <w:rPr>
                <w:spacing w:val="-2"/>
                <w:sz w:val="24"/>
                <w:szCs w:val="24"/>
              </w:rPr>
              <w:t>(7,0%)</w:t>
            </w:r>
          </w:p>
        </w:tc>
        <w:tc>
          <w:tcPr>
            <w:tcW w:w="2410" w:type="dxa"/>
          </w:tcPr>
          <w:p w14:paraId="718373D2">
            <w:pPr>
              <w:pStyle w:val="11"/>
              <w:spacing w:before="141" w:line="360" w:lineRule="auto"/>
              <w:ind w:left="10" w:right="8"/>
              <w:rPr>
                <w:sz w:val="24"/>
                <w:szCs w:val="24"/>
              </w:rPr>
            </w:pPr>
            <w:r>
              <w:rPr>
                <w:sz w:val="24"/>
                <w:szCs w:val="24"/>
              </w:rPr>
              <w:t>3</w:t>
            </w:r>
            <w:r>
              <w:rPr>
                <w:spacing w:val="-1"/>
                <w:sz w:val="24"/>
                <w:szCs w:val="24"/>
              </w:rPr>
              <w:t xml:space="preserve"> </w:t>
            </w:r>
            <w:r>
              <w:rPr>
                <w:spacing w:val="-2"/>
                <w:sz w:val="24"/>
                <w:szCs w:val="24"/>
              </w:rPr>
              <w:t>(8,4%)</w:t>
            </w:r>
          </w:p>
        </w:tc>
        <w:tc>
          <w:tcPr>
            <w:tcW w:w="850" w:type="dxa"/>
          </w:tcPr>
          <w:p w14:paraId="5AFF42B6">
            <w:pPr>
              <w:pStyle w:val="11"/>
              <w:spacing w:line="360" w:lineRule="auto"/>
              <w:ind w:left="10" w:right="6"/>
              <w:rPr>
                <w:sz w:val="24"/>
                <w:szCs w:val="24"/>
              </w:rPr>
            </w:pPr>
            <w:r>
              <w:rPr>
                <w:spacing w:val="-4"/>
                <w:sz w:val="24"/>
                <w:szCs w:val="24"/>
              </w:rPr>
              <w:t>0,201</w:t>
            </w:r>
          </w:p>
        </w:tc>
      </w:tr>
      <w:tr w14:paraId="1443D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2835" w:type="dxa"/>
          </w:tcPr>
          <w:p w14:paraId="14F8F5D9">
            <w:pPr>
              <w:pStyle w:val="11"/>
              <w:spacing w:line="360" w:lineRule="auto"/>
              <w:ind w:left="110"/>
              <w:jc w:val="left"/>
              <w:rPr>
                <w:sz w:val="24"/>
                <w:szCs w:val="24"/>
              </w:rPr>
            </w:pPr>
            <w:r>
              <w:rPr>
                <w:sz w:val="24"/>
                <w:szCs w:val="24"/>
              </w:rPr>
              <w:t>Билиарный</w:t>
            </w:r>
            <w:r>
              <w:rPr>
                <w:spacing w:val="-11"/>
                <w:sz w:val="24"/>
                <w:szCs w:val="24"/>
              </w:rPr>
              <w:t xml:space="preserve"> </w:t>
            </w:r>
            <w:r>
              <w:rPr>
                <w:spacing w:val="-4"/>
                <w:sz w:val="24"/>
                <w:szCs w:val="24"/>
              </w:rPr>
              <w:t>свищ</w:t>
            </w:r>
          </w:p>
        </w:tc>
        <w:tc>
          <w:tcPr>
            <w:tcW w:w="1843" w:type="dxa"/>
          </w:tcPr>
          <w:p w14:paraId="2DFC3590">
            <w:pPr>
              <w:pStyle w:val="11"/>
              <w:spacing w:line="360" w:lineRule="auto"/>
              <w:ind w:left="11"/>
              <w:rPr>
                <w:sz w:val="24"/>
                <w:szCs w:val="24"/>
              </w:rPr>
            </w:pPr>
            <w:r>
              <w:rPr>
                <w:sz w:val="24"/>
                <w:szCs w:val="24"/>
              </w:rPr>
              <w:t>3</w:t>
            </w:r>
            <w:r>
              <w:rPr>
                <w:spacing w:val="-1"/>
                <w:sz w:val="24"/>
                <w:szCs w:val="24"/>
              </w:rPr>
              <w:t xml:space="preserve"> </w:t>
            </w:r>
            <w:r>
              <w:rPr>
                <w:spacing w:val="-2"/>
                <w:sz w:val="24"/>
                <w:szCs w:val="24"/>
              </w:rPr>
              <w:t>(3,3%)</w:t>
            </w:r>
          </w:p>
        </w:tc>
        <w:tc>
          <w:tcPr>
            <w:tcW w:w="1559" w:type="dxa"/>
          </w:tcPr>
          <w:p w14:paraId="3F9FA3D6">
            <w:pPr>
              <w:pStyle w:val="11"/>
              <w:spacing w:line="360" w:lineRule="auto"/>
              <w:ind w:left="5" w:right="6"/>
              <w:rPr>
                <w:sz w:val="24"/>
                <w:szCs w:val="24"/>
              </w:rPr>
            </w:pPr>
            <w:r>
              <w:rPr>
                <w:sz w:val="24"/>
                <w:szCs w:val="24"/>
              </w:rPr>
              <w:t>2</w:t>
            </w:r>
            <w:r>
              <w:rPr>
                <w:spacing w:val="-1"/>
                <w:sz w:val="24"/>
                <w:szCs w:val="24"/>
              </w:rPr>
              <w:t xml:space="preserve"> </w:t>
            </w:r>
            <w:r>
              <w:rPr>
                <w:spacing w:val="-2"/>
                <w:sz w:val="24"/>
                <w:szCs w:val="24"/>
              </w:rPr>
              <w:t>(2,8%)</w:t>
            </w:r>
          </w:p>
        </w:tc>
        <w:tc>
          <w:tcPr>
            <w:tcW w:w="2410" w:type="dxa"/>
          </w:tcPr>
          <w:p w14:paraId="6A5D305E">
            <w:pPr>
              <w:pStyle w:val="11"/>
              <w:spacing w:line="360" w:lineRule="auto"/>
              <w:ind w:left="10" w:right="8"/>
              <w:rPr>
                <w:sz w:val="24"/>
                <w:szCs w:val="24"/>
              </w:rPr>
            </w:pPr>
            <w:r>
              <w:rPr>
                <w:sz w:val="24"/>
                <w:szCs w:val="24"/>
              </w:rPr>
              <w:t>0</w:t>
            </w:r>
            <w:r>
              <w:rPr>
                <w:spacing w:val="-1"/>
                <w:sz w:val="24"/>
                <w:szCs w:val="24"/>
              </w:rPr>
              <w:t xml:space="preserve"> </w:t>
            </w:r>
            <w:r>
              <w:rPr>
                <w:spacing w:val="-4"/>
                <w:sz w:val="24"/>
                <w:szCs w:val="24"/>
              </w:rPr>
              <w:t>(0%)</w:t>
            </w:r>
          </w:p>
        </w:tc>
        <w:tc>
          <w:tcPr>
            <w:tcW w:w="850" w:type="dxa"/>
          </w:tcPr>
          <w:p w14:paraId="14156802">
            <w:pPr>
              <w:pStyle w:val="11"/>
              <w:spacing w:line="360" w:lineRule="auto"/>
              <w:ind w:left="10" w:right="6"/>
              <w:rPr>
                <w:sz w:val="24"/>
                <w:szCs w:val="24"/>
              </w:rPr>
            </w:pPr>
            <w:r>
              <w:rPr>
                <w:spacing w:val="-4"/>
                <w:sz w:val="24"/>
                <w:szCs w:val="24"/>
              </w:rPr>
              <w:t>0,359</w:t>
            </w:r>
          </w:p>
        </w:tc>
      </w:tr>
      <w:tr w14:paraId="7B5D66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2835" w:type="dxa"/>
          </w:tcPr>
          <w:p w14:paraId="08ABF5D3">
            <w:pPr>
              <w:pStyle w:val="11"/>
              <w:spacing w:line="360" w:lineRule="auto"/>
              <w:ind w:left="110"/>
              <w:jc w:val="left"/>
              <w:rPr>
                <w:sz w:val="24"/>
                <w:szCs w:val="24"/>
              </w:rPr>
            </w:pPr>
            <w:r>
              <w:rPr>
                <w:spacing w:val="-2"/>
                <w:sz w:val="24"/>
                <w:szCs w:val="24"/>
              </w:rPr>
              <w:t>Релапаротомия</w:t>
            </w:r>
          </w:p>
        </w:tc>
        <w:tc>
          <w:tcPr>
            <w:tcW w:w="1843" w:type="dxa"/>
          </w:tcPr>
          <w:p w14:paraId="4802493D">
            <w:pPr>
              <w:pStyle w:val="11"/>
              <w:spacing w:before="64" w:line="360" w:lineRule="auto"/>
              <w:ind w:left="11"/>
              <w:rPr>
                <w:sz w:val="24"/>
                <w:szCs w:val="24"/>
              </w:rPr>
            </w:pPr>
            <w:r>
              <w:rPr>
                <w:sz w:val="24"/>
                <w:szCs w:val="24"/>
              </w:rPr>
              <w:t xml:space="preserve">7 </w:t>
            </w:r>
            <w:r>
              <w:rPr>
                <w:spacing w:val="-2"/>
                <w:sz w:val="24"/>
                <w:szCs w:val="24"/>
              </w:rPr>
              <w:t>(6,5%)</w:t>
            </w:r>
          </w:p>
        </w:tc>
        <w:tc>
          <w:tcPr>
            <w:tcW w:w="1559" w:type="dxa"/>
          </w:tcPr>
          <w:p w14:paraId="1AC07BBC">
            <w:pPr>
              <w:pStyle w:val="11"/>
              <w:spacing w:before="64" w:line="360" w:lineRule="auto"/>
              <w:ind w:left="5" w:right="6"/>
              <w:rPr>
                <w:sz w:val="24"/>
                <w:szCs w:val="24"/>
              </w:rPr>
            </w:pPr>
            <w:r>
              <w:rPr>
                <w:sz w:val="24"/>
                <w:szCs w:val="24"/>
              </w:rPr>
              <w:t>1</w:t>
            </w:r>
            <w:r>
              <w:rPr>
                <w:spacing w:val="-1"/>
                <w:sz w:val="24"/>
                <w:szCs w:val="24"/>
              </w:rPr>
              <w:t xml:space="preserve"> </w:t>
            </w:r>
            <w:r>
              <w:rPr>
                <w:spacing w:val="-2"/>
                <w:sz w:val="24"/>
                <w:szCs w:val="24"/>
              </w:rPr>
              <w:t>(1,4%)</w:t>
            </w:r>
          </w:p>
        </w:tc>
        <w:tc>
          <w:tcPr>
            <w:tcW w:w="2410" w:type="dxa"/>
          </w:tcPr>
          <w:p w14:paraId="65579537">
            <w:pPr>
              <w:pStyle w:val="11"/>
              <w:spacing w:before="64" w:line="360" w:lineRule="auto"/>
              <w:ind w:left="10" w:right="4"/>
              <w:rPr>
                <w:sz w:val="24"/>
                <w:szCs w:val="24"/>
              </w:rPr>
            </w:pPr>
            <w:r>
              <w:rPr>
                <w:sz w:val="24"/>
                <w:szCs w:val="24"/>
              </w:rPr>
              <w:t>5</w:t>
            </w:r>
            <w:r>
              <w:rPr>
                <w:spacing w:val="-1"/>
                <w:sz w:val="24"/>
                <w:szCs w:val="24"/>
              </w:rPr>
              <w:t xml:space="preserve"> </w:t>
            </w:r>
            <w:r>
              <w:rPr>
                <w:spacing w:val="-2"/>
                <w:sz w:val="24"/>
                <w:szCs w:val="24"/>
              </w:rPr>
              <w:t>(13,9%)</w:t>
            </w:r>
          </w:p>
        </w:tc>
        <w:tc>
          <w:tcPr>
            <w:tcW w:w="850" w:type="dxa"/>
          </w:tcPr>
          <w:p w14:paraId="6C04487A">
            <w:pPr>
              <w:pStyle w:val="11"/>
              <w:spacing w:line="360" w:lineRule="auto"/>
              <w:ind w:left="10"/>
              <w:rPr>
                <w:sz w:val="24"/>
                <w:szCs w:val="24"/>
              </w:rPr>
            </w:pPr>
            <w:r>
              <w:rPr>
                <w:spacing w:val="-2"/>
                <w:sz w:val="24"/>
                <w:szCs w:val="24"/>
              </w:rPr>
              <w:t>0,030</w:t>
            </w:r>
            <w:r>
              <w:rPr>
                <w:spacing w:val="-2"/>
                <w:sz w:val="24"/>
                <w:szCs w:val="24"/>
                <w:vertAlign w:val="superscript"/>
              </w:rPr>
              <w:t>*</w:t>
            </w:r>
          </w:p>
        </w:tc>
      </w:tr>
      <w:tr w14:paraId="42F84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835" w:type="dxa"/>
          </w:tcPr>
          <w:p w14:paraId="4942A6FB">
            <w:pPr>
              <w:pStyle w:val="11"/>
              <w:spacing w:line="360" w:lineRule="auto"/>
              <w:ind w:left="110"/>
              <w:jc w:val="left"/>
              <w:rPr>
                <w:sz w:val="24"/>
                <w:szCs w:val="24"/>
              </w:rPr>
            </w:pPr>
            <w:r>
              <w:rPr>
                <w:spacing w:val="-2"/>
                <w:sz w:val="24"/>
                <w:szCs w:val="24"/>
              </w:rPr>
              <w:t>Релапаротомия</w:t>
            </w:r>
          </w:p>
          <w:p w14:paraId="1D0CC207">
            <w:pPr>
              <w:pStyle w:val="11"/>
              <w:spacing w:line="360" w:lineRule="auto"/>
              <w:ind w:left="110"/>
              <w:jc w:val="left"/>
              <w:rPr>
                <w:sz w:val="24"/>
                <w:szCs w:val="24"/>
              </w:rPr>
            </w:pPr>
            <w:r>
              <w:rPr>
                <w:sz w:val="24"/>
                <w:szCs w:val="24"/>
              </w:rPr>
              <w:t>связанное</w:t>
            </w:r>
            <w:r>
              <w:rPr>
                <w:spacing w:val="-6"/>
                <w:sz w:val="24"/>
                <w:szCs w:val="24"/>
              </w:rPr>
              <w:t xml:space="preserve"> </w:t>
            </w:r>
            <w:r>
              <w:rPr>
                <w:sz w:val="24"/>
                <w:szCs w:val="24"/>
              </w:rPr>
              <w:t>со</w:t>
            </w:r>
            <w:r>
              <w:rPr>
                <w:spacing w:val="-6"/>
                <w:sz w:val="24"/>
                <w:szCs w:val="24"/>
              </w:rPr>
              <w:t xml:space="preserve"> </w:t>
            </w:r>
            <w:r>
              <w:rPr>
                <w:spacing w:val="-2"/>
                <w:sz w:val="24"/>
                <w:szCs w:val="24"/>
              </w:rPr>
              <w:t>свищем</w:t>
            </w:r>
          </w:p>
        </w:tc>
        <w:tc>
          <w:tcPr>
            <w:tcW w:w="1843" w:type="dxa"/>
          </w:tcPr>
          <w:p w14:paraId="0D7C4E07">
            <w:pPr>
              <w:pStyle w:val="11"/>
              <w:spacing w:before="314" w:line="360" w:lineRule="auto"/>
              <w:ind w:left="11"/>
              <w:rPr>
                <w:sz w:val="24"/>
                <w:szCs w:val="24"/>
              </w:rPr>
            </w:pPr>
            <w:r>
              <w:rPr>
                <w:sz w:val="24"/>
                <w:szCs w:val="24"/>
              </w:rPr>
              <w:t xml:space="preserve">4 </w:t>
            </w:r>
            <w:r>
              <w:rPr>
                <w:spacing w:val="-2"/>
                <w:sz w:val="24"/>
                <w:szCs w:val="24"/>
              </w:rPr>
              <w:t>(4,3%)</w:t>
            </w:r>
          </w:p>
        </w:tc>
        <w:tc>
          <w:tcPr>
            <w:tcW w:w="1559" w:type="dxa"/>
          </w:tcPr>
          <w:p w14:paraId="74CA20F5">
            <w:pPr>
              <w:pStyle w:val="11"/>
              <w:spacing w:before="314" w:line="360" w:lineRule="auto"/>
              <w:ind w:left="5" w:right="6"/>
              <w:rPr>
                <w:sz w:val="24"/>
                <w:szCs w:val="24"/>
              </w:rPr>
            </w:pPr>
            <w:r>
              <w:rPr>
                <w:sz w:val="24"/>
                <w:szCs w:val="24"/>
              </w:rPr>
              <w:t>1</w:t>
            </w:r>
            <w:r>
              <w:rPr>
                <w:spacing w:val="-1"/>
                <w:sz w:val="24"/>
                <w:szCs w:val="24"/>
              </w:rPr>
              <w:t xml:space="preserve"> </w:t>
            </w:r>
            <w:r>
              <w:rPr>
                <w:spacing w:val="-2"/>
                <w:sz w:val="24"/>
                <w:szCs w:val="24"/>
              </w:rPr>
              <w:t>(1,4%)</w:t>
            </w:r>
          </w:p>
        </w:tc>
        <w:tc>
          <w:tcPr>
            <w:tcW w:w="2410" w:type="dxa"/>
          </w:tcPr>
          <w:p w14:paraId="095F3C9C">
            <w:pPr>
              <w:pStyle w:val="11"/>
              <w:spacing w:before="314" w:line="360" w:lineRule="auto"/>
              <w:ind w:left="10" w:right="4"/>
              <w:rPr>
                <w:sz w:val="24"/>
                <w:szCs w:val="24"/>
              </w:rPr>
            </w:pPr>
            <w:r>
              <w:rPr>
                <w:sz w:val="24"/>
                <w:szCs w:val="24"/>
              </w:rPr>
              <w:t>4</w:t>
            </w:r>
            <w:r>
              <w:rPr>
                <w:spacing w:val="-1"/>
                <w:sz w:val="24"/>
                <w:szCs w:val="24"/>
              </w:rPr>
              <w:t xml:space="preserve"> </w:t>
            </w:r>
            <w:r>
              <w:rPr>
                <w:spacing w:val="-2"/>
                <w:sz w:val="24"/>
                <w:szCs w:val="24"/>
              </w:rPr>
              <w:t>(11,2%)</w:t>
            </w:r>
          </w:p>
        </w:tc>
        <w:tc>
          <w:tcPr>
            <w:tcW w:w="850" w:type="dxa"/>
          </w:tcPr>
          <w:p w14:paraId="25A4EBD7">
            <w:pPr>
              <w:pStyle w:val="11"/>
              <w:spacing w:before="314" w:line="360" w:lineRule="auto"/>
              <w:ind w:left="10" w:right="6"/>
              <w:rPr>
                <w:sz w:val="24"/>
                <w:szCs w:val="24"/>
              </w:rPr>
            </w:pPr>
            <w:r>
              <w:rPr>
                <w:spacing w:val="-4"/>
                <w:sz w:val="24"/>
                <w:szCs w:val="24"/>
              </w:rPr>
              <w:t>0,092</w:t>
            </w:r>
          </w:p>
        </w:tc>
      </w:tr>
      <w:tr w14:paraId="1AFA2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2835" w:type="dxa"/>
            <w:tcBorders>
              <w:bottom w:val="single" w:color="000000" w:sz="4" w:space="0"/>
            </w:tcBorders>
          </w:tcPr>
          <w:p w14:paraId="4B071FA7">
            <w:pPr>
              <w:pStyle w:val="11"/>
              <w:spacing w:line="276" w:lineRule="auto"/>
              <w:ind w:left="110"/>
              <w:jc w:val="left"/>
              <w:rPr>
                <w:sz w:val="24"/>
                <w:szCs w:val="24"/>
              </w:rPr>
            </w:pPr>
            <w:r>
              <w:rPr>
                <w:spacing w:val="-2"/>
                <w:sz w:val="24"/>
                <w:szCs w:val="24"/>
              </w:rPr>
              <w:t>Госпитальная</w:t>
            </w:r>
          </w:p>
          <w:p w14:paraId="6B562BF9">
            <w:pPr>
              <w:pStyle w:val="11"/>
              <w:spacing w:before="4" w:line="276" w:lineRule="auto"/>
              <w:ind w:left="110"/>
              <w:jc w:val="left"/>
              <w:rPr>
                <w:sz w:val="24"/>
                <w:szCs w:val="24"/>
              </w:rPr>
            </w:pPr>
            <w:r>
              <w:rPr>
                <w:spacing w:val="-2"/>
                <w:sz w:val="24"/>
                <w:szCs w:val="24"/>
              </w:rPr>
              <w:t>летальность</w:t>
            </w:r>
          </w:p>
        </w:tc>
        <w:tc>
          <w:tcPr>
            <w:tcW w:w="1843" w:type="dxa"/>
            <w:tcBorders>
              <w:bottom w:val="single" w:color="000000" w:sz="4" w:space="0"/>
            </w:tcBorders>
          </w:tcPr>
          <w:p w14:paraId="63E1D548">
            <w:pPr>
              <w:pStyle w:val="11"/>
              <w:spacing w:before="319" w:line="276" w:lineRule="auto"/>
              <w:ind w:left="11"/>
              <w:rPr>
                <w:sz w:val="24"/>
                <w:szCs w:val="24"/>
              </w:rPr>
            </w:pPr>
            <w:r>
              <w:rPr>
                <w:sz w:val="24"/>
                <w:szCs w:val="24"/>
              </w:rPr>
              <w:t>8</w:t>
            </w:r>
            <w:r>
              <w:rPr>
                <w:spacing w:val="-1"/>
                <w:sz w:val="24"/>
                <w:szCs w:val="24"/>
              </w:rPr>
              <w:t xml:space="preserve"> </w:t>
            </w:r>
            <w:r>
              <w:rPr>
                <w:spacing w:val="-2"/>
                <w:sz w:val="24"/>
                <w:szCs w:val="24"/>
              </w:rPr>
              <w:t>(8,7%)</w:t>
            </w:r>
          </w:p>
        </w:tc>
        <w:tc>
          <w:tcPr>
            <w:tcW w:w="1559" w:type="dxa"/>
            <w:tcBorders>
              <w:bottom w:val="single" w:color="000000" w:sz="4" w:space="0"/>
            </w:tcBorders>
          </w:tcPr>
          <w:p w14:paraId="69C025A9">
            <w:pPr>
              <w:pStyle w:val="11"/>
              <w:spacing w:before="319" w:line="276" w:lineRule="auto"/>
              <w:ind w:left="5" w:right="6"/>
              <w:rPr>
                <w:sz w:val="24"/>
                <w:szCs w:val="24"/>
              </w:rPr>
            </w:pPr>
            <w:r>
              <w:rPr>
                <w:sz w:val="24"/>
                <w:szCs w:val="24"/>
              </w:rPr>
              <w:t>2</w:t>
            </w:r>
            <w:r>
              <w:rPr>
                <w:spacing w:val="-1"/>
                <w:sz w:val="24"/>
                <w:szCs w:val="24"/>
              </w:rPr>
              <w:t xml:space="preserve"> </w:t>
            </w:r>
            <w:r>
              <w:rPr>
                <w:spacing w:val="-2"/>
                <w:sz w:val="24"/>
                <w:szCs w:val="24"/>
              </w:rPr>
              <w:t>(2,8%)</w:t>
            </w:r>
          </w:p>
        </w:tc>
        <w:tc>
          <w:tcPr>
            <w:tcW w:w="2410" w:type="dxa"/>
            <w:tcBorders>
              <w:bottom w:val="single" w:color="000000" w:sz="4" w:space="0"/>
            </w:tcBorders>
          </w:tcPr>
          <w:p w14:paraId="0B71C3ED">
            <w:pPr>
              <w:pStyle w:val="11"/>
              <w:spacing w:before="319" w:line="276" w:lineRule="auto"/>
              <w:ind w:left="10" w:right="4"/>
              <w:rPr>
                <w:sz w:val="24"/>
                <w:szCs w:val="24"/>
              </w:rPr>
            </w:pPr>
            <w:r>
              <w:rPr>
                <w:sz w:val="24"/>
                <w:szCs w:val="24"/>
              </w:rPr>
              <w:t>6</w:t>
            </w:r>
            <w:r>
              <w:rPr>
                <w:spacing w:val="-1"/>
                <w:sz w:val="24"/>
                <w:szCs w:val="24"/>
              </w:rPr>
              <w:t xml:space="preserve"> </w:t>
            </w:r>
            <w:r>
              <w:rPr>
                <w:spacing w:val="-2"/>
                <w:sz w:val="24"/>
                <w:szCs w:val="24"/>
              </w:rPr>
              <w:t>(16,7%)</w:t>
            </w:r>
          </w:p>
        </w:tc>
        <w:tc>
          <w:tcPr>
            <w:tcW w:w="850" w:type="dxa"/>
            <w:tcBorders>
              <w:bottom w:val="single" w:color="000000" w:sz="4" w:space="0"/>
            </w:tcBorders>
          </w:tcPr>
          <w:p w14:paraId="2676146B">
            <w:pPr>
              <w:pStyle w:val="11"/>
              <w:spacing w:before="319" w:line="276" w:lineRule="auto"/>
              <w:ind w:left="10"/>
              <w:rPr>
                <w:sz w:val="24"/>
                <w:szCs w:val="24"/>
              </w:rPr>
            </w:pPr>
            <w:r>
              <w:rPr>
                <w:spacing w:val="-2"/>
                <w:sz w:val="24"/>
                <w:szCs w:val="24"/>
              </w:rPr>
              <w:t>0,042</w:t>
            </w:r>
            <w:r>
              <w:rPr>
                <w:spacing w:val="-2"/>
                <w:sz w:val="24"/>
                <w:szCs w:val="24"/>
                <w:vertAlign w:val="superscript"/>
              </w:rPr>
              <w:t>*</w:t>
            </w:r>
          </w:p>
        </w:tc>
      </w:tr>
      <w:tr w14:paraId="0501D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2835" w:type="dxa"/>
            <w:tcBorders>
              <w:bottom w:val="nil"/>
            </w:tcBorders>
          </w:tcPr>
          <w:p w14:paraId="0969C8C4">
            <w:pPr>
              <w:pStyle w:val="11"/>
              <w:spacing w:line="276" w:lineRule="auto"/>
              <w:ind w:left="110"/>
              <w:jc w:val="left"/>
              <w:rPr>
                <w:sz w:val="24"/>
                <w:szCs w:val="24"/>
              </w:rPr>
            </w:pPr>
            <w:r>
              <w:rPr>
                <w:spacing w:val="-2"/>
                <w:sz w:val="24"/>
                <w:szCs w:val="24"/>
              </w:rPr>
              <w:t>Летальность</w:t>
            </w:r>
          </w:p>
          <w:p w14:paraId="3A47CC4A">
            <w:pPr>
              <w:pStyle w:val="11"/>
              <w:spacing w:line="276" w:lineRule="auto"/>
              <w:ind w:left="110"/>
              <w:jc w:val="left"/>
              <w:rPr>
                <w:sz w:val="24"/>
                <w:szCs w:val="24"/>
              </w:rPr>
            </w:pPr>
            <w:r>
              <w:rPr>
                <w:sz w:val="24"/>
                <w:szCs w:val="24"/>
              </w:rPr>
              <w:t>связанное</w:t>
            </w:r>
            <w:r>
              <w:rPr>
                <w:spacing w:val="-6"/>
                <w:sz w:val="24"/>
                <w:szCs w:val="24"/>
              </w:rPr>
              <w:t xml:space="preserve"> </w:t>
            </w:r>
            <w:r>
              <w:rPr>
                <w:sz w:val="24"/>
                <w:szCs w:val="24"/>
              </w:rPr>
              <w:t>со</w:t>
            </w:r>
            <w:r>
              <w:rPr>
                <w:spacing w:val="-6"/>
                <w:sz w:val="24"/>
                <w:szCs w:val="24"/>
              </w:rPr>
              <w:t xml:space="preserve"> </w:t>
            </w:r>
            <w:r>
              <w:rPr>
                <w:spacing w:val="-2"/>
                <w:sz w:val="24"/>
                <w:szCs w:val="24"/>
              </w:rPr>
              <w:t>свищем</w:t>
            </w:r>
          </w:p>
        </w:tc>
        <w:tc>
          <w:tcPr>
            <w:tcW w:w="1843" w:type="dxa"/>
            <w:tcBorders>
              <w:bottom w:val="nil"/>
            </w:tcBorders>
          </w:tcPr>
          <w:p w14:paraId="6F74F87D">
            <w:pPr>
              <w:pStyle w:val="11"/>
              <w:spacing w:before="315" w:line="276" w:lineRule="auto"/>
              <w:ind w:left="11"/>
              <w:rPr>
                <w:sz w:val="24"/>
                <w:szCs w:val="24"/>
              </w:rPr>
            </w:pPr>
            <w:r>
              <w:rPr>
                <w:sz w:val="24"/>
                <w:szCs w:val="24"/>
              </w:rPr>
              <w:t xml:space="preserve">4 </w:t>
            </w:r>
            <w:r>
              <w:rPr>
                <w:spacing w:val="-2"/>
                <w:sz w:val="24"/>
                <w:szCs w:val="24"/>
              </w:rPr>
              <w:t>(3,3%)</w:t>
            </w:r>
          </w:p>
        </w:tc>
        <w:tc>
          <w:tcPr>
            <w:tcW w:w="1559" w:type="dxa"/>
            <w:tcBorders>
              <w:bottom w:val="nil"/>
            </w:tcBorders>
          </w:tcPr>
          <w:p w14:paraId="756DC9CB">
            <w:pPr>
              <w:pStyle w:val="11"/>
              <w:spacing w:before="315" w:line="276" w:lineRule="auto"/>
              <w:ind w:left="5" w:right="6"/>
              <w:rPr>
                <w:sz w:val="24"/>
                <w:szCs w:val="24"/>
              </w:rPr>
            </w:pPr>
            <w:r>
              <w:rPr>
                <w:sz w:val="24"/>
                <w:szCs w:val="24"/>
              </w:rPr>
              <w:t>2</w:t>
            </w:r>
            <w:r>
              <w:rPr>
                <w:spacing w:val="-1"/>
                <w:sz w:val="24"/>
                <w:szCs w:val="24"/>
              </w:rPr>
              <w:t xml:space="preserve"> </w:t>
            </w:r>
            <w:r>
              <w:rPr>
                <w:spacing w:val="-2"/>
                <w:sz w:val="24"/>
                <w:szCs w:val="24"/>
              </w:rPr>
              <w:t>(2,8%)</w:t>
            </w:r>
          </w:p>
        </w:tc>
        <w:tc>
          <w:tcPr>
            <w:tcW w:w="2410" w:type="dxa"/>
            <w:tcBorders>
              <w:bottom w:val="nil"/>
            </w:tcBorders>
          </w:tcPr>
          <w:p w14:paraId="0FE370A7">
            <w:pPr>
              <w:pStyle w:val="11"/>
              <w:spacing w:before="315" w:line="276" w:lineRule="auto"/>
              <w:ind w:left="10" w:right="4"/>
              <w:rPr>
                <w:sz w:val="24"/>
                <w:szCs w:val="24"/>
              </w:rPr>
            </w:pPr>
            <w:r>
              <w:rPr>
                <w:sz w:val="24"/>
                <w:szCs w:val="24"/>
              </w:rPr>
              <w:t>5</w:t>
            </w:r>
            <w:r>
              <w:rPr>
                <w:spacing w:val="-1"/>
                <w:sz w:val="24"/>
                <w:szCs w:val="24"/>
              </w:rPr>
              <w:t xml:space="preserve"> </w:t>
            </w:r>
            <w:r>
              <w:rPr>
                <w:spacing w:val="-2"/>
                <w:sz w:val="24"/>
                <w:szCs w:val="24"/>
              </w:rPr>
              <w:t>(13,9%)</w:t>
            </w:r>
          </w:p>
        </w:tc>
        <w:tc>
          <w:tcPr>
            <w:tcW w:w="850" w:type="dxa"/>
            <w:tcBorders>
              <w:bottom w:val="nil"/>
            </w:tcBorders>
          </w:tcPr>
          <w:p w14:paraId="23656C8B">
            <w:pPr>
              <w:pStyle w:val="11"/>
              <w:spacing w:before="315" w:line="276" w:lineRule="auto"/>
              <w:ind w:left="10" w:right="6"/>
              <w:rPr>
                <w:sz w:val="24"/>
                <w:szCs w:val="24"/>
              </w:rPr>
            </w:pPr>
            <w:r>
              <w:rPr>
                <w:spacing w:val="-4"/>
                <w:sz w:val="24"/>
                <w:szCs w:val="24"/>
              </w:rPr>
              <w:t>0,085</w:t>
            </w:r>
          </w:p>
        </w:tc>
      </w:tr>
    </w:tbl>
    <w:p w14:paraId="333A716D">
      <w:pPr>
        <w:spacing w:line="360" w:lineRule="auto"/>
      </w:pPr>
    </w:p>
    <w:p w14:paraId="0C684B02">
      <w:pPr>
        <w:tabs>
          <w:tab w:val="left" w:pos="4962"/>
        </w:tabs>
        <w:rPr>
          <w:sz w:val="28"/>
          <w:szCs w:val="28"/>
        </w:rPr>
      </w:pPr>
      <w:r>
        <w:rPr>
          <w:sz w:val="28"/>
          <w:szCs w:val="28"/>
        </w:rPr>
        <w:t>Продолжение таблицы 33</w:t>
      </w:r>
    </w:p>
    <w:p w14:paraId="18125070">
      <w:pPr>
        <w:tabs>
          <w:tab w:val="left" w:pos="4962"/>
        </w:tabs>
        <w:rPr>
          <w:sz w:val="28"/>
          <w:szCs w:val="28"/>
        </w:rPr>
      </w:pPr>
    </w:p>
    <w:tbl>
      <w:tblPr>
        <w:tblStyle w:val="5"/>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7"/>
        <w:gridCol w:w="1843"/>
        <w:gridCol w:w="1559"/>
        <w:gridCol w:w="2410"/>
        <w:gridCol w:w="850"/>
      </w:tblGrid>
      <w:tr w14:paraId="102AE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977" w:type="dxa"/>
          </w:tcPr>
          <w:p w14:paraId="11A4A1D2">
            <w:pPr>
              <w:pStyle w:val="11"/>
              <w:spacing w:line="315" w:lineRule="exact"/>
              <w:ind w:left="110"/>
              <w:rPr>
                <w:spacing w:val="-2"/>
                <w:sz w:val="24"/>
                <w:szCs w:val="24"/>
              </w:rPr>
            </w:pPr>
            <w:r>
              <w:rPr>
                <w:spacing w:val="-2"/>
                <w:sz w:val="24"/>
                <w:szCs w:val="24"/>
              </w:rPr>
              <w:t>1</w:t>
            </w:r>
          </w:p>
        </w:tc>
        <w:tc>
          <w:tcPr>
            <w:tcW w:w="1843" w:type="dxa"/>
          </w:tcPr>
          <w:p w14:paraId="73E0B38D">
            <w:pPr>
              <w:pStyle w:val="11"/>
              <w:spacing w:line="240" w:lineRule="auto"/>
              <w:ind w:left="110" w:right="140"/>
              <w:rPr>
                <w:sz w:val="28"/>
                <w:szCs w:val="28"/>
              </w:rPr>
            </w:pPr>
            <w:r>
              <w:rPr>
                <w:sz w:val="28"/>
                <w:szCs w:val="28"/>
              </w:rPr>
              <w:t>2</w:t>
            </w:r>
          </w:p>
        </w:tc>
        <w:tc>
          <w:tcPr>
            <w:tcW w:w="1559" w:type="dxa"/>
          </w:tcPr>
          <w:p w14:paraId="0E552641">
            <w:pPr>
              <w:pStyle w:val="11"/>
              <w:spacing w:line="240" w:lineRule="auto"/>
              <w:ind w:left="110" w:right="140"/>
              <w:rPr>
                <w:sz w:val="28"/>
                <w:szCs w:val="28"/>
              </w:rPr>
            </w:pPr>
            <w:r>
              <w:rPr>
                <w:sz w:val="28"/>
                <w:szCs w:val="28"/>
              </w:rPr>
              <w:t>3</w:t>
            </w:r>
          </w:p>
        </w:tc>
        <w:tc>
          <w:tcPr>
            <w:tcW w:w="2410" w:type="dxa"/>
          </w:tcPr>
          <w:p w14:paraId="73A9532B">
            <w:pPr>
              <w:pStyle w:val="11"/>
              <w:spacing w:line="240" w:lineRule="auto"/>
              <w:ind w:left="110" w:right="140"/>
              <w:rPr>
                <w:sz w:val="28"/>
                <w:szCs w:val="28"/>
              </w:rPr>
            </w:pPr>
            <w:r>
              <w:rPr>
                <w:sz w:val="28"/>
                <w:szCs w:val="28"/>
              </w:rPr>
              <w:t>4</w:t>
            </w:r>
          </w:p>
        </w:tc>
        <w:tc>
          <w:tcPr>
            <w:tcW w:w="850" w:type="dxa"/>
          </w:tcPr>
          <w:p w14:paraId="41E8845E">
            <w:pPr>
              <w:pStyle w:val="11"/>
              <w:spacing w:line="240" w:lineRule="auto"/>
              <w:ind w:left="110" w:right="140"/>
              <w:rPr>
                <w:sz w:val="28"/>
                <w:szCs w:val="28"/>
              </w:rPr>
            </w:pPr>
            <w:r>
              <w:rPr>
                <w:sz w:val="28"/>
                <w:szCs w:val="28"/>
              </w:rPr>
              <w:t>5</w:t>
            </w:r>
          </w:p>
        </w:tc>
      </w:tr>
      <w:tr w14:paraId="6BB3F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2977" w:type="dxa"/>
          </w:tcPr>
          <w:p w14:paraId="59A42522">
            <w:pPr>
              <w:pStyle w:val="11"/>
              <w:spacing w:line="240" w:lineRule="auto"/>
              <w:ind w:left="110" w:right="140"/>
              <w:jc w:val="left"/>
              <w:rPr>
                <w:sz w:val="28"/>
                <w:szCs w:val="28"/>
              </w:rPr>
            </w:pPr>
            <w:r>
              <w:rPr>
                <w:spacing w:val="-2"/>
                <w:sz w:val="28"/>
                <w:szCs w:val="28"/>
              </w:rPr>
              <w:t xml:space="preserve">Длительность </w:t>
            </w:r>
            <w:r>
              <w:rPr>
                <w:sz w:val="28"/>
                <w:szCs w:val="28"/>
              </w:rPr>
              <w:t>госпитализации,</w:t>
            </w:r>
            <w:r>
              <w:rPr>
                <w:spacing w:val="-18"/>
                <w:sz w:val="28"/>
                <w:szCs w:val="28"/>
              </w:rPr>
              <w:t xml:space="preserve"> </w:t>
            </w:r>
            <w:r>
              <w:rPr>
                <w:sz w:val="28"/>
                <w:szCs w:val="28"/>
              </w:rPr>
              <w:t>дни,</w:t>
            </w:r>
          </w:p>
          <w:p w14:paraId="09315C27">
            <w:pPr>
              <w:pStyle w:val="11"/>
              <w:ind w:left="110"/>
              <w:jc w:val="left"/>
              <w:rPr>
                <w:sz w:val="28"/>
                <w:szCs w:val="28"/>
              </w:rPr>
            </w:pPr>
            <w:r>
              <w:rPr>
                <w:sz w:val="28"/>
                <w:szCs w:val="28"/>
              </w:rPr>
              <w:t>Me</w:t>
            </w:r>
            <w:r>
              <w:rPr>
                <w:spacing w:val="-3"/>
                <w:sz w:val="28"/>
                <w:szCs w:val="28"/>
              </w:rPr>
              <w:t xml:space="preserve"> </w:t>
            </w:r>
            <w:r>
              <w:rPr>
                <w:sz w:val="28"/>
                <w:szCs w:val="28"/>
              </w:rPr>
              <w:t>[Q1;</w:t>
            </w:r>
            <w:r>
              <w:rPr>
                <w:spacing w:val="-4"/>
                <w:sz w:val="28"/>
                <w:szCs w:val="28"/>
              </w:rPr>
              <w:t xml:space="preserve"> </w:t>
            </w:r>
            <w:r>
              <w:rPr>
                <w:spacing w:val="-5"/>
                <w:sz w:val="28"/>
                <w:szCs w:val="28"/>
              </w:rPr>
              <w:t>Q3]</w:t>
            </w:r>
          </w:p>
        </w:tc>
        <w:tc>
          <w:tcPr>
            <w:tcW w:w="1843" w:type="dxa"/>
          </w:tcPr>
          <w:p w14:paraId="45A8ECA1">
            <w:pPr>
              <w:pStyle w:val="11"/>
              <w:spacing w:before="314" w:line="240" w:lineRule="auto"/>
              <w:ind w:left="11"/>
              <w:rPr>
                <w:sz w:val="28"/>
                <w:szCs w:val="28"/>
              </w:rPr>
            </w:pPr>
            <w:r>
              <w:rPr>
                <w:sz w:val="28"/>
                <w:szCs w:val="28"/>
              </w:rPr>
              <w:t>21</w:t>
            </w:r>
            <w:r>
              <w:rPr>
                <w:spacing w:val="-10"/>
                <w:sz w:val="28"/>
                <w:szCs w:val="28"/>
              </w:rPr>
              <w:t xml:space="preserve"> </w:t>
            </w:r>
            <w:r>
              <w:rPr>
                <w:sz w:val="28"/>
                <w:szCs w:val="28"/>
              </w:rPr>
              <w:t>[14-</w:t>
            </w:r>
            <w:r>
              <w:rPr>
                <w:spacing w:val="-5"/>
                <w:sz w:val="28"/>
                <w:szCs w:val="28"/>
              </w:rPr>
              <w:t>31]</w:t>
            </w:r>
          </w:p>
        </w:tc>
        <w:tc>
          <w:tcPr>
            <w:tcW w:w="1559" w:type="dxa"/>
          </w:tcPr>
          <w:p w14:paraId="7C8AB99F">
            <w:pPr>
              <w:pStyle w:val="11"/>
              <w:spacing w:before="314" w:line="240" w:lineRule="auto"/>
              <w:ind w:left="5" w:right="5"/>
              <w:rPr>
                <w:sz w:val="28"/>
                <w:szCs w:val="28"/>
              </w:rPr>
            </w:pPr>
            <w:r>
              <w:rPr>
                <w:sz w:val="28"/>
                <w:szCs w:val="28"/>
              </w:rPr>
              <w:t>16</w:t>
            </w:r>
            <w:r>
              <w:rPr>
                <w:spacing w:val="-10"/>
                <w:sz w:val="28"/>
                <w:szCs w:val="28"/>
              </w:rPr>
              <w:t xml:space="preserve"> </w:t>
            </w:r>
            <w:r>
              <w:rPr>
                <w:sz w:val="28"/>
                <w:szCs w:val="28"/>
              </w:rPr>
              <w:t>[18-</w:t>
            </w:r>
            <w:r>
              <w:rPr>
                <w:spacing w:val="-5"/>
                <w:sz w:val="28"/>
                <w:szCs w:val="28"/>
              </w:rPr>
              <w:t>26]</w:t>
            </w:r>
          </w:p>
        </w:tc>
        <w:tc>
          <w:tcPr>
            <w:tcW w:w="2410" w:type="dxa"/>
          </w:tcPr>
          <w:p w14:paraId="7100007F">
            <w:pPr>
              <w:pStyle w:val="11"/>
              <w:spacing w:before="314" w:line="240" w:lineRule="auto"/>
              <w:ind w:left="10" w:right="8"/>
              <w:rPr>
                <w:sz w:val="28"/>
                <w:szCs w:val="28"/>
              </w:rPr>
            </w:pPr>
            <w:r>
              <w:rPr>
                <w:sz w:val="28"/>
                <w:szCs w:val="28"/>
              </w:rPr>
              <w:t>22</w:t>
            </w:r>
            <w:r>
              <w:rPr>
                <w:spacing w:val="-10"/>
                <w:sz w:val="28"/>
                <w:szCs w:val="28"/>
              </w:rPr>
              <w:t xml:space="preserve"> </w:t>
            </w:r>
            <w:r>
              <w:rPr>
                <w:sz w:val="28"/>
                <w:szCs w:val="28"/>
              </w:rPr>
              <w:t>[15-</w:t>
            </w:r>
            <w:r>
              <w:rPr>
                <w:spacing w:val="-5"/>
                <w:sz w:val="28"/>
                <w:szCs w:val="28"/>
              </w:rPr>
              <w:t>36]</w:t>
            </w:r>
          </w:p>
        </w:tc>
        <w:tc>
          <w:tcPr>
            <w:tcW w:w="850" w:type="dxa"/>
          </w:tcPr>
          <w:p w14:paraId="281FEC2B">
            <w:pPr>
              <w:pStyle w:val="11"/>
              <w:spacing w:before="314" w:line="240" w:lineRule="auto"/>
              <w:ind w:left="10" w:right="5"/>
              <w:rPr>
                <w:sz w:val="28"/>
                <w:szCs w:val="28"/>
              </w:rPr>
            </w:pPr>
            <w:r>
              <w:rPr>
                <w:spacing w:val="-2"/>
                <w:sz w:val="28"/>
                <w:szCs w:val="28"/>
              </w:rPr>
              <w:t>0,003</w:t>
            </w:r>
            <w:r>
              <w:rPr>
                <w:spacing w:val="-2"/>
                <w:sz w:val="28"/>
                <w:szCs w:val="28"/>
                <w:vertAlign w:val="superscript"/>
              </w:rPr>
              <w:t>**</w:t>
            </w:r>
          </w:p>
        </w:tc>
      </w:tr>
      <w:tr w14:paraId="6B4BD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639" w:type="dxa"/>
            <w:gridSpan w:val="5"/>
          </w:tcPr>
          <w:p w14:paraId="71A3AD29">
            <w:pPr>
              <w:pStyle w:val="11"/>
              <w:spacing w:line="240" w:lineRule="auto"/>
              <w:ind w:left="110" w:right="54" w:firstLine="599"/>
              <w:jc w:val="left"/>
              <w:rPr>
                <w:sz w:val="28"/>
                <w:szCs w:val="28"/>
              </w:rPr>
            </w:pPr>
            <w:r>
              <w:rPr>
                <w:sz w:val="28"/>
                <w:szCs w:val="28"/>
              </w:rPr>
              <w:t>Примечание: Категориальные данные представлены как абсолютные значения и проценты — n (%). Количественные данные представлены как Me [Q1; Q3]. * p &lt; 0,05, ** p &lt; 0,01, *** p &lt; 0,001.</w:t>
            </w:r>
            <w:r>
              <w:rPr>
                <w:spacing w:val="-5"/>
                <w:sz w:val="28"/>
                <w:szCs w:val="28"/>
              </w:rPr>
              <w:t xml:space="preserve"> </w:t>
            </w:r>
            <w:r>
              <w:rPr>
                <w:sz w:val="28"/>
                <w:szCs w:val="28"/>
              </w:rPr>
              <w:t>Для</w:t>
            </w:r>
            <w:r>
              <w:rPr>
                <w:spacing w:val="-4"/>
                <w:sz w:val="28"/>
                <w:szCs w:val="28"/>
              </w:rPr>
              <w:t xml:space="preserve"> </w:t>
            </w:r>
            <w:r>
              <w:rPr>
                <w:sz w:val="28"/>
                <w:szCs w:val="28"/>
              </w:rPr>
              <w:t>сравнения</w:t>
            </w:r>
            <w:r>
              <w:rPr>
                <w:spacing w:val="-3"/>
                <w:sz w:val="28"/>
                <w:szCs w:val="28"/>
              </w:rPr>
              <w:t xml:space="preserve"> </w:t>
            </w:r>
            <w:r>
              <w:rPr>
                <w:sz w:val="28"/>
                <w:szCs w:val="28"/>
              </w:rPr>
              <w:t>категориальных</w:t>
            </w:r>
            <w:r>
              <w:rPr>
                <w:spacing w:val="-8"/>
                <w:sz w:val="28"/>
                <w:szCs w:val="28"/>
              </w:rPr>
              <w:t xml:space="preserve"> </w:t>
            </w:r>
            <w:r>
              <w:rPr>
                <w:sz w:val="28"/>
                <w:szCs w:val="28"/>
              </w:rPr>
              <w:t>показателей</w:t>
            </w:r>
            <w:r>
              <w:rPr>
                <w:spacing w:val="-2"/>
                <w:sz w:val="28"/>
                <w:szCs w:val="28"/>
              </w:rPr>
              <w:t xml:space="preserve"> </w:t>
            </w:r>
            <w:r>
              <w:rPr>
                <w:sz w:val="28"/>
                <w:szCs w:val="28"/>
              </w:rPr>
              <w:t>между</w:t>
            </w:r>
            <w:r>
              <w:rPr>
                <w:spacing w:val="-12"/>
                <w:sz w:val="28"/>
                <w:szCs w:val="28"/>
              </w:rPr>
              <w:t xml:space="preserve"> </w:t>
            </w:r>
            <w:r>
              <w:rPr>
                <w:sz w:val="28"/>
                <w:szCs w:val="28"/>
              </w:rPr>
              <w:t>тремя</w:t>
            </w:r>
            <w:r>
              <w:rPr>
                <w:spacing w:val="-3"/>
                <w:sz w:val="28"/>
                <w:szCs w:val="28"/>
              </w:rPr>
              <w:t xml:space="preserve"> </w:t>
            </w:r>
            <w:r>
              <w:rPr>
                <w:sz w:val="28"/>
                <w:szCs w:val="28"/>
              </w:rPr>
              <w:t>группами</w:t>
            </w:r>
            <w:r>
              <w:rPr>
                <w:spacing w:val="-2"/>
                <w:sz w:val="28"/>
                <w:szCs w:val="28"/>
              </w:rPr>
              <w:t xml:space="preserve"> </w:t>
            </w:r>
            <w:r>
              <w:rPr>
                <w:sz w:val="28"/>
                <w:szCs w:val="28"/>
              </w:rPr>
              <w:t>использован тест отношения правдоподобия (G-критерий, аналог χ²) для таблиц 3×2 (и 3×3 для</w:t>
            </w:r>
          </w:p>
          <w:p w14:paraId="2F36FB1A">
            <w:pPr>
              <w:pStyle w:val="11"/>
              <w:spacing w:line="278" w:lineRule="exact"/>
              <w:ind w:left="110" w:right="54"/>
              <w:jc w:val="left"/>
              <w:rPr>
                <w:sz w:val="28"/>
                <w:szCs w:val="28"/>
              </w:rPr>
            </w:pPr>
            <w:r>
              <w:rPr>
                <w:sz w:val="28"/>
                <w:szCs w:val="28"/>
              </w:rPr>
              <w:t>распределения</w:t>
            </w:r>
            <w:r>
              <w:rPr>
                <w:spacing w:val="-6"/>
                <w:sz w:val="28"/>
                <w:szCs w:val="28"/>
              </w:rPr>
              <w:t xml:space="preserve"> </w:t>
            </w:r>
            <w:r>
              <w:rPr>
                <w:sz w:val="28"/>
                <w:szCs w:val="28"/>
              </w:rPr>
              <w:t>ПС</w:t>
            </w:r>
            <w:r>
              <w:rPr>
                <w:spacing w:val="-7"/>
                <w:sz w:val="28"/>
                <w:szCs w:val="28"/>
              </w:rPr>
              <w:t xml:space="preserve"> </w:t>
            </w:r>
            <w:r>
              <w:rPr>
                <w:sz w:val="28"/>
                <w:szCs w:val="28"/>
              </w:rPr>
              <w:t>по</w:t>
            </w:r>
            <w:r>
              <w:rPr>
                <w:spacing w:val="-6"/>
                <w:sz w:val="28"/>
                <w:szCs w:val="28"/>
              </w:rPr>
              <w:t xml:space="preserve"> </w:t>
            </w:r>
            <w:r>
              <w:rPr>
                <w:sz w:val="28"/>
                <w:szCs w:val="28"/>
              </w:rPr>
              <w:t>степеням</w:t>
            </w:r>
            <w:r>
              <w:rPr>
                <w:spacing w:val="-8"/>
                <w:sz w:val="28"/>
                <w:szCs w:val="28"/>
              </w:rPr>
              <w:t xml:space="preserve"> </w:t>
            </w:r>
            <w:r>
              <w:rPr>
                <w:sz w:val="28"/>
                <w:szCs w:val="28"/>
              </w:rPr>
              <w:t>A/B/C).</w:t>
            </w:r>
            <w:r>
              <w:rPr>
                <w:spacing w:val="-4"/>
                <w:sz w:val="28"/>
                <w:szCs w:val="28"/>
              </w:rPr>
              <w:t xml:space="preserve"> </w:t>
            </w:r>
            <w:r>
              <w:rPr>
                <w:sz w:val="28"/>
                <w:szCs w:val="28"/>
              </w:rPr>
              <w:t>Для</w:t>
            </w:r>
            <w:r>
              <w:rPr>
                <w:spacing w:val="-6"/>
                <w:sz w:val="28"/>
                <w:szCs w:val="28"/>
              </w:rPr>
              <w:t xml:space="preserve"> </w:t>
            </w:r>
            <w:r>
              <w:rPr>
                <w:sz w:val="28"/>
                <w:szCs w:val="28"/>
              </w:rPr>
              <w:t>сравнения</w:t>
            </w:r>
            <w:r>
              <w:rPr>
                <w:spacing w:val="-6"/>
                <w:sz w:val="28"/>
                <w:szCs w:val="28"/>
              </w:rPr>
              <w:t xml:space="preserve"> </w:t>
            </w:r>
            <w:r>
              <w:rPr>
                <w:sz w:val="28"/>
                <w:szCs w:val="28"/>
              </w:rPr>
              <w:t>количественного</w:t>
            </w:r>
            <w:r>
              <w:rPr>
                <w:spacing w:val="-6"/>
                <w:sz w:val="28"/>
                <w:szCs w:val="28"/>
              </w:rPr>
              <w:t xml:space="preserve"> </w:t>
            </w:r>
            <w:r>
              <w:rPr>
                <w:sz w:val="28"/>
                <w:szCs w:val="28"/>
              </w:rPr>
              <w:t>показателя применён тест Крускала–Уоллиса.</w:t>
            </w:r>
          </w:p>
        </w:tc>
      </w:tr>
    </w:tbl>
    <w:p w14:paraId="4E1B0C98">
      <w:pPr>
        <w:pStyle w:val="7"/>
        <w:ind w:left="0" w:right="3" w:firstLine="709"/>
        <w:rPr>
          <w:lang w:val="kk-KZ"/>
        </w:rPr>
      </w:pPr>
    </w:p>
    <w:p w14:paraId="5AB475B9">
      <w:pPr>
        <w:pStyle w:val="7"/>
        <w:ind w:left="0" w:right="3" w:firstLine="709"/>
      </w:pPr>
      <w:r>
        <w:t>Кроме того, отмечены значимые различия по длительности госпитализации, частоте повторных вмешательств и госпитальной летальности связанные со свищем, которые были ниже в группах с модифицированными вариантами ПЕА, что свидетельствует о потенциальных клинических преимуществах усовершенствованных техник у пациентов с мягкой ПЖ.</w:t>
      </w:r>
    </w:p>
    <w:p w14:paraId="5815335D">
      <w:pPr>
        <w:pStyle w:val="7"/>
        <w:ind w:left="0" w:right="3" w:firstLine="709"/>
      </w:pPr>
      <w:r>
        <w:t xml:space="preserve">В сравнительном анализе послеоперационных результатов после ГПДР у пациентов с мягкой ПЖ в зависимости от варианта наложения ПЕА выявлены сопоставимые показатели большинства осложнений при тенденции к более благоприятным клиническим исходам в группе модифицированного ПЕА </w:t>
      </w:r>
      <w:r>
        <w:rPr>
          <w:spacing w:val="-2"/>
        </w:rPr>
        <w:t>(табл.33).</w:t>
      </w:r>
    </w:p>
    <w:p w14:paraId="3DB89C05">
      <w:pPr>
        <w:pStyle w:val="7"/>
        <w:ind w:left="0" w:right="3" w:firstLine="709"/>
      </w:pPr>
      <w:r>
        <w:t>Таблица 33 отражает сравнительную структуру послеоперационных результатов</w:t>
      </w:r>
      <w:r>
        <w:rPr>
          <w:spacing w:val="-16"/>
        </w:rPr>
        <w:t xml:space="preserve"> </w:t>
      </w:r>
      <w:r>
        <w:t>после</w:t>
      </w:r>
      <w:r>
        <w:rPr>
          <w:spacing w:val="-14"/>
        </w:rPr>
        <w:t xml:space="preserve"> </w:t>
      </w:r>
      <w:r>
        <w:t>ГПДР</w:t>
      </w:r>
      <w:r>
        <w:rPr>
          <w:spacing w:val="-15"/>
        </w:rPr>
        <w:t xml:space="preserve"> </w:t>
      </w:r>
      <w:r>
        <w:t>у</w:t>
      </w:r>
      <w:r>
        <w:rPr>
          <w:spacing w:val="-18"/>
        </w:rPr>
        <w:t xml:space="preserve"> </w:t>
      </w:r>
      <w:r>
        <w:t>пациентов</w:t>
      </w:r>
      <w:r>
        <w:rPr>
          <w:spacing w:val="-16"/>
        </w:rPr>
        <w:t xml:space="preserve"> </w:t>
      </w:r>
      <w:r>
        <w:t>с</w:t>
      </w:r>
      <w:r>
        <w:rPr>
          <w:spacing w:val="-14"/>
        </w:rPr>
        <w:t xml:space="preserve"> </w:t>
      </w:r>
      <w:r>
        <w:t>мягкой</w:t>
      </w:r>
      <w:r>
        <w:rPr>
          <w:spacing w:val="-15"/>
        </w:rPr>
        <w:t xml:space="preserve"> </w:t>
      </w:r>
      <w:r>
        <w:t>консистенцией</w:t>
      </w:r>
      <w:r>
        <w:rPr>
          <w:spacing w:val="-15"/>
        </w:rPr>
        <w:t xml:space="preserve"> </w:t>
      </w:r>
      <w:r>
        <w:t>ПЖ</w:t>
      </w:r>
      <w:r>
        <w:rPr>
          <w:spacing w:val="-15"/>
        </w:rPr>
        <w:t xml:space="preserve"> </w:t>
      </w:r>
      <w:r>
        <w:t>в</w:t>
      </w:r>
      <w:r>
        <w:rPr>
          <w:spacing w:val="-16"/>
        </w:rPr>
        <w:t xml:space="preserve"> </w:t>
      </w:r>
      <w:r>
        <w:t>зависимости от типа ПЕА: стандартный (контрольная группа, n=92), модифицированный (основная группа, n=71) и инвагинационный (n=36).</w:t>
      </w:r>
    </w:p>
    <w:p w14:paraId="6E46394A">
      <w:pPr>
        <w:pStyle w:val="7"/>
        <w:spacing w:before="3"/>
        <w:ind w:left="0" w:right="3" w:firstLine="709"/>
      </w:pPr>
      <w:r>
        <w:t>Частота тяжёлых осложнений (≥III степени по Clavien–Dindo) статистически не различалась между группами (p=0,479), однако наименьшая доля данных осложнений отмечена в основной группе (11,2%) по сравнению с контрольной (16,3%) и инвагинационной (19,5%).</w:t>
      </w:r>
    </w:p>
    <w:p w14:paraId="1710C50B">
      <w:pPr>
        <w:pStyle w:val="7"/>
        <w:ind w:left="0" w:right="3" w:firstLine="709"/>
      </w:pPr>
      <w:r>
        <w:t>Раневая инфекция и послеоперационное кровотечение встречались с сопоставимой частотой во всех группах (p&gt;0,05), что указывает на отсутствие влияния типа ПЕА на неспецифические осложнения.</w:t>
      </w:r>
    </w:p>
    <w:p w14:paraId="796405E4">
      <w:pPr>
        <w:pStyle w:val="7"/>
        <w:ind w:left="0" w:right="3" w:firstLine="709"/>
      </w:pPr>
      <w:r>
        <w:t>Наиболее выраженные различия выявлены в структуре ПС. Распределение ПС по степеням (A/B/C) демонстрировало тенденцию к более благоприятному профилю в основной группе (p=0,097): доля тяжёлых форм (C) составила 2,8% против 12,0% в контрольной и 13,9% в инвагинационной группе. Частота клинически</w:t>
      </w:r>
      <w:r>
        <w:rPr>
          <w:spacing w:val="-4"/>
        </w:rPr>
        <w:t xml:space="preserve"> </w:t>
      </w:r>
      <w:r>
        <w:t>значимых</w:t>
      </w:r>
      <w:r>
        <w:rPr>
          <w:spacing w:val="-3"/>
        </w:rPr>
        <w:t xml:space="preserve"> </w:t>
      </w:r>
      <w:r>
        <w:t>ПС</w:t>
      </w:r>
      <w:r>
        <w:rPr>
          <w:spacing w:val="-2"/>
        </w:rPr>
        <w:t xml:space="preserve"> </w:t>
      </w:r>
      <w:r>
        <w:t>была</w:t>
      </w:r>
      <w:r>
        <w:rPr>
          <w:spacing w:val="-2"/>
        </w:rPr>
        <w:t xml:space="preserve"> </w:t>
      </w:r>
      <w:r>
        <w:t>статистически</w:t>
      </w:r>
      <w:r>
        <w:rPr>
          <w:spacing w:val="-3"/>
        </w:rPr>
        <w:t xml:space="preserve"> </w:t>
      </w:r>
      <w:r>
        <w:t>значимо</w:t>
      </w:r>
      <w:r>
        <w:rPr>
          <w:spacing w:val="-3"/>
        </w:rPr>
        <w:t xml:space="preserve"> </w:t>
      </w:r>
      <w:r>
        <w:t>ниже</w:t>
      </w:r>
      <w:r>
        <w:rPr>
          <w:spacing w:val="-3"/>
        </w:rPr>
        <w:t xml:space="preserve"> </w:t>
      </w:r>
      <w:r>
        <w:t>в</w:t>
      </w:r>
      <w:r>
        <w:rPr>
          <w:spacing w:val="-5"/>
        </w:rPr>
        <w:t xml:space="preserve"> </w:t>
      </w:r>
      <w:r>
        <w:t>основной</w:t>
      </w:r>
      <w:r>
        <w:rPr>
          <w:spacing w:val="-3"/>
        </w:rPr>
        <w:t xml:space="preserve"> </w:t>
      </w:r>
      <w:r>
        <w:rPr>
          <w:spacing w:val="-2"/>
        </w:rPr>
        <w:t>группе</w:t>
      </w:r>
    </w:p>
    <w:p w14:paraId="0D43064D">
      <w:pPr>
        <w:pStyle w:val="7"/>
        <w:spacing w:before="2"/>
        <w:ind w:left="0" w:right="3" w:firstLine="709"/>
      </w:pPr>
      <w:r>
        <w:t xml:space="preserve">— 26,7% против 51,0% в контрольной и 30,6% при инвагинационном ПЕА </w:t>
      </w:r>
      <w:r>
        <w:rPr>
          <w:spacing w:val="-2"/>
        </w:rPr>
        <w:t>(p=0,004).</w:t>
      </w:r>
    </w:p>
    <w:p w14:paraId="5F555EDC">
      <w:pPr>
        <w:pStyle w:val="7"/>
        <w:ind w:left="0" w:right="3" w:firstLine="709"/>
      </w:pPr>
      <w:r>
        <w:t>Частота</w:t>
      </w:r>
      <w:r>
        <w:rPr>
          <w:spacing w:val="-9"/>
        </w:rPr>
        <w:t xml:space="preserve"> </w:t>
      </w:r>
      <w:r>
        <w:t>релапаротомий</w:t>
      </w:r>
      <w:r>
        <w:rPr>
          <w:spacing w:val="-9"/>
        </w:rPr>
        <w:t xml:space="preserve"> </w:t>
      </w:r>
      <w:r>
        <w:t>достоверно</w:t>
      </w:r>
      <w:r>
        <w:rPr>
          <w:spacing w:val="-9"/>
        </w:rPr>
        <w:t xml:space="preserve"> </w:t>
      </w:r>
      <w:r>
        <w:t>различалась</w:t>
      </w:r>
      <w:r>
        <w:rPr>
          <w:spacing w:val="-11"/>
        </w:rPr>
        <w:t xml:space="preserve"> </w:t>
      </w:r>
      <w:r>
        <w:t>между</w:t>
      </w:r>
      <w:r>
        <w:rPr>
          <w:spacing w:val="-13"/>
        </w:rPr>
        <w:t xml:space="preserve"> </w:t>
      </w:r>
      <w:r>
        <w:t>группами</w:t>
      </w:r>
      <w:r>
        <w:rPr>
          <w:spacing w:val="-9"/>
        </w:rPr>
        <w:t xml:space="preserve"> </w:t>
      </w:r>
      <w:r>
        <w:t>(p=0,030): в</w:t>
      </w:r>
      <w:r>
        <w:rPr>
          <w:spacing w:val="-5"/>
        </w:rPr>
        <w:t xml:space="preserve"> </w:t>
      </w:r>
      <w:r>
        <w:t>основной</w:t>
      </w:r>
      <w:r>
        <w:rPr>
          <w:spacing w:val="-4"/>
        </w:rPr>
        <w:t xml:space="preserve"> </w:t>
      </w:r>
      <w:r>
        <w:t>группе</w:t>
      </w:r>
      <w:r>
        <w:rPr>
          <w:spacing w:val="-3"/>
        </w:rPr>
        <w:t xml:space="preserve"> </w:t>
      </w:r>
      <w:r>
        <w:t>данный</w:t>
      </w:r>
      <w:r>
        <w:rPr>
          <w:spacing w:val="-4"/>
        </w:rPr>
        <w:t xml:space="preserve"> </w:t>
      </w:r>
      <w:r>
        <w:t>показатель</w:t>
      </w:r>
      <w:r>
        <w:rPr>
          <w:spacing w:val="-6"/>
        </w:rPr>
        <w:t xml:space="preserve"> </w:t>
      </w:r>
      <w:r>
        <w:t>был</w:t>
      </w:r>
      <w:r>
        <w:rPr>
          <w:spacing w:val="-3"/>
        </w:rPr>
        <w:t xml:space="preserve"> </w:t>
      </w:r>
      <w:r>
        <w:t>минимальным —</w:t>
      </w:r>
      <w:r>
        <w:rPr>
          <w:spacing w:val="-3"/>
        </w:rPr>
        <w:t xml:space="preserve"> </w:t>
      </w:r>
      <w:r>
        <w:t>1,4%</w:t>
      </w:r>
      <w:r>
        <w:rPr>
          <w:spacing w:val="-5"/>
        </w:rPr>
        <w:t xml:space="preserve"> </w:t>
      </w:r>
      <w:r>
        <w:t>против</w:t>
      </w:r>
      <w:r>
        <w:rPr>
          <w:spacing w:val="-6"/>
        </w:rPr>
        <w:t xml:space="preserve"> </w:t>
      </w:r>
      <w:r>
        <w:t>6,5%</w:t>
      </w:r>
      <w:r>
        <w:rPr>
          <w:spacing w:val="-5"/>
        </w:rPr>
        <w:t xml:space="preserve"> </w:t>
      </w:r>
      <w:r>
        <w:t>в контрольной и 13,9% в инвагинационной группе. Аналогичная тенденция отмечена для релапаротомий, связанных со свищем.</w:t>
      </w:r>
    </w:p>
    <w:p w14:paraId="6925022C">
      <w:pPr>
        <w:pStyle w:val="7"/>
        <w:ind w:left="0" w:right="3" w:firstLine="709"/>
      </w:pPr>
      <w:r>
        <w:t>Госпитальная летальность также была статистически ниже в основной группе (2,8%) по сравнению с контрольной (8,7%) и инвагинационной (16,7%) (p=0,042). Летальность, ассоциированная со свищем, чаще регистрировалась в инвагинационной группе.</w:t>
      </w:r>
    </w:p>
    <w:p w14:paraId="4BD15389">
      <w:pPr>
        <w:pStyle w:val="7"/>
        <w:ind w:left="0" w:right="3" w:firstLine="709"/>
      </w:pPr>
      <w:r>
        <w:t>Показатель</w:t>
      </w:r>
      <w:r>
        <w:rPr>
          <w:spacing w:val="-4"/>
        </w:rPr>
        <w:t xml:space="preserve"> </w:t>
      </w:r>
      <w:r>
        <w:t>длительности</w:t>
      </w:r>
      <w:r>
        <w:rPr>
          <w:spacing w:val="-3"/>
        </w:rPr>
        <w:t xml:space="preserve"> </w:t>
      </w:r>
      <w:r>
        <w:t>госпитализации</w:t>
      </w:r>
      <w:r>
        <w:rPr>
          <w:spacing w:val="-3"/>
        </w:rPr>
        <w:t xml:space="preserve"> </w:t>
      </w:r>
      <w:r>
        <w:t>статистически</w:t>
      </w:r>
      <w:r>
        <w:rPr>
          <w:spacing w:val="-3"/>
        </w:rPr>
        <w:t xml:space="preserve"> </w:t>
      </w:r>
      <w:r>
        <w:t>различался</w:t>
      </w:r>
      <w:r>
        <w:rPr>
          <w:spacing w:val="-2"/>
        </w:rPr>
        <w:t xml:space="preserve"> </w:t>
      </w:r>
      <w:r>
        <w:t>между группами (p=0,003): в основной группе медиана составила 16 суток, тогда как в контрольной — 21 сутки, а в инвагинационной — 22 суток, что отражает более благоприятное течение послеоперационного периода.</w:t>
      </w:r>
    </w:p>
    <w:p w14:paraId="387E8AC8">
      <w:pPr>
        <w:pStyle w:val="7"/>
        <w:tabs>
          <w:tab w:val="left" w:pos="4536"/>
        </w:tabs>
        <w:spacing w:before="67"/>
        <w:ind w:left="0" w:right="3" w:firstLine="709"/>
      </w:pPr>
      <w:r>
        <w:t>Таким</w:t>
      </w:r>
      <w:r>
        <w:rPr>
          <w:spacing w:val="-4"/>
        </w:rPr>
        <w:t xml:space="preserve"> </w:t>
      </w:r>
      <w:r>
        <w:t>образом,</w:t>
      </w:r>
      <w:r>
        <w:rPr>
          <w:spacing w:val="-3"/>
        </w:rPr>
        <w:t xml:space="preserve"> </w:t>
      </w:r>
      <w:r>
        <w:t>у</w:t>
      </w:r>
      <w:r>
        <w:rPr>
          <w:spacing w:val="-9"/>
        </w:rPr>
        <w:t xml:space="preserve"> </w:t>
      </w:r>
      <w:r>
        <w:t>пациентов</w:t>
      </w:r>
      <w:r>
        <w:rPr>
          <w:spacing w:val="-6"/>
        </w:rPr>
        <w:t xml:space="preserve"> </w:t>
      </w:r>
      <w:r>
        <w:t>с</w:t>
      </w:r>
      <w:r>
        <w:rPr>
          <w:spacing w:val="-4"/>
        </w:rPr>
        <w:t xml:space="preserve"> </w:t>
      </w:r>
      <w:r>
        <w:t>мягкой</w:t>
      </w:r>
      <w:r>
        <w:rPr>
          <w:spacing w:val="-5"/>
        </w:rPr>
        <w:t xml:space="preserve"> </w:t>
      </w:r>
      <w:r>
        <w:t>ПЖ</w:t>
      </w:r>
      <w:r>
        <w:rPr>
          <w:spacing w:val="-5"/>
        </w:rPr>
        <w:t xml:space="preserve"> </w:t>
      </w:r>
      <w:r>
        <w:t>применение</w:t>
      </w:r>
      <w:r>
        <w:rPr>
          <w:spacing w:val="-4"/>
        </w:rPr>
        <w:t xml:space="preserve"> </w:t>
      </w:r>
      <w:r>
        <w:t>модифицированного ПЕА в основной группе ассоциировано с достоверным снижением частоты КЗ- ПС, релапаротомий, госпитальной летальности и продолжительности госпитализации при сопоставимом уровне неспецифических осложнений, что свидетельствует о выраженном клиническом преимуществе данной реконструктивной методики по сравнению как со стандартным, так и с инвагинационным вариантом ПЕА.</w:t>
      </w:r>
    </w:p>
    <w:p w14:paraId="699EF697">
      <w:pPr>
        <w:pStyle w:val="7"/>
        <w:spacing w:before="3"/>
        <w:ind w:left="0" w:right="3" w:firstLine="709"/>
      </w:pPr>
      <w:r>
        <w:t>Резюмируя раздел 3.5, показано, что группы стандартного и модифицированного ПЕА были сопоставимы по ключевым морфологическим характеристикам,</w:t>
      </w:r>
      <w:r>
        <w:rPr>
          <w:spacing w:val="-4"/>
        </w:rPr>
        <w:t xml:space="preserve"> </w:t>
      </w:r>
      <w:r>
        <w:t>включая</w:t>
      </w:r>
      <w:r>
        <w:rPr>
          <w:spacing w:val="-5"/>
        </w:rPr>
        <w:t xml:space="preserve"> </w:t>
      </w:r>
      <w:r>
        <w:t>консистенцию</w:t>
      </w:r>
      <w:r>
        <w:rPr>
          <w:spacing w:val="-8"/>
        </w:rPr>
        <w:t xml:space="preserve"> </w:t>
      </w:r>
      <w:r>
        <w:t>ПЖ</w:t>
      </w:r>
      <w:r>
        <w:rPr>
          <w:spacing w:val="-7"/>
        </w:rPr>
        <w:t xml:space="preserve"> </w:t>
      </w:r>
      <w:r>
        <w:t>и</w:t>
      </w:r>
      <w:r>
        <w:rPr>
          <w:spacing w:val="-7"/>
        </w:rPr>
        <w:t xml:space="preserve"> </w:t>
      </w:r>
      <w:r>
        <w:t>локализацию</w:t>
      </w:r>
      <w:r>
        <w:rPr>
          <w:spacing w:val="-8"/>
        </w:rPr>
        <w:t xml:space="preserve"> </w:t>
      </w:r>
      <w:r>
        <w:t>опухоли,</w:t>
      </w:r>
      <w:r>
        <w:rPr>
          <w:spacing w:val="-4"/>
        </w:rPr>
        <w:t xml:space="preserve"> </w:t>
      </w:r>
      <w:r>
        <w:t>при</w:t>
      </w:r>
      <w:r>
        <w:rPr>
          <w:spacing w:val="-7"/>
        </w:rPr>
        <w:t xml:space="preserve"> </w:t>
      </w:r>
      <w:r>
        <w:t>этом в группе модифицированного анастомоза преобладали пациенты с неблагоприятными</w:t>
      </w:r>
      <w:r>
        <w:rPr>
          <w:spacing w:val="-18"/>
        </w:rPr>
        <w:t xml:space="preserve"> </w:t>
      </w:r>
      <w:r>
        <w:t>анатомическими</w:t>
      </w:r>
      <w:r>
        <w:rPr>
          <w:spacing w:val="-17"/>
        </w:rPr>
        <w:t xml:space="preserve"> </w:t>
      </w:r>
      <w:r>
        <w:t>факторами</w:t>
      </w:r>
      <w:r>
        <w:rPr>
          <w:spacing w:val="-18"/>
        </w:rPr>
        <w:t xml:space="preserve"> </w:t>
      </w:r>
      <w:r>
        <w:t>риска,</w:t>
      </w:r>
      <w:r>
        <w:rPr>
          <w:spacing w:val="-17"/>
        </w:rPr>
        <w:t xml:space="preserve"> </w:t>
      </w:r>
      <w:r>
        <w:t>прежде</w:t>
      </w:r>
      <w:r>
        <w:rPr>
          <w:spacing w:val="-18"/>
        </w:rPr>
        <w:t xml:space="preserve"> </w:t>
      </w:r>
      <w:r>
        <w:t>всего</w:t>
      </w:r>
      <w:r>
        <w:rPr>
          <w:spacing w:val="-17"/>
        </w:rPr>
        <w:t xml:space="preserve"> </w:t>
      </w:r>
      <w:r>
        <w:t>с</w:t>
      </w:r>
      <w:r>
        <w:rPr>
          <w:spacing w:val="-18"/>
        </w:rPr>
        <w:t xml:space="preserve"> </w:t>
      </w:r>
      <w:r>
        <w:t>диаметром ПП ≤5 мм. Несмотря на более сложный клинико-интраоперационный профиль, при модифицированном ПЕА отмечались меньшая интраоперационная кровопотеря и существенно более короткая госпитализация.</w:t>
      </w:r>
    </w:p>
    <w:p w14:paraId="1266FA31">
      <w:pPr>
        <w:pStyle w:val="7"/>
        <w:ind w:left="0" w:right="3" w:firstLine="709"/>
      </w:pPr>
      <w:r>
        <w:t xml:space="preserve">Модифицированная техника сопровождалась выраженным снижением частоты ПС (48,6% → 23,4%), клинически значимых форм (29,0% → 15,6%) и свищей степени C (6,2% → 1,4%). Одновременно отмечено достоверное уменьшение общей частоты осложнений, релапаротомий и госпитальной летальности при сопоставимом уровне неспецифических осложнений. Многофакторный анализ подтвердил, что тип ПЕА является независимым </w:t>
      </w:r>
      <w:r>
        <w:rPr>
          <w:spacing w:val="-2"/>
        </w:rPr>
        <w:t>предиктором</w:t>
      </w:r>
      <w:r>
        <w:rPr>
          <w:spacing w:val="-4"/>
        </w:rPr>
        <w:t xml:space="preserve"> </w:t>
      </w:r>
      <w:r>
        <w:rPr>
          <w:spacing w:val="-2"/>
        </w:rPr>
        <w:t>КЗ-ПС:</w:t>
      </w:r>
      <w:r>
        <w:rPr>
          <w:spacing w:val="-6"/>
        </w:rPr>
        <w:t xml:space="preserve"> </w:t>
      </w:r>
      <w:r>
        <w:rPr>
          <w:spacing w:val="-2"/>
        </w:rPr>
        <w:t>выполнение</w:t>
      </w:r>
      <w:r>
        <w:rPr>
          <w:spacing w:val="-5"/>
        </w:rPr>
        <w:t xml:space="preserve"> </w:t>
      </w:r>
      <w:r>
        <w:rPr>
          <w:spacing w:val="-2"/>
        </w:rPr>
        <w:t>стандартного</w:t>
      </w:r>
      <w:r>
        <w:rPr>
          <w:spacing w:val="-6"/>
        </w:rPr>
        <w:t xml:space="preserve"> </w:t>
      </w:r>
      <w:r>
        <w:rPr>
          <w:spacing w:val="-2"/>
        </w:rPr>
        <w:t>анастомоза увеличивало</w:t>
      </w:r>
      <w:r>
        <w:rPr>
          <w:spacing w:val="-5"/>
        </w:rPr>
        <w:t xml:space="preserve"> </w:t>
      </w:r>
      <w:r>
        <w:rPr>
          <w:spacing w:val="-2"/>
        </w:rPr>
        <w:t>риск</w:t>
      </w:r>
      <w:r>
        <w:rPr>
          <w:spacing w:val="-6"/>
        </w:rPr>
        <w:t xml:space="preserve"> </w:t>
      </w:r>
      <w:r>
        <w:rPr>
          <w:spacing w:val="-2"/>
        </w:rPr>
        <w:t xml:space="preserve">его </w:t>
      </w:r>
      <w:r>
        <w:t>развития более чем в 3 раза.</w:t>
      </w:r>
    </w:p>
    <w:p w14:paraId="1398DC88">
      <w:pPr>
        <w:pStyle w:val="7"/>
        <w:spacing w:before="1"/>
        <w:ind w:left="0" w:right="3" w:firstLine="709"/>
      </w:pPr>
      <w:r>
        <w:t>Наиболее выраженный клинический эффект модифицированного ПЕА выявлен у пациентов группы высокого риска (мягкая железа, ПП ≤5 мм), где наблюдалось почти двукратное снижение частоты ПС, уменьшение повторных операций и летальности, а также сокращение сроков госпитализации. Полученные данные подтверждают, что модифицированный протоково- слизистый ПЕА обеспечивает более безопасное течение послеоперационного периода и должен рассматриваться как предпочтительный вариант реконструкции при выполнении ГПДР у пациентов с неблагоприятными анатомо-тканевыми характеристиками.</w:t>
      </w:r>
    </w:p>
    <w:p w14:paraId="6A50FFC1">
      <w:pPr>
        <w:pStyle w:val="7"/>
        <w:spacing w:before="6"/>
        <w:ind w:left="0" w:right="3" w:firstLine="709"/>
        <w:jc w:val="left"/>
      </w:pPr>
    </w:p>
    <w:p w14:paraId="407091B7">
      <w:pPr>
        <w:pStyle w:val="3"/>
        <w:numPr>
          <w:ilvl w:val="1"/>
          <w:numId w:val="8"/>
        </w:numPr>
        <w:tabs>
          <w:tab w:val="left" w:pos="1431"/>
        </w:tabs>
        <w:ind w:left="0" w:right="3" w:firstLine="709"/>
      </w:pPr>
      <w:r>
        <w:t>Алгоритм профилактики и лечения ПС после ГПДР при опухолях периампулярной зоны</w:t>
      </w:r>
    </w:p>
    <w:p w14:paraId="3992E3F6">
      <w:pPr>
        <w:pStyle w:val="7"/>
        <w:ind w:left="0" w:right="3" w:firstLine="709"/>
      </w:pPr>
      <w:r>
        <w:t>Частота</w:t>
      </w:r>
      <w:r>
        <w:rPr>
          <w:spacing w:val="-10"/>
        </w:rPr>
        <w:t xml:space="preserve"> </w:t>
      </w:r>
      <w:r>
        <w:t>ПС</w:t>
      </w:r>
      <w:r>
        <w:rPr>
          <w:spacing w:val="-9"/>
        </w:rPr>
        <w:t xml:space="preserve"> </w:t>
      </w:r>
      <w:r>
        <w:t>существенно</w:t>
      </w:r>
      <w:r>
        <w:rPr>
          <w:spacing w:val="-11"/>
        </w:rPr>
        <w:t xml:space="preserve"> </w:t>
      </w:r>
      <w:r>
        <w:t>зависит</w:t>
      </w:r>
      <w:r>
        <w:rPr>
          <w:spacing w:val="-12"/>
        </w:rPr>
        <w:t xml:space="preserve"> </w:t>
      </w:r>
      <w:r>
        <w:t>от</w:t>
      </w:r>
      <w:r>
        <w:rPr>
          <w:spacing w:val="-12"/>
        </w:rPr>
        <w:t xml:space="preserve"> </w:t>
      </w:r>
      <w:r>
        <w:t>тканевых</w:t>
      </w:r>
      <w:r>
        <w:rPr>
          <w:spacing w:val="-14"/>
        </w:rPr>
        <w:t xml:space="preserve"> </w:t>
      </w:r>
      <w:r>
        <w:t>и</w:t>
      </w:r>
      <w:r>
        <w:rPr>
          <w:spacing w:val="-10"/>
        </w:rPr>
        <w:t xml:space="preserve"> </w:t>
      </w:r>
      <w:r>
        <w:t>анатомических</w:t>
      </w:r>
      <w:r>
        <w:rPr>
          <w:spacing w:val="-14"/>
        </w:rPr>
        <w:t xml:space="preserve"> </w:t>
      </w:r>
      <w:r>
        <w:t>факторов.</w:t>
      </w:r>
      <w:r>
        <w:rPr>
          <w:spacing w:val="-8"/>
        </w:rPr>
        <w:t xml:space="preserve"> </w:t>
      </w:r>
      <w:r>
        <w:t>У пациентов</w:t>
      </w:r>
      <w:r>
        <w:rPr>
          <w:spacing w:val="-18"/>
        </w:rPr>
        <w:t xml:space="preserve"> </w:t>
      </w:r>
      <w:r>
        <w:t>с</w:t>
      </w:r>
      <w:r>
        <w:rPr>
          <w:spacing w:val="-17"/>
        </w:rPr>
        <w:t xml:space="preserve"> </w:t>
      </w:r>
      <w:r>
        <w:t>мягкой</w:t>
      </w:r>
      <w:r>
        <w:rPr>
          <w:spacing w:val="-18"/>
        </w:rPr>
        <w:t xml:space="preserve"> </w:t>
      </w:r>
      <w:r>
        <w:t>консистенцией</w:t>
      </w:r>
      <w:r>
        <w:rPr>
          <w:spacing w:val="-14"/>
        </w:rPr>
        <w:t xml:space="preserve"> </w:t>
      </w:r>
      <w:r>
        <w:t>ПЖ</w:t>
      </w:r>
      <w:r>
        <w:rPr>
          <w:spacing w:val="-11"/>
        </w:rPr>
        <w:t xml:space="preserve"> </w:t>
      </w:r>
      <w:r>
        <w:t>и</w:t>
      </w:r>
      <w:r>
        <w:rPr>
          <w:spacing w:val="-14"/>
        </w:rPr>
        <w:t xml:space="preserve"> </w:t>
      </w:r>
      <w:r>
        <w:t>маленьким</w:t>
      </w:r>
      <w:r>
        <w:rPr>
          <w:spacing w:val="-17"/>
        </w:rPr>
        <w:t xml:space="preserve"> </w:t>
      </w:r>
      <w:r>
        <w:t>диаметром</w:t>
      </w:r>
      <w:r>
        <w:rPr>
          <w:spacing w:val="-13"/>
        </w:rPr>
        <w:t xml:space="preserve"> </w:t>
      </w:r>
      <w:r>
        <w:t>ПП</w:t>
      </w:r>
      <w:r>
        <w:rPr>
          <w:spacing w:val="-17"/>
        </w:rPr>
        <w:t xml:space="preserve"> </w:t>
      </w:r>
      <w:r>
        <w:t>(≤3</w:t>
      </w:r>
      <w:r>
        <w:rPr>
          <w:spacing w:val="-14"/>
        </w:rPr>
        <w:t xml:space="preserve"> </w:t>
      </w:r>
      <w:r>
        <w:t>мм)</w:t>
      </w:r>
      <w:r>
        <w:rPr>
          <w:spacing w:val="-18"/>
        </w:rPr>
        <w:t xml:space="preserve"> </w:t>
      </w:r>
      <w:r>
        <w:t>риск развития</w:t>
      </w:r>
      <w:r>
        <w:rPr>
          <w:spacing w:val="-12"/>
        </w:rPr>
        <w:t xml:space="preserve"> </w:t>
      </w:r>
      <w:r>
        <w:t>ПС</w:t>
      </w:r>
      <w:r>
        <w:rPr>
          <w:spacing w:val="-12"/>
        </w:rPr>
        <w:t xml:space="preserve"> </w:t>
      </w:r>
      <w:r>
        <w:t>значительно</w:t>
      </w:r>
      <w:r>
        <w:rPr>
          <w:spacing w:val="-13"/>
        </w:rPr>
        <w:t xml:space="preserve"> </w:t>
      </w:r>
      <w:r>
        <w:t>выше</w:t>
      </w:r>
      <w:r>
        <w:rPr>
          <w:spacing w:val="-12"/>
        </w:rPr>
        <w:t xml:space="preserve"> </w:t>
      </w:r>
      <w:r>
        <w:t>и</w:t>
      </w:r>
      <w:r>
        <w:rPr>
          <w:spacing w:val="-13"/>
        </w:rPr>
        <w:t xml:space="preserve"> </w:t>
      </w:r>
      <w:r>
        <w:t>может</w:t>
      </w:r>
      <w:r>
        <w:rPr>
          <w:spacing w:val="-10"/>
        </w:rPr>
        <w:t xml:space="preserve"> </w:t>
      </w:r>
      <w:r>
        <w:t>превышать</w:t>
      </w:r>
      <w:r>
        <w:rPr>
          <w:spacing w:val="-15"/>
        </w:rPr>
        <w:t xml:space="preserve"> </w:t>
      </w:r>
      <w:r>
        <w:t>40–50%,</w:t>
      </w:r>
      <w:r>
        <w:rPr>
          <w:spacing w:val="-12"/>
        </w:rPr>
        <w:t xml:space="preserve"> </w:t>
      </w:r>
      <w:r>
        <w:t>тогда</w:t>
      </w:r>
      <w:r>
        <w:rPr>
          <w:spacing w:val="-12"/>
        </w:rPr>
        <w:t xml:space="preserve"> </w:t>
      </w:r>
      <w:r>
        <w:t>как</w:t>
      </w:r>
      <w:r>
        <w:rPr>
          <w:spacing w:val="-14"/>
        </w:rPr>
        <w:t xml:space="preserve"> </w:t>
      </w:r>
      <w:r>
        <w:t>при</w:t>
      </w:r>
      <w:r>
        <w:rPr>
          <w:spacing w:val="-13"/>
        </w:rPr>
        <w:t xml:space="preserve"> </w:t>
      </w:r>
      <w:r>
        <w:t>более широком ПП и плотной паренхиме ПЖ показатели осложнений существенно ниже [85,105]. Актуальность разработки стандартизированного алгоритма тактических решений обоснована следующими ключевыми факторами:</w:t>
      </w:r>
    </w:p>
    <w:p w14:paraId="53401CF9">
      <w:pPr>
        <w:pStyle w:val="10"/>
        <w:numPr>
          <w:ilvl w:val="0"/>
          <w:numId w:val="23"/>
        </w:numPr>
        <w:tabs>
          <w:tab w:val="left" w:pos="1334"/>
        </w:tabs>
        <w:ind w:left="0" w:right="3" w:firstLine="709"/>
        <w:rPr>
          <w:sz w:val="28"/>
        </w:rPr>
      </w:pPr>
      <w:r>
        <w:rPr>
          <w:sz w:val="28"/>
        </w:rPr>
        <w:t>Снижение смертности от осложнений после ГПДР в последние годы достигнуто не за счёт уменьшения частоты ПС, а благодаря системному переходу от агрессивной хирургической тактики к поэтапному профилактическому подходу [207].</w:t>
      </w:r>
    </w:p>
    <w:p w14:paraId="5DA456AB">
      <w:pPr>
        <w:pStyle w:val="10"/>
        <w:numPr>
          <w:ilvl w:val="0"/>
          <w:numId w:val="23"/>
        </w:numPr>
        <w:tabs>
          <w:tab w:val="left" w:pos="1267"/>
        </w:tabs>
        <w:spacing w:before="67"/>
        <w:ind w:left="0" w:right="3" w:firstLine="709"/>
        <w:rPr>
          <w:sz w:val="28"/>
        </w:rPr>
      </w:pPr>
      <w:r>
        <w:rPr>
          <w:sz w:val="28"/>
        </w:rPr>
        <w:t>Клинически</w:t>
      </w:r>
      <w:r>
        <w:rPr>
          <w:spacing w:val="-9"/>
          <w:sz w:val="28"/>
        </w:rPr>
        <w:t xml:space="preserve"> </w:t>
      </w:r>
      <w:r>
        <w:rPr>
          <w:sz w:val="28"/>
        </w:rPr>
        <w:t>значимые</w:t>
      </w:r>
      <w:r>
        <w:rPr>
          <w:spacing w:val="-8"/>
          <w:sz w:val="28"/>
        </w:rPr>
        <w:t xml:space="preserve"> </w:t>
      </w:r>
      <w:r>
        <w:rPr>
          <w:sz w:val="28"/>
        </w:rPr>
        <w:t>свищи</w:t>
      </w:r>
      <w:r>
        <w:rPr>
          <w:spacing w:val="-9"/>
          <w:sz w:val="28"/>
        </w:rPr>
        <w:t xml:space="preserve"> </w:t>
      </w:r>
      <w:r>
        <w:rPr>
          <w:sz w:val="28"/>
        </w:rPr>
        <w:t>(Степень</w:t>
      </w:r>
      <w:r>
        <w:rPr>
          <w:spacing w:val="-12"/>
          <w:sz w:val="28"/>
        </w:rPr>
        <w:t xml:space="preserve"> </w:t>
      </w:r>
      <w:r>
        <w:rPr>
          <w:sz w:val="28"/>
        </w:rPr>
        <w:t>C</w:t>
      </w:r>
      <w:r>
        <w:rPr>
          <w:spacing w:val="-8"/>
          <w:sz w:val="28"/>
        </w:rPr>
        <w:t xml:space="preserve"> </w:t>
      </w:r>
      <w:r>
        <w:rPr>
          <w:sz w:val="28"/>
        </w:rPr>
        <w:t>по</w:t>
      </w:r>
      <w:r>
        <w:rPr>
          <w:spacing w:val="-9"/>
          <w:sz w:val="28"/>
        </w:rPr>
        <w:t xml:space="preserve"> </w:t>
      </w:r>
      <w:r>
        <w:rPr>
          <w:sz w:val="28"/>
        </w:rPr>
        <w:t>классификации</w:t>
      </w:r>
      <w:r>
        <w:rPr>
          <w:spacing w:val="-10"/>
          <w:sz w:val="28"/>
        </w:rPr>
        <w:t xml:space="preserve"> </w:t>
      </w:r>
      <w:r>
        <w:rPr>
          <w:sz w:val="28"/>
        </w:rPr>
        <w:t>ISGPS,</w:t>
      </w:r>
      <w:r>
        <w:rPr>
          <w:spacing w:val="-7"/>
          <w:sz w:val="28"/>
        </w:rPr>
        <w:t xml:space="preserve"> </w:t>
      </w:r>
      <w:r>
        <w:rPr>
          <w:sz w:val="28"/>
        </w:rPr>
        <w:t>2016) приводят к критическим осложнениям: органной недостаточности, повторным операциям, высокой летальности — подчёркивая необходимость ранней стратификации риска [88].</w:t>
      </w:r>
    </w:p>
    <w:p w14:paraId="049DD2A3">
      <w:pPr>
        <w:pStyle w:val="10"/>
        <w:numPr>
          <w:ilvl w:val="0"/>
          <w:numId w:val="23"/>
        </w:numPr>
        <w:tabs>
          <w:tab w:val="left" w:pos="1281"/>
        </w:tabs>
        <w:spacing w:before="4"/>
        <w:ind w:left="0" w:right="3" w:firstLine="709"/>
        <w:rPr>
          <w:sz w:val="28"/>
        </w:rPr>
      </w:pPr>
      <w:r>
        <w:rPr>
          <w:sz w:val="28"/>
        </w:rPr>
        <w:t>Предикторами высокой вероятности ПС признаны:</w:t>
      </w:r>
      <w:r>
        <w:rPr>
          <w:spacing w:val="-4"/>
          <w:sz w:val="28"/>
        </w:rPr>
        <w:t xml:space="preserve"> </w:t>
      </w:r>
      <w:r>
        <w:rPr>
          <w:sz w:val="28"/>
        </w:rPr>
        <w:t>мягкая консистенция ПЖ, маленький диаметр ПП, гипоальбуминемия, ожирение и значительная интраоперационная</w:t>
      </w:r>
      <w:r>
        <w:rPr>
          <w:spacing w:val="-8"/>
          <w:sz w:val="28"/>
        </w:rPr>
        <w:t xml:space="preserve"> </w:t>
      </w:r>
      <w:r>
        <w:rPr>
          <w:sz w:val="28"/>
        </w:rPr>
        <w:t>кровопотеря</w:t>
      </w:r>
      <w:r>
        <w:rPr>
          <w:spacing w:val="-5"/>
          <w:sz w:val="28"/>
        </w:rPr>
        <w:t xml:space="preserve"> </w:t>
      </w:r>
      <w:r>
        <w:rPr>
          <w:sz w:val="28"/>
        </w:rPr>
        <w:t>[113].</w:t>
      </w:r>
      <w:r>
        <w:rPr>
          <w:spacing w:val="-8"/>
          <w:sz w:val="28"/>
        </w:rPr>
        <w:t xml:space="preserve"> </w:t>
      </w:r>
      <w:r>
        <w:rPr>
          <w:sz w:val="28"/>
        </w:rPr>
        <w:t>Эти</w:t>
      </w:r>
      <w:r>
        <w:rPr>
          <w:spacing w:val="-10"/>
          <w:sz w:val="28"/>
        </w:rPr>
        <w:t xml:space="preserve"> </w:t>
      </w:r>
      <w:r>
        <w:rPr>
          <w:sz w:val="28"/>
        </w:rPr>
        <w:t>факторы</w:t>
      </w:r>
      <w:r>
        <w:rPr>
          <w:spacing w:val="-6"/>
          <w:sz w:val="28"/>
        </w:rPr>
        <w:t xml:space="preserve"> </w:t>
      </w:r>
      <w:r>
        <w:rPr>
          <w:sz w:val="28"/>
        </w:rPr>
        <w:t>требуют</w:t>
      </w:r>
      <w:r>
        <w:rPr>
          <w:spacing w:val="-12"/>
          <w:sz w:val="28"/>
        </w:rPr>
        <w:t xml:space="preserve"> </w:t>
      </w:r>
      <w:r>
        <w:rPr>
          <w:sz w:val="28"/>
        </w:rPr>
        <w:t>учёта</w:t>
      </w:r>
      <w:r>
        <w:rPr>
          <w:spacing w:val="-10"/>
          <w:sz w:val="28"/>
        </w:rPr>
        <w:t xml:space="preserve"> </w:t>
      </w:r>
      <w:r>
        <w:rPr>
          <w:sz w:val="28"/>
        </w:rPr>
        <w:t>ещё</w:t>
      </w:r>
      <w:r>
        <w:rPr>
          <w:spacing w:val="-10"/>
          <w:sz w:val="28"/>
        </w:rPr>
        <w:t xml:space="preserve"> </w:t>
      </w:r>
      <w:r>
        <w:rPr>
          <w:sz w:val="28"/>
        </w:rPr>
        <w:t>на</w:t>
      </w:r>
      <w:r>
        <w:rPr>
          <w:spacing w:val="-10"/>
          <w:sz w:val="28"/>
        </w:rPr>
        <w:t xml:space="preserve"> </w:t>
      </w:r>
      <w:r>
        <w:rPr>
          <w:sz w:val="28"/>
        </w:rPr>
        <w:t>этапе предоперационного планирования.</w:t>
      </w:r>
    </w:p>
    <w:p w14:paraId="35A67C00">
      <w:pPr>
        <w:pStyle w:val="7"/>
        <w:ind w:left="0" w:right="3" w:firstLine="709"/>
      </w:pPr>
      <w:r>
        <w:t>В клинической практике ННЦХ имени А.Н. Сызганова на протяжении последних лет применялся локальный алгоритм хирургического ведения пациентов с опухолями периампулярной зоны, включающий этапы предоперационной подготовки, интраоперационной тактики и послеоперационного наблюдения. Указанный алгоритм был направлен на снижение частоты послеоперационных осложнений, однако не в полной мере учитывал</w:t>
      </w:r>
      <w:r>
        <w:rPr>
          <w:spacing w:val="-10"/>
        </w:rPr>
        <w:t xml:space="preserve"> </w:t>
      </w:r>
      <w:r>
        <w:t>современные</w:t>
      </w:r>
      <w:r>
        <w:rPr>
          <w:spacing w:val="-10"/>
        </w:rPr>
        <w:t xml:space="preserve"> </w:t>
      </w:r>
      <w:r>
        <w:t>представления</w:t>
      </w:r>
      <w:r>
        <w:rPr>
          <w:spacing w:val="-9"/>
        </w:rPr>
        <w:t xml:space="preserve"> </w:t>
      </w:r>
      <w:r>
        <w:t>о</w:t>
      </w:r>
      <w:r>
        <w:rPr>
          <w:spacing w:val="-15"/>
        </w:rPr>
        <w:t xml:space="preserve"> </w:t>
      </w:r>
      <w:r>
        <w:t>факторах</w:t>
      </w:r>
      <w:r>
        <w:rPr>
          <w:spacing w:val="-15"/>
        </w:rPr>
        <w:t xml:space="preserve"> </w:t>
      </w:r>
      <w:r>
        <w:t>риска</w:t>
      </w:r>
      <w:r>
        <w:rPr>
          <w:spacing w:val="-10"/>
        </w:rPr>
        <w:t xml:space="preserve"> </w:t>
      </w:r>
      <w:r>
        <w:t>развития</w:t>
      </w:r>
      <w:r>
        <w:rPr>
          <w:spacing w:val="-6"/>
        </w:rPr>
        <w:t xml:space="preserve"> </w:t>
      </w:r>
      <w:r>
        <w:t>ПС,</w:t>
      </w:r>
      <w:r>
        <w:rPr>
          <w:spacing w:val="-8"/>
        </w:rPr>
        <w:t xml:space="preserve"> </w:t>
      </w:r>
      <w:r>
        <w:t>а</w:t>
      </w:r>
      <w:r>
        <w:rPr>
          <w:spacing w:val="-10"/>
        </w:rPr>
        <w:t xml:space="preserve"> </w:t>
      </w:r>
      <w:r>
        <w:t>также</w:t>
      </w:r>
      <w:r>
        <w:rPr>
          <w:spacing w:val="-10"/>
        </w:rPr>
        <w:t xml:space="preserve"> </w:t>
      </w:r>
      <w:r>
        <w:t>не содержал дифференцированного подхода в зависимости от консистенции ПЖ и диаметра ПП.</w:t>
      </w:r>
    </w:p>
    <w:p w14:paraId="4EEFDC19">
      <w:pPr>
        <w:pStyle w:val="7"/>
        <w:spacing w:before="1"/>
        <w:ind w:left="0" w:right="3" w:firstLine="709"/>
      </w:pPr>
      <w:r>
        <w:t>Для систематизации накопленного клинического опыта и повышения эффективности профилактики ПС нами был проведён анализ отечественных и зарубежных литературных источников, включающих данные метаанализов, мультицентровых исследований, международных клинических рекомендаций (ISGPS,</w:t>
      </w:r>
      <w:r>
        <w:rPr>
          <w:spacing w:val="-18"/>
        </w:rPr>
        <w:t xml:space="preserve"> </w:t>
      </w:r>
      <w:r>
        <w:t>2016;</w:t>
      </w:r>
      <w:r>
        <w:rPr>
          <w:spacing w:val="-17"/>
        </w:rPr>
        <w:t xml:space="preserve"> </w:t>
      </w:r>
      <w:r>
        <w:t>NCCN,</w:t>
      </w:r>
      <w:r>
        <w:rPr>
          <w:spacing w:val="-18"/>
        </w:rPr>
        <w:t xml:space="preserve"> </w:t>
      </w:r>
      <w:r>
        <w:t>2024</w:t>
      </w:r>
      <w:r>
        <w:rPr>
          <w:spacing w:val="-17"/>
        </w:rPr>
        <w:t xml:space="preserve"> </w:t>
      </w:r>
      <w:r>
        <w:t>и</w:t>
      </w:r>
      <w:r>
        <w:rPr>
          <w:spacing w:val="-18"/>
        </w:rPr>
        <w:t xml:space="preserve"> </w:t>
      </w:r>
      <w:r>
        <w:t>др.).</w:t>
      </w:r>
      <w:r>
        <w:rPr>
          <w:spacing w:val="-17"/>
        </w:rPr>
        <w:t xml:space="preserve"> </w:t>
      </w:r>
      <w:r>
        <w:t>На</w:t>
      </w:r>
      <w:r>
        <w:rPr>
          <w:spacing w:val="-18"/>
        </w:rPr>
        <w:t xml:space="preserve"> </w:t>
      </w:r>
      <w:r>
        <w:t>основании</w:t>
      </w:r>
      <w:r>
        <w:rPr>
          <w:spacing w:val="-17"/>
        </w:rPr>
        <w:t xml:space="preserve"> </w:t>
      </w:r>
      <w:r>
        <w:t>этих</w:t>
      </w:r>
      <w:r>
        <w:rPr>
          <w:spacing w:val="-18"/>
        </w:rPr>
        <w:t xml:space="preserve"> </w:t>
      </w:r>
      <w:r>
        <w:t>данных,</w:t>
      </w:r>
      <w:r>
        <w:rPr>
          <w:spacing w:val="-17"/>
        </w:rPr>
        <w:t xml:space="preserve"> </w:t>
      </w:r>
      <w:r>
        <w:t>а</w:t>
      </w:r>
      <w:r>
        <w:rPr>
          <w:spacing w:val="-18"/>
        </w:rPr>
        <w:t xml:space="preserve"> </w:t>
      </w:r>
      <w:r>
        <w:t>также</w:t>
      </w:r>
      <w:r>
        <w:rPr>
          <w:spacing w:val="-17"/>
        </w:rPr>
        <w:t xml:space="preserve"> </w:t>
      </w:r>
      <w:r>
        <w:t>результатов собственных наблюдений (гл. 3), первоначальный алгоритм ННЦХ им. А.Н. Сызганова был усовершенствован.</w:t>
      </w:r>
    </w:p>
    <w:p w14:paraId="62DB8B96">
      <w:pPr>
        <w:pStyle w:val="7"/>
        <w:ind w:left="0" w:right="3" w:firstLine="709"/>
      </w:pPr>
      <w:r>
        <w:t>Доработанный</w:t>
      </w:r>
      <w:r>
        <w:rPr>
          <w:spacing w:val="-2"/>
        </w:rPr>
        <w:t xml:space="preserve"> </w:t>
      </w:r>
      <w:r>
        <w:t>алгоритм</w:t>
      </w:r>
      <w:r>
        <w:rPr>
          <w:spacing w:val="-1"/>
        </w:rPr>
        <w:t xml:space="preserve"> </w:t>
      </w:r>
      <w:r>
        <w:t>включает</w:t>
      </w:r>
      <w:r>
        <w:rPr>
          <w:spacing w:val="-4"/>
        </w:rPr>
        <w:t xml:space="preserve"> </w:t>
      </w:r>
      <w:r>
        <w:t>поэтапную</w:t>
      </w:r>
      <w:r>
        <w:rPr>
          <w:spacing w:val="-4"/>
        </w:rPr>
        <w:t xml:space="preserve"> </w:t>
      </w:r>
      <w:r>
        <w:t>тактику</w:t>
      </w:r>
      <w:r>
        <w:rPr>
          <w:spacing w:val="-7"/>
        </w:rPr>
        <w:t xml:space="preserve"> </w:t>
      </w:r>
      <w:r>
        <w:t>ведения</w:t>
      </w:r>
      <w:r>
        <w:rPr>
          <w:spacing w:val="-1"/>
        </w:rPr>
        <w:t xml:space="preserve"> </w:t>
      </w:r>
      <w:r>
        <w:t>пациента — дооперационный, интраоперационный и послеоперационный этапы — с обязательной стратификацией риска ПС, что позволяет индивидуализировать хирургическую стратегию и выбрать оптимальный вариант ПЕА, способ дренирования и метод профилактики осложнений.</w:t>
      </w:r>
    </w:p>
    <w:p w14:paraId="1B86F7E6">
      <w:pPr>
        <w:pStyle w:val="7"/>
        <w:spacing w:before="1"/>
        <w:ind w:left="0" w:right="3" w:firstLine="709"/>
      </w:pPr>
      <w:r>
        <w:t>Разработанный алгоритм предназначен для профилактики ПС после ГПДР у пациентов с опухолями периампулярной зоны (рис.35).</w:t>
      </w:r>
    </w:p>
    <w:p w14:paraId="23E0F671">
      <w:pPr>
        <w:pStyle w:val="7"/>
        <w:ind w:left="0" w:right="3" w:firstLine="709"/>
      </w:pPr>
      <w:r>
        <w:t>Сущность алгоритма заключается в дифференцированном выборе метода формирования ПЕА и объёма дренирования, основанном на двух ключевых анатомо-морфологических критериях, определяющих риск развития ПС:</w:t>
      </w:r>
    </w:p>
    <w:p w14:paraId="085B1642">
      <w:pPr>
        <w:pStyle w:val="10"/>
        <w:numPr>
          <w:ilvl w:val="0"/>
          <w:numId w:val="24"/>
        </w:numPr>
        <w:tabs>
          <w:tab w:val="left" w:pos="706"/>
          <w:tab w:val="left" w:pos="993"/>
        </w:tabs>
        <w:spacing w:line="321" w:lineRule="exact"/>
        <w:ind w:left="0" w:right="3" w:firstLine="709"/>
        <w:rPr>
          <w:sz w:val="28"/>
        </w:rPr>
      </w:pPr>
      <w:r>
        <w:rPr>
          <w:sz w:val="28"/>
        </w:rPr>
        <w:t>консистенция</w:t>
      </w:r>
      <w:r>
        <w:rPr>
          <w:spacing w:val="-9"/>
          <w:sz w:val="28"/>
        </w:rPr>
        <w:t xml:space="preserve"> </w:t>
      </w:r>
      <w:r>
        <w:rPr>
          <w:sz w:val="28"/>
        </w:rPr>
        <w:t>ПЖ</w:t>
      </w:r>
      <w:r>
        <w:rPr>
          <w:spacing w:val="-5"/>
          <w:sz w:val="28"/>
        </w:rPr>
        <w:t xml:space="preserve"> </w:t>
      </w:r>
      <w:r>
        <w:rPr>
          <w:sz w:val="28"/>
        </w:rPr>
        <w:t>(мягкая</w:t>
      </w:r>
      <w:r>
        <w:rPr>
          <w:spacing w:val="-8"/>
          <w:sz w:val="28"/>
        </w:rPr>
        <w:t xml:space="preserve"> </w:t>
      </w:r>
      <w:r>
        <w:rPr>
          <w:sz w:val="28"/>
        </w:rPr>
        <w:t>или</w:t>
      </w:r>
      <w:r>
        <w:rPr>
          <w:spacing w:val="-9"/>
          <w:sz w:val="28"/>
        </w:rPr>
        <w:t xml:space="preserve"> </w:t>
      </w:r>
      <w:r>
        <w:rPr>
          <w:spacing w:val="-2"/>
          <w:sz w:val="28"/>
        </w:rPr>
        <w:t>плотная);</w:t>
      </w:r>
    </w:p>
    <w:p w14:paraId="2971A736">
      <w:pPr>
        <w:pStyle w:val="10"/>
        <w:numPr>
          <w:ilvl w:val="0"/>
          <w:numId w:val="24"/>
        </w:numPr>
        <w:tabs>
          <w:tab w:val="left" w:pos="706"/>
          <w:tab w:val="left" w:pos="993"/>
        </w:tabs>
        <w:spacing w:line="322" w:lineRule="exact"/>
        <w:ind w:left="0" w:right="3" w:firstLine="709"/>
        <w:rPr>
          <w:sz w:val="28"/>
        </w:rPr>
      </w:pPr>
      <w:r>
        <w:rPr>
          <w:sz w:val="28"/>
        </w:rPr>
        <w:t>диаметр</w:t>
      </w:r>
      <w:r>
        <w:rPr>
          <w:spacing w:val="-8"/>
          <w:sz w:val="28"/>
        </w:rPr>
        <w:t xml:space="preserve"> </w:t>
      </w:r>
      <w:r>
        <w:rPr>
          <w:spacing w:val="-5"/>
          <w:sz w:val="28"/>
        </w:rPr>
        <w:t>ПП.</w:t>
      </w:r>
    </w:p>
    <w:p w14:paraId="0828962A">
      <w:pPr>
        <w:pStyle w:val="7"/>
        <w:ind w:left="0" w:right="3" w:firstLine="709"/>
      </w:pPr>
      <w:r>
        <w:t>При мягкой консистенции ПЖ, характеризующейся повышенным риском несостоятельности анастомоза вследствие выраженной ферментативной активности и низкой механической устойчивости тканей, рекомендуется применять модифицированный протоково-слизистый ПЕА</w:t>
      </w:r>
      <w:r>
        <w:rPr>
          <w:b/>
        </w:rPr>
        <w:t xml:space="preserve">, </w:t>
      </w:r>
      <w:r>
        <w:t>обеспечивающий повышенную герметичность соединения и равномерное распределение натяжения швов. В этих случаях обязательным элементом реконструкции является дренирование ПП</w:t>
      </w:r>
      <w:r>
        <w:rPr>
          <w:b/>
        </w:rPr>
        <w:t xml:space="preserve">, </w:t>
      </w:r>
      <w:r>
        <w:t>направленное на снижение внутрипротокового давления и профилактику ферментативной утечки.</w:t>
      </w:r>
    </w:p>
    <w:p w14:paraId="1815910B">
      <w:pPr>
        <w:pStyle w:val="7"/>
        <w:spacing w:before="67"/>
        <w:ind w:left="0" w:right="3" w:firstLine="709"/>
      </w:pPr>
      <w:r>
        <w:t>При диаметре ПП менее 1 мм и мягкой консистенции ПЖ выполнение протоково-слизистого анастомоза технически затруднено или невозможно. В подобных ситуациях предпочтение отдается инвагинационному ПЕА</w:t>
      </w:r>
      <w:r>
        <w:rPr>
          <w:b/>
        </w:rPr>
        <w:t xml:space="preserve">, </w:t>
      </w:r>
      <w:r>
        <w:t>который обеспечивает надёжное погружение культи железы в просвет тощей кишки и минимизацию риска утечки панкреатического секрета.</w:t>
      </w:r>
    </w:p>
    <w:p w14:paraId="0E6A06ED">
      <w:pPr>
        <w:pStyle w:val="7"/>
        <w:spacing w:before="4"/>
        <w:ind w:left="0" w:right="3" w:firstLine="709"/>
      </w:pPr>
      <w:r>
        <w:t>При плотной структуре ПЖ выполняется стандартный протоково- слизистый анастомоз</w:t>
      </w:r>
      <w:r>
        <w:rPr>
          <w:b/>
        </w:rPr>
        <w:t xml:space="preserve">. </w:t>
      </w:r>
      <w:r>
        <w:t xml:space="preserve">Если диаметр ПП не превышает 5 мм, анастомоз </w:t>
      </w:r>
      <w:r>
        <w:rPr>
          <w:spacing w:val="-2"/>
        </w:rPr>
        <w:t>формируется</w:t>
      </w:r>
      <w:r>
        <w:rPr>
          <w:spacing w:val="-4"/>
        </w:rPr>
        <w:t xml:space="preserve"> </w:t>
      </w:r>
      <w:r>
        <w:rPr>
          <w:spacing w:val="-2"/>
        </w:rPr>
        <w:t>с</w:t>
      </w:r>
      <w:r>
        <w:rPr>
          <w:spacing w:val="-4"/>
        </w:rPr>
        <w:t xml:space="preserve"> </w:t>
      </w:r>
      <w:r>
        <w:rPr>
          <w:spacing w:val="-2"/>
        </w:rPr>
        <w:t>применением</w:t>
      </w:r>
      <w:r>
        <w:rPr>
          <w:spacing w:val="-4"/>
        </w:rPr>
        <w:t xml:space="preserve"> </w:t>
      </w:r>
      <w:r>
        <w:rPr>
          <w:spacing w:val="-2"/>
        </w:rPr>
        <w:t>внутреннего</w:t>
      </w:r>
      <w:r>
        <w:rPr>
          <w:spacing w:val="-5"/>
        </w:rPr>
        <w:t xml:space="preserve"> </w:t>
      </w:r>
      <w:r>
        <w:rPr>
          <w:spacing w:val="-2"/>
        </w:rPr>
        <w:t>дренирования</w:t>
      </w:r>
      <w:r>
        <w:rPr>
          <w:spacing w:val="-4"/>
        </w:rPr>
        <w:t xml:space="preserve"> </w:t>
      </w:r>
      <w:r>
        <w:rPr>
          <w:spacing w:val="-2"/>
        </w:rPr>
        <w:t>ПП;</w:t>
      </w:r>
      <w:r>
        <w:rPr>
          <w:spacing w:val="-6"/>
        </w:rPr>
        <w:t xml:space="preserve"> </w:t>
      </w:r>
      <w:r>
        <w:rPr>
          <w:spacing w:val="-2"/>
        </w:rPr>
        <w:t>при</w:t>
      </w:r>
      <w:r>
        <w:rPr>
          <w:spacing w:val="-5"/>
        </w:rPr>
        <w:t xml:space="preserve"> </w:t>
      </w:r>
      <w:r>
        <w:rPr>
          <w:spacing w:val="-2"/>
        </w:rPr>
        <w:t>диаметре</w:t>
      </w:r>
      <w:r>
        <w:rPr>
          <w:spacing w:val="-4"/>
        </w:rPr>
        <w:t xml:space="preserve"> </w:t>
      </w:r>
      <w:r>
        <w:rPr>
          <w:spacing w:val="-2"/>
        </w:rPr>
        <w:t>более</w:t>
      </w:r>
    </w:p>
    <w:p w14:paraId="149860DB">
      <w:pPr>
        <w:pStyle w:val="7"/>
        <w:ind w:left="0" w:right="3" w:firstLine="709"/>
      </w:pPr>
      <w:r>
        <w:t xml:space="preserve">5 мм дренирование не требуется, так как расширенный ПП обеспечивает достаточный отток панкреатического секрета без дополнительного </w:t>
      </w:r>
      <w:r>
        <w:rPr>
          <w:spacing w:val="-2"/>
        </w:rPr>
        <w:t>вмешательства.</w:t>
      </w:r>
    </w:p>
    <w:p w14:paraId="34C87239">
      <w:pPr>
        <w:pStyle w:val="7"/>
        <w:ind w:left="0" w:right="3" w:firstLine="709"/>
      </w:pPr>
      <w:r>
        <w:t>Вне зависимости от консистенции ПЖ в ходе реконструктивного этапа обязательно проводится окутывание культи ГДА и общей печёночной артерий круглой связкой печени</w:t>
      </w:r>
      <w:r>
        <w:rPr>
          <w:b/>
        </w:rPr>
        <w:t xml:space="preserve">, </w:t>
      </w:r>
      <w:r>
        <w:t>что позволяет предупредить развитие аррозивных кровотечений и повысить безопасность послеоперационного периода.</w:t>
      </w:r>
    </w:p>
    <w:p w14:paraId="08D2C52F">
      <w:pPr>
        <w:pStyle w:val="7"/>
        <w:tabs>
          <w:tab w:val="left" w:pos="3357"/>
          <w:tab w:val="left" w:pos="6217"/>
          <w:tab w:val="left" w:pos="8458"/>
        </w:tabs>
        <w:ind w:left="0" w:right="3" w:firstLine="709"/>
      </w:pPr>
      <w:r>
        <w:rPr>
          <w:spacing w:val="-2"/>
        </w:rPr>
        <w:t>Реализация</w:t>
      </w:r>
      <w:r>
        <w:tab/>
      </w:r>
      <w:r>
        <w:rPr>
          <w:spacing w:val="-2"/>
        </w:rPr>
        <w:t>предложенного</w:t>
      </w:r>
      <w:r>
        <w:tab/>
      </w:r>
      <w:r>
        <w:rPr>
          <w:spacing w:val="-2"/>
        </w:rPr>
        <w:t xml:space="preserve">алгоритмаобеспечивает </w:t>
      </w:r>
      <w:r>
        <w:t>индивидуализированный подход к реконструктивному этапу ГПДР</w:t>
      </w:r>
      <w:r>
        <w:rPr>
          <w:b/>
        </w:rPr>
        <w:t xml:space="preserve">, </w:t>
      </w:r>
      <w:r>
        <w:t>направленный на снижение частоты КЗ-ПС и связанных с ними гнойно- септических осложнений и аррозивных кровотечений. Применение данного подхода позволяет уменьшить потребность в повторных хирургических вмешательствах, сократить длительность госпитализации и улучшить непосредственные результаты хирургического лечения пациентов с опухолями периампулярной зоны.</w:t>
      </w:r>
    </w:p>
    <w:p w14:paraId="18E352B3">
      <w:pPr>
        <w:pStyle w:val="7"/>
        <w:ind w:left="0" w:right="3" w:firstLine="709"/>
      </w:pPr>
      <w:r>
        <w:t>Второй</w:t>
      </w:r>
      <w:r>
        <w:rPr>
          <w:spacing w:val="-18"/>
        </w:rPr>
        <w:t xml:space="preserve"> </w:t>
      </w:r>
      <w:r>
        <w:t>разработанный</w:t>
      </w:r>
      <w:r>
        <w:rPr>
          <w:spacing w:val="-17"/>
        </w:rPr>
        <w:t xml:space="preserve"> </w:t>
      </w:r>
      <w:r>
        <w:t>алгоритм</w:t>
      </w:r>
      <w:r>
        <w:rPr>
          <w:spacing w:val="-18"/>
        </w:rPr>
        <w:t xml:space="preserve"> </w:t>
      </w:r>
      <w:r>
        <w:t>предназначен</w:t>
      </w:r>
      <w:r>
        <w:rPr>
          <w:spacing w:val="-17"/>
        </w:rPr>
        <w:t xml:space="preserve"> </w:t>
      </w:r>
      <w:r>
        <w:t>для</w:t>
      </w:r>
      <w:r>
        <w:rPr>
          <w:spacing w:val="-18"/>
        </w:rPr>
        <w:t xml:space="preserve"> </w:t>
      </w:r>
      <w:r>
        <w:t>ведения</w:t>
      </w:r>
      <w:r>
        <w:rPr>
          <w:spacing w:val="-17"/>
        </w:rPr>
        <w:t xml:space="preserve"> </w:t>
      </w:r>
      <w:r>
        <w:t>пациентов</w:t>
      </w:r>
      <w:r>
        <w:rPr>
          <w:spacing w:val="-18"/>
        </w:rPr>
        <w:t xml:space="preserve"> </w:t>
      </w:r>
      <w:r>
        <w:t>с</w:t>
      </w:r>
      <w:r>
        <w:rPr>
          <w:spacing w:val="-12"/>
        </w:rPr>
        <w:t xml:space="preserve"> </w:t>
      </w:r>
      <w:r>
        <w:t>ПС, развившимися после ГПДР при опухолях периампулярной зоны (рис.36). Он основан на классификации Международной группы по изучению хирургии ПЖ (ISGPS) и предусматривает поэтапный, клинико-обоснованный подход к диагностике, лечению</w:t>
      </w:r>
      <w:r>
        <w:rPr>
          <w:spacing w:val="-4"/>
        </w:rPr>
        <w:t xml:space="preserve"> </w:t>
      </w:r>
      <w:r>
        <w:t>и</w:t>
      </w:r>
      <w:r>
        <w:rPr>
          <w:spacing w:val="-2"/>
        </w:rPr>
        <w:t xml:space="preserve"> </w:t>
      </w:r>
      <w:r>
        <w:t>профилактике</w:t>
      </w:r>
      <w:r>
        <w:rPr>
          <w:spacing w:val="-1"/>
        </w:rPr>
        <w:t xml:space="preserve"> </w:t>
      </w:r>
      <w:r>
        <w:t>осложнений, направленный</w:t>
      </w:r>
      <w:r>
        <w:rPr>
          <w:spacing w:val="-2"/>
        </w:rPr>
        <w:t xml:space="preserve"> </w:t>
      </w:r>
      <w:r>
        <w:t>на</w:t>
      </w:r>
      <w:r>
        <w:rPr>
          <w:spacing w:val="-1"/>
        </w:rPr>
        <w:t xml:space="preserve"> </w:t>
      </w:r>
      <w:r>
        <w:t>снижение частоты септических состояний и хирургической летальности.</w:t>
      </w:r>
    </w:p>
    <w:p w14:paraId="63E86076">
      <w:pPr>
        <w:pStyle w:val="7"/>
        <w:spacing w:before="2"/>
        <w:ind w:left="0" w:right="3" w:firstLine="709"/>
      </w:pPr>
      <w:r>
        <w:t xml:space="preserve">В основе лечебной тактики лежит дифференцированный подход с учётом степени выраженности свища, клинических проявлений и характера </w:t>
      </w:r>
      <w:r>
        <w:rPr>
          <w:spacing w:val="-2"/>
        </w:rPr>
        <w:t>осложнений.</w:t>
      </w:r>
    </w:p>
    <w:p w14:paraId="64C97AFD">
      <w:pPr>
        <w:pStyle w:val="10"/>
        <w:numPr>
          <w:ilvl w:val="0"/>
          <w:numId w:val="25"/>
        </w:numPr>
        <w:tabs>
          <w:tab w:val="left" w:pos="1273"/>
        </w:tabs>
        <w:spacing w:line="321" w:lineRule="exact"/>
        <w:ind w:left="0" w:right="3" w:firstLine="709"/>
        <w:rPr>
          <w:sz w:val="28"/>
        </w:rPr>
      </w:pPr>
      <w:r>
        <w:rPr>
          <w:sz w:val="28"/>
        </w:rPr>
        <w:t>При</w:t>
      </w:r>
      <w:r>
        <w:rPr>
          <w:spacing w:val="-9"/>
          <w:sz w:val="28"/>
        </w:rPr>
        <w:t xml:space="preserve"> </w:t>
      </w:r>
      <w:r>
        <w:rPr>
          <w:sz w:val="28"/>
        </w:rPr>
        <w:t>биохимической</w:t>
      </w:r>
      <w:r>
        <w:rPr>
          <w:spacing w:val="-4"/>
          <w:sz w:val="28"/>
        </w:rPr>
        <w:t xml:space="preserve"> </w:t>
      </w:r>
      <w:r>
        <w:rPr>
          <w:sz w:val="28"/>
        </w:rPr>
        <w:t>утечке</w:t>
      </w:r>
      <w:r>
        <w:rPr>
          <w:spacing w:val="-8"/>
          <w:sz w:val="28"/>
        </w:rPr>
        <w:t xml:space="preserve"> </w:t>
      </w:r>
      <w:r>
        <w:rPr>
          <w:sz w:val="28"/>
        </w:rPr>
        <w:t>(степень</w:t>
      </w:r>
      <w:r>
        <w:rPr>
          <w:spacing w:val="-10"/>
          <w:sz w:val="28"/>
        </w:rPr>
        <w:t xml:space="preserve"> </w:t>
      </w:r>
      <w:r>
        <w:rPr>
          <w:sz w:val="28"/>
        </w:rPr>
        <w:t>А</w:t>
      </w:r>
      <w:r>
        <w:rPr>
          <w:spacing w:val="-12"/>
          <w:sz w:val="28"/>
        </w:rPr>
        <w:t xml:space="preserve"> </w:t>
      </w:r>
      <w:r>
        <w:rPr>
          <w:sz w:val="28"/>
        </w:rPr>
        <w:t>по</w:t>
      </w:r>
      <w:r>
        <w:rPr>
          <w:spacing w:val="-8"/>
          <w:sz w:val="28"/>
        </w:rPr>
        <w:t xml:space="preserve"> </w:t>
      </w:r>
      <w:r>
        <w:rPr>
          <w:spacing w:val="-2"/>
          <w:sz w:val="28"/>
        </w:rPr>
        <w:t>ISGPS)</w:t>
      </w:r>
    </w:p>
    <w:p w14:paraId="208019DF">
      <w:pPr>
        <w:pStyle w:val="7"/>
        <w:ind w:left="0" w:right="3" w:firstLine="709"/>
      </w:pPr>
      <w:r>
        <w:t>Пациентам проводится консервативное ведение с сохранением установленных дренажей и динамическим лабораторным контролем ААД. При тенденции к снижению активности фермента и постепенном уменьшении объёма отделяемого</w:t>
      </w:r>
      <w:r>
        <w:rPr>
          <w:spacing w:val="-12"/>
        </w:rPr>
        <w:t xml:space="preserve"> </w:t>
      </w:r>
      <w:r>
        <w:t>выполняется</w:t>
      </w:r>
      <w:r>
        <w:rPr>
          <w:spacing w:val="-11"/>
        </w:rPr>
        <w:t xml:space="preserve"> </w:t>
      </w:r>
      <w:r>
        <w:t>плановое</w:t>
      </w:r>
      <w:r>
        <w:rPr>
          <w:spacing w:val="-8"/>
        </w:rPr>
        <w:t xml:space="preserve"> </w:t>
      </w:r>
      <w:r>
        <w:t>удаление</w:t>
      </w:r>
      <w:r>
        <w:rPr>
          <w:spacing w:val="-12"/>
        </w:rPr>
        <w:t xml:space="preserve"> </w:t>
      </w:r>
      <w:r>
        <w:t>дренажной</w:t>
      </w:r>
      <w:r>
        <w:rPr>
          <w:spacing w:val="-13"/>
        </w:rPr>
        <w:t xml:space="preserve"> </w:t>
      </w:r>
      <w:r>
        <w:t>трубки.</w:t>
      </w:r>
      <w:r>
        <w:rPr>
          <w:spacing w:val="-10"/>
        </w:rPr>
        <w:t xml:space="preserve"> </w:t>
      </w:r>
      <w:r>
        <w:t>После</w:t>
      </w:r>
      <w:r>
        <w:rPr>
          <w:spacing w:val="-11"/>
        </w:rPr>
        <w:t xml:space="preserve"> </w:t>
      </w:r>
      <w:r>
        <w:t xml:space="preserve">выписки осуществляется амбулаторное наблюдение и контроль лабораторных </w:t>
      </w:r>
      <w:r>
        <w:rPr>
          <w:spacing w:val="-2"/>
        </w:rPr>
        <w:t>показателей.</w:t>
      </w:r>
    </w:p>
    <w:p w14:paraId="6D6D514E">
      <w:pPr>
        <w:pStyle w:val="10"/>
        <w:numPr>
          <w:ilvl w:val="0"/>
          <w:numId w:val="25"/>
        </w:numPr>
        <w:tabs>
          <w:tab w:val="left" w:pos="1273"/>
        </w:tabs>
        <w:spacing w:line="320" w:lineRule="exact"/>
        <w:ind w:left="0" w:right="3" w:firstLine="709"/>
        <w:rPr>
          <w:sz w:val="28"/>
        </w:rPr>
      </w:pPr>
      <w:r>
        <w:rPr>
          <w:sz w:val="28"/>
        </w:rPr>
        <w:t>При</w:t>
      </w:r>
      <w:r>
        <w:rPr>
          <w:spacing w:val="-5"/>
          <w:sz w:val="28"/>
        </w:rPr>
        <w:t xml:space="preserve"> </w:t>
      </w:r>
      <w:r>
        <w:rPr>
          <w:sz w:val="28"/>
        </w:rPr>
        <w:t>КЗ-ПС</w:t>
      </w:r>
      <w:r>
        <w:rPr>
          <w:spacing w:val="-3"/>
          <w:sz w:val="28"/>
        </w:rPr>
        <w:t xml:space="preserve"> </w:t>
      </w:r>
      <w:r>
        <w:rPr>
          <w:sz w:val="28"/>
        </w:rPr>
        <w:t>(степень</w:t>
      </w:r>
      <w:r>
        <w:rPr>
          <w:spacing w:val="-2"/>
          <w:sz w:val="28"/>
        </w:rPr>
        <w:t xml:space="preserve"> </w:t>
      </w:r>
      <w:r>
        <w:rPr>
          <w:sz w:val="28"/>
        </w:rPr>
        <w:t>В</w:t>
      </w:r>
      <w:r>
        <w:rPr>
          <w:spacing w:val="-7"/>
          <w:sz w:val="28"/>
        </w:rPr>
        <w:t xml:space="preserve"> </w:t>
      </w:r>
      <w:r>
        <w:rPr>
          <w:sz w:val="28"/>
        </w:rPr>
        <w:t>и</w:t>
      </w:r>
      <w:r>
        <w:rPr>
          <w:spacing w:val="-4"/>
          <w:sz w:val="28"/>
        </w:rPr>
        <w:t xml:space="preserve"> </w:t>
      </w:r>
      <w:r>
        <w:rPr>
          <w:sz w:val="28"/>
        </w:rPr>
        <w:t>С</w:t>
      </w:r>
      <w:r>
        <w:rPr>
          <w:spacing w:val="-3"/>
          <w:sz w:val="28"/>
        </w:rPr>
        <w:t xml:space="preserve"> </w:t>
      </w:r>
      <w:r>
        <w:rPr>
          <w:sz w:val="28"/>
        </w:rPr>
        <w:t>по</w:t>
      </w:r>
      <w:r>
        <w:rPr>
          <w:spacing w:val="-5"/>
          <w:sz w:val="28"/>
        </w:rPr>
        <w:t xml:space="preserve"> </w:t>
      </w:r>
      <w:r>
        <w:rPr>
          <w:spacing w:val="-2"/>
          <w:sz w:val="28"/>
        </w:rPr>
        <w:t>ISGPS)</w:t>
      </w:r>
    </w:p>
    <w:p w14:paraId="15D5209D">
      <w:pPr>
        <w:pStyle w:val="7"/>
        <w:spacing w:before="1"/>
        <w:ind w:left="0" w:right="3" w:firstLine="709"/>
      </w:pPr>
      <w:r>
        <w:t>Основу терапии составляют консервативные мероприятия, включающие нутритивную поддержку, контроль амилазной активности, коррекцию водно- электролитного баланса и сохранение функционирующего дренажа с обязательным динамическим наблюдением. При подозрении на осложнённое течение</w:t>
      </w:r>
      <w:r>
        <w:rPr>
          <w:spacing w:val="58"/>
        </w:rPr>
        <w:t xml:space="preserve">  </w:t>
      </w:r>
      <w:r>
        <w:t>проводится</w:t>
      </w:r>
      <w:r>
        <w:rPr>
          <w:spacing w:val="58"/>
        </w:rPr>
        <w:t xml:space="preserve">  </w:t>
      </w:r>
      <w:r>
        <w:t>КТА</w:t>
      </w:r>
      <w:r>
        <w:rPr>
          <w:spacing w:val="56"/>
        </w:rPr>
        <w:t xml:space="preserve">  </w:t>
      </w:r>
      <w:r>
        <w:t>брюшной</w:t>
      </w:r>
      <w:r>
        <w:rPr>
          <w:spacing w:val="59"/>
        </w:rPr>
        <w:t xml:space="preserve">  </w:t>
      </w:r>
      <w:r>
        <w:t>полости</w:t>
      </w:r>
      <w:r>
        <w:rPr>
          <w:spacing w:val="57"/>
        </w:rPr>
        <w:t xml:space="preserve">  </w:t>
      </w:r>
      <w:r>
        <w:t>для</w:t>
      </w:r>
      <w:r>
        <w:rPr>
          <w:spacing w:val="58"/>
        </w:rPr>
        <w:t xml:space="preserve">  </w:t>
      </w:r>
      <w:r>
        <w:t>уточнения</w:t>
      </w:r>
      <w:r>
        <w:rPr>
          <w:spacing w:val="58"/>
        </w:rPr>
        <w:t xml:space="preserve">  </w:t>
      </w:r>
      <w:r>
        <w:t>характера</w:t>
      </w:r>
    </w:p>
    <w:p w14:paraId="2C50E381">
      <w:pPr>
        <w:pStyle w:val="7"/>
        <w:spacing w:before="67"/>
        <w:ind w:left="0" w:right="3" w:firstLine="709"/>
      </w:pPr>
      <w:r>
        <w:t>жидкостных скоплений и исключения аррозивных кровотечений. При стабилизации состояния и прекращении отделяемого дренаж удаляется с последующим амбулаторным наблюдением.</w:t>
      </w:r>
    </w:p>
    <w:p w14:paraId="363495BE">
      <w:pPr>
        <w:pStyle w:val="10"/>
        <w:numPr>
          <w:ilvl w:val="0"/>
          <w:numId w:val="25"/>
        </w:numPr>
        <w:tabs>
          <w:tab w:val="left" w:pos="1272"/>
        </w:tabs>
        <w:spacing w:line="244" w:lineRule="auto"/>
        <w:ind w:left="0" w:right="3" w:firstLine="709"/>
        <w:rPr>
          <w:sz w:val="28"/>
        </w:rPr>
      </w:pPr>
      <w:r>
        <w:rPr>
          <w:sz w:val="28"/>
        </w:rPr>
        <w:t>При</w:t>
      </w:r>
      <w:r>
        <w:rPr>
          <w:spacing w:val="-6"/>
          <w:sz w:val="28"/>
        </w:rPr>
        <w:t xml:space="preserve"> </w:t>
      </w:r>
      <w:r>
        <w:rPr>
          <w:sz w:val="28"/>
        </w:rPr>
        <w:t>осложнённом</w:t>
      </w:r>
      <w:r>
        <w:rPr>
          <w:spacing w:val="-5"/>
          <w:sz w:val="28"/>
        </w:rPr>
        <w:t xml:space="preserve"> </w:t>
      </w:r>
      <w:r>
        <w:rPr>
          <w:sz w:val="28"/>
        </w:rPr>
        <w:t>течении</w:t>
      </w:r>
      <w:r>
        <w:rPr>
          <w:spacing w:val="-1"/>
          <w:sz w:val="28"/>
        </w:rPr>
        <w:t xml:space="preserve"> </w:t>
      </w:r>
      <w:r>
        <w:rPr>
          <w:sz w:val="28"/>
        </w:rPr>
        <w:t>ПС</w:t>
      </w:r>
      <w:r>
        <w:rPr>
          <w:spacing w:val="-5"/>
          <w:sz w:val="28"/>
        </w:rPr>
        <w:t xml:space="preserve"> </w:t>
      </w:r>
      <w:r>
        <w:rPr>
          <w:sz w:val="28"/>
        </w:rPr>
        <w:t>(при</w:t>
      </w:r>
      <w:r>
        <w:rPr>
          <w:spacing w:val="-6"/>
          <w:sz w:val="28"/>
        </w:rPr>
        <w:t xml:space="preserve"> </w:t>
      </w:r>
      <w:r>
        <w:rPr>
          <w:sz w:val="28"/>
        </w:rPr>
        <w:t>послеоперационных</w:t>
      </w:r>
      <w:r>
        <w:rPr>
          <w:spacing w:val="-9"/>
          <w:sz w:val="28"/>
        </w:rPr>
        <w:t xml:space="preserve"> </w:t>
      </w:r>
      <w:r>
        <w:rPr>
          <w:sz w:val="28"/>
        </w:rPr>
        <w:t>осложнениях</w:t>
      </w:r>
      <w:r>
        <w:rPr>
          <w:spacing w:val="-9"/>
          <w:sz w:val="28"/>
        </w:rPr>
        <w:t xml:space="preserve"> </w:t>
      </w:r>
      <w:r>
        <w:rPr>
          <w:sz w:val="28"/>
        </w:rPr>
        <w:t>по Clavien–Dindo III степени)</w:t>
      </w:r>
    </w:p>
    <w:p w14:paraId="1A61779D">
      <w:pPr>
        <w:pStyle w:val="7"/>
        <w:ind w:left="0" w:right="3" w:firstLine="709"/>
      </w:pPr>
      <w:r>
        <w:t>При развитии аррозивных кровотечений, инфицированных жидкостных скоплений или абсцессов применяется поэтапная интервенционная тактика. В зависимости от характера осложнений выполняются:</w:t>
      </w:r>
    </w:p>
    <w:p w14:paraId="2836707E">
      <w:pPr>
        <w:pStyle w:val="10"/>
        <w:numPr>
          <w:ilvl w:val="0"/>
          <w:numId w:val="26"/>
        </w:numPr>
        <w:tabs>
          <w:tab w:val="left" w:pos="635"/>
        </w:tabs>
        <w:spacing w:line="321" w:lineRule="exact"/>
        <w:ind w:left="0" w:right="3" w:firstLine="709"/>
        <w:rPr>
          <w:sz w:val="28"/>
        </w:rPr>
      </w:pPr>
      <w:r>
        <w:rPr>
          <w:sz w:val="28"/>
        </w:rPr>
        <w:t>чрескожное</w:t>
      </w:r>
      <w:r>
        <w:rPr>
          <w:spacing w:val="-11"/>
          <w:sz w:val="28"/>
        </w:rPr>
        <w:t xml:space="preserve"> </w:t>
      </w:r>
      <w:r>
        <w:rPr>
          <w:sz w:val="28"/>
        </w:rPr>
        <w:t>дренирование</w:t>
      </w:r>
      <w:r>
        <w:rPr>
          <w:spacing w:val="-11"/>
          <w:sz w:val="28"/>
        </w:rPr>
        <w:t xml:space="preserve"> </w:t>
      </w:r>
      <w:r>
        <w:rPr>
          <w:sz w:val="28"/>
        </w:rPr>
        <w:t>под</w:t>
      </w:r>
      <w:r>
        <w:rPr>
          <w:spacing w:val="-10"/>
          <w:sz w:val="28"/>
        </w:rPr>
        <w:t xml:space="preserve"> </w:t>
      </w:r>
      <w:r>
        <w:rPr>
          <w:sz w:val="28"/>
        </w:rPr>
        <w:t>ультразвуковым</w:t>
      </w:r>
      <w:r>
        <w:rPr>
          <w:spacing w:val="-10"/>
          <w:sz w:val="28"/>
        </w:rPr>
        <w:t xml:space="preserve"> </w:t>
      </w:r>
      <w:r>
        <w:rPr>
          <w:spacing w:val="-2"/>
          <w:sz w:val="28"/>
        </w:rPr>
        <w:t>наведением;</w:t>
      </w:r>
    </w:p>
    <w:p w14:paraId="4B865CED">
      <w:pPr>
        <w:pStyle w:val="10"/>
        <w:numPr>
          <w:ilvl w:val="0"/>
          <w:numId w:val="26"/>
        </w:numPr>
        <w:tabs>
          <w:tab w:val="left" w:pos="779"/>
        </w:tabs>
        <w:ind w:left="0" w:right="3" w:firstLine="709"/>
        <w:rPr>
          <w:sz w:val="28"/>
        </w:rPr>
      </w:pPr>
      <w:r>
        <w:rPr>
          <w:sz w:val="28"/>
        </w:rPr>
        <w:t>интервенционные процедуры, включая ангиографическую эмболизацию источника кровотечения.</w:t>
      </w:r>
    </w:p>
    <w:p w14:paraId="7CA7D10D">
      <w:pPr>
        <w:pStyle w:val="7"/>
        <w:ind w:left="0" w:right="3" w:firstLine="709"/>
      </w:pPr>
      <w:r>
        <w:t>В случае отсутствия эффекта от малоинвазивных методов проводится релапаротомия, направленная на санацию брюшной полости, ревизию и остановку внутрибрюшного кровотечения.</w:t>
      </w:r>
    </w:p>
    <w:p w14:paraId="4D0BE193">
      <w:pPr>
        <w:pStyle w:val="7"/>
        <w:ind w:left="0" w:right="3" w:firstLine="709"/>
      </w:pPr>
      <w:r>
        <w:t>Предложенный алгоритм позволяет стандартизировать маршрутизацию пациентов с ПС после ГПДР, обеспечить своевременную диагностику и рациональное</w:t>
      </w:r>
      <w:r>
        <w:rPr>
          <w:spacing w:val="-18"/>
        </w:rPr>
        <w:t xml:space="preserve"> </w:t>
      </w:r>
      <w:r>
        <w:t>применение</w:t>
      </w:r>
      <w:r>
        <w:rPr>
          <w:spacing w:val="-17"/>
        </w:rPr>
        <w:t xml:space="preserve"> </w:t>
      </w:r>
      <w:r>
        <w:t>консервативных,</w:t>
      </w:r>
      <w:r>
        <w:rPr>
          <w:spacing w:val="-18"/>
        </w:rPr>
        <w:t xml:space="preserve"> </w:t>
      </w:r>
      <w:r>
        <w:t>эндоскопических,</w:t>
      </w:r>
      <w:r>
        <w:rPr>
          <w:spacing w:val="-17"/>
        </w:rPr>
        <w:t xml:space="preserve"> </w:t>
      </w:r>
      <w:r>
        <w:t>интервенционных и хирургических методов лечения. Его внедрение способствует снижению частоты послеоперационных осложнений, уменьшению летальности и улучшению непосредственных и отдалённых результатов лечения пациентов с опухолями периампулярной зоны.</w:t>
      </w:r>
    </w:p>
    <w:p w14:paraId="5BD995FF">
      <w:pPr>
        <w:pStyle w:val="7"/>
        <w:ind w:left="0" w:right="3" w:firstLine="709"/>
      </w:pPr>
      <w:r>
        <w:t>Резюмируя, в работе разработан и внедрён алгоритм профилактики и лечения ПС после ГПДР, основанный на индивидуальной оценке анатомо- тканевых факторов риска и дифференцированном выборе хирургической тактики. Алгоритм предусматривает предоперационную стратификацию риска, обоснованный выбор техники ПЕА и стандартизированное послеоперационное ведение с динамическим контролем ААД. Применение данного подхода сопровождалось снижением частоты КЗ-ПС и улучшением непосредственных результатов хирургического лечения, что обосновывает целесообразность его использования в практике специализированных хирургических и онкологических центров.</w:t>
      </w:r>
    </w:p>
    <w:p w14:paraId="455C506C">
      <w:pPr>
        <w:pStyle w:val="7"/>
        <w:sectPr>
          <w:pgSz w:w="11910" w:h="16840"/>
          <w:pgMar w:top="1134" w:right="567" w:bottom="1134" w:left="1701" w:header="0" w:footer="936" w:gutter="0"/>
          <w:cols w:space="720" w:num="1"/>
        </w:sectPr>
      </w:pPr>
    </w:p>
    <w:p w14:paraId="01861196">
      <w:pPr>
        <w:pStyle w:val="7"/>
        <w:ind w:left="134" w:firstLine="0"/>
        <w:jc w:val="left"/>
        <w:rPr>
          <w:sz w:val="20"/>
        </w:rPr>
      </w:pPr>
      <w:r>
        <w:rPr>
          <w:sz w:val="20"/>
          <w:lang w:eastAsia="ru-RU"/>
        </w:rPr>
        <w:drawing>
          <wp:inline distT="0" distB="0" distL="0" distR="0">
            <wp:extent cx="8375015" cy="5469890"/>
            <wp:effectExtent l="0" t="0" r="0" b="0"/>
            <wp:docPr id="208" name="Image 208"/>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73" cstate="print"/>
                    <a:stretch>
                      <a:fillRect/>
                    </a:stretch>
                  </pic:blipFill>
                  <pic:spPr>
                    <a:xfrm>
                      <a:off x="0" y="0"/>
                      <a:ext cx="8375496" cy="5470112"/>
                    </a:xfrm>
                    <a:prstGeom prst="rect">
                      <a:avLst/>
                    </a:prstGeom>
                  </pic:spPr>
                </pic:pic>
              </a:graphicData>
            </a:graphic>
          </wp:inline>
        </w:drawing>
      </w:r>
    </w:p>
    <w:p w14:paraId="0F5D4C83">
      <w:pPr>
        <w:pStyle w:val="7"/>
        <w:spacing w:before="66"/>
        <w:ind w:left="0" w:firstLine="0"/>
        <w:jc w:val="left"/>
      </w:pPr>
    </w:p>
    <w:p w14:paraId="094CE6BB">
      <w:pPr>
        <w:pStyle w:val="7"/>
        <w:ind w:left="1531" w:firstLine="0"/>
        <w:jc w:val="left"/>
      </w:pPr>
      <w:r>
        <w:t>Рисунок</w:t>
      </w:r>
      <w:r>
        <w:rPr>
          <w:spacing w:val="-12"/>
        </w:rPr>
        <w:t xml:space="preserve"> </w:t>
      </w:r>
      <w:r>
        <w:t>35</w:t>
      </w:r>
      <w:r>
        <w:rPr>
          <w:spacing w:val="-10"/>
        </w:rPr>
        <w:t xml:space="preserve"> </w:t>
      </w:r>
      <w:r>
        <w:t>-</w:t>
      </w:r>
      <w:r>
        <w:rPr>
          <w:spacing w:val="-7"/>
        </w:rPr>
        <w:t xml:space="preserve"> </w:t>
      </w:r>
      <w:r>
        <w:t>Алгоритм</w:t>
      </w:r>
      <w:r>
        <w:rPr>
          <w:spacing w:val="-9"/>
        </w:rPr>
        <w:t xml:space="preserve"> </w:t>
      </w:r>
      <w:r>
        <w:t>профилактики</w:t>
      </w:r>
      <w:r>
        <w:rPr>
          <w:spacing w:val="-7"/>
        </w:rPr>
        <w:t xml:space="preserve"> </w:t>
      </w:r>
      <w:r>
        <w:t>ПС</w:t>
      </w:r>
      <w:r>
        <w:rPr>
          <w:spacing w:val="-9"/>
        </w:rPr>
        <w:t xml:space="preserve"> </w:t>
      </w:r>
      <w:r>
        <w:t>после</w:t>
      </w:r>
      <w:r>
        <w:rPr>
          <w:spacing w:val="-10"/>
        </w:rPr>
        <w:t xml:space="preserve"> </w:t>
      </w:r>
      <w:r>
        <w:t>ГПДР</w:t>
      </w:r>
      <w:r>
        <w:rPr>
          <w:spacing w:val="-11"/>
        </w:rPr>
        <w:t xml:space="preserve"> </w:t>
      </w:r>
      <w:r>
        <w:t>при</w:t>
      </w:r>
      <w:r>
        <w:rPr>
          <w:spacing w:val="-11"/>
        </w:rPr>
        <w:t xml:space="preserve"> </w:t>
      </w:r>
      <w:r>
        <w:t>опухолях</w:t>
      </w:r>
      <w:r>
        <w:rPr>
          <w:spacing w:val="-14"/>
        </w:rPr>
        <w:t xml:space="preserve"> </w:t>
      </w:r>
      <w:r>
        <w:t>периампулярной</w:t>
      </w:r>
      <w:r>
        <w:rPr>
          <w:spacing w:val="-11"/>
        </w:rPr>
        <w:t xml:space="preserve"> </w:t>
      </w:r>
      <w:r>
        <w:rPr>
          <w:spacing w:val="-4"/>
        </w:rPr>
        <w:t>зоны</w:t>
      </w:r>
    </w:p>
    <w:p w14:paraId="663C4832">
      <w:pPr>
        <w:pStyle w:val="7"/>
        <w:jc w:val="left"/>
        <w:sectPr>
          <w:footerReference r:id="rId9" w:type="default"/>
          <w:pgSz w:w="16840" w:h="11910" w:orient="landscape"/>
          <w:pgMar w:top="1060" w:right="1559" w:bottom="1200" w:left="1417" w:header="0" w:footer="1005" w:gutter="0"/>
          <w:cols w:space="720" w:num="1"/>
        </w:sectPr>
      </w:pPr>
    </w:p>
    <w:p w14:paraId="31AA8776">
      <w:pPr>
        <w:pStyle w:val="7"/>
        <w:spacing w:before="10"/>
        <w:ind w:left="0" w:firstLine="0"/>
        <w:jc w:val="left"/>
        <w:rPr>
          <w:sz w:val="14"/>
        </w:rPr>
      </w:pPr>
    </w:p>
    <w:p w14:paraId="761B7B34">
      <w:pPr>
        <w:pStyle w:val="7"/>
        <w:ind w:left="426" w:firstLine="0"/>
        <w:jc w:val="left"/>
        <w:rPr>
          <w:sz w:val="20"/>
        </w:rPr>
      </w:pPr>
      <w:r>
        <w:rPr>
          <w:sz w:val="20"/>
          <w:lang w:eastAsia="ru-RU"/>
        </w:rPr>
        <w:drawing>
          <wp:inline distT="0" distB="0" distL="0" distR="0">
            <wp:extent cx="8451215" cy="5258435"/>
            <wp:effectExtent l="0" t="0" r="0" b="0"/>
            <wp:docPr id="210" name="Image 210"/>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74" cstate="print"/>
                    <a:stretch>
                      <a:fillRect/>
                    </a:stretch>
                  </pic:blipFill>
                  <pic:spPr>
                    <a:xfrm>
                      <a:off x="0" y="0"/>
                      <a:ext cx="8451572" cy="5258943"/>
                    </a:xfrm>
                    <a:prstGeom prst="rect">
                      <a:avLst/>
                    </a:prstGeom>
                  </pic:spPr>
                </pic:pic>
              </a:graphicData>
            </a:graphic>
          </wp:inline>
        </w:drawing>
      </w:r>
    </w:p>
    <w:p w14:paraId="175262B8">
      <w:pPr>
        <w:pStyle w:val="7"/>
        <w:spacing w:before="140"/>
        <w:ind w:left="0" w:firstLine="0"/>
        <w:jc w:val="left"/>
      </w:pPr>
    </w:p>
    <w:p w14:paraId="4EA1E4D1">
      <w:pPr>
        <w:pStyle w:val="7"/>
        <w:ind w:left="123" w:right="-878" w:firstLine="0"/>
        <w:jc w:val="center"/>
      </w:pPr>
      <w:r>
        <w:t>Рисунок</w:t>
      </w:r>
      <w:r>
        <w:rPr>
          <w:spacing w:val="-12"/>
        </w:rPr>
        <w:t xml:space="preserve"> </w:t>
      </w:r>
      <w:r>
        <w:t>36</w:t>
      </w:r>
      <w:r>
        <w:rPr>
          <w:spacing w:val="-9"/>
        </w:rPr>
        <w:t xml:space="preserve"> </w:t>
      </w:r>
      <w:r>
        <w:t>-</w:t>
      </w:r>
      <w:r>
        <w:rPr>
          <w:spacing w:val="-7"/>
        </w:rPr>
        <w:t xml:space="preserve"> </w:t>
      </w:r>
      <w:r>
        <w:t>Алгоритм</w:t>
      </w:r>
      <w:r>
        <w:rPr>
          <w:spacing w:val="-8"/>
        </w:rPr>
        <w:t xml:space="preserve"> </w:t>
      </w:r>
      <w:r>
        <w:t>лечения</w:t>
      </w:r>
      <w:r>
        <w:rPr>
          <w:spacing w:val="-9"/>
        </w:rPr>
        <w:t xml:space="preserve"> </w:t>
      </w:r>
      <w:r>
        <w:t>ПС</w:t>
      </w:r>
      <w:r>
        <w:rPr>
          <w:spacing w:val="-10"/>
        </w:rPr>
        <w:t xml:space="preserve"> </w:t>
      </w:r>
      <w:r>
        <w:t>после</w:t>
      </w:r>
      <w:r>
        <w:rPr>
          <w:spacing w:val="-9"/>
        </w:rPr>
        <w:t xml:space="preserve"> </w:t>
      </w:r>
      <w:r>
        <w:t>ГПДР</w:t>
      </w:r>
      <w:r>
        <w:rPr>
          <w:spacing w:val="-11"/>
        </w:rPr>
        <w:t xml:space="preserve"> </w:t>
      </w:r>
      <w:r>
        <w:t>при</w:t>
      </w:r>
      <w:r>
        <w:rPr>
          <w:spacing w:val="-10"/>
        </w:rPr>
        <w:t xml:space="preserve"> </w:t>
      </w:r>
      <w:r>
        <w:t>опухолях</w:t>
      </w:r>
      <w:r>
        <w:rPr>
          <w:spacing w:val="-14"/>
        </w:rPr>
        <w:t xml:space="preserve"> </w:t>
      </w:r>
      <w:r>
        <w:t>периампулярной</w:t>
      </w:r>
      <w:r>
        <w:rPr>
          <w:spacing w:val="-10"/>
        </w:rPr>
        <w:t xml:space="preserve"> </w:t>
      </w:r>
      <w:r>
        <w:rPr>
          <w:spacing w:val="-4"/>
        </w:rPr>
        <w:t>зоны</w:t>
      </w:r>
    </w:p>
    <w:p w14:paraId="33D3F3B4">
      <w:pPr>
        <w:pStyle w:val="7"/>
        <w:jc w:val="center"/>
        <w:sectPr>
          <w:footerReference r:id="rId10" w:type="default"/>
          <w:pgSz w:w="16840" w:h="11910" w:orient="landscape"/>
          <w:pgMar w:top="1340" w:right="1559" w:bottom="880" w:left="1417" w:header="0" w:footer="681" w:gutter="0"/>
          <w:cols w:space="720" w:num="1"/>
        </w:sectPr>
      </w:pPr>
    </w:p>
    <w:p w14:paraId="653908B2">
      <w:pPr>
        <w:pStyle w:val="2"/>
        <w:tabs>
          <w:tab w:val="left" w:pos="903"/>
        </w:tabs>
        <w:spacing w:before="0"/>
        <w:ind w:left="-1032" w:firstLine="1741"/>
        <w:jc w:val="both"/>
        <w:rPr>
          <w:b w:val="0"/>
          <w:bCs w:val="0"/>
        </w:rPr>
      </w:pPr>
      <w:r>
        <w:rPr>
          <w:b w:val="0"/>
          <w:bCs w:val="0"/>
          <w:spacing w:val="-2"/>
        </w:rPr>
        <w:t>Обсуждение</w:t>
      </w:r>
    </w:p>
    <w:p w14:paraId="580F795E">
      <w:pPr>
        <w:pStyle w:val="7"/>
        <w:tabs>
          <w:tab w:val="left" w:pos="7513"/>
        </w:tabs>
        <w:ind w:left="0" w:right="3" w:firstLine="709"/>
      </w:pPr>
      <w:r>
        <w:t>ГПДР на сегодняшний день остаётся общепринятым и наиболее результативным методом хирургического лечения опухолей периампулярной зоны. Однако, несмотря на значительный прогресс в совершенствовании оперативной техники, анестезиологического сопровождения и послеоперационного ведения пациентов, частота возникновения одного из наиболее тяжёлых и клинически значимых осложнений - панкреатических свищей, остается высокой. Данное осложнение существенно влияет на исходы хирургического вмешательства, удлиняет сроки госпитализации, повышает частоту повторных операций и является одним из ключевых факторов, определяющих уровень послеоперационной летальности.</w:t>
      </w:r>
    </w:p>
    <w:p w14:paraId="64AFE9C8">
      <w:pPr>
        <w:pStyle w:val="7"/>
        <w:spacing w:before="2"/>
        <w:ind w:left="0" w:right="3" w:firstLine="709"/>
      </w:pPr>
      <w:r>
        <w:t>Результаты проведённого анализа свидетельствуют о том, что эпидемиология опухолей периампулярной зоны в Республике Казахстан характеризуется умеренной межгодовой вариабельностью при выраженной территориальной неоднородности выявляемости. Крупные мегаполисы играют ключевую роль в диагностике и лечении данной категории пациентов, аккумулируя основную долю онкологической нагрузки и подавляющее большинство высокотехнологичных хирургических вмешательств.</w:t>
      </w:r>
    </w:p>
    <w:p w14:paraId="4BA8874E">
      <w:pPr>
        <w:pStyle w:val="7"/>
        <w:spacing w:before="3"/>
        <w:ind w:left="0" w:right="3" w:firstLine="709"/>
      </w:pPr>
      <w:r>
        <w:t>Анализ</w:t>
      </w:r>
      <w:r>
        <w:rPr>
          <w:spacing w:val="-7"/>
        </w:rPr>
        <w:t xml:space="preserve"> </w:t>
      </w:r>
      <w:r>
        <w:t>данных</w:t>
      </w:r>
      <w:r>
        <w:rPr>
          <w:spacing w:val="-12"/>
        </w:rPr>
        <w:t xml:space="preserve"> </w:t>
      </w:r>
      <w:r>
        <w:t>по</w:t>
      </w:r>
      <w:r>
        <w:rPr>
          <w:spacing w:val="-7"/>
        </w:rPr>
        <w:t xml:space="preserve"> </w:t>
      </w:r>
      <w:r>
        <w:t>опухолям</w:t>
      </w:r>
      <w:r>
        <w:rPr>
          <w:spacing w:val="-6"/>
        </w:rPr>
        <w:t xml:space="preserve"> </w:t>
      </w:r>
      <w:r>
        <w:t>периампулярной</w:t>
      </w:r>
      <w:r>
        <w:rPr>
          <w:spacing w:val="-8"/>
        </w:rPr>
        <w:t xml:space="preserve"> </w:t>
      </w:r>
      <w:r>
        <w:t>зоны</w:t>
      </w:r>
      <w:r>
        <w:rPr>
          <w:spacing w:val="-2"/>
        </w:rPr>
        <w:t xml:space="preserve"> </w:t>
      </w:r>
      <w:r>
        <w:t>в</w:t>
      </w:r>
      <w:r>
        <w:rPr>
          <w:spacing w:val="-9"/>
        </w:rPr>
        <w:t xml:space="preserve"> </w:t>
      </w:r>
      <w:r>
        <w:t>Республике</w:t>
      </w:r>
      <w:r>
        <w:rPr>
          <w:spacing w:val="-7"/>
        </w:rPr>
        <w:t xml:space="preserve"> </w:t>
      </w:r>
      <w:r>
        <w:t xml:space="preserve">Казахстан за 2022–2025 гг. выявил выраженную межрегиональную неоднородность выявляемости и чёткую централизацию диагностики и хирургического лечения в крупнейших городах страны — Алматы, Астана и Шымкент. Общее число зарегистрированных случаев варьировало от 3066 в 2022 г. до 2840 в 2025 г., с умеренным снижением в последние годы наблюдения, что при стабильной структуре локализаций, вероятнее отражает организационные особенности маршрутизации и доступности диагностики, чем истинные колебания </w:t>
      </w:r>
      <w:r>
        <w:rPr>
          <w:spacing w:val="-2"/>
        </w:rPr>
        <w:t>заболеваемости.</w:t>
      </w:r>
    </w:p>
    <w:p w14:paraId="1B5B9986">
      <w:pPr>
        <w:pStyle w:val="7"/>
        <w:ind w:left="0" w:right="3" w:firstLine="709"/>
      </w:pPr>
      <w:r>
        <w:t xml:space="preserve">Во всех регионах доминировали опухоли ГПЖ, далее следовали опухоли БДС и ТОХ, при минимальной доле опухолей ДПК. Наибольшее абсолютное число случаев по всем локализациям регистрировалось в мегаполисах, что подтверждает концентрацию диагностических потоков и специализированных </w:t>
      </w:r>
      <w:r>
        <w:rPr>
          <w:spacing w:val="-2"/>
        </w:rPr>
        <w:t>ресурсов.</w:t>
      </w:r>
    </w:p>
    <w:p w14:paraId="241D6985">
      <w:pPr>
        <w:pStyle w:val="7"/>
        <w:spacing w:before="1"/>
        <w:ind w:left="0" w:right="3" w:firstLine="709"/>
      </w:pPr>
      <w:r>
        <w:t>Изучение объёма выполнения ГПДР</w:t>
      </w:r>
      <w:r>
        <w:rPr>
          <w:spacing w:val="-1"/>
        </w:rPr>
        <w:t xml:space="preserve"> </w:t>
      </w:r>
      <w:r>
        <w:t>показало выраженную</w:t>
      </w:r>
      <w:r>
        <w:rPr>
          <w:spacing w:val="-2"/>
        </w:rPr>
        <w:t xml:space="preserve"> </w:t>
      </w:r>
      <w:r>
        <w:t>централизацию высокотехнологичной хирургической помощи. В 2022–2024 гг. отмечался рост числа</w:t>
      </w:r>
      <w:r>
        <w:rPr>
          <w:spacing w:val="-7"/>
        </w:rPr>
        <w:t xml:space="preserve"> </w:t>
      </w:r>
      <w:r>
        <w:t>операций</w:t>
      </w:r>
      <w:r>
        <w:rPr>
          <w:spacing w:val="-9"/>
        </w:rPr>
        <w:t xml:space="preserve"> </w:t>
      </w:r>
      <w:r>
        <w:t>(с</w:t>
      </w:r>
      <w:r>
        <w:rPr>
          <w:spacing w:val="-8"/>
        </w:rPr>
        <w:t xml:space="preserve"> </w:t>
      </w:r>
      <w:r>
        <w:t>145</w:t>
      </w:r>
      <w:r>
        <w:rPr>
          <w:spacing w:val="-13"/>
        </w:rPr>
        <w:t xml:space="preserve"> </w:t>
      </w:r>
      <w:r>
        <w:t>до</w:t>
      </w:r>
      <w:r>
        <w:rPr>
          <w:spacing w:val="-8"/>
        </w:rPr>
        <w:t xml:space="preserve"> </w:t>
      </w:r>
      <w:r>
        <w:t>175),</w:t>
      </w:r>
      <w:r>
        <w:rPr>
          <w:spacing w:val="-11"/>
        </w:rPr>
        <w:t xml:space="preserve"> </w:t>
      </w:r>
      <w:r>
        <w:t>с</w:t>
      </w:r>
      <w:r>
        <w:rPr>
          <w:spacing w:val="-12"/>
        </w:rPr>
        <w:t xml:space="preserve"> </w:t>
      </w:r>
      <w:r>
        <w:t>последующим</w:t>
      </w:r>
      <w:r>
        <w:rPr>
          <w:spacing w:val="-8"/>
        </w:rPr>
        <w:t xml:space="preserve"> </w:t>
      </w:r>
      <w:r>
        <w:t>снижением</w:t>
      </w:r>
      <w:r>
        <w:rPr>
          <w:spacing w:val="-7"/>
        </w:rPr>
        <w:t xml:space="preserve"> </w:t>
      </w:r>
      <w:r>
        <w:t>до</w:t>
      </w:r>
      <w:r>
        <w:rPr>
          <w:spacing w:val="-13"/>
        </w:rPr>
        <w:t xml:space="preserve"> </w:t>
      </w:r>
      <w:r>
        <w:t>133</w:t>
      </w:r>
      <w:r>
        <w:rPr>
          <w:spacing w:val="-8"/>
        </w:rPr>
        <w:t xml:space="preserve"> </w:t>
      </w:r>
      <w:r>
        <w:t>в</w:t>
      </w:r>
      <w:r>
        <w:rPr>
          <w:spacing w:val="-10"/>
        </w:rPr>
        <w:t xml:space="preserve"> </w:t>
      </w:r>
      <w:r>
        <w:t>2025</w:t>
      </w:r>
      <w:r>
        <w:rPr>
          <w:spacing w:val="-13"/>
        </w:rPr>
        <w:t xml:space="preserve"> </w:t>
      </w:r>
      <w:r>
        <w:t>г.</w:t>
      </w:r>
      <w:r>
        <w:rPr>
          <w:spacing w:val="-11"/>
        </w:rPr>
        <w:t xml:space="preserve"> </w:t>
      </w:r>
      <w:r>
        <w:t>Более 70% всех вмешательств ежегодно выполнялись в Алматы и Астане, тогда как в большинстве областей операции носили единичный характер. Такая структура отражает зависимость выполнения сложных панкреатодуоденальных вмешательств от организационных возможностей, наличия мультидисциплинарной команды и накопленного опыта.</w:t>
      </w:r>
    </w:p>
    <w:p w14:paraId="1765E3DE">
      <w:pPr>
        <w:pStyle w:val="7"/>
        <w:ind w:left="0" w:right="3" w:firstLine="709"/>
      </w:pPr>
      <w:r>
        <w:t>Показатель послеоперационной летальности снизился с 6,2% в 2022 г. до 3,0% в 2025 г. При этом в высокообъёмных центрах летальность отличалась большей стабильностью, тогда как в регионах с малым числом операций относительные</w:t>
      </w:r>
      <w:r>
        <w:rPr>
          <w:spacing w:val="36"/>
        </w:rPr>
        <w:t xml:space="preserve"> </w:t>
      </w:r>
      <w:r>
        <w:t>показатели</w:t>
      </w:r>
      <w:r>
        <w:rPr>
          <w:spacing w:val="34"/>
        </w:rPr>
        <w:t xml:space="preserve"> </w:t>
      </w:r>
      <w:r>
        <w:t>существенно</w:t>
      </w:r>
      <w:r>
        <w:rPr>
          <w:spacing w:val="39"/>
        </w:rPr>
        <w:t xml:space="preserve"> </w:t>
      </w:r>
      <w:r>
        <w:t>варьировали.</w:t>
      </w:r>
      <w:r>
        <w:rPr>
          <w:spacing w:val="36"/>
        </w:rPr>
        <w:t xml:space="preserve"> </w:t>
      </w:r>
      <w:r>
        <w:t>Это</w:t>
      </w:r>
      <w:r>
        <w:rPr>
          <w:spacing w:val="34"/>
        </w:rPr>
        <w:t xml:space="preserve"> </w:t>
      </w:r>
      <w:r>
        <w:t>подтверждает</w:t>
      </w:r>
      <w:r>
        <w:rPr>
          <w:spacing w:val="33"/>
        </w:rPr>
        <w:t xml:space="preserve"> </w:t>
      </w:r>
      <w:r>
        <w:t>связь</w:t>
      </w:r>
    </w:p>
    <w:p w14:paraId="3AE3793D">
      <w:pPr>
        <w:pStyle w:val="7"/>
        <w:sectPr>
          <w:footerReference r:id="rId11" w:type="default"/>
          <w:pgSz w:w="11910" w:h="16840"/>
          <w:pgMar w:top="1134" w:right="567" w:bottom="1134" w:left="1701" w:header="0" w:footer="936" w:gutter="0"/>
          <w:pgNumType w:start="126"/>
          <w:cols w:space="720" w:num="1"/>
        </w:sectPr>
      </w:pPr>
    </w:p>
    <w:p w14:paraId="43AEFED7">
      <w:pPr>
        <w:pStyle w:val="7"/>
        <w:spacing w:before="67"/>
        <w:ind w:left="0" w:right="3" w:firstLine="0"/>
      </w:pPr>
      <w:r>
        <w:t>хирургических исходов с объёмом выполняемых вмешательств и клиническую целесообразность централизации ГПДР.</w:t>
      </w:r>
    </w:p>
    <w:p w14:paraId="2B73443D">
      <w:pPr>
        <w:pStyle w:val="7"/>
        <w:ind w:left="0" w:right="3" w:firstLine="709"/>
      </w:pPr>
      <w:r>
        <w:t>Сравнение результатов между ННЦХ имени А.Н. Сызганова и ННОЦ показало</w:t>
      </w:r>
      <w:r>
        <w:rPr>
          <w:spacing w:val="-16"/>
        </w:rPr>
        <w:t xml:space="preserve"> </w:t>
      </w:r>
      <w:r>
        <w:t>сопоставимость</w:t>
      </w:r>
      <w:r>
        <w:rPr>
          <w:spacing w:val="-18"/>
        </w:rPr>
        <w:t xml:space="preserve"> </w:t>
      </w:r>
      <w:r>
        <w:t>пациентов</w:t>
      </w:r>
      <w:r>
        <w:rPr>
          <w:spacing w:val="-17"/>
        </w:rPr>
        <w:t xml:space="preserve"> </w:t>
      </w:r>
      <w:r>
        <w:t>по</w:t>
      </w:r>
      <w:r>
        <w:rPr>
          <w:spacing w:val="-16"/>
        </w:rPr>
        <w:t xml:space="preserve"> </w:t>
      </w:r>
      <w:r>
        <w:t>возрасту,</w:t>
      </w:r>
      <w:r>
        <w:rPr>
          <w:spacing w:val="-14"/>
        </w:rPr>
        <w:t xml:space="preserve"> </w:t>
      </w:r>
      <w:r>
        <w:t>полу,</w:t>
      </w:r>
      <w:r>
        <w:rPr>
          <w:spacing w:val="-14"/>
        </w:rPr>
        <w:t xml:space="preserve"> </w:t>
      </w:r>
      <w:r>
        <w:t>анатомическим</w:t>
      </w:r>
      <w:r>
        <w:rPr>
          <w:spacing w:val="-15"/>
        </w:rPr>
        <w:t xml:space="preserve"> </w:t>
      </w:r>
      <w:r>
        <w:t xml:space="preserve">факторам риска и структуре локализаций. Отличие заключалось в большей длительности операций в Алматы при сопоставимой кровопотере. В то же время в Астане регистрировалась более высокая частота КЗ-ПС и релапаротомий. Структура причин летальности в обоих центрах была сходной и определялась преимущественно аррозивными кровотечениями и тяжёлым панкреатическим </w:t>
      </w:r>
      <w:r>
        <w:rPr>
          <w:spacing w:val="-2"/>
        </w:rPr>
        <w:t>свищом.</w:t>
      </w:r>
    </w:p>
    <w:p w14:paraId="000DB29A">
      <w:pPr>
        <w:pStyle w:val="7"/>
        <w:tabs>
          <w:tab w:val="left" w:pos="1259"/>
          <w:tab w:val="left" w:pos="1479"/>
          <w:tab w:val="left" w:pos="2420"/>
          <w:tab w:val="left" w:pos="2861"/>
          <w:tab w:val="left" w:pos="3307"/>
          <w:tab w:val="left" w:pos="3700"/>
          <w:tab w:val="left" w:pos="3994"/>
          <w:tab w:val="left" w:pos="4136"/>
          <w:tab w:val="left" w:pos="4511"/>
          <w:tab w:val="left" w:pos="4866"/>
          <w:tab w:val="left" w:pos="5411"/>
          <w:tab w:val="left" w:pos="6027"/>
          <w:tab w:val="left" w:pos="6492"/>
          <w:tab w:val="left" w:pos="7652"/>
          <w:tab w:val="left" w:pos="7696"/>
          <w:tab w:val="left" w:pos="7976"/>
          <w:tab w:val="left" w:pos="8016"/>
          <w:tab w:val="left" w:pos="8118"/>
          <w:tab w:val="left" w:pos="8498"/>
        </w:tabs>
        <w:spacing w:before="3"/>
        <w:ind w:left="0" w:right="3"/>
      </w:pPr>
      <w:r>
        <w:rPr>
          <w:spacing w:val="-10"/>
        </w:rPr>
        <w:t xml:space="preserve"> В</w:t>
      </w:r>
      <w:r>
        <w:tab/>
      </w:r>
      <w:r>
        <w:rPr>
          <w:spacing w:val="-2"/>
        </w:rPr>
        <w:t>целом,</w:t>
      </w:r>
      <w:r>
        <w:tab/>
      </w:r>
      <w:r>
        <w:rPr>
          <w:spacing w:val="-62"/>
        </w:rPr>
        <w:t xml:space="preserve"> </w:t>
      </w:r>
      <w:r>
        <w:rPr>
          <w:spacing w:val="-2"/>
        </w:rPr>
        <w:t>результаты</w:t>
      </w:r>
      <w:r>
        <w:tab/>
      </w:r>
      <w:r>
        <w:tab/>
      </w:r>
      <w:r>
        <w:rPr>
          <w:spacing w:val="-2"/>
        </w:rPr>
        <w:t>раздела</w:t>
      </w:r>
      <w:r>
        <w:tab/>
      </w:r>
      <w:r>
        <w:rPr>
          <w:spacing w:val="-2"/>
        </w:rPr>
        <w:t>демонстрируют</w:t>
      </w:r>
      <w:r>
        <w:t xml:space="preserve"> </w:t>
      </w:r>
      <w:r>
        <w:rPr>
          <w:spacing w:val="-2"/>
        </w:rPr>
        <w:t xml:space="preserve">территориальную </w:t>
      </w:r>
      <w:r>
        <w:t>неоднородность выявляемости опухолей периампулярной зоны, концентрацию диагностики и хирургической помощи в</w:t>
      </w:r>
      <w:r>
        <w:rPr>
          <w:spacing w:val="-6"/>
        </w:rPr>
        <w:t xml:space="preserve"> </w:t>
      </w:r>
      <w:r>
        <w:t>крупных</w:t>
      </w:r>
      <w:r>
        <w:rPr>
          <w:spacing w:val="-5"/>
        </w:rPr>
        <w:t xml:space="preserve"> </w:t>
      </w:r>
      <w:r>
        <w:t>городах, зависимость</w:t>
      </w:r>
      <w:r>
        <w:rPr>
          <w:spacing w:val="-2"/>
        </w:rPr>
        <w:t xml:space="preserve"> </w:t>
      </w:r>
      <w:r>
        <w:t>исходов ГПДР</w:t>
      </w:r>
      <w:r>
        <w:rPr>
          <w:spacing w:val="80"/>
        </w:rPr>
        <w:t xml:space="preserve"> </w:t>
      </w:r>
      <w:r>
        <w:t>от</w:t>
      </w:r>
      <w:r>
        <w:rPr>
          <w:spacing w:val="80"/>
        </w:rPr>
        <w:t xml:space="preserve"> </w:t>
      </w:r>
      <w:r>
        <w:t>объёма</w:t>
      </w:r>
      <w:r>
        <w:rPr>
          <w:spacing w:val="80"/>
        </w:rPr>
        <w:t xml:space="preserve"> </w:t>
      </w:r>
      <w:r>
        <w:t>хирургической</w:t>
      </w:r>
      <w:r>
        <w:rPr>
          <w:spacing w:val="80"/>
        </w:rPr>
        <w:t xml:space="preserve"> </w:t>
      </w:r>
      <w:r>
        <w:t>активности</w:t>
      </w:r>
      <w:r>
        <w:rPr>
          <w:spacing w:val="80"/>
        </w:rPr>
        <w:t xml:space="preserve"> </w:t>
      </w:r>
      <w:r>
        <w:t>центра</w:t>
      </w:r>
      <w:r>
        <w:rPr>
          <w:spacing w:val="80"/>
        </w:rPr>
        <w:t xml:space="preserve"> </w:t>
      </w:r>
      <w:r>
        <w:t>и</w:t>
      </w:r>
      <w:r>
        <w:rPr>
          <w:spacing w:val="80"/>
        </w:rPr>
        <w:t xml:space="preserve"> </w:t>
      </w:r>
      <w:r>
        <w:t>значимость</w:t>
      </w:r>
      <w:r>
        <w:rPr>
          <w:spacing w:val="80"/>
        </w:rPr>
        <w:t xml:space="preserve"> </w:t>
      </w:r>
      <w:r>
        <w:t>анатомо- биохимических предикторов в формировании послеоперационных осложнений. Ретроспективный</w:t>
      </w:r>
      <w:r>
        <w:rPr>
          <w:spacing w:val="40"/>
        </w:rPr>
        <w:t xml:space="preserve"> </w:t>
      </w:r>
      <w:r>
        <w:t>анализ</w:t>
      </w:r>
      <w:r>
        <w:rPr>
          <w:spacing w:val="80"/>
        </w:rPr>
        <w:t xml:space="preserve"> </w:t>
      </w:r>
      <w:r>
        <w:t>208</w:t>
      </w:r>
      <w:r>
        <w:rPr>
          <w:spacing w:val="80"/>
        </w:rPr>
        <w:t xml:space="preserve"> </w:t>
      </w:r>
      <w:r>
        <w:t>пациентов,</w:t>
      </w:r>
      <w:r>
        <w:rPr>
          <w:spacing w:val="80"/>
        </w:rPr>
        <w:t xml:space="preserve"> </w:t>
      </w:r>
      <w:r>
        <w:t>перенёсших</w:t>
      </w:r>
      <w:r>
        <w:rPr>
          <w:spacing w:val="40"/>
        </w:rPr>
        <w:t xml:space="preserve"> </w:t>
      </w:r>
      <w:r>
        <w:t>ГПДР</w:t>
      </w:r>
      <w:r>
        <w:rPr>
          <w:spacing w:val="40"/>
        </w:rPr>
        <w:t xml:space="preserve"> </w:t>
      </w:r>
      <w:r>
        <w:t>по</w:t>
      </w:r>
      <w:r>
        <w:rPr>
          <w:spacing w:val="80"/>
        </w:rPr>
        <w:t xml:space="preserve"> </w:t>
      </w:r>
      <w:r>
        <w:t xml:space="preserve">поводу </w:t>
      </w:r>
      <w:r>
        <w:rPr>
          <w:spacing w:val="-2"/>
        </w:rPr>
        <w:t>опухолей</w:t>
      </w:r>
      <w:r>
        <w:tab/>
      </w:r>
      <w:r>
        <w:tab/>
      </w:r>
      <w:r>
        <w:rPr>
          <w:spacing w:val="-2"/>
        </w:rPr>
        <w:t>периампулярной</w:t>
      </w:r>
      <w:r>
        <w:tab/>
      </w:r>
      <w:r>
        <w:rPr>
          <w:spacing w:val="-4"/>
        </w:rPr>
        <w:t>зоны</w:t>
      </w:r>
      <w:r>
        <w:tab/>
      </w:r>
      <w:r>
        <w:rPr>
          <w:spacing w:val="-10"/>
        </w:rPr>
        <w:t>в</w:t>
      </w:r>
      <w:r>
        <w:tab/>
      </w:r>
      <w:r>
        <w:rPr>
          <w:spacing w:val="-2"/>
        </w:rPr>
        <w:t>Алматы</w:t>
      </w:r>
      <w:r>
        <w:tab/>
      </w:r>
      <w:r>
        <w:rPr>
          <w:spacing w:val="-62"/>
        </w:rPr>
        <w:t xml:space="preserve"> </w:t>
      </w:r>
      <w:r>
        <w:rPr>
          <w:spacing w:val="-2"/>
        </w:rPr>
        <w:t>за</w:t>
      </w:r>
      <w:r>
        <w:tab/>
      </w:r>
      <w:r>
        <w:rPr>
          <w:spacing w:val="-2"/>
        </w:rPr>
        <w:t>2016–2022</w:t>
      </w:r>
      <w:r>
        <w:tab/>
      </w:r>
      <w:r>
        <w:rPr>
          <w:spacing w:val="-4"/>
        </w:rPr>
        <w:t>гг.</w:t>
      </w:r>
      <w:r>
        <w:t xml:space="preserve"> </w:t>
      </w:r>
      <w:r>
        <w:rPr>
          <w:spacing w:val="-2"/>
        </w:rPr>
        <w:t>Проведена комплексная</w:t>
      </w:r>
      <w:r>
        <w:tab/>
      </w:r>
      <w:r>
        <w:rPr>
          <w:spacing w:val="-2"/>
        </w:rPr>
        <w:t>оценка</w:t>
      </w:r>
      <w:r>
        <w:tab/>
      </w:r>
      <w:r>
        <w:tab/>
      </w:r>
      <w:r>
        <w:tab/>
      </w:r>
      <w:r>
        <w:rPr>
          <w:spacing w:val="-2"/>
        </w:rPr>
        <w:t>клинико-демографических,</w:t>
      </w:r>
      <w:r>
        <w:tab/>
      </w:r>
      <w:r>
        <w:tab/>
      </w:r>
      <w:r>
        <w:rPr>
          <w:spacing w:val="-2"/>
        </w:rPr>
        <w:t>лабораторных, интраоперационных</w:t>
      </w:r>
      <w:r>
        <w:tab/>
      </w:r>
      <w:r>
        <w:rPr>
          <w:spacing w:val="-10"/>
        </w:rPr>
        <w:t>и</w:t>
      </w:r>
      <w:r>
        <w:tab/>
      </w:r>
      <w:r>
        <w:rPr>
          <w:spacing w:val="-2"/>
        </w:rPr>
        <w:t>послеоперационных</w:t>
      </w:r>
      <w:r>
        <w:tab/>
      </w:r>
      <w:r>
        <w:rPr>
          <w:spacing w:val="-2"/>
        </w:rPr>
        <w:t>параметров</w:t>
      </w:r>
      <w:r>
        <w:tab/>
      </w:r>
      <w:r>
        <w:tab/>
      </w:r>
      <w:r>
        <w:rPr>
          <w:spacing w:val="-10"/>
        </w:rPr>
        <w:t>с</w:t>
      </w:r>
      <w:r>
        <w:tab/>
      </w:r>
      <w:r>
        <w:rPr>
          <w:spacing w:val="-2"/>
        </w:rPr>
        <w:t>последующей</w:t>
      </w:r>
    </w:p>
    <w:p w14:paraId="28897AA4">
      <w:pPr>
        <w:pStyle w:val="7"/>
        <w:spacing w:before="2"/>
        <w:ind w:left="0" w:firstLine="0"/>
      </w:pPr>
      <w:r>
        <w:t>стратификацией</w:t>
      </w:r>
      <w:r>
        <w:rPr>
          <w:spacing w:val="-9"/>
        </w:rPr>
        <w:t xml:space="preserve"> </w:t>
      </w:r>
      <w:r>
        <w:t>по</w:t>
      </w:r>
      <w:r>
        <w:rPr>
          <w:spacing w:val="-10"/>
        </w:rPr>
        <w:t xml:space="preserve"> </w:t>
      </w:r>
      <w:r>
        <w:t>консистенции</w:t>
      </w:r>
      <w:r>
        <w:rPr>
          <w:spacing w:val="-5"/>
        </w:rPr>
        <w:t xml:space="preserve"> </w:t>
      </w:r>
      <w:r>
        <w:t>ПЖ</w:t>
      </w:r>
      <w:r>
        <w:rPr>
          <w:spacing w:val="-9"/>
        </w:rPr>
        <w:t xml:space="preserve"> </w:t>
      </w:r>
      <w:r>
        <w:t>и</w:t>
      </w:r>
      <w:r>
        <w:rPr>
          <w:spacing w:val="-5"/>
        </w:rPr>
        <w:t xml:space="preserve"> </w:t>
      </w:r>
      <w:r>
        <w:t>диаметру</w:t>
      </w:r>
      <w:r>
        <w:rPr>
          <w:spacing w:val="-9"/>
        </w:rPr>
        <w:t xml:space="preserve"> </w:t>
      </w:r>
      <w:r>
        <w:rPr>
          <w:spacing w:val="-5"/>
        </w:rPr>
        <w:t>ПП.</w:t>
      </w:r>
    </w:p>
    <w:p w14:paraId="3D329E00">
      <w:pPr>
        <w:pStyle w:val="7"/>
        <w:ind w:left="0" w:right="3"/>
      </w:pPr>
      <w:r>
        <w:t>Когорта характеризовалась медианным возрастом 59 лет и преобладанием женщин (58,2%). Почти у половины пациентов имелась ишемическая болезнь сердца, у пятой части — сахарный диабет. У 61,1% больных до операции выполнялось дренирование жёлчных путей, что отражает высокую частоту механической желтухи. В структуре локализаций доминировали опухоли ГПЖ (55,8%) и БДС (37,5%). Преобладающим типом реконструкции являлся стандартный ПЕА (86,1%).</w:t>
      </w:r>
    </w:p>
    <w:p w14:paraId="59E444DC">
      <w:pPr>
        <w:pStyle w:val="7"/>
        <w:ind w:left="0" w:right="3"/>
      </w:pPr>
      <w:r>
        <w:t>Интраоперационно медианная длительность вмешательства составила 390 минут при кровопотере 255 мл. В 20,2% случаев потребовалась резекция магистральных сосудов, что указывает на значительную долю погранично- резектабельных форм. Общая частота послеоперационных осложнений достигала 50,5%. КЗ-ПС развились у 25,0% пациентов. Госпитальная летальность</w:t>
      </w:r>
      <w:r>
        <w:rPr>
          <w:spacing w:val="-5"/>
        </w:rPr>
        <w:t xml:space="preserve"> </w:t>
      </w:r>
      <w:r>
        <w:t>составила</w:t>
      </w:r>
      <w:r>
        <w:rPr>
          <w:spacing w:val="-6"/>
        </w:rPr>
        <w:t xml:space="preserve"> </w:t>
      </w:r>
      <w:r>
        <w:t>8,2%</w:t>
      </w:r>
      <w:r>
        <w:rPr>
          <w:spacing w:val="-9"/>
        </w:rPr>
        <w:t xml:space="preserve"> </w:t>
      </w:r>
      <w:r>
        <w:t>и</w:t>
      </w:r>
      <w:r>
        <w:rPr>
          <w:spacing w:val="-3"/>
        </w:rPr>
        <w:t xml:space="preserve"> </w:t>
      </w:r>
      <w:r>
        <w:t>в</w:t>
      </w:r>
      <w:r>
        <w:rPr>
          <w:spacing w:val="-9"/>
        </w:rPr>
        <w:t xml:space="preserve"> </w:t>
      </w:r>
      <w:r>
        <w:t>большинстве</w:t>
      </w:r>
      <w:r>
        <w:rPr>
          <w:spacing w:val="-7"/>
        </w:rPr>
        <w:t xml:space="preserve"> </w:t>
      </w:r>
      <w:r>
        <w:t>наблюдений</w:t>
      </w:r>
      <w:r>
        <w:rPr>
          <w:spacing w:val="-7"/>
        </w:rPr>
        <w:t xml:space="preserve"> </w:t>
      </w:r>
      <w:r>
        <w:t>была</w:t>
      </w:r>
      <w:r>
        <w:rPr>
          <w:spacing w:val="-6"/>
        </w:rPr>
        <w:t xml:space="preserve"> </w:t>
      </w:r>
      <w:r>
        <w:t>ассоциирована</w:t>
      </w:r>
      <w:r>
        <w:rPr>
          <w:spacing w:val="-7"/>
        </w:rPr>
        <w:t xml:space="preserve"> </w:t>
      </w:r>
      <w:r>
        <w:t>с осложнениями,</w:t>
      </w:r>
      <w:r>
        <w:rPr>
          <w:spacing w:val="-4"/>
        </w:rPr>
        <w:t xml:space="preserve"> </w:t>
      </w:r>
      <w:r>
        <w:t>связанными</w:t>
      </w:r>
      <w:r>
        <w:rPr>
          <w:spacing w:val="-6"/>
        </w:rPr>
        <w:t xml:space="preserve"> </w:t>
      </w:r>
      <w:r>
        <w:t>с ПС,</w:t>
      </w:r>
      <w:r>
        <w:rPr>
          <w:spacing w:val="-3"/>
        </w:rPr>
        <w:t xml:space="preserve"> </w:t>
      </w:r>
      <w:r>
        <w:t>прежде</w:t>
      </w:r>
      <w:r>
        <w:rPr>
          <w:spacing w:val="-5"/>
        </w:rPr>
        <w:t xml:space="preserve"> </w:t>
      </w:r>
      <w:r>
        <w:t>всего</w:t>
      </w:r>
      <w:r>
        <w:rPr>
          <w:spacing w:val="-6"/>
        </w:rPr>
        <w:t xml:space="preserve"> </w:t>
      </w:r>
      <w:r>
        <w:t>аррозивными</w:t>
      </w:r>
      <w:r>
        <w:rPr>
          <w:spacing w:val="-1"/>
        </w:rPr>
        <w:t xml:space="preserve"> </w:t>
      </w:r>
      <w:r>
        <w:t>кровотечениями</w:t>
      </w:r>
      <w:r>
        <w:rPr>
          <w:spacing w:val="-6"/>
        </w:rPr>
        <w:t xml:space="preserve"> </w:t>
      </w:r>
      <w:r>
        <w:t xml:space="preserve">и </w:t>
      </w:r>
      <w:r>
        <w:rPr>
          <w:spacing w:val="-2"/>
        </w:rPr>
        <w:t>сепсисом.</w:t>
      </w:r>
    </w:p>
    <w:p w14:paraId="2532841D">
      <w:pPr>
        <w:pStyle w:val="7"/>
        <w:ind w:left="0" w:right="3"/>
      </w:pPr>
      <w:r>
        <w:t xml:space="preserve">Стратификация по консистенции ПЖ выявила принципиальные различия в структуре осложнений. У пациентов с мягкой ПЖ частота КЗ-ПС составила 38,8% против 5,7% при плотной железе (p&lt;0,001). Только в группе мягкой ПЖ регистрировались ПС-ассоциированные кровотечения (9,1%; p=0,003). Госпитальная летальность также была выше при мягкой ПЖ — 11,6% против 3,4% (p=0,034). При этом различий по длительности операции, кровопотере и частоте сосудистых резекций между группами не отмечено, что указывает на определяющую роль тканевых факторов, а не технической сложности </w:t>
      </w:r>
      <w:r>
        <w:rPr>
          <w:spacing w:val="-2"/>
        </w:rPr>
        <w:t>вмешательства.</w:t>
      </w:r>
    </w:p>
    <w:p w14:paraId="1E031E5C">
      <w:pPr>
        <w:pStyle w:val="7"/>
        <w:ind w:left="0"/>
        <w:sectPr>
          <w:pgSz w:w="11910" w:h="16840"/>
          <w:pgMar w:top="1134" w:right="567" w:bottom="1134" w:left="1701" w:header="0" w:footer="936" w:gutter="0"/>
          <w:cols w:space="720" w:num="1"/>
        </w:sectPr>
      </w:pPr>
    </w:p>
    <w:p w14:paraId="78B07062">
      <w:pPr>
        <w:pStyle w:val="7"/>
        <w:spacing w:before="67"/>
        <w:ind w:left="0" w:right="3" w:firstLine="709"/>
      </w:pPr>
      <w:r>
        <w:t>Аналогичные закономерности выявлены при анализе в зависимости от диаметра</w:t>
      </w:r>
      <w:r>
        <w:rPr>
          <w:spacing w:val="-2"/>
        </w:rPr>
        <w:t xml:space="preserve"> </w:t>
      </w:r>
      <w:r>
        <w:t>ПП. При</w:t>
      </w:r>
      <w:r>
        <w:rPr>
          <w:spacing w:val="-3"/>
        </w:rPr>
        <w:t xml:space="preserve"> </w:t>
      </w:r>
      <w:r>
        <w:t>диаметре</w:t>
      </w:r>
      <w:r>
        <w:rPr>
          <w:spacing w:val="-2"/>
        </w:rPr>
        <w:t xml:space="preserve"> </w:t>
      </w:r>
      <w:r>
        <w:t>≤5</w:t>
      </w:r>
      <w:r>
        <w:rPr>
          <w:spacing w:val="-2"/>
        </w:rPr>
        <w:t xml:space="preserve"> </w:t>
      </w:r>
      <w:r>
        <w:t>мм</w:t>
      </w:r>
      <w:r>
        <w:rPr>
          <w:spacing w:val="-1"/>
        </w:rPr>
        <w:t xml:space="preserve"> </w:t>
      </w:r>
      <w:r>
        <w:t>частота</w:t>
      </w:r>
      <w:r>
        <w:rPr>
          <w:spacing w:val="-2"/>
        </w:rPr>
        <w:t xml:space="preserve"> </w:t>
      </w:r>
      <w:r>
        <w:t>КЗ-ПС</w:t>
      </w:r>
      <w:r>
        <w:rPr>
          <w:spacing w:val="-2"/>
        </w:rPr>
        <w:t xml:space="preserve"> </w:t>
      </w:r>
      <w:r>
        <w:t>достигала</w:t>
      </w:r>
      <w:r>
        <w:rPr>
          <w:spacing w:val="-2"/>
        </w:rPr>
        <w:t xml:space="preserve"> </w:t>
      </w:r>
      <w:r>
        <w:t>33,7%</w:t>
      </w:r>
      <w:r>
        <w:rPr>
          <w:spacing w:val="-4"/>
        </w:rPr>
        <w:t xml:space="preserve"> </w:t>
      </w:r>
      <w:r>
        <w:t>против</w:t>
      </w:r>
      <w:r>
        <w:rPr>
          <w:spacing w:val="-4"/>
        </w:rPr>
        <w:t xml:space="preserve"> </w:t>
      </w:r>
      <w:r>
        <w:t>3,4% при диаметре &gt;5 мм (p&lt;0,001), ПС-ассоциированное кровотечение встречалось только</w:t>
      </w:r>
      <w:r>
        <w:rPr>
          <w:spacing w:val="-18"/>
        </w:rPr>
        <w:t xml:space="preserve"> </w:t>
      </w:r>
      <w:r>
        <w:t>в</w:t>
      </w:r>
      <w:r>
        <w:rPr>
          <w:spacing w:val="-17"/>
        </w:rPr>
        <w:t xml:space="preserve"> </w:t>
      </w:r>
      <w:r>
        <w:t>группе</w:t>
      </w:r>
      <w:r>
        <w:rPr>
          <w:spacing w:val="-18"/>
        </w:rPr>
        <w:t xml:space="preserve"> </w:t>
      </w:r>
      <w:r>
        <w:t>узкого</w:t>
      </w:r>
      <w:r>
        <w:rPr>
          <w:spacing w:val="-17"/>
        </w:rPr>
        <w:t xml:space="preserve"> </w:t>
      </w:r>
      <w:r>
        <w:t>протока</w:t>
      </w:r>
      <w:r>
        <w:rPr>
          <w:spacing w:val="-18"/>
        </w:rPr>
        <w:t xml:space="preserve"> </w:t>
      </w:r>
      <w:r>
        <w:t>(7,4%;</w:t>
      </w:r>
      <w:r>
        <w:rPr>
          <w:spacing w:val="-17"/>
        </w:rPr>
        <w:t xml:space="preserve"> </w:t>
      </w:r>
      <w:r>
        <w:t>p=0,032),</w:t>
      </w:r>
      <w:r>
        <w:rPr>
          <w:spacing w:val="-18"/>
        </w:rPr>
        <w:t xml:space="preserve"> </w:t>
      </w:r>
      <w:r>
        <w:t>а</w:t>
      </w:r>
      <w:r>
        <w:rPr>
          <w:spacing w:val="-17"/>
        </w:rPr>
        <w:t xml:space="preserve"> </w:t>
      </w:r>
      <w:r>
        <w:t>госпитальная</w:t>
      </w:r>
      <w:r>
        <w:rPr>
          <w:spacing w:val="-18"/>
        </w:rPr>
        <w:t xml:space="preserve"> </w:t>
      </w:r>
      <w:r>
        <w:t>летальность</w:t>
      </w:r>
      <w:r>
        <w:rPr>
          <w:spacing w:val="-17"/>
        </w:rPr>
        <w:t xml:space="preserve"> </w:t>
      </w:r>
      <w:r>
        <w:t xml:space="preserve">была выше — 10,8% против 1,7% (p=0,033). Таким образом, маленький диаметр ПП выступает самостоятельным маркером неблагоприятного послеоперационного </w:t>
      </w:r>
      <w:r>
        <w:rPr>
          <w:spacing w:val="-2"/>
        </w:rPr>
        <w:t>профиля.</w:t>
      </w:r>
    </w:p>
    <w:p w14:paraId="23D44BF3">
      <w:pPr>
        <w:pStyle w:val="7"/>
        <w:spacing w:before="3"/>
        <w:ind w:left="0" w:right="3" w:firstLine="709"/>
      </w:pPr>
      <w:r>
        <w:t xml:space="preserve">Показано, что у пациентов с мягкой ПЖ диаметр ПП ≤5 мм встречался достоверно чаще (75,4% против 56,4%; p&lt;0,001), а уровень ААД в раннем послеоперационном периоде превышал аналогичный показатель при плотной ПЖ более чем в 20 раз (p&lt;0,001 на всех сроках наблюдения). Эти данные подтверждают высокую ферментативную агрессию панкреатического секрета как ключевой патогенетический механизм формирования несостоятельности </w:t>
      </w:r>
      <w:r>
        <w:rPr>
          <w:spacing w:val="-2"/>
        </w:rPr>
        <w:t>анастомоза.</w:t>
      </w:r>
      <w:r>
        <w:t xml:space="preserve"> Сравнение</w:t>
      </w:r>
      <w:r>
        <w:rPr>
          <w:spacing w:val="-2"/>
        </w:rPr>
        <w:t xml:space="preserve"> </w:t>
      </w:r>
      <w:r>
        <w:t>типов ПЕА</w:t>
      </w:r>
      <w:r>
        <w:rPr>
          <w:spacing w:val="-2"/>
        </w:rPr>
        <w:t xml:space="preserve"> </w:t>
      </w:r>
      <w:r>
        <w:t>у</w:t>
      </w:r>
      <w:r>
        <w:rPr>
          <w:spacing w:val="-7"/>
        </w:rPr>
        <w:t xml:space="preserve"> </w:t>
      </w:r>
      <w:r>
        <w:t>пациентов</w:t>
      </w:r>
      <w:r>
        <w:rPr>
          <w:spacing w:val="-4"/>
        </w:rPr>
        <w:t xml:space="preserve"> </w:t>
      </w:r>
      <w:r>
        <w:t>с</w:t>
      </w:r>
      <w:r>
        <w:rPr>
          <w:spacing w:val="-2"/>
        </w:rPr>
        <w:t xml:space="preserve"> </w:t>
      </w:r>
      <w:r>
        <w:t>мягкой ПЖ</w:t>
      </w:r>
      <w:r>
        <w:rPr>
          <w:spacing w:val="-3"/>
        </w:rPr>
        <w:t xml:space="preserve"> </w:t>
      </w:r>
      <w:r>
        <w:t>не</w:t>
      </w:r>
      <w:r>
        <w:rPr>
          <w:spacing w:val="-2"/>
        </w:rPr>
        <w:t xml:space="preserve"> </w:t>
      </w:r>
      <w:r>
        <w:t>выявило</w:t>
      </w:r>
      <w:r>
        <w:rPr>
          <w:spacing w:val="-3"/>
        </w:rPr>
        <w:t xml:space="preserve"> </w:t>
      </w:r>
      <w:r>
        <w:t>статистически значимого снижения частоты КЗ-ПС при использовании инвагинационной методики по сравнению со стандартной. Более того, отмечалась тенденция к большей доле тяжёлых форм ПС, релапаротомий и летальности при инвагинационном</w:t>
      </w:r>
      <w:r>
        <w:rPr>
          <w:spacing w:val="-10"/>
        </w:rPr>
        <w:t xml:space="preserve"> </w:t>
      </w:r>
      <w:r>
        <w:t>варианте,</w:t>
      </w:r>
      <w:r>
        <w:rPr>
          <w:spacing w:val="-13"/>
        </w:rPr>
        <w:t xml:space="preserve"> </w:t>
      </w:r>
      <w:r>
        <w:t>что</w:t>
      </w:r>
      <w:r>
        <w:rPr>
          <w:spacing w:val="-10"/>
        </w:rPr>
        <w:t xml:space="preserve"> </w:t>
      </w:r>
      <w:r>
        <w:t>указывает</w:t>
      </w:r>
      <w:r>
        <w:rPr>
          <w:spacing w:val="-17"/>
        </w:rPr>
        <w:t xml:space="preserve"> </w:t>
      </w:r>
      <w:r>
        <w:t>на</w:t>
      </w:r>
      <w:r>
        <w:rPr>
          <w:spacing w:val="-14"/>
        </w:rPr>
        <w:t xml:space="preserve"> </w:t>
      </w:r>
      <w:r>
        <w:t>отсутствие</w:t>
      </w:r>
      <w:r>
        <w:rPr>
          <w:spacing w:val="-14"/>
        </w:rPr>
        <w:t xml:space="preserve"> </w:t>
      </w:r>
      <w:r>
        <w:t>его</w:t>
      </w:r>
      <w:r>
        <w:rPr>
          <w:spacing w:val="-15"/>
        </w:rPr>
        <w:t xml:space="preserve"> </w:t>
      </w:r>
      <w:r>
        <w:t>профилактического преимущества в условиях мягкой ПЖ и узкого ПП.</w:t>
      </w:r>
    </w:p>
    <w:p w14:paraId="227275EE">
      <w:pPr>
        <w:pStyle w:val="7"/>
        <w:spacing w:before="2"/>
        <w:ind w:left="0" w:right="3" w:firstLine="709"/>
      </w:pPr>
      <w:r>
        <w:t>В совокупности результаты раздела демонстрируют, что именно морфологические</w:t>
      </w:r>
      <w:r>
        <w:rPr>
          <w:spacing w:val="-13"/>
        </w:rPr>
        <w:t xml:space="preserve"> </w:t>
      </w:r>
      <w:r>
        <w:t>особенности</w:t>
      </w:r>
      <w:r>
        <w:rPr>
          <w:spacing w:val="-10"/>
        </w:rPr>
        <w:t xml:space="preserve"> </w:t>
      </w:r>
      <w:r>
        <w:t>ПЖ</w:t>
      </w:r>
      <w:r>
        <w:rPr>
          <w:spacing w:val="-9"/>
        </w:rPr>
        <w:t xml:space="preserve"> </w:t>
      </w:r>
      <w:r>
        <w:t>—</w:t>
      </w:r>
      <w:r>
        <w:rPr>
          <w:spacing w:val="-13"/>
        </w:rPr>
        <w:t xml:space="preserve"> </w:t>
      </w:r>
      <w:r>
        <w:t>мягкая</w:t>
      </w:r>
      <w:r>
        <w:rPr>
          <w:spacing w:val="-12"/>
        </w:rPr>
        <w:t xml:space="preserve"> </w:t>
      </w:r>
      <w:r>
        <w:t>консистенция</w:t>
      </w:r>
      <w:r>
        <w:rPr>
          <w:spacing w:val="-13"/>
        </w:rPr>
        <w:t xml:space="preserve"> </w:t>
      </w:r>
      <w:r>
        <w:t>и</w:t>
      </w:r>
      <w:r>
        <w:rPr>
          <w:spacing w:val="-13"/>
        </w:rPr>
        <w:t xml:space="preserve"> </w:t>
      </w:r>
      <w:r>
        <w:t>диаметр</w:t>
      </w:r>
      <w:r>
        <w:rPr>
          <w:spacing w:val="-13"/>
        </w:rPr>
        <w:t xml:space="preserve"> </w:t>
      </w:r>
      <w:r>
        <w:t>ПП</w:t>
      </w:r>
      <w:r>
        <w:rPr>
          <w:spacing w:val="-17"/>
        </w:rPr>
        <w:t xml:space="preserve"> </w:t>
      </w:r>
      <w:r>
        <w:t>≤5</w:t>
      </w:r>
      <w:r>
        <w:rPr>
          <w:spacing w:val="-13"/>
        </w:rPr>
        <w:t xml:space="preserve"> </w:t>
      </w:r>
      <w:r>
        <w:rPr>
          <w:spacing w:val="-5"/>
        </w:rPr>
        <w:t>мм</w:t>
      </w:r>
    </w:p>
    <w:p w14:paraId="1C22FE56">
      <w:pPr>
        <w:pStyle w:val="7"/>
        <w:ind w:left="0" w:right="3" w:firstLine="709"/>
      </w:pPr>
      <w:r>
        <w:t>— являются ведущими предикторами КЗ-ПС, ПС-ассоциированных кровотечений</w:t>
      </w:r>
      <w:r>
        <w:rPr>
          <w:spacing w:val="-18"/>
        </w:rPr>
        <w:t xml:space="preserve"> </w:t>
      </w:r>
      <w:r>
        <w:t>и</w:t>
      </w:r>
      <w:r>
        <w:rPr>
          <w:spacing w:val="-17"/>
        </w:rPr>
        <w:t xml:space="preserve"> </w:t>
      </w:r>
      <w:r>
        <w:t>госпитальной</w:t>
      </w:r>
      <w:r>
        <w:rPr>
          <w:spacing w:val="-18"/>
        </w:rPr>
        <w:t xml:space="preserve"> </w:t>
      </w:r>
      <w:r>
        <w:t>летальности</w:t>
      </w:r>
      <w:r>
        <w:rPr>
          <w:spacing w:val="-17"/>
        </w:rPr>
        <w:t xml:space="preserve"> </w:t>
      </w:r>
      <w:r>
        <w:t>после</w:t>
      </w:r>
      <w:r>
        <w:rPr>
          <w:spacing w:val="-17"/>
        </w:rPr>
        <w:t xml:space="preserve"> </w:t>
      </w:r>
      <w:r>
        <w:t>ГПДР.</w:t>
      </w:r>
      <w:r>
        <w:rPr>
          <w:spacing w:val="-16"/>
        </w:rPr>
        <w:t xml:space="preserve"> </w:t>
      </w:r>
      <w:r>
        <w:t>Тип</w:t>
      </w:r>
      <w:r>
        <w:rPr>
          <w:spacing w:val="-18"/>
        </w:rPr>
        <w:t xml:space="preserve"> </w:t>
      </w:r>
      <w:r>
        <w:t>используемого</w:t>
      </w:r>
      <w:r>
        <w:rPr>
          <w:spacing w:val="-12"/>
        </w:rPr>
        <w:t xml:space="preserve"> </w:t>
      </w:r>
      <w:r>
        <w:t>ПЕА в стандартном исполнении не нивелирует данный риск, что обосновывает необходимость разработки специализированной, адаптированной техники реконструкции для пациентов данной группы высокого риска.</w:t>
      </w:r>
    </w:p>
    <w:p w14:paraId="0583D8AD">
      <w:pPr>
        <w:pStyle w:val="7"/>
        <w:ind w:left="0" w:right="3" w:firstLine="709"/>
      </w:pPr>
      <w:r>
        <w:t>Результаты проведённого комплексного анализа факторов, обусловливающих формирование клинически КЗ-ПС после ГПДР. С учётом ведущей роли КЗ-ПС в структуре послеоперационных осложнений и госпитальной летальности, исследование включало последовательный однофакторный анализ, ROC-оценку количественных показателей риска, многофакторный</w:t>
      </w:r>
      <w:r>
        <w:rPr>
          <w:spacing w:val="-18"/>
        </w:rPr>
        <w:t xml:space="preserve"> </w:t>
      </w:r>
      <w:r>
        <w:t>логистический</w:t>
      </w:r>
      <w:r>
        <w:rPr>
          <w:spacing w:val="-17"/>
        </w:rPr>
        <w:t xml:space="preserve"> </w:t>
      </w:r>
      <w:r>
        <w:t>регрессионный</w:t>
      </w:r>
      <w:r>
        <w:rPr>
          <w:spacing w:val="-18"/>
        </w:rPr>
        <w:t xml:space="preserve"> </w:t>
      </w:r>
      <w:r>
        <w:t>анализ,</w:t>
      </w:r>
      <w:r>
        <w:rPr>
          <w:spacing w:val="-14"/>
        </w:rPr>
        <w:t xml:space="preserve"> </w:t>
      </w:r>
      <w:r>
        <w:t>а</w:t>
      </w:r>
      <w:r>
        <w:rPr>
          <w:spacing w:val="-17"/>
        </w:rPr>
        <w:t xml:space="preserve"> </w:t>
      </w:r>
      <w:r>
        <w:t>также</w:t>
      </w:r>
      <w:r>
        <w:rPr>
          <w:spacing w:val="-17"/>
        </w:rPr>
        <w:t xml:space="preserve"> </w:t>
      </w:r>
      <w:r>
        <w:t xml:space="preserve">корреляционное исследование взаимосвязей между анатомическими и функциональными параметрами ПЖ. Анализ выполнен на ретроспективной когорте пациентов с последующей верификацией результатов на объединённой выборке за 2016– 2025 гг., что обеспечило достаточную статистическую мощность и надёжность </w:t>
      </w:r>
      <w:r>
        <w:rPr>
          <w:spacing w:val="-2"/>
        </w:rPr>
        <w:t>выводов.</w:t>
      </w:r>
    </w:p>
    <w:p w14:paraId="2E1C1780">
      <w:pPr>
        <w:pStyle w:val="7"/>
        <w:ind w:left="0" w:right="3" w:firstLine="709"/>
      </w:pPr>
      <w:r>
        <w:t>Однофакторный анализ показал, что ключевыми клинико-анатомическими предикторами КЗ-ПС являются мягкая консистенция ПЖ и малый диаметр ПП. У</w:t>
      </w:r>
      <w:r>
        <w:rPr>
          <w:spacing w:val="-18"/>
        </w:rPr>
        <w:t xml:space="preserve"> </w:t>
      </w:r>
      <w:r>
        <w:t>пациентов</w:t>
      </w:r>
      <w:r>
        <w:rPr>
          <w:spacing w:val="-17"/>
        </w:rPr>
        <w:t xml:space="preserve"> </w:t>
      </w:r>
      <w:r>
        <w:t>с</w:t>
      </w:r>
      <w:r>
        <w:rPr>
          <w:spacing w:val="-18"/>
        </w:rPr>
        <w:t xml:space="preserve"> </w:t>
      </w:r>
      <w:r>
        <w:t>мягкой</w:t>
      </w:r>
      <w:r>
        <w:rPr>
          <w:spacing w:val="-17"/>
        </w:rPr>
        <w:t xml:space="preserve"> </w:t>
      </w:r>
      <w:r>
        <w:t>ПЖ</w:t>
      </w:r>
      <w:r>
        <w:rPr>
          <w:spacing w:val="-18"/>
        </w:rPr>
        <w:t xml:space="preserve"> </w:t>
      </w:r>
      <w:r>
        <w:t>риск</w:t>
      </w:r>
      <w:r>
        <w:rPr>
          <w:spacing w:val="-17"/>
        </w:rPr>
        <w:t xml:space="preserve"> </w:t>
      </w:r>
      <w:r>
        <w:t>формирования</w:t>
      </w:r>
      <w:r>
        <w:rPr>
          <w:spacing w:val="-16"/>
        </w:rPr>
        <w:t xml:space="preserve"> </w:t>
      </w:r>
      <w:r>
        <w:t>КЗ-ПС</w:t>
      </w:r>
      <w:r>
        <w:rPr>
          <w:spacing w:val="-16"/>
        </w:rPr>
        <w:t xml:space="preserve"> </w:t>
      </w:r>
      <w:r>
        <w:t>был</w:t>
      </w:r>
      <w:r>
        <w:rPr>
          <w:spacing w:val="-17"/>
        </w:rPr>
        <w:t xml:space="preserve"> </w:t>
      </w:r>
      <w:r>
        <w:t>более</w:t>
      </w:r>
      <w:r>
        <w:rPr>
          <w:spacing w:val="-16"/>
        </w:rPr>
        <w:t xml:space="preserve"> </w:t>
      </w:r>
      <w:r>
        <w:t>чем</w:t>
      </w:r>
      <w:r>
        <w:rPr>
          <w:spacing w:val="-18"/>
        </w:rPr>
        <w:t xml:space="preserve"> </w:t>
      </w:r>
      <w:r>
        <w:t>в</w:t>
      </w:r>
      <w:r>
        <w:rPr>
          <w:spacing w:val="-17"/>
        </w:rPr>
        <w:t xml:space="preserve"> </w:t>
      </w:r>
      <w:r>
        <w:t>7</w:t>
      </w:r>
      <w:r>
        <w:rPr>
          <w:spacing w:val="-17"/>
        </w:rPr>
        <w:t xml:space="preserve"> </w:t>
      </w:r>
      <w:r>
        <w:t>раз</w:t>
      </w:r>
      <w:r>
        <w:rPr>
          <w:spacing w:val="-17"/>
        </w:rPr>
        <w:t xml:space="preserve"> </w:t>
      </w:r>
      <w:r>
        <w:t>выше по</w:t>
      </w:r>
      <w:r>
        <w:rPr>
          <w:spacing w:val="-18"/>
        </w:rPr>
        <w:t xml:space="preserve"> </w:t>
      </w:r>
      <w:r>
        <w:t>сравнению</w:t>
      </w:r>
      <w:r>
        <w:rPr>
          <w:spacing w:val="-17"/>
        </w:rPr>
        <w:t xml:space="preserve"> </w:t>
      </w:r>
      <w:r>
        <w:t>с</w:t>
      </w:r>
      <w:r>
        <w:rPr>
          <w:spacing w:val="-18"/>
        </w:rPr>
        <w:t xml:space="preserve"> </w:t>
      </w:r>
      <w:r>
        <w:t>больными</w:t>
      </w:r>
      <w:r>
        <w:rPr>
          <w:spacing w:val="-17"/>
        </w:rPr>
        <w:t xml:space="preserve"> </w:t>
      </w:r>
      <w:r>
        <w:t>с</w:t>
      </w:r>
      <w:r>
        <w:rPr>
          <w:spacing w:val="-16"/>
        </w:rPr>
        <w:t xml:space="preserve"> </w:t>
      </w:r>
      <w:r>
        <w:t>плотной</w:t>
      </w:r>
      <w:r>
        <w:rPr>
          <w:spacing w:val="-17"/>
        </w:rPr>
        <w:t xml:space="preserve"> </w:t>
      </w:r>
      <w:r>
        <w:t>паренхимой.</w:t>
      </w:r>
      <w:r>
        <w:rPr>
          <w:spacing w:val="-16"/>
        </w:rPr>
        <w:t xml:space="preserve"> </w:t>
      </w:r>
      <w:r>
        <w:t>Аналогично,</w:t>
      </w:r>
      <w:r>
        <w:rPr>
          <w:spacing w:val="-15"/>
        </w:rPr>
        <w:t xml:space="preserve"> </w:t>
      </w:r>
      <w:r>
        <w:t>при</w:t>
      </w:r>
      <w:r>
        <w:rPr>
          <w:spacing w:val="-17"/>
        </w:rPr>
        <w:t xml:space="preserve"> </w:t>
      </w:r>
      <w:r>
        <w:t>диаметре</w:t>
      </w:r>
      <w:r>
        <w:rPr>
          <w:spacing w:val="-17"/>
        </w:rPr>
        <w:t xml:space="preserve"> </w:t>
      </w:r>
      <w:r>
        <w:rPr>
          <w:spacing w:val="-5"/>
        </w:rPr>
        <w:t>ПП</w:t>
      </w:r>
    </w:p>
    <w:p w14:paraId="06BE5B40">
      <w:pPr>
        <w:pStyle w:val="7"/>
        <w:spacing w:before="3"/>
        <w:ind w:left="0" w:right="3" w:firstLine="709"/>
      </w:pPr>
      <w:r>
        <w:t>≤3,5 мм вероятность развития КЗ-ПС возрастала почти в 6 раз. Оба показателя продемонстрировали высокую статистическую значимость и были включены в последующие этапы анализа.</w:t>
      </w:r>
    </w:p>
    <w:p w14:paraId="4FBF603E">
      <w:pPr>
        <w:pStyle w:val="7"/>
        <w:ind w:left="0"/>
        <w:sectPr>
          <w:pgSz w:w="11910" w:h="16840"/>
          <w:pgMar w:top="1134" w:right="567" w:bottom="1134" w:left="1701" w:header="0" w:footer="936" w:gutter="0"/>
          <w:cols w:space="720" w:num="1"/>
        </w:sectPr>
      </w:pPr>
    </w:p>
    <w:p w14:paraId="7BDC1AFD">
      <w:pPr>
        <w:pStyle w:val="7"/>
        <w:spacing w:before="67"/>
        <w:ind w:left="0" w:right="142"/>
      </w:pPr>
      <w:r>
        <w:t>ROC-анализ подтвердил клиническую значимость диаметра ПП как количественного</w:t>
      </w:r>
      <w:r>
        <w:rPr>
          <w:spacing w:val="-10"/>
        </w:rPr>
        <w:t xml:space="preserve"> </w:t>
      </w:r>
      <w:r>
        <w:t>предиктора</w:t>
      </w:r>
      <w:r>
        <w:rPr>
          <w:spacing w:val="-9"/>
        </w:rPr>
        <w:t xml:space="preserve"> </w:t>
      </w:r>
      <w:r>
        <w:t>риска</w:t>
      </w:r>
      <w:r>
        <w:rPr>
          <w:spacing w:val="-9"/>
        </w:rPr>
        <w:t xml:space="preserve"> </w:t>
      </w:r>
      <w:r>
        <w:t>КЗ-ПС.</w:t>
      </w:r>
      <w:r>
        <w:rPr>
          <w:spacing w:val="-7"/>
        </w:rPr>
        <w:t xml:space="preserve"> </w:t>
      </w:r>
      <w:r>
        <w:t>Оптимальным</w:t>
      </w:r>
      <w:r>
        <w:rPr>
          <w:spacing w:val="-8"/>
        </w:rPr>
        <w:t xml:space="preserve"> </w:t>
      </w:r>
      <w:r>
        <w:t>пороговым</w:t>
      </w:r>
      <w:r>
        <w:rPr>
          <w:spacing w:val="-8"/>
        </w:rPr>
        <w:t xml:space="preserve"> </w:t>
      </w:r>
      <w:r>
        <w:t>значением определён диаметр 3,5 мм, при котором риск развития свища существенно возрастает. Низкое значение площади под ROC-кривой отражало обратную направленность</w:t>
      </w:r>
      <w:r>
        <w:rPr>
          <w:spacing w:val="-18"/>
        </w:rPr>
        <w:t xml:space="preserve"> </w:t>
      </w:r>
      <w:r>
        <w:t>зависимости</w:t>
      </w:r>
      <w:r>
        <w:rPr>
          <w:spacing w:val="-17"/>
        </w:rPr>
        <w:t xml:space="preserve"> </w:t>
      </w:r>
      <w:r>
        <w:t>и</w:t>
      </w:r>
      <w:r>
        <w:rPr>
          <w:spacing w:val="-18"/>
        </w:rPr>
        <w:t xml:space="preserve"> </w:t>
      </w:r>
      <w:r>
        <w:t>подчёркивало,</w:t>
      </w:r>
      <w:r>
        <w:rPr>
          <w:spacing w:val="-17"/>
        </w:rPr>
        <w:t xml:space="preserve"> </w:t>
      </w:r>
      <w:r>
        <w:t>что</w:t>
      </w:r>
      <w:r>
        <w:rPr>
          <w:spacing w:val="-18"/>
        </w:rPr>
        <w:t xml:space="preserve"> </w:t>
      </w:r>
      <w:r>
        <w:t>именно</w:t>
      </w:r>
      <w:r>
        <w:rPr>
          <w:spacing w:val="-17"/>
        </w:rPr>
        <w:t xml:space="preserve"> </w:t>
      </w:r>
      <w:r>
        <w:t>недилатированный</w:t>
      </w:r>
      <w:r>
        <w:rPr>
          <w:spacing w:val="-18"/>
        </w:rPr>
        <w:t xml:space="preserve"> </w:t>
      </w:r>
      <w:r>
        <w:t>ПП ассоциирован с неблагоприятным исходом. При этом чувствительность и специфичность показателя были ограниченными, что указывает на необходимость его интерпретации исключительно в составе комплексной оценки риска.</w:t>
      </w:r>
    </w:p>
    <w:p w14:paraId="46044E67">
      <w:pPr>
        <w:pStyle w:val="7"/>
        <w:spacing w:before="3"/>
        <w:ind w:left="0" w:right="139"/>
      </w:pPr>
      <w:r>
        <w:t xml:space="preserve">В качестве функционального маркёра риска была изучена ААД в раннем послеоперационном периоде. ROC-анализ продемонстрировал высокую прогностическую ценность ААД на 1-е, 3-и и 5-е сутки после операции (AUC = 0,86). Наиболее информативным оказался показатель ААД в первые сутки, обладающий высокой специфичностью, тогда как на 5-е сутки отмечалась максимальная чувствительность. Выявленные пороговые значения ААД позволяют использовать данный параметр как ранний инструмент стратификации риска КЗ-ПС и обоснования усиленного клинического </w:t>
      </w:r>
      <w:r>
        <w:rPr>
          <w:spacing w:val="-2"/>
        </w:rPr>
        <w:t>мониторинга.</w:t>
      </w:r>
    </w:p>
    <w:p w14:paraId="2E408DE0">
      <w:pPr>
        <w:pStyle w:val="7"/>
        <w:spacing w:before="2"/>
        <w:ind w:left="0" w:right="137"/>
      </w:pPr>
      <w:r>
        <w:t>Многофакторный</w:t>
      </w:r>
      <w:r>
        <w:rPr>
          <w:spacing w:val="-9"/>
        </w:rPr>
        <w:t xml:space="preserve"> </w:t>
      </w:r>
      <w:r>
        <w:t>логистический</w:t>
      </w:r>
      <w:r>
        <w:rPr>
          <w:spacing w:val="-9"/>
        </w:rPr>
        <w:t xml:space="preserve"> </w:t>
      </w:r>
      <w:r>
        <w:t>регрессионный</w:t>
      </w:r>
      <w:r>
        <w:rPr>
          <w:spacing w:val="-10"/>
        </w:rPr>
        <w:t xml:space="preserve"> </w:t>
      </w:r>
      <w:r>
        <w:t>анализ</w:t>
      </w:r>
      <w:r>
        <w:rPr>
          <w:spacing w:val="-9"/>
        </w:rPr>
        <w:t xml:space="preserve"> </w:t>
      </w:r>
      <w:r>
        <w:t>позволил</w:t>
      </w:r>
      <w:r>
        <w:rPr>
          <w:spacing w:val="-9"/>
        </w:rPr>
        <w:t xml:space="preserve"> </w:t>
      </w:r>
      <w:r>
        <w:t>выделить независимые предикторы формирования КЗ-ПС. К ним отнесены мягкая консистенция</w:t>
      </w:r>
      <w:r>
        <w:rPr>
          <w:spacing w:val="-13"/>
        </w:rPr>
        <w:t xml:space="preserve"> </w:t>
      </w:r>
      <w:r>
        <w:t>ПЖ,</w:t>
      </w:r>
      <w:r>
        <w:rPr>
          <w:spacing w:val="-11"/>
        </w:rPr>
        <w:t xml:space="preserve"> </w:t>
      </w:r>
      <w:r>
        <w:t>меньший</w:t>
      </w:r>
      <w:r>
        <w:rPr>
          <w:spacing w:val="-14"/>
        </w:rPr>
        <w:t xml:space="preserve"> </w:t>
      </w:r>
      <w:r>
        <w:t>диаметр</w:t>
      </w:r>
      <w:r>
        <w:rPr>
          <w:spacing w:val="-14"/>
        </w:rPr>
        <w:t xml:space="preserve"> </w:t>
      </w:r>
      <w:r>
        <w:t>ПП</w:t>
      </w:r>
      <w:r>
        <w:rPr>
          <w:spacing w:val="-13"/>
        </w:rPr>
        <w:t xml:space="preserve"> </w:t>
      </w:r>
      <w:r>
        <w:t>и</w:t>
      </w:r>
      <w:r>
        <w:rPr>
          <w:spacing w:val="-14"/>
        </w:rPr>
        <w:t xml:space="preserve"> </w:t>
      </w:r>
      <w:r>
        <w:t>повышенные</w:t>
      </w:r>
      <w:r>
        <w:rPr>
          <w:spacing w:val="-13"/>
        </w:rPr>
        <w:t xml:space="preserve"> </w:t>
      </w:r>
      <w:r>
        <w:t>значения</w:t>
      </w:r>
      <w:r>
        <w:rPr>
          <w:spacing w:val="-10"/>
        </w:rPr>
        <w:t xml:space="preserve"> </w:t>
      </w:r>
      <w:r>
        <w:t>ААД</w:t>
      </w:r>
      <w:r>
        <w:rPr>
          <w:spacing w:val="-12"/>
        </w:rPr>
        <w:t xml:space="preserve"> </w:t>
      </w:r>
      <w:r>
        <w:t>в</w:t>
      </w:r>
      <w:r>
        <w:rPr>
          <w:spacing w:val="-16"/>
        </w:rPr>
        <w:t xml:space="preserve"> </w:t>
      </w:r>
      <w:r>
        <w:t>раннем послеоперационном</w:t>
      </w:r>
      <w:r>
        <w:rPr>
          <w:spacing w:val="-18"/>
        </w:rPr>
        <w:t xml:space="preserve"> </w:t>
      </w:r>
      <w:r>
        <w:t>периоде.</w:t>
      </w:r>
      <w:r>
        <w:rPr>
          <w:spacing w:val="-17"/>
        </w:rPr>
        <w:t xml:space="preserve"> </w:t>
      </w:r>
      <w:r>
        <w:t>Кроме</w:t>
      </w:r>
      <w:r>
        <w:rPr>
          <w:spacing w:val="-18"/>
        </w:rPr>
        <w:t xml:space="preserve"> </w:t>
      </w:r>
      <w:r>
        <w:t>того,</w:t>
      </w:r>
      <w:r>
        <w:rPr>
          <w:spacing w:val="-17"/>
        </w:rPr>
        <w:t xml:space="preserve"> </w:t>
      </w:r>
      <w:r>
        <w:t>стандартный</w:t>
      </w:r>
      <w:r>
        <w:rPr>
          <w:spacing w:val="-17"/>
        </w:rPr>
        <w:t xml:space="preserve"> </w:t>
      </w:r>
      <w:r>
        <w:t>тип</w:t>
      </w:r>
      <w:r>
        <w:rPr>
          <w:spacing w:val="-13"/>
        </w:rPr>
        <w:t xml:space="preserve"> </w:t>
      </w:r>
      <w:r>
        <w:t>ПЕА</w:t>
      </w:r>
      <w:r>
        <w:rPr>
          <w:spacing w:val="-18"/>
        </w:rPr>
        <w:t xml:space="preserve"> </w:t>
      </w:r>
      <w:r>
        <w:t>ассоциировался с увеличением риска КЗ-ПС более чем в</w:t>
      </w:r>
      <w:r>
        <w:rPr>
          <w:spacing w:val="-5"/>
        </w:rPr>
        <w:t xml:space="preserve"> </w:t>
      </w:r>
      <w:r>
        <w:t>3 раза. В</w:t>
      </w:r>
      <w:r>
        <w:rPr>
          <w:spacing w:val="-1"/>
        </w:rPr>
        <w:t xml:space="preserve"> </w:t>
      </w:r>
      <w:r>
        <w:t>то же время такие параметры, как объём интраоперационной кровопотери, длительность операции, уровень АЛТ и локализация опухоли, не продемонстрировали независимого влияния на вероятность развития КЗ-ПС.</w:t>
      </w:r>
    </w:p>
    <w:p w14:paraId="7D8F96A6">
      <w:pPr>
        <w:pStyle w:val="7"/>
        <w:ind w:left="0" w:right="136"/>
      </w:pPr>
      <w:r>
        <w:t>Корреляционный</w:t>
      </w:r>
      <w:r>
        <w:rPr>
          <w:spacing w:val="-3"/>
        </w:rPr>
        <w:t xml:space="preserve"> </w:t>
      </w:r>
      <w:r>
        <w:t>анализ</w:t>
      </w:r>
      <w:r>
        <w:rPr>
          <w:spacing w:val="-2"/>
        </w:rPr>
        <w:t xml:space="preserve"> </w:t>
      </w:r>
      <w:r>
        <w:t>по</w:t>
      </w:r>
      <w:r>
        <w:rPr>
          <w:spacing w:val="-3"/>
        </w:rPr>
        <w:t xml:space="preserve"> </w:t>
      </w:r>
      <w:r>
        <w:t>Спирмену</w:t>
      </w:r>
      <w:r>
        <w:rPr>
          <w:spacing w:val="-3"/>
        </w:rPr>
        <w:t xml:space="preserve"> </w:t>
      </w:r>
      <w:r>
        <w:t>выявил устойчивую</w:t>
      </w:r>
      <w:r>
        <w:rPr>
          <w:spacing w:val="-4"/>
        </w:rPr>
        <w:t xml:space="preserve"> </w:t>
      </w:r>
      <w:r>
        <w:t>и</w:t>
      </w:r>
      <w:r>
        <w:rPr>
          <w:spacing w:val="-3"/>
        </w:rPr>
        <w:t xml:space="preserve"> </w:t>
      </w:r>
      <w:r>
        <w:t>статистически значимую обратную зависимость между диаметром ПП и уровнем ААД на 1-е, 3-и и 5-е послеоперационные сутки. Маленький диаметр ПП сопровождался более высокой ферментативной активностью дренажного содержимого, что подтверждает патогенетическую связь анатомических особенностей ПЖ с функциональной несостоятельностью ПЕА.</w:t>
      </w:r>
    </w:p>
    <w:p w14:paraId="08935B10">
      <w:pPr>
        <w:pStyle w:val="7"/>
        <w:tabs>
          <w:tab w:val="left" w:pos="1104"/>
          <w:tab w:val="left" w:pos="1234"/>
          <w:tab w:val="left" w:pos="2102"/>
          <w:tab w:val="left" w:pos="2406"/>
          <w:tab w:val="left" w:pos="3076"/>
          <w:tab w:val="left" w:pos="3801"/>
          <w:tab w:val="left" w:pos="3977"/>
          <w:tab w:val="left" w:pos="4759"/>
          <w:tab w:val="left" w:pos="5494"/>
          <w:tab w:val="left" w:pos="5703"/>
          <w:tab w:val="left" w:pos="7137"/>
          <w:tab w:val="left" w:pos="7253"/>
          <w:tab w:val="left" w:pos="7710"/>
          <w:tab w:val="left" w:pos="8524"/>
          <w:tab w:val="left" w:pos="8985"/>
          <w:tab w:val="left" w:pos="9623"/>
        </w:tabs>
        <w:spacing w:before="1"/>
        <w:ind w:left="0" w:right="140"/>
        <w:jc w:val="right"/>
      </w:pPr>
      <w:r>
        <w:t xml:space="preserve">В целом результаты раздела 3.3 демонстрируют, что формирование КЗ-ПС </w:t>
      </w:r>
      <w:r>
        <w:rPr>
          <w:spacing w:val="-2"/>
        </w:rPr>
        <w:t>после</w:t>
      </w:r>
      <w:r>
        <w:tab/>
      </w:r>
      <w:r>
        <w:rPr>
          <w:spacing w:val="-4"/>
        </w:rPr>
        <w:t>ГПДР</w:t>
      </w:r>
      <w:r>
        <w:tab/>
      </w:r>
      <w:r>
        <w:rPr>
          <w:spacing w:val="-2"/>
        </w:rPr>
        <w:t>определяется</w:t>
      </w:r>
      <w:r>
        <w:tab/>
      </w:r>
      <w:r>
        <w:tab/>
      </w:r>
      <w:r>
        <w:rPr>
          <w:spacing w:val="-2"/>
        </w:rPr>
        <w:t>сочетанным</w:t>
      </w:r>
      <w:r>
        <w:tab/>
      </w:r>
      <w:r>
        <w:tab/>
      </w:r>
      <w:r>
        <w:rPr>
          <w:spacing w:val="-2"/>
        </w:rPr>
        <w:t>влиянием</w:t>
      </w:r>
      <w:r>
        <w:tab/>
      </w:r>
      <w:r>
        <w:rPr>
          <w:spacing w:val="-2"/>
        </w:rPr>
        <w:t>анатомо-тканевых</w:t>
      </w:r>
      <w:r>
        <w:tab/>
      </w:r>
      <w:r>
        <w:rPr>
          <w:spacing w:val="-10"/>
        </w:rPr>
        <w:t xml:space="preserve">и </w:t>
      </w:r>
      <w:r>
        <w:rPr>
          <w:spacing w:val="-2"/>
        </w:rPr>
        <w:t>функциональных</w:t>
      </w:r>
      <w:r>
        <w:tab/>
      </w:r>
      <w:r>
        <w:rPr>
          <w:spacing w:val="-2"/>
        </w:rPr>
        <w:t>факторов.</w:t>
      </w:r>
      <w:r>
        <w:tab/>
      </w:r>
      <w:r>
        <w:rPr>
          <w:spacing w:val="-2"/>
        </w:rPr>
        <w:t>Наибольшее</w:t>
      </w:r>
      <w:r>
        <w:tab/>
      </w:r>
      <w:r>
        <w:rPr>
          <w:spacing w:val="-2"/>
        </w:rPr>
        <w:t>прогностическое</w:t>
      </w:r>
      <w:r>
        <w:tab/>
      </w:r>
      <w:r>
        <w:rPr>
          <w:spacing w:val="-2"/>
        </w:rPr>
        <w:t>значение</w:t>
      </w:r>
      <w:r>
        <w:tab/>
      </w:r>
      <w:r>
        <w:rPr>
          <w:spacing w:val="-2"/>
        </w:rPr>
        <w:t xml:space="preserve">имеют </w:t>
      </w:r>
      <w:r>
        <w:t>мягкая</w:t>
      </w:r>
      <w:r>
        <w:rPr>
          <w:spacing w:val="-13"/>
        </w:rPr>
        <w:t xml:space="preserve"> </w:t>
      </w:r>
      <w:r>
        <w:t>консистенция</w:t>
      </w:r>
      <w:r>
        <w:rPr>
          <w:spacing w:val="-13"/>
        </w:rPr>
        <w:t xml:space="preserve"> </w:t>
      </w:r>
      <w:r>
        <w:t>ПЖ,</w:t>
      </w:r>
      <w:r>
        <w:rPr>
          <w:spacing w:val="-12"/>
        </w:rPr>
        <w:t xml:space="preserve"> </w:t>
      </w:r>
      <w:r>
        <w:t>диаметр</w:t>
      </w:r>
      <w:r>
        <w:rPr>
          <w:spacing w:val="-14"/>
        </w:rPr>
        <w:t xml:space="preserve"> </w:t>
      </w:r>
      <w:r>
        <w:t>ПП</w:t>
      </w:r>
      <w:r>
        <w:rPr>
          <w:spacing w:val="-18"/>
        </w:rPr>
        <w:t xml:space="preserve"> </w:t>
      </w:r>
      <w:r>
        <w:t>≤3,5</w:t>
      </w:r>
      <w:r>
        <w:rPr>
          <w:spacing w:val="-14"/>
        </w:rPr>
        <w:t xml:space="preserve"> </w:t>
      </w:r>
      <w:r>
        <w:t>мм</w:t>
      </w:r>
      <w:r>
        <w:rPr>
          <w:spacing w:val="-17"/>
        </w:rPr>
        <w:t xml:space="preserve"> </w:t>
      </w:r>
      <w:r>
        <w:t>и</w:t>
      </w:r>
      <w:r>
        <w:rPr>
          <w:spacing w:val="-14"/>
        </w:rPr>
        <w:t xml:space="preserve"> </w:t>
      </w:r>
      <w:r>
        <w:t>высокий</w:t>
      </w:r>
      <w:r>
        <w:rPr>
          <w:spacing w:val="-14"/>
        </w:rPr>
        <w:t xml:space="preserve"> </w:t>
      </w:r>
      <w:r>
        <w:t>уровень</w:t>
      </w:r>
      <w:r>
        <w:rPr>
          <w:spacing w:val="-16"/>
        </w:rPr>
        <w:t xml:space="preserve"> </w:t>
      </w:r>
      <w:r>
        <w:t>ААД</w:t>
      </w:r>
      <w:r>
        <w:rPr>
          <w:spacing w:val="-12"/>
        </w:rPr>
        <w:t xml:space="preserve"> </w:t>
      </w:r>
      <w:r>
        <w:t>в</w:t>
      </w:r>
      <w:r>
        <w:rPr>
          <w:spacing w:val="-16"/>
        </w:rPr>
        <w:t xml:space="preserve"> </w:t>
      </w:r>
      <w:r>
        <w:t>первые сутки</w:t>
      </w:r>
      <w:r>
        <w:rPr>
          <w:spacing w:val="80"/>
        </w:rPr>
        <w:t xml:space="preserve"> </w:t>
      </w:r>
      <w:r>
        <w:t>после</w:t>
      </w:r>
      <w:r>
        <w:rPr>
          <w:spacing w:val="80"/>
        </w:rPr>
        <w:t xml:space="preserve"> </w:t>
      </w:r>
      <w:r>
        <w:t>операции.</w:t>
      </w:r>
      <w:r>
        <w:rPr>
          <w:spacing w:val="80"/>
        </w:rPr>
        <w:t xml:space="preserve"> </w:t>
      </w:r>
      <w:r>
        <w:t>Полученные</w:t>
      </w:r>
      <w:r>
        <w:rPr>
          <w:spacing w:val="80"/>
        </w:rPr>
        <w:t xml:space="preserve"> </w:t>
      </w:r>
      <w:r>
        <w:t>данные</w:t>
      </w:r>
      <w:r>
        <w:rPr>
          <w:spacing w:val="80"/>
        </w:rPr>
        <w:t xml:space="preserve"> </w:t>
      </w:r>
      <w:r>
        <w:t>обосновывают</w:t>
      </w:r>
      <w:r>
        <w:rPr>
          <w:spacing w:val="80"/>
        </w:rPr>
        <w:t xml:space="preserve"> </w:t>
      </w:r>
      <w:r>
        <w:t>необходимость интегрированной</w:t>
      </w:r>
      <w:r>
        <w:rPr>
          <w:spacing w:val="80"/>
        </w:rPr>
        <w:t xml:space="preserve"> </w:t>
      </w:r>
      <w:r>
        <w:t>оценки</w:t>
      </w:r>
      <w:r>
        <w:rPr>
          <w:spacing w:val="80"/>
        </w:rPr>
        <w:t xml:space="preserve"> </w:t>
      </w:r>
      <w:r>
        <w:t>риска</w:t>
      </w:r>
      <w:r>
        <w:rPr>
          <w:spacing w:val="80"/>
        </w:rPr>
        <w:t xml:space="preserve"> </w:t>
      </w:r>
      <w:r>
        <w:t>КЗ-ПС</w:t>
      </w:r>
      <w:r>
        <w:rPr>
          <w:spacing w:val="80"/>
        </w:rPr>
        <w:t xml:space="preserve"> </w:t>
      </w:r>
      <w:r>
        <w:t>и</w:t>
      </w:r>
      <w:r>
        <w:rPr>
          <w:spacing w:val="80"/>
        </w:rPr>
        <w:t xml:space="preserve"> </w:t>
      </w:r>
      <w:r>
        <w:t>разработки</w:t>
      </w:r>
      <w:r>
        <w:rPr>
          <w:spacing w:val="80"/>
        </w:rPr>
        <w:t xml:space="preserve"> </w:t>
      </w:r>
      <w:r>
        <w:t>дифференцированных хирургических</w:t>
      </w:r>
      <w:r>
        <w:rPr>
          <w:spacing w:val="40"/>
        </w:rPr>
        <w:t xml:space="preserve"> </w:t>
      </w:r>
      <w:r>
        <w:t>и</w:t>
      </w:r>
      <w:r>
        <w:rPr>
          <w:spacing w:val="40"/>
        </w:rPr>
        <w:t xml:space="preserve"> </w:t>
      </w:r>
      <w:r>
        <w:t>профилактических</w:t>
      </w:r>
      <w:r>
        <w:rPr>
          <w:spacing w:val="40"/>
        </w:rPr>
        <w:t xml:space="preserve"> </w:t>
      </w:r>
      <w:r>
        <w:t>подходов</w:t>
      </w:r>
      <w:r>
        <w:rPr>
          <w:spacing w:val="40"/>
        </w:rPr>
        <w:t xml:space="preserve"> </w:t>
      </w:r>
      <w:r>
        <w:t>у</w:t>
      </w:r>
      <w:r>
        <w:rPr>
          <w:spacing w:val="40"/>
        </w:rPr>
        <w:t xml:space="preserve"> </w:t>
      </w:r>
      <w:r>
        <w:t>пациентов</w:t>
      </w:r>
      <w:r>
        <w:rPr>
          <w:spacing w:val="40"/>
        </w:rPr>
        <w:t xml:space="preserve"> </w:t>
      </w:r>
      <w:r>
        <w:t>группы</w:t>
      </w:r>
      <w:r>
        <w:rPr>
          <w:spacing w:val="40"/>
        </w:rPr>
        <w:t xml:space="preserve"> </w:t>
      </w:r>
      <w:r>
        <w:t xml:space="preserve">высокого </w:t>
      </w:r>
      <w:r>
        <w:rPr>
          <w:spacing w:val="-2"/>
        </w:rPr>
        <w:t>риска.</w:t>
      </w:r>
      <w:r>
        <w:tab/>
      </w:r>
      <w:r>
        <w:tab/>
      </w:r>
      <w:r>
        <w:rPr>
          <w:spacing w:val="-2"/>
        </w:rPr>
        <w:t>Полученные</w:t>
      </w:r>
      <w:r>
        <w:tab/>
      </w:r>
      <w:r>
        <w:rPr>
          <w:spacing w:val="-2"/>
        </w:rPr>
        <w:t>результаты</w:t>
      </w:r>
      <w:r>
        <w:tab/>
      </w:r>
      <w:r>
        <w:rPr>
          <w:spacing w:val="-2"/>
        </w:rPr>
        <w:t>ретроспективного</w:t>
      </w:r>
      <w:r>
        <w:tab/>
      </w:r>
      <w:r>
        <w:tab/>
      </w:r>
      <w:r>
        <w:rPr>
          <w:spacing w:val="-2"/>
        </w:rPr>
        <w:t>анализа</w:t>
      </w:r>
      <w:r>
        <w:tab/>
      </w:r>
      <w:r>
        <w:rPr>
          <w:spacing w:val="-2"/>
        </w:rPr>
        <w:t xml:space="preserve">позволили </w:t>
      </w:r>
      <w:r>
        <w:t>идентифицировать клинические ситуации с наибольшим риском формирования ПС.</w:t>
      </w:r>
      <w:r>
        <w:rPr>
          <w:spacing w:val="38"/>
        </w:rPr>
        <w:t xml:space="preserve"> </w:t>
      </w:r>
      <w:r>
        <w:t>В</w:t>
      </w:r>
      <w:r>
        <w:rPr>
          <w:spacing w:val="32"/>
        </w:rPr>
        <w:t xml:space="preserve"> </w:t>
      </w:r>
      <w:r>
        <w:t>связи</w:t>
      </w:r>
      <w:r>
        <w:rPr>
          <w:spacing w:val="36"/>
        </w:rPr>
        <w:t xml:space="preserve"> </w:t>
      </w:r>
      <w:r>
        <w:t>с</w:t>
      </w:r>
      <w:r>
        <w:rPr>
          <w:spacing w:val="37"/>
        </w:rPr>
        <w:t xml:space="preserve"> </w:t>
      </w:r>
      <w:r>
        <w:t>этим</w:t>
      </w:r>
      <w:r>
        <w:rPr>
          <w:spacing w:val="37"/>
        </w:rPr>
        <w:t xml:space="preserve"> </w:t>
      </w:r>
      <w:r>
        <w:t>была</w:t>
      </w:r>
      <w:r>
        <w:rPr>
          <w:spacing w:val="37"/>
        </w:rPr>
        <w:t xml:space="preserve"> </w:t>
      </w:r>
      <w:r>
        <w:t>разработана</w:t>
      </w:r>
      <w:r>
        <w:rPr>
          <w:spacing w:val="40"/>
        </w:rPr>
        <w:t xml:space="preserve"> </w:t>
      </w:r>
      <w:r>
        <w:t>и</w:t>
      </w:r>
      <w:r>
        <w:rPr>
          <w:spacing w:val="35"/>
        </w:rPr>
        <w:t xml:space="preserve"> </w:t>
      </w:r>
      <w:r>
        <w:t>внедрена</w:t>
      </w:r>
      <w:r>
        <w:rPr>
          <w:spacing w:val="37"/>
        </w:rPr>
        <w:t xml:space="preserve"> </w:t>
      </w:r>
      <w:r>
        <w:t>модифицированная</w:t>
      </w:r>
      <w:r>
        <w:rPr>
          <w:spacing w:val="37"/>
        </w:rPr>
        <w:t xml:space="preserve"> </w:t>
      </w:r>
      <w:r>
        <w:t>техника ПЕА, направленная на снижение вероятности послеоперационных осложнений.</w:t>
      </w:r>
    </w:p>
    <w:p w14:paraId="181938ED">
      <w:pPr>
        <w:pStyle w:val="7"/>
        <w:spacing w:before="2"/>
        <w:ind w:left="0" w:right="145"/>
        <w:jc w:val="right"/>
      </w:pPr>
      <w:r>
        <w:t>Раздел</w:t>
      </w:r>
      <w:r>
        <w:rPr>
          <w:spacing w:val="-5"/>
        </w:rPr>
        <w:t xml:space="preserve"> </w:t>
      </w:r>
      <w:r>
        <w:t>3.4</w:t>
      </w:r>
      <w:r>
        <w:rPr>
          <w:spacing w:val="-6"/>
        </w:rPr>
        <w:t xml:space="preserve"> </w:t>
      </w:r>
      <w:r>
        <w:t>обоснована</w:t>
      </w:r>
      <w:r>
        <w:rPr>
          <w:spacing w:val="-5"/>
        </w:rPr>
        <w:t xml:space="preserve"> </w:t>
      </w:r>
      <w:r>
        <w:t>и</w:t>
      </w:r>
      <w:r>
        <w:rPr>
          <w:spacing w:val="-2"/>
        </w:rPr>
        <w:t xml:space="preserve"> </w:t>
      </w:r>
      <w:r>
        <w:t>внедрена</w:t>
      </w:r>
      <w:r>
        <w:rPr>
          <w:spacing w:val="-3"/>
        </w:rPr>
        <w:t xml:space="preserve"> </w:t>
      </w:r>
      <w:r>
        <w:t>комплексный</w:t>
      </w:r>
      <w:r>
        <w:rPr>
          <w:spacing w:val="-6"/>
        </w:rPr>
        <w:t xml:space="preserve"> </w:t>
      </w:r>
      <w:r>
        <w:t>подход</w:t>
      </w:r>
      <w:r>
        <w:rPr>
          <w:spacing w:val="-4"/>
        </w:rPr>
        <w:t xml:space="preserve"> </w:t>
      </w:r>
      <w:r>
        <w:t>к</w:t>
      </w:r>
      <w:r>
        <w:rPr>
          <w:spacing w:val="-6"/>
        </w:rPr>
        <w:t xml:space="preserve"> </w:t>
      </w:r>
      <w:r>
        <w:t>профилактике</w:t>
      </w:r>
      <w:r>
        <w:rPr>
          <w:spacing w:val="-1"/>
        </w:rPr>
        <w:t xml:space="preserve"> </w:t>
      </w:r>
      <w:r>
        <w:t>ПС и</w:t>
      </w:r>
      <w:r>
        <w:rPr>
          <w:spacing w:val="5"/>
        </w:rPr>
        <w:t xml:space="preserve"> </w:t>
      </w:r>
      <w:r>
        <w:t>связанных</w:t>
      </w:r>
      <w:r>
        <w:rPr>
          <w:spacing w:val="3"/>
        </w:rPr>
        <w:t xml:space="preserve"> </w:t>
      </w:r>
      <w:r>
        <w:t>с</w:t>
      </w:r>
      <w:r>
        <w:rPr>
          <w:spacing w:val="7"/>
        </w:rPr>
        <w:t xml:space="preserve"> </w:t>
      </w:r>
      <w:r>
        <w:t>ним</w:t>
      </w:r>
      <w:r>
        <w:rPr>
          <w:spacing w:val="7"/>
        </w:rPr>
        <w:t xml:space="preserve"> </w:t>
      </w:r>
      <w:r>
        <w:t>осложнений</w:t>
      </w:r>
      <w:r>
        <w:rPr>
          <w:spacing w:val="5"/>
        </w:rPr>
        <w:t xml:space="preserve"> </w:t>
      </w:r>
      <w:r>
        <w:t>после</w:t>
      </w:r>
      <w:r>
        <w:rPr>
          <w:spacing w:val="8"/>
        </w:rPr>
        <w:t xml:space="preserve"> </w:t>
      </w:r>
      <w:r>
        <w:t>ГПДР,</w:t>
      </w:r>
      <w:r>
        <w:rPr>
          <w:spacing w:val="9"/>
        </w:rPr>
        <w:t xml:space="preserve"> </w:t>
      </w:r>
      <w:r>
        <w:t>разработанный</w:t>
      </w:r>
      <w:r>
        <w:rPr>
          <w:spacing w:val="6"/>
        </w:rPr>
        <w:t xml:space="preserve"> </w:t>
      </w:r>
      <w:r>
        <w:t>и</w:t>
      </w:r>
      <w:r>
        <w:rPr>
          <w:spacing w:val="6"/>
        </w:rPr>
        <w:t xml:space="preserve"> </w:t>
      </w:r>
      <w:r>
        <w:rPr>
          <w:spacing w:val="-2"/>
        </w:rPr>
        <w:t>апробированный</w:t>
      </w:r>
    </w:p>
    <w:p w14:paraId="1AA993D9">
      <w:pPr>
        <w:pStyle w:val="7"/>
        <w:ind w:left="0"/>
        <w:jc w:val="right"/>
        <w:sectPr>
          <w:pgSz w:w="11910" w:h="16840"/>
          <w:pgMar w:top="1040" w:right="425" w:bottom="1120" w:left="1559" w:header="0" w:footer="937" w:gutter="0"/>
          <w:cols w:space="720" w:num="1"/>
        </w:sectPr>
      </w:pPr>
    </w:p>
    <w:p w14:paraId="7699A4B3">
      <w:pPr>
        <w:pStyle w:val="7"/>
        <w:spacing w:before="67"/>
        <w:ind w:left="0" w:right="140" w:firstLine="0"/>
      </w:pPr>
      <w:r>
        <w:t>в ННЦХ имени А.Н. Сызганова в 2016–2025 гг. Основанием для разработки послужили</w:t>
      </w:r>
      <w:r>
        <w:rPr>
          <w:spacing w:val="-18"/>
        </w:rPr>
        <w:t xml:space="preserve"> </w:t>
      </w:r>
      <w:r>
        <w:t>данные</w:t>
      </w:r>
      <w:r>
        <w:rPr>
          <w:spacing w:val="-17"/>
        </w:rPr>
        <w:t xml:space="preserve"> </w:t>
      </w:r>
      <w:r>
        <w:t>ретроспективного</w:t>
      </w:r>
      <w:r>
        <w:rPr>
          <w:spacing w:val="-18"/>
        </w:rPr>
        <w:t xml:space="preserve"> </w:t>
      </w:r>
      <w:r>
        <w:t>анализа,</w:t>
      </w:r>
      <w:r>
        <w:rPr>
          <w:spacing w:val="-17"/>
        </w:rPr>
        <w:t xml:space="preserve"> </w:t>
      </w:r>
      <w:r>
        <w:t>показавшие,</w:t>
      </w:r>
      <w:r>
        <w:rPr>
          <w:spacing w:val="-18"/>
        </w:rPr>
        <w:t xml:space="preserve"> </w:t>
      </w:r>
      <w:r>
        <w:t>что</w:t>
      </w:r>
      <w:r>
        <w:rPr>
          <w:spacing w:val="-17"/>
        </w:rPr>
        <w:t xml:space="preserve"> </w:t>
      </w:r>
      <w:r>
        <w:t>наибольший</w:t>
      </w:r>
      <w:r>
        <w:rPr>
          <w:spacing w:val="-18"/>
        </w:rPr>
        <w:t xml:space="preserve"> </w:t>
      </w:r>
      <w:r>
        <w:t>риск КЗ-ПС,</w:t>
      </w:r>
      <w:r>
        <w:rPr>
          <w:spacing w:val="-18"/>
        </w:rPr>
        <w:t xml:space="preserve"> </w:t>
      </w:r>
      <w:r>
        <w:t>гнойно-септических</w:t>
      </w:r>
      <w:r>
        <w:rPr>
          <w:spacing w:val="-17"/>
        </w:rPr>
        <w:t xml:space="preserve"> </w:t>
      </w:r>
      <w:r>
        <w:t>осложнений</w:t>
      </w:r>
      <w:r>
        <w:rPr>
          <w:spacing w:val="-18"/>
        </w:rPr>
        <w:t xml:space="preserve"> </w:t>
      </w:r>
      <w:r>
        <w:t>и</w:t>
      </w:r>
      <w:r>
        <w:rPr>
          <w:spacing w:val="-17"/>
        </w:rPr>
        <w:t xml:space="preserve"> </w:t>
      </w:r>
      <w:r>
        <w:t>аррозивных</w:t>
      </w:r>
      <w:r>
        <w:rPr>
          <w:spacing w:val="-18"/>
        </w:rPr>
        <w:t xml:space="preserve"> </w:t>
      </w:r>
      <w:r>
        <w:t>кровотечений</w:t>
      </w:r>
      <w:r>
        <w:rPr>
          <w:spacing w:val="-17"/>
        </w:rPr>
        <w:t xml:space="preserve"> </w:t>
      </w:r>
      <w:r>
        <w:t>характерен для пациентов с мягкой консистенцией ПЖ и малым диаметром ПП. В этих условиях стандартные варианты ПЕА не обеспечивают достаточной механической устойчивости и герметичности анастомоза.</w:t>
      </w:r>
    </w:p>
    <w:p w14:paraId="7F50620E">
      <w:pPr>
        <w:pStyle w:val="7"/>
        <w:spacing w:before="4"/>
        <w:ind w:left="0" w:right="138"/>
      </w:pPr>
      <w:r>
        <w:t>Ключевым элементом профилактики стала модифицированная протоково- слизистая ПЕА с двумя транспанкреатическими П-образными швами, прецизионным сопоставлением протока со слизистой кишки и обязательным дренированием ПП. Двухуровневая фиксация культи ПЖ обеспечивает равномерное распределение нагрузки, снижает риск прорезывания швов и формирует стабильное анастомотическое ложе при мягкой паренхиме и узком протоке. В клинической практике метод ассоциирован со снижением частоты ПС, КЗ-ПС, релапаротомий и госпитальной летальности у пациентов группы высокого риска.</w:t>
      </w:r>
    </w:p>
    <w:p w14:paraId="49CEBD2E">
      <w:pPr>
        <w:pStyle w:val="7"/>
        <w:ind w:left="0" w:right="143"/>
      </w:pPr>
      <w:r>
        <w:t>Вторым</w:t>
      </w:r>
      <w:r>
        <w:rPr>
          <w:spacing w:val="-10"/>
        </w:rPr>
        <w:t xml:space="preserve"> </w:t>
      </w:r>
      <w:r>
        <w:t>компонентом</w:t>
      </w:r>
      <w:r>
        <w:rPr>
          <w:spacing w:val="-10"/>
        </w:rPr>
        <w:t xml:space="preserve"> </w:t>
      </w:r>
      <w:r>
        <w:t>стал</w:t>
      </w:r>
      <w:r>
        <w:rPr>
          <w:spacing w:val="-11"/>
        </w:rPr>
        <w:t xml:space="preserve"> </w:t>
      </w:r>
      <w:r>
        <w:t>метод</w:t>
      </w:r>
      <w:r>
        <w:rPr>
          <w:spacing w:val="-9"/>
        </w:rPr>
        <w:t xml:space="preserve"> </w:t>
      </w:r>
      <w:r>
        <w:t>двойного</w:t>
      </w:r>
      <w:r>
        <w:rPr>
          <w:spacing w:val="-11"/>
        </w:rPr>
        <w:t xml:space="preserve"> </w:t>
      </w:r>
      <w:r>
        <w:t>дренирования</w:t>
      </w:r>
      <w:r>
        <w:rPr>
          <w:spacing w:val="-11"/>
        </w:rPr>
        <w:t xml:space="preserve"> </w:t>
      </w:r>
      <w:r>
        <w:t>зоны</w:t>
      </w:r>
      <w:r>
        <w:rPr>
          <w:spacing w:val="-11"/>
        </w:rPr>
        <w:t xml:space="preserve"> </w:t>
      </w:r>
      <w:r>
        <w:t>ПЕА</w:t>
      </w:r>
      <w:r>
        <w:rPr>
          <w:spacing w:val="-15"/>
        </w:rPr>
        <w:t xml:space="preserve"> </w:t>
      </w:r>
      <w:r>
        <w:t>(с</w:t>
      </w:r>
      <w:r>
        <w:rPr>
          <w:spacing w:val="-11"/>
        </w:rPr>
        <w:t xml:space="preserve"> </w:t>
      </w:r>
      <w:r>
        <w:t>2023 г.), предусматривающий установку дренажей к верхнему и нижнему краю анастомоза. Такой подход обеспечивает перекрёстную декомпрессию перианастомотической зоны, контролируемую эвакуацию ферментативного отделяемого</w:t>
      </w:r>
      <w:r>
        <w:rPr>
          <w:spacing w:val="-18"/>
        </w:rPr>
        <w:t xml:space="preserve"> </w:t>
      </w:r>
      <w:r>
        <w:t>и</w:t>
      </w:r>
      <w:r>
        <w:rPr>
          <w:spacing w:val="-17"/>
        </w:rPr>
        <w:t xml:space="preserve"> </w:t>
      </w:r>
      <w:r>
        <w:t>раннюю</w:t>
      </w:r>
      <w:r>
        <w:rPr>
          <w:spacing w:val="-18"/>
        </w:rPr>
        <w:t xml:space="preserve"> </w:t>
      </w:r>
      <w:r>
        <w:t>диагностику</w:t>
      </w:r>
      <w:r>
        <w:rPr>
          <w:spacing w:val="-17"/>
        </w:rPr>
        <w:t xml:space="preserve"> </w:t>
      </w:r>
      <w:r>
        <w:t>несостоятельности.</w:t>
      </w:r>
      <w:r>
        <w:rPr>
          <w:spacing w:val="-18"/>
        </w:rPr>
        <w:t xml:space="preserve"> </w:t>
      </w:r>
      <w:r>
        <w:t>После</w:t>
      </w:r>
      <w:r>
        <w:rPr>
          <w:spacing w:val="-17"/>
        </w:rPr>
        <w:t xml:space="preserve"> </w:t>
      </w:r>
      <w:r>
        <w:t>внедрения</w:t>
      </w:r>
      <w:r>
        <w:rPr>
          <w:spacing w:val="-18"/>
        </w:rPr>
        <w:t xml:space="preserve"> </w:t>
      </w:r>
      <w:r>
        <w:t>метода отмечено</w:t>
      </w:r>
      <w:r>
        <w:rPr>
          <w:spacing w:val="-5"/>
        </w:rPr>
        <w:t xml:space="preserve"> </w:t>
      </w:r>
      <w:r>
        <w:t>снижение</w:t>
      </w:r>
      <w:r>
        <w:rPr>
          <w:spacing w:val="-3"/>
        </w:rPr>
        <w:t xml:space="preserve"> </w:t>
      </w:r>
      <w:r>
        <w:t>частоты релапаротомий</w:t>
      </w:r>
      <w:r>
        <w:rPr>
          <w:spacing w:val="-5"/>
        </w:rPr>
        <w:t xml:space="preserve"> </w:t>
      </w:r>
      <w:r>
        <w:t>и</w:t>
      </w:r>
      <w:r>
        <w:rPr>
          <w:spacing w:val="-5"/>
        </w:rPr>
        <w:t xml:space="preserve"> </w:t>
      </w:r>
      <w:r>
        <w:t>летальности,</w:t>
      </w:r>
      <w:r>
        <w:rPr>
          <w:spacing w:val="-3"/>
        </w:rPr>
        <w:t xml:space="preserve"> </w:t>
      </w:r>
      <w:r>
        <w:t>а</w:t>
      </w:r>
      <w:r>
        <w:rPr>
          <w:spacing w:val="-4"/>
        </w:rPr>
        <w:t xml:space="preserve"> </w:t>
      </w:r>
      <w:r>
        <w:t>также уменьшение тяжёлых форм ПС за счёт более эффективного мониторинга и дренирования.</w:t>
      </w:r>
    </w:p>
    <w:p w14:paraId="1B3C5E90">
      <w:pPr>
        <w:pStyle w:val="7"/>
        <w:tabs>
          <w:tab w:val="left" w:pos="1080"/>
          <w:tab w:val="left" w:pos="1253"/>
          <w:tab w:val="left" w:pos="1867"/>
          <w:tab w:val="left" w:pos="1930"/>
          <w:tab w:val="left" w:pos="2188"/>
          <w:tab w:val="left" w:pos="2452"/>
          <w:tab w:val="left" w:pos="2529"/>
          <w:tab w:val="left" w:pos="2658"/>
          <w:tab w:val="left" w:pos="3416"/>
          <w:tab w:val="left" w:pos="3593"/>
          <w:tab w:val="left" w:pos="4054"/>
          <w:tab w:val="left" w:pos="4087"/>
          <w:tab w:val="left" w:pos="4610"/>
          <w:tab w:val="left" w:pos="4773"/>
          <w:tab w:val="left" w:pos="5345"/>
          <w:tab w:val="left" w:pos="5454"/>
          <w:tab w:val="left" w:pos="6092"/>
          <w:tab w:val="left" w:pos="6182"/>
          <w:tab w:val="left" w:pos="6212"/>
          <w:tab w:val="left" w:pos="6423"/>
          <w:tab w:val="left" w:pos="6552"/>
          <w:tab w:val="left" w:pos="6770"/>
          <w:tab w:val="left" w:pos="7829"/>
          <w:tab w:val="left" w:pos="8049"/>
          <w:tab w:val="left" w:pos="8350"/>
          <w:tab w:val="left" w:pos="8437"/>
          <w:tab w:val="left" w:pos="8692"/>
          <w:tab w:val="left" w:pos="8855"/>
          <w:tab w:val="left" w:pos="9626"/>
        </w:tabs>
        <w:ind w:left="0" w:right="134"/>
        <w:jc w:val="right"/>
      </w:pPr>
      <w:r>
        <w:rPr>
          <w:spacing w:val="-2"/>
        </w:rPr>
        <w:t>Третьим</w:t>
      </w:r>
      <w:r>
        <w:tab/>
      </w:r>
      <w:r>
        <w:tab/>
      </w:r>
      <w:r>
        <w:rPr>
          <w:spacing w:val="-2"/>
        </w:rPr>
        <w:t>элементом</w:t>
      </w:r>
      <w:r>
        <w:tab/>
      </w:r>
      <w:r>
        <w:rPr>
          <w:spacing w:val="-2"/>
        </w:rPr>
        <w:t>профилактики</w:t>
      </w:r>
      <w:r>
        <w:tab/>
      </w:r>
      <w:r>
        <w:rPr>
          <w:spacing w:val="-2"/>
        </w:rPr>
        <w:t>стало</w:t>
      </w:r>
      <w:r>
        <w:tab/>
      </w:r>
      <w:r>
        <w:tab/>
      </w:r>
      <w:r>
        <w:tab/>
      </w:r>
      <w:r>
        <w:rPr>
          <w:spacing w:val="-2"/>
        </w:rPr>
        <w:t>окутывание</w:t>
      </w:r>
      <w:r>
        <w:tab/>
      </w:r>
      <w:r>
        <w:rPr>
          <w:spacing w:val="-2"/>
        </w:rPr>
        <w:t>культи</w:t>
      </w:r>
      <w:r>
        <w:tab/>
      </w:r>
      <w:r>
        <w:tab/>
      </w:r>
      <w:r>
        <w:rPr>
          <w:spacing w:val="-4"/>
        </w:rPr>
        <w:t>ГДА</w:t>
      </w:r>
      <w:r>
        <w:tab/>
      </w:r>
      <w:r>
        <w:rPr>
          <w:spacing w:val="-63"/>
        </w:rPr>
        <w:t xml:space="preserve"> </w:t>
      </w:r>
      <w:r>
        <w:rPr>
          <w:spacing w:val="-4"/>
        </w:rPr>
        <w:t xml:space="preserve">и </w:t>
      </w:r>
      <w:r>
        <w:t>печёночной артерии круглой связкой печени, создающее биологический барьер между</w:t>
      </w:r>
      <w:r>
        <w:rPr>
          <w:spacing w:val="-9"/>
        </w:rPr>
        <w:t xml:space="preserve"> </w:t>
      </w:r>
      <w:r>
        <w:t>сосудистыми</w:t>
      </w:r>
      <w:r>
        <w:rPr>
          <w:spacing w:val="-5"/>
        </w:rPr>
        <w:t xml:space="preserve"> </w:t>
      </w:r>
      <w:r>
        <w:t>структурами</w:t>
      </w:r>
      <w:r>
        <w:rPr>
          <w:spacing w:val="-5"/>
        </w:rPr>
        <w:t xml:space="preserve"> </w:t>
      </w:r>
      <w:r>
        <w:t>и</w:t>
      </w:r>
      <w:r>
        <w:rPr>
          <w:spacing w:val="-5"/>
        </w:rPr>
        <w:t xml:space="preserve"> </w:t>
      </w:r>
      <w:r>
        <w:t>зоной</w:t>
      </w:r>
      <w:r>
        <w:rPr>
          <w:spacing w:val="-5"/>
        </w:rPr>
        <w:t xml:space="preserve"> </w:t>
      </w:r>
      <w:r>
        <w:t>возможной</w:t>
      </w:r>
      <w:r>
        <w:rPr>
          <w:spacing w:val="-6"/>
        </w:rPr>
        <w:t xml:space="preserve"> </w:t>
      </w:r>
      <w:r>
        <w:t>ферментативной</w:t>
      </w:r>
      <w:r>
        <w:rPr>
          <w:spacing w:val="-5"/>
        </w:rPr>
        <w:t xml:space="preserve"> </w:t>
      </w:r>
      <w:r>
        <w:t xml:space="preserve">агрессии. </w:t>
      </w:r>
      <w:r>
        <w:rPr>
          <w:spacing w:val="-2"/>
        </w:rPr>
        <w:t>После</w:t>
      </w:r>
      <w:r>
        <w:tab/>
      </w:r>
      <w:r>
        <w:rPr>
          <w:spacing w:val="-2"/>
        </w:rPr>
        <w:t>внедрения</w:t>
      </w:r>
      <w:r>
        <w:tab/>
      </w:r>
      <w:r>
        <w:tab/>
      </w:r>
      <w:r>
        <w:rPr>
          <w:spacing w:val="-2"/>
        </w:rPr>
        <w:t>приёма</w:t>
      </w:r>
      <w:r>
        <w:tab/>
      </w:r>
      <w:r>
        <w:tab/>
      </w:r>
      <w:r>
        <w:rPr>
          <w:spacing w:val="-61"/>
        </w:rPr>
        <w:t xml:space="preserve"> </w:t>
      </w:r>
      <w:r>
        <w:rPr>
          <w:spacing w:val="-2"/>
        </w:rPr>
        <w:t>не</w:t>
      </w:r>
      <w:r>
        <w:tab/>
      </w:r>
      <w:r>
        <w:tab/>
      </w:r>
      <w:r>
        <w:rPr>
          <w:spacing w:val="-2"/>
        </w:rPr>
        <w:t>зарегистрировано</w:t>
      </w:r>
      <w:r>
        <w:tab/>
      </w:r>
      <w:r>
        <w:tab/>
      </w:r>
      <w:r>
        <w:rPr>
          <w:spacing w:val="-2"/>
        </w:rPr>
        <w:t>аррозивных</w:t>
      </w:r>
      <w:r>
        <w:tab/>
      </w:r>
      <w:r>
        <w:rPr>
          <w:spacing w:val="-2"/>
        </w:rPr>
        <w:t xml:space="preserve">кровотечений, </w:t>
      </w:r>
      <w:r>
        <w:t>достоверно</w:t>
      </w:r>
      <w:r>
        <w:rPr>
          <w:spacing w:val="-7"/>
        </w:rPr>
        <w:t xml:space="preserve"> </w:t>
      </w:r>
      <w:r>
        <w:t>снизились</w:t>
      </w:r>
      <w:r>
        <w:rPr>
          <w:spacing w:val="-10"/>
        </w:rPr>
        <w:t xml:space="preserve"> </w:t>
      </w:r>
      <w:r>
        <w:t>частота</w:t>
      </w:r>
      <w:r>
        <w:rPr>
          <w:spacing w:val="-7"/>
        </w:rPr>
        <w:t xml:space="preserve"> </w:t>
      </w:r>
      <w:r>
        <w:t>повторных</w:t>
      </w:r>
      <w:r>
        <w:rPr>
          <w:spacing w:val="-7"/>
        </w:rPr>
        <w:t xml:space="preserve"> </w:t>
      </w:r>
      <w:r>
        <w:t>операций</w:t>
      </w:r>
      <w:r>
        <w:rPr>
          <w:spacing w:val="-8"/>
        </w:rPr>
        <w:t xml:space="preserve"> </w:t>
      </w:r>
      <w:r>
        <w:t>и</w:t>
      </w:r>
      <w:r>
        <w:rPr>
          <w:spacing w:val="-7"/>
        </w:rPr>
        <w:t xml:space="preserve"> </w:t>
      </w:r>
      <w:r>
        <w:t>госпитальная</w:t>
      </w:r>
      <w:r>
        <w:rPr>
          <w:spacing w:val="-6"/>
        </w:rPr>
        <w:t xml:space="preserve"> </w:t>
      </w:r>
      <w:r>
        <w:t xml:space="preserve">летальность. </w:t>
      </w:r>
      <w:r>
        <w:rPr>
          <w:spacing w:val="-2"/>
        </w:rPr>
        <w:t>Таким</w:t>
      </w:r>
      <w:r>
        <w:tab/>
      </w:r>
      <w:r>
        <w:tab/>
      </w:r>
      <w:r>
        <w:rPr>
          <w:spacing w:val="-2"/>
        </w:rPr>
        <w:t>образом,</w:t>
      </w:r>
      <w:r>
        <w:tab/>
      </w:r>
      <w:r>
        <w:tab/>
      </w:r>
      <w:r>
        <w:tab/>
      </w:r>
      <w:r>
        <w:rPr>
          <w:spacing w:val="-2"/>
        </w:rPr>
        <w:t>сформирован</w:t>
      </w:r>
      <w:r>
        <w:tab/>
      </w:r>
      <w:r>
        <w:rPr>
          <w:spacing w:val="-2"/>
        </w:rPr>
        <w:t>комплекс</w:t>
      </w:r>
      <w:r>
        <w:tab/>
      </w:r>
      <w:r>
        <w:rPr>
          <w:spacing w:val="-2"/>
        </w:rPr>
        <w:t>профилактических</w:t>
      </w:r>
      <w:r>
        <w:tab/>
      </w:r>
      <w:r>
        <w:tab/>
      </w:r>
      <w:r>
        <w:tab/>
      </w:r>
      <w:r>
        <w:rPr>
          <w:spacing w:val="-4"/>
        </w:rPr>
        <w:t xml:space="preserve">мер, </w:t>
      </w:r>
      <w:r>
        <w:t>включающий: механически устойчивую реконструкцию ПЕА, адаптированную к</w:t>
      </w:r>
      <w:r>
        <w:rPr>
          <w:spacing w:val="80"/>
        </w:rPr>
        <w:t xml:space="preserve"> </w:t>
      </w:r>
      <w:r>
        <w:t>неблагоприятным</w:t>
      </w:r>
      <w:r>
        <w:rPr>
          <w:spacing w:val="80"/>
        </w:rPr>
        <w:t xml:space="preserve"> </w:t>
      </w:r>
      <w:r>
        <w:t>тканевым</w:t>
      </w:r>
      <w:r>
        <w:rPr>
          <w:spacing w:val="80"/>
        </w:rPr>
        <w:t xml:space="preserve"> </w:t>
      </w:r>
      <w:r>
        <w:t>условиям;</w:t>
      </w:r>
      <w:r>
        <w:rPr>
          <w:spacing w:val="80"/>
        </w:rPr>
        <w:t xml:space="preserve"> </w:t>
      </w:r>
      <w:r>
        <w:t>эффективную</w:t>
      </w:r>
      <w:r>
        <w:rPr>
          <w:spacing w:val="80"/>
        </w:rPr>
        <w:t xml:space="preserve"> </w:t>
      </w:r>
      <w:r>
        <w:t>декомпрессию</w:t>
      </w:r>
      <w:r>
        <w:rPr>
          <w:spacing w:val="80"/>
        </w:rPr>
        <w:t xml:space="preserve"> </w:t>
      </w:r>
      <w:r>
        <w:t xml:space="preserve">зоны </w:t>
      </w:r>
      <w:r>
        <w:rPr>
          <w:spacing w:val="-2"/>
        </w:rPr>
        <w:t>анастомоза;</w:t>
      </w:r>
      <w:r>
        <w:tab/>
      </w:r>
      <w:r>
        <w:rPr>
          <w:spacing w:val="-2"/>
        </w:rPr>
        <w:t>сосудистую</w:t>
      </w:r>
      <w:r>
        <w:tab/>
      </w:r>
      <w:r>
        <w:tab/>
      </w:r>
      <w:r>
        <w:rPr>
          <w:spacing w:val="-2"/>
        </w:rPr>
        <w:t>защиту</w:t>
      </w:r>
      <w:r>
        <w:tab/>
      </w:r>
      <w:r>
        <w:tab/>
      </w:r>
      <w:r>
        <w:rPr>
          <w:spacing w:val="-2"/>
        </w:rPr>
        <w:t>аутотканью.</w:t>
      </w:r>
      <w:r>
        <w:tab/>
      </w:r>
      <w:r>
        <w:tab/>
      </w:r>
      <w:r>
        <w:rPr>
          <w:spacing w:val="-2"/>
        </w:rPr>
        <w:t>Клинические</w:t>
      </w:r>
      <w:r>
        <w:tab/>
      </w:r>
      <w:r>
        <w:tab/>
      </w:r>
      <w:r>
        <w:rPr>
          <w:spacing w:val="-2"/>
        </w:rPr>
        <w:t>результаты демонстрируют</w:t>
      </w:r>
      <w:r>
        <w:tab/>
      </w:r>
      <w:r>
        <w:tab/>
      </w:r>
      <w:r>
        <w:rPr>
          <w:spacing w:val="-2"/>
        </w:rPr>
        <w:t>снижение</w:t>
      </w:r>
      <w:r>
        <w:tab/>
      </w:r>
      <w:r>
        <w:rPr>
          <w:spacing w:val="-2"/>
        </w:rPr>
        <w:t>частоты</w:t>
      </w:r>
      <w:r>
        <w:tab/>
      </w:r>
      <w:r>
        <w:tab/>
      </w:r>
      <w:r>
        <w:rPr>
          <w:spacing w:val="-2"/>
        </w:rPr>
        <w:t>КЗ-ПС,</w:t>
      </w:r>
      <w:r>
        <w:tab/>
      </w:r>
      <w:r>
        <w:tab/>
      </w:r>
      <w:r>
        <w:tab/>
      </w:r>
      <w:r>
        <w:rPr>
          <w:spacing w:val="-2"/>
        </w:rPr>
        <w:t>гнойно-септических</w:t>
      </w:r>
      <w:r>
        <w:tab/>
      </w:r>
      <w:r>
        <w:rPr>
          <w:spacing w:val="-10"/>
        </w:rPr>
        <w:t xml:space="preserve">и </w:t>
      </w:r>
      <w:r>
        <w:t>геморрагических</w:t>
      </w:r>
      <w:r>
        <w:rPr>
          <w:spacing w:val="35"/>
        </w:rPr>
        <w:t xml:space="preserve"> </w:t>
      </w:r>
      <w:r>
        <w:t>осложнений</w:t>
      </w:r>
      <w:r>
        <w:rPr>
          <w:spacing w:val="39"/>
        </w:rPr>
        <w:t xml:space="preserve"> </w:t>
      </w:r>
      <w:r>
        <w:t>и</w:t>
      </w:r>
      <w:r>
        <w:rPr>
          <w:spacing w:val="39"/>
        </w:rPr>
        <w:t xml:space="preserve"> </w:t>
      </w:r>
      <w:r>
        <w:t>повышение</w:t>
      </w:r>
      <w:r>
        <w:rPr>
          <w:spacing w:val="40"/>
        </w:rPr>
        <w:t xml:space="preserve"> </w:t>
      </w:r>
      <w:r>
        <w:t>безопасности</w:t>
      </w:r>
      <w:r>
        <w:rPr>
          <w:spacing w:val="39"/>
        </w:rPr>
        <w:t xml:space="preserve"> </w:t>
      </w:r>
      <w:r>
        <w:t>ГПДР.</w:t>
      </w:r>
      <w:r>
        <w:rPr>
          <w:spacing w:val="40"/>
        </w:rPr>
        <w:t xml:space="preserve"> </w:t>
      </w:r>
      <w:r>
        <w:t>Несмотря</w:t>
      </w:r>
      <w:r>
        <w:rPr>
          <w:spacing w:val="40"/>
        </w:rPr>
        <w:t xml:space="preserve"> </w:t>
      </w:r>
      <w:r>
        <w:t>на одноцентровый</w:t>
      </w:r>
      <w:r>
        <w:rPr>
          <w:spacing w:val="80"/>
        </w:rPr>
        <w:t xml:space="preserve"> </w:t>
      </w:r>
      <w:r>
        <w:t>и</w:t>
      </w:r>
      <w:r>
        <w:rPr>
          <w:spacing w:val="80"/>
        </w:rPr>
        <w:t xml:space="preserve"> </w:t>
      </w:r>
      <w:r>
        <w:t>исторически-сравнительный</w:t>
      </w:r>
      <w:r>
        <w:rPr>
          <w:spacing w:val="80"/>
        </w:rPr>
        <w:t xml:space="preserve"> </w:t>
      </w:r>
      <w:r>
        <w:t>дизайн,</w:t>
      </w:r>
      <w:r>
        <w:rPr>
          <w:spacing w:val="80"/>
        </w:rPr>
        <w:t xml:space="preserve"> </w:t>
      </w:r>
      <w:r>
        <w:t>полученные</w:t>
      </w:r>
      <w:r>
        <w:rPr>
          <w:spacing w:val="80"/>
        </w:rPr>
        <w:t xml:space="preserve"> </w:t>
      </w:r>
      <w:r>
        <w:t xml:space="preserve">данные </w:t>
      </w:r>
      <w:r>
        <w:rPr>
          <w:spacing w:val="-2"/>
        </w:rPr>
        <w:t>обосновывают</w:t>
      </w:r>
      <w:r>
        <w:tab/>
      </w:r>
      <w:r>
        <w:tab/>
      </w:r>
      <w:r>
        <w:tab/>
      </w:r>
      <w:r>
        <w:rPr>
          <w:spacing w:val="-2"/>
        </w:rPr>
        <w:t>целесообразность</w:t>
      </w:r>
      <w:r>
        <w:tab/>
      </w:r>
      <w:r>
        <w:rPr>
          <w:spacing w:val="-53"/>
        </w:rPr>
        <w:t xml:space="preserve"> </w:t>
      </w:r>
      <w:r>
        <w:t>внедрения</w:t>
      </w:r>
      <w:r>
        <w:tab/>
      </w:r>
      <w:r>
        <w:tab/>
      </w:r>
      <w:r>
        <w:rPr>
          <w:spacing w:val="-2"/>
        </w:rPr>
        <w:t>разработанного</w:t>
      </w:r>
      <w:r>
        <w:tab/>
      </w:r>
      <w:r>
        <w:tab/>
      </w:r>
      <w:r>
        <w:t>подхода</w:t>
      </w:r>
      <w:r>
        <w:rPr>
          <w:spacing w:val="47"/>
          <w:w w:val="150"/>
        </w:rPr>
        <w:t xml:space="preserve">  </w:t>
      </w:r>
      <w:r>
        <w:rPr>
          <w:spacing w:val="-10"/>
        </w:rPr>
        <w:t>в</w:t>
      </w:r>
    </w:p>
    <w:p w14:paraId="76046D69">
      <w:pPr>
        <w:pStyle w:val="7"/>
        <w:spacing w:before="1" w:line="322" w:lineRule="exact"/>
        <w:ind w:left="0" w:firstLine="0"/>
      </w:pPr>
      <w:r>
        <w:rPr>
          <w:spacing w:val="-2"/>
        </w:rPr>
        <w:t>специализированной</w:t>
      </w:r>
      <w:r>
        <w:rPr>
          <w:spacing w:val="13"/>
        </w:rPr>
        <w:t xml:space="preserve"> </w:t>
      </w:r>
      <w:r>
        <w:rPr>
          <w:spacing w:val="-2"/>
        </w:rPr>
        <w:t>хирургической</w:t>
      </w:r>
      <w:r>
        <w:rPr>
          <w:spacing w:val="9"/>
        </w:rPr>
        <w:t xml:space="preserve"> </w:t>
      </w:r>
      <w:r>
        <w:rPr>
          <w:spacing w:val="-2"/>
        </w:rPr>
        <w:t>практике.</w:t>
      </w:r>
    </w:p>
    <w:p w14:paraId="22E650B4">
      <w:pPr>
        <w:pStyle w:val="7"/>
        <w:ind w:left="0" w:right="151"/>
      </w:pPr>
      <w:r>
        <w:t>Раздел 3.5, представлена комплексная оценка результатов применения стандартного и модифицированного ПЕА после ГПДР в клинической практике ННЦХ имени А.Н. Сызганова.</w:t>
      </w:r>
    </w:p>
    <w:p w14:paraId="78B2D118">
      <w:pPr>
        <w:pStyle w:val="7"/>
        <w:ind w:left="0" w:right="136"/>
      </w:pPr>
      <w:r>
        <w:t>Сравнительный анализ исходных клинико-интраоперационных характеристик показал сопоставимость групп по ключевым морфологическим параметрам, включая консистенцию ПЖ и локализацию опухоли. При этом в группе модифицированного ПЕА отмечалась большая доля пациентов с неблагоприятными анатомическими факторами риска формирования ПС, прежде всего с диаметром ПП ≤5 мм (78,7% против 55,9%; p&lt;0,001). Несмотря</w:t>
      </w:r>
    </w:p>
    <w:p w14:paraId="7F0C7F66">
      <w:pPr>
        <w:pStyle w:val="7"/>
        <w:ind w:left="0"/>
        <w:sectPr>
          <w:pgSz w:w="11910" w:h="16840"/>
          <w:pgMar w:top="1040" w:right="425" w:bottom="1120" w:left="1559" w:header="0" w:footer="937" w:gutter="0"/>
          <w:cols w:space="720" w:num="1"/>
        </w:sectPr>
      </w:pPr>
    </w:p>
    <w:p w14:paraId="1D806BA9">
      <w:pPr>
        <w:pStyle w:val="7"/>
        <w:spacing w:before="67"/>
        <w:ind w:left="0" w:right="3" w:firstLine="0"/>
      </w:pPr>
      <w:r>
        <w:t>на более сложный клинический профиль, интраоперационная кровопотеря при модифицированном ПЕА была ниже, а длительность госпитализации значительно короче (16 против 25 суток; p&lt;0,001).</w:t>
      </w:r>
    </w:p>
    <w:p w14:paraId="62AEF2C2">
      <w:pPr>
        <w:pStyle w:val="7"/>
        <w:spacing w:line="242" w:lineRule="auto"/>
        <w:ind w:left="0" w:right="3"/>
      </w:pPr>
      <w:r>
        <w:t>Анализ частоты и структуры ПС продемонстрировал ключевое преимущество модифицированной техники: общая частота ПС снизилась с 48,6%</w:t>
      </w:r>
      <w:r>
        <w:rPr>
          <w:spacing w:val="-5"/>
        </w:rPr>
        <w:t xml:space="preserve"> </w:t>
      </w:r>
      <w:r>
        <w:t>до</w:t>
      </w:r>
      <w:r>
        <w:rPr>
          <w:spacing w:val="-4"/>
        </w:rPr>
        <w:t xml:space="preserve"> </w:t>
      </w:r>
      <w:r>
        <w:t>23,4% (p&lt;0,001),</w:t>
      </w:r>
      <w:r>
        <w:rPr>
          <w:spacing w:val="-1"/>
        </w:rPr>
        <w:t xml:space="preserve"> </w:t>
      </w:r>
      <w:r>
        <w:t>частота</w:t>
      </w:r>
      <w:r>
        <w:rPr>
          <w:spacing w:val="1"/>
        </w:rPr>
        <w:t xml:space="preserve"> </w:t>
      </w:r>
      <w:r>
        <w:t>КЗ-ПС</w:t>
      </w:r>
      <w:r>
        <w:rPr>
          <w:spacing w:val="-2"/>
        </w:rPr>
        <w:t xml:space="preserve"> </w:t>
      </w:r>
      <w:r>
        <w:t>(B/C)</w:t>
      </w:r>
      <w:r>
        <w:rPr>
          <w:spacing w:val="-4"/>
        </w:rPr>
        <w:t xml:space="preserve"> </w:t>
      </w:r>
      <w:r>
        <w:t>—</w:t>
      </w:r>
      <w:r>
        <w:rPr>
          <w:spacing w:val="-2"/>
        </w:rPr>
        <w:t xml:space="preserve"> </w:t>
      </w:r>
      <w:r>
        <w:t>с</w:t>
      </w:r>
      <w:r>
        <w:rPr>
          <w:spacing w:val="-3"/>
        </w:rPr>
        <w:t xml:space="preserve"> </w:t>
      </w:r>
      <w:r>
        <w:t>29,0%</w:t>
      </w:r>
      <w:r>
        <w:rPr>
          <w:spacing w:val="-5"/>
        </w:rPr>
        <w:t xml:space="preserve"> </w:t>
      </w:r>
      <w:r>
        <w:t>до</w:t>
      </w:r>
      <w:r>
        <w:rPr>
          <w:spacing w:val="-4"/>
        </w:rPr>
        <w:t xml:space="preserve"> </w:t>
      </w:r>
      <w:r>
        <w:t>15,6% (p=0,008),</w:t>
      </w:r>
      <w:r>
        <w:rPr>
          <w:spacing w:val="-1"/>
        </w:rPr>
        <w:t xml:space="preserve"> </w:t>
      </w:r>
      <w:r>
        <w:rPr>
          <w:spacing w:val="-10"/>
        </w:rPr>
        <w:t>а</w:t>
      </w:r>
    </w:p>
    <w:p w14:paraId="6CA3D770">
      <w:pPr>
        <w:pStyle w:val="7"/>
        <w:ind w:left="0" w:right="3" w:firstLine="0"/>
      </w:pPr>
      <w:r>
        <w:t>доля</w:t>
      </w:r>
      <w:r>
        <w:rPr>
          <w:spacing w:val="-18"/>
        </w:rPr>
        <w:t xml:space="preserve"> </w:t>
      </w:r>
      <w:r>
        <w:t>наиболее</w:t>
      </w:r>
      <w:r>
        <w:rPr>
          <w:spacing w:val="-17"/>
        </w:rPr>
        <w:t xml:space="preserve"> </w:t>
      </w:r>
      <w:r>
        <w:t>тяжёлых</w:t>
      </w:r>
      <w:r>
        <w:rPr>
          <w:spacing w:val="-18"/>
        </w:rPr>
        <w:t xml:space="preserve"> </w:t>
      </w:r>
      <w:r>
        <w:t>свищей</w:t>
      </w:r>
      <w:r>
        <w:rPr>
          <w:spacing w:val="-17"/>
        </w:rPr>
        <w:t xml:space="preserve"> </w:t>
      </w:r>
      <w:r>
        <w:t>степени</w:t>
      </w:r>
      <w:r>
        <w:rPr>
          <w:spacing w:val="-12"/>
        </w:rPr>
        <w:t xml:space="preserve"> </w:t>
      </w:r>
      <w:r>
        <w:t>C</w:t>
      </w:r>
      <w:r>
        <w:rPr>
          <w:spacing w:val="-11"/>
        </w:rPr>
        <w:t xml:space="preserve"> </w:t>
      </w:r>
      <w:r>
        <w:t>—</w:t>
      </w:r>
      <w:r>
        <w:rPr>
          <w:spacing w:val="-16"/>
        </w:rPr>
        <w:t xml:space="preserve"> </w:t>
      </w:r>
      <w:r>
        <w:t>с</w:t>
      </w:r>
      <w:r>
        <w:rPr>
          <w:spacing w:val="-16"/>
        </w:rPr>
        <w:t xml:space="preserve"> </w:t>
      </w:r>
      <w:r>
        <w:t>6,2%</w:t>
      </w:r>
      <w:r>
        <w:rPr>
          <w:spacing w:val="-18"/>
        </w:rPr>
        <w:t xml:space="preserve"> </w:t>
      </w:r>
      <w:r>
        <w:t>до</w:t>
      </w:r>
      <w:r>
        <w:rPr>
          <w:spacing w:val="-17"/>
        </w:rPr>
        <w:t xml:space="preserve"> </w:t>
      </w:r>
      <w:r>
        <w:t>1,4%</w:t>
      </w:r>
      <w:r>
        <w:rPr>
          <w:spacing w:val="-18"/>
        </w:rPr>
        <w:t xml:space="preserve"> </w:t>
      </w:r>
      <w:r>
        <w:t>(p=0,044).</w:t>
      </w:r>
      <w:r>
        <w:rPr>
          <w:spacing w:val="-15"/>
        </w:rPr>
        <w:t xml:space="preserve"> </w:t>
      </w:r>
      <w:r>
        <w:t>Динамика ААД подтверждала лучшую</w:t>
      </w:r>
      <w:r>
        <w:rPr>
          <w:spacing w:val="-3"/>
        </w:rPr>
        <w:t xml:space="preserve"> </w:t>
      </w:r>
      <w:r>
        <w:t>герметичность</w:t>
      </w:r>
      <w:r>
        <w:rPr>
          <w:spacing w:val="-3"/>
        </w:rPr>
        <w:t xml:space="preserve"> </w:t>
      </w:r>
      <w:r>
        <w:t>анастомоза при</w:t>
      </w:r>
      <w:r>
        <w:rPr>
          <w:spacing w:val="-1"/>
        </w:rPr>
        <w:t xml:space="preserve"> </w:t>
      </w:r>
      <w:r>
        <w:t>модифицированном ПЕА</w:t>
      </w:r>
      <w:r>
        <w:rPr>
          <w:spacing w:val="-18"/>
        </w:rPr>
        <w:t xml:space="preserve"> </w:t>
      </w:r>
      <w:r>
        <w:t>за</w:t>
      </w:r>
      <w:r>
        <w:rPr>
          <w:spacing w:val="-17"/>
        </w:rPr>
        <w:t xml:space="preserve"> </w:t>
      </w:r>
      <w:r>
        <w:t>счёт</w:t>
      </w:r>
      <w:r>
        <w:rPr>
          <w:spacing w:val="-18"/>
        </w:rPr>
        <w:t xml:space="preserve"> </w:t>
      </w:r>
      <w:r>
        <w:t>более</w:t>
      </w:r>
      <w:r>
        <w:rPr>
          <w:spacing w:val="-17"/>
        </w:rPr>
        <w:t xml:space="preserve"> </w:t>
      </w:r>
      <w:r>
        <w:t>быстрого</w:t>
      </w:r>
      <w:r>
        <w:rPr>
          <w:spacing w:val="-18"/>
        </w:rPr>
        <w:t xml:space="preserve"> </w:t>
      </w:r>
      <w:r>
        <w:t>снижения</w:t>
      </w:r>
      <w:r>
        <w:rPr>
          <w:spacing w:val="-17"/>
        </w:rPr>
        <w:t xml:space="preserve"> </w:t>
      </w:r>
      <w:r>
        <w:t>показателей</w:t>
      </w:r>
      <w:r>
        <w:rPr>
          <w:spacing w:val="-18"/>
        </w:rPr>
        <w:t xml:space="preserve"> </w:t>
      </w:r>
      <w:r>
        <w:t>в</w:t>
      </w:r>
      <w:r>
        <w:rPr>
          <w:spacing w:val="-17"/>
        </w:rPr>
        <w:t xml:space="preserve"> </w:t>
      </w:r>
      <w:r>
        <w:t>раннем</w:t>
      </w:r>
      <w:r>
        <w:rPr>
          <w:spacing w:val="-18"/>
        </w:rPr>
        <w:t xml:space="preserve"> </w:t>
      </w:r>
      <w:r>
        <w:t xml:space="preserve">послеоперационном </w:t>
      </w:r>
      <w:r>
        <w:rPr>
          <w:spacing w:val="-2"/>
        </w:rPr>
        <w:t>периоде.</w:t>
      </w:r>
    </w:p>
    <w:p w14:paraId="648CD128">
      <w:pPr>
        <w:pStyle w:val="7"/>
        <w:ind w:left="0" w:right="3"/>
      </w:pPr>
      <w:r>
        <w:t>Сравнение общей структуры послеоперационных осложнений и летальности показало статистически значимое снижение общей частоты осложнений (27,3% → 17,7%; p=0,046), релапаротомий (6,1% → 0,8%; p=0,015) и госпитальной летальности (6,1% → 1,4%; p=0,044) после внедрения модифицированной методики. При этом частота неспецифических осложнений (гастростаз, билиарный свищ, кровотечение) между группами не различалась.</w:t>
      </w:r>
    </w:p>
    <w:p w14:paraId="0940D3E9">
      <w:pPr>
        <w:pStyle w:val="7"/>
        <w:ind w:left="0" w:right="3"/>
      </w:pPr>
      <w:r>
        <w:t>Многофакторный логистический регрессионный анализ (рис. 34) подтвердил, что тип ПЕА является независимым предиктором развития КЗ-ПС: выполнение стандартного анастомоза увеличивало риск КЗ-ПС более чем в 3 раза (OR=3,21; 95% ДИ 1,07–9,61).</w:t>
      </w:r>
    </w:p>
    <w:p w14:paraId="170E4619">
      <w:pPr>
        <w:pStyle w:val="7"/>
        <w:ind w:left="0" w:right="3"/>
      </w:pPr>
      <w:r>
        <w:t>Стратифицированный анализ у пациентов группы высокого риска показал наибольшую клиническую эффективность модифицированного ПЕА именно при мягкой ПЖ и ПП ≤5 мм: частота ПС снижалась почти вдвое, достоверно уменьшались релапаротомии и летальность, а длительность госпитализации сокращалась</w:t>
      </w:r>
      <w:r>
        <w:rPr>
          <w:spacing w:val="-18"/>
        </w:rPr>
        <w:t xml:space="preserve"> </w:t>
      </w:r>
      <w:r>
        <w:t>на</w:t>
      </w:r>
      <w:r>
        <w:rPr>
          <w:spacing w:val="-17"/>
        </w:rPr>
        <w:t xml:space="preserve"> </w:t>
      </w:r>
      <w:r>
        <w:t>8–10</w:t>
      </w:r>
      <w:r>
        <w:rPr>
          <w:spacing w:val="-18"/>
        </w:rPr>
        <w:t xml:space="preserve"> </w:t>
      </w:r>
      <w:r>
        <w:t>суток.</w:t>
      </w:r>
      <w:r>
        <w:rPr>
          <w:spacing w:val="-14"/>
        </w:rPr>
        <w:t xml:space="preserve"> </w:t>
      </w:r>
      <w:r>
        <w:t>У</w:t>
      </w:r>
      <w:r>
        <w:rPr>
          <w:spacing w:val="-17"/>
        </w:rPr>
        <w:t xml:space="preserve"> </w:t>
      </w:r>
      <w:r>
        <w:t>пациентов</w:t>
      </w:r>
      <w:r>
        <w:rPr>
          <w:spacing w:val="-14"/>
        </w:rPr>
        <w:t xml:space="preserve"> </w:t>
      </w:r>
      <w:r>
        <w:t>с</w:t>
      </w:r>
      <w:r>
        <w:rPr>
          <w:spacing w:val="-16"/>
        </w:rPr>
        <w:t xml:space="preserve"> </w:t>
      </w:r>
      <w:r>
        <w:t>плотной</w:t>
      </w:r>
      <w:r>
        <w:rPr>
          <w:spacing w:val="-12"/>
        </w:rPr>
        <w:t xml:space="preserve"> </w:t>
      </w:r>
      <w:r>
        <w:t>ПЖ</w:t>
      </w:r>
      <w:r>
        <w:rPr>
          <w:spacing w:val="-17"/>
        </w:rPr>
        <w:t xml:space="preserve"> </w:t>
      </w:r>
      <w:r>
        <w:t>и</w:t>
      </w:r>
      <w:r>
        <w:rPr>
          <w:spacing w:val="-12"/>
        </w:rPr>
        <w:t xml:space="preserve"> </w:t>
      </w:r>
      <w:r>
        <w:t>при</w:t>
      </w:r>
      <w:r>
        <w:rPr>
          <w:spacing w:val="-12"/>
        </w:rPr>
        <w:t xml:space="preserve"> </w:t>
      </w:r>
      <w:r>
        <w:t>ПП</w:t>
      </w:r>
      <w:r>
        <w:rPr>
          <w:spacing w:val="-18"/>
        </w:rPr>
        <w:t xml:space="preserve"> </w:t>
      </w:r>
      <w:r>
        <w:t>&gt;5</w:t>
      </w:r>
      <w:r>
        <w:rPr>
          <w:spacing w:val="-16"/>
        </w:rPr>
        <w:t xml:space="preserve"> </w:t>
      </w:r>
      <w:r>
        <w:t>мм</w:t>
      </w:r>
      <w:r>
        <w:rPr>
          <w:spacing w:val="-11"/>
        </w:rPr>
        <w:t xml:space="preserve"> </w:t>
      </w:r>
      <w:r>
        <w:t>различия по</w:t>
      </w:r>
      <w:r>
        <w:rPr>
          <w:spacing w:val="-11"/>
        </w:rPr>
        <w:t xml:space="preserve"> </w:t>
      </w:r>
      <w:r>
        <w:t>частоте</w:t>
      </w:r>
      <w:r>
        <w:rPr>
          <w:spacing w:val="-6"/>
        </w:rPr>
        <w:t xml:space="preserve"> </w:t>
      </w:r>
      <w:r>
        <w:t>ПС</w:t>
      </w:r>
      <w:r>
        <w:rPr>
          <w:spacing w:val="-10"/>
        </w:rPr>
        <w:t xml:space="preserve"> </w:t>
      </w:r>
      <w:r>
        <w:t>были</w:t>
      </w:r>
      <w:r>
        <w:rPr>
          <w:spacing w:val="-11"/>
        </w:rPr>
        <w:t xml:space="preserve"> </w:t>
      </w:r>
      <w:r>
        <w:t>минимальны,</w:t>
      </w:r>
      <w:r>
        <w:rPr>
          <w:spacing w:val="-9"/>
        </w:rPr>
        <w:t xml:space="preserve"> </w:t>
      </w:r>
      <w:r>
        <w:t>однако</w:t>
      </w:r>
      <w:r>
        <w:rPr>
          <w:spacing w:val="-11"/>
        </w:rPr>
        <w:t xml:space="preserve"> </w:t>
      </w:r>
      <w:r>
        <w:t>модифицированный</w:t>
      </w:r>
      <w:r>
        <w:rPr>
          <w:spacing w:val="-7"/>
        </w:rPr>
        <w:t xml:space="preserve"> </w:t>
      </w:r>
      <w:r>
        <w:t>ПЕА</w:t>
      </w:r>
      <w:r>
        <w:rPr>
          <w:spacing w:val="-15"/>
        </w:rPr>
        <w:t xml:space="preserve"> </w:t>
      </w:r>
      <w:r>
        <w:t>обеспечивал более быстрое восстановление и отсутствие тяжёлых исходов.</w:t>
      </w:r>
    </w:p>
    <w:p w14:paraId="19A3E641">
      <w:pPr>
        <w:pStyle w:val="7"/>
        <w:ind w:left="0" w:right="3"/>
      </w:pPr>
      <w:r>
        <w:t>Сравнительная оценка трёх вариантов ПЕА у пациентов с мягкой ПЖ показала, что модифицированный анастомоз имеет наилучший профиль безопасности: минимальная частота КЗ-ПС (26,7%), релапаротомий (1,4%), госпитальной летальности (2,8%) и наименьшая длительность госпитализации.</w:t>
      </w:r>
    </w:p>
    <w:p w14:paraId="3FC515CB">
      <w:pPr>
        <w:pStyle w:val="7"/>
        <w:ind w:left="0" w:right="3"/>
      </w:pPr>
      <w:r>
        <w:t>Таким образом, результаты раздела 3.5 убедительно демонстрируют, что модифицированный протоково-слизистый ПЕА обеспечивает значимое снижение частоты ПС, КЗ-ПС, повторных операций и летальности, особенно у пациентов с неблагоприятными анатомо-тканевыми характеристиками. Тип ПЕА выступает независимым фактором, влияющим на риск КЗ-ПС, что подтверждает клиническую целесообразность внедрения модифицированной методики в рутинную хирургическую практику при выполнении ГПДР. На основании собственных клинических наблюдений и анализа результатов были разработаны два интегрированных алгоритма ведения пациентов с опухолями периампулярной зоны после ГПДР, направленные на профилактику и лечение ПС. Первый алгоритм (профилактический) основан на дифференцированном подходе к формированию ПЕА с учётом консистенции ПЖ и диаметра ПП, что позволяет индивидуализировать выбор метода ПЕА, объём дренирования и дополнительные</w:t>
      </w:r>
      <w:r>
        <w:rPr>
          <w:spacing w:val="62"/>
          <w:w w:val="150"/>
        </w:rPr>
        <w:t xml:space="preserve"> </w:t>
      </w:r>
      <w:r>
        <w:t>профилактические</w:t>
      </w:r>
      <w:r>
        <w:rPr>
          <w:spacing w:val="63"/>
          <w:w w:val="150"/>
        </w:rPr>
        <w:t xml:space="preserve"> </w:t>
      </w:r>
      <w:r>
        <w:t>меры,</w:t>
      </w:r>
      <w:r>
        <w:rPr>
          <w:spacing w:val="65"/>
          <w:w w:val="150"/>
        </w:rPr>
        <w:t xml:space="preserve"> </w:t>
      </w:r>
      <w:r>
        <w:t>включая</w:t>
      </w:r>
      <w:r>
        <w:rPr>
          <w:spacing w:val="64"/>
          <w:w w:val="150"/>
        </w:rPr>
        <w:t xml:space="preserve"> </w:t>
      </w:r>
      <w:r>
        <w:t>окутывание</w:t>
      </w:r>
      <w:r>
        <w:rPr>
          <w:spacing w:val="63"/>
          <w:w w:val="150"/>
        </w:rPr>
        <w:t xml:space="preserve"> </w:t>
      </w:r>
      <w:r>
        <w:rPr>
          <w:spacing w:val="-2"/>
        </w:rPr>
        <w:t>сосудистых</w:t>
      </w:r>
    </w:p>
    <w:p w14:paraId="06E1DFD8">
      <w:pPr>
        <w:pStyle w:val="7"/>
        <w:ind w:left="0"/>
        <w:sectPr>
          <w:pgSz w:w="11910" w:h="16840"/>
          <w:pgMar w:top="1134" w:right="567" w:bottom="1134" w:left="1701" w:header="0" w:footer="936" w:gutter="0"/>
          <w:cols w:space="720" w:num="1"/>
        </w:sectPr>
      </w:pPr>
    </w:p>
    <w:p w14:paraId="225525CE">
      <w:pPr>
        <w:pStyle w:val="7"/>
        <w:tabs>
          <w:tab w:val="left" w:pos="5529"/>
        </w:tabs>
        <w:spacing w:before="67"/>
        <w:ind w:left="0" w:right="3" w:firstLine="0"/>
      </w:pPr>
      <w:r>
        <w:t>структур, и таким образом снижать частоту КЗ-ПС, гнойно-септических осложнений</w:t>
      </w:r>
      <w:r>
        <w:rPr>
          <w:spacing w:val="-18"/>
        </w:rPr>
        <w:t xml:space="preserve"> </w:t>
      </w:r>
      <w:r>
        <w:t>и</w:t>
      </w:r>
      <w:r>
        <w:rPr>
          <w:spacing w:val="-17"/>
        </w:rPr>
        <w:t xml:space="preserve"> </w:t>
      </w:r>
      <w:r>
        <w:t>необходимость</w:t>
      </w:r>
      <w:r>
        <w:rPr>
          <w:spacing w:val="-18"/>
        </w:rPr>
        <w:t xml:space="preserve"> </w:t>
      </w:r>
      <w:r>
        <w:t>повторных</w:t>
      </w:r>
      <w:r>
        <w:rPr>
          <w:spacing w:val="-17"/>
        </w:rPr>
        <w:t xml:space="preserve"> </w:t>
      </w:r>
      <w:r>
        <w:t>операций.</w:t>
      </w:r>
      <w:r>
        <w:rPr>
          <w:spacing w:val="-18"/>
        </w:rPr>
        <w:t xml:space="preserve"> </w:t>
      </w:r>
      <w:r>
        <w:t>Второй</w:t>
      </w:r>
      <w:r>
        <w:rPr>
          <w:spacing w:val="-17"/>
        </w:rPr>
        <w:t xml:space="preserve"> </w:t>
      </w:r>
      <w:r>
        <w:t>алгоритм</w:t>
      </w:r>
      <w:r>
        <w:rPr>
          <w:spacing w:val="-18"/>
        </w:rPr>
        <w:t xml:space="preserve"> </w:t>
      </w:r>
      <w:r>
        <w:t>(лечебный) предназначен для систематизированного ведения пациентов, у которых ПС развились после ГПДР, и предусматривает поэтапный, клинико-обоснованный подход с учётом степени выраженности свища (биохимическая утечка, клинически значимый свищ, осложнённое течение), что позволяет рационально сочетать консервативные, эндоскопические, интервенционные и хирургические методы терапии, своевременно выявлять осложнения, минимизировать летальность и улучшать краткосрочные и отдалённые результаты лечения. Реализация предложенных алгоритмов на практике обеспечивает стандартизацию тактических решений, повышение безопасности реконструктивного этапа ГПДР и оптимизацию послеоперационного ведения пациентов с опухолями периампулярной зоны.</w:t>
      </w:r>
    </w:p>
    <w:p w14:paraId="37981C7D">
      <w:pPr>
        <w:pStyle w:val="7"/>
        <w:sectPr>
          <w:pgSz w:w="11910" w:h="16840"/>
          <w:pgMar w:top="1134" w:right="567" w:bottom="1134" w:left="1701" w:header="0" w:footer="936" w:gutter="0"/>
          <w:cols w:space="720" w:num="1"/>
        </w:sectPr>
      </w:pPr>
    </w:p>
    <w:p w14:paraId="6189BA47">
      <w:pPr>
        <w:pStyle w:val="2"/>
        <w:ind w:left="568" w:right="6"/>
      </w:pPr>
      <w:r>
        <w:rPr>
          <w:spacing w:val="-2"/>
        </w:rPr>
        <w:t>ЗАКЛЮЧЕНИЕ</w:t>
      </w:r>
    </w:p>
    <w:p w14:paraId="7BBC31F2">
      <w:pPr>
        <w:pStyle w:val="7"/>
        <w:spacing w:before="317"/>
        <w:ind w:left="0" w:right="3" w:firstLine="706"/>
      </w:pPr>
      <w:r>
        <w:t>ГПДР остаётся базовым методом радикального хирургического лечения опухолей периампулярной зоны. Несмотря на достигнутые успехи в развитии хирургических технологий и периоперационного ведения, частота формирования ПС продолжает оказывать существенное влияние на непосредственные результаты вмешательства и уровень послеоперационной летальности, что сохраняет актуальность поиска эффективных профилактических решений.</w:t>
      </w:r>
    </w:p>
    <w:p w14:paraId="7DD5104A">
      <w:pPr>
        <w:pStyle w:val="7"/>
        <w:spacing w:before="3"/>
        <w:ind w:left="0" w:right="3" w:firstLine="706"/>
      </w:pPr>
      <w:r>
        <w:t>Проведённый эпидемиологический и клинико-организационный анализ показал, что в Республике Казахстан заболеваемость опухолями периампулярной</w:t>
      </w:r>
      <w:r>
        <w:rPr>
          <w:spacing w:val="-18"/>
        </w:rPr>
        <w:t xml:space="preserve"> </w:t>
      </w:r>
      <w:r>
        <w:t>зоны</w:t>
      </w:r>
      <w:r>
        <w:rPr>
          <w:spacing w:val="-17"/>
        </w:rPr>
        <w:t xml:space="preserve"> </w:t>
      </w:r>
      <w:r>
        <w:t>характеризуется</w:t>
      </w:r>
      <w:r>
        <w:rPr>
          <w:spacing w:val="-18"/>
        </w:rPr>
        <w:t xml:space="preserve"> </w:t>
      </w:r>
      <w:r>
        <w:t>умеренной</w:t>
      </w:r>
      <w:r>
        <w:rPr>
          <w:spacing w:val="-17"/>
        </w:rPr>
        <w:t xml:space="preserve"> </w:t>
      </w:r>
      <w:r>
        <w:t>межгодовой</w:t>
      </w:r>
      <w:r>
        <w:rPr>
          <w:spacing w:val="-18"/>
        </w:rPr>
        <w:t xml:space="preserve"> </w:t>
      </w:r>
      <w:r>
        <w:t>вариабельностью при выраженной территориальной неоднородности. Диагностика и хирургическое лечение данной категории пациентов в значительной степени централизованы и сосредоточены в крупных мегаполисах, где аккумулируется основная доля высокотехнологичных хирургических вмешательств. Централизация ГПДР сопровождается снижением послеоперационной летальности, что подтверждает клиническое преимущество высокообъёмных специализированных центров.</w:t>
      </w:r>
    </w:p>
    <w:p w14:paraId="71DEDEFD">
      <w:pPr>
        <w:pStyle w:val="7"/>
        <w:spacing w:before="2"/>
        <w:ind w:left="0" w:right="3" w:firstLine="706"/>
      </w:pPr>
      <w:r>
        <w:t>Ретроспективный анализ клинических данных продемонстрировал, что развитие КЗ-ПС после ГПДР определяется не столько интраоперационными параметрами, сколько совокупностью анатомо-морфологических и функциональных особенностей ПЖ. Наибольшее неблагоприятное влияние оказывают мягкая консистенция ПЖ, маленький диаметр ПП и высокая экзокринная</w:t>
      </w:r>
      <w:r>
        <w:rPr>
          <w:spacing w:val="-3"/>
        </w:rPr>
        <w:t xml:space="preserve"> </w:t>
      </w:r>
      <w:r>
        <w:t>активность,</w:t>
      </w:r>
      <w:r>
        <w:rPr>
          <w:spacing w:val="-2"/>
        </w:rPr>
        <w:t xml:space="preserve"> </w:t>
      </w:r>
      <w:r>
        <w:t>что</w:t>
      </w:r>
      <w:r>
        <w:rPr>
          <w:spacing w:val="-4"/>
        </w:rPr>
        <w:t xml:space="preserve"> </w:t>
      </w:r>
      <w:r>
        <w:t>формирует</w:t>
      </w:r>
      <w:r>
        <w:rPr>
          <w:spacing w:val="-1"/>
        </w:rPr>
        <w:t xml:space="preserve"> </w:t>
      </w:r>
      <w:r>
        <w:t>патогенетически уязвимые условия</w:t>
      </w:r>
      <w:r>
        <w:rPr>
          <w:spacing w:val="-3"/>
        </w:rPr>
        <w:t xml:space="preserve"> </w:t>
      </w:r>
      <w:r>
        <w:t>для надёжного формирования ПЕА.</w:t>
      </w:r>
    </w:p>
    <w:p w14:paraId="0E1D96B6">
      <w:pPr>
        <w:pStyle w:val="7"/>
        <w:ind w:left="0" w:right="3"/>
      </w:pPr>
      <w:r>
        <w:t>Установлено, что мягкая консистенция ПЖ и маленький диаметр ПП являются ведущими независимыми предикторами формирования КЗ-ПС, аррозивных кровотечений и летальных исходов. Функциональная сохранность экзокринной секреции у данной категории пациентов проявляется ранним и выраженным</w:t>
      </w:r>
      <w:r>
        <w:rPr>
          <w:spacing w:val="-2"/>
        </w:rPr>
        <w:t xml:space="preserve"> </w:t>
      </w:r>
      <w:r>
        <w:t>повышением</w:t>
      </w:r>
      <w:r>
        <w:rPr>
          <w:spacing w:val="-2"/>
        </w:rPr>
        <w:t xml:space="preserve"> </w:t>
      </w:r>
      <w:r>
        <w:t>ААД,</w:t>
      </w:r>
      <w:r>
        <w:rPr>
          <w:spacing w:val="-1"/>
        </w:rPr>
        <w:t xml:space="preserve"> </w:t>
      </w:r>
      <w:r>
        <w:t>что</w:t>
      </w:r>
      <w:r>
        <w:rPr>
          <w:spacing w:val="-4"/>
        </w:rPr>
        <w:t xml:space="preserve"> </w:t>
      </w:r>
      <w:r>
        <w:t>делает</w:t>
      </w:r>
      <w:r>
        <w:rPr>
          <w:spacing w:val="-5"/>
        </w:rPr>
        <w:t xml:space="preserve"> </w:t>
      </w:r>
      <w:r>
        <w:t>данный</w:t>
      </w:r>
      <w:r>
        <w:rPr>
          <w:spacing w:val="-4"/>
        </w:rPr>
        <w:t xml:space="preserve"> </w:t>
      </w:r>
      <w:r>
        <w:t>показатель</w:t>
      </w:r>
      <w:r>
        <w:rPr>
          <w:spacing w:val="-6"/>
        </w:rPr>
        <w:t xml:space="preserve"> </w:t>
      </w:r>
      <w:r>
        <w:t>чувствительным маркёром неблагоприятного послеоперационного течения. При этом изолированная оценка отдельных факторов обладает ограниченной прогностической ценностью, тогда как их сочетание позволяет объективно стратифицировать хирургический риск.</w:t>
      </w:r>
    </w:p>
    <w:p w14:paraId="202B6EE7">
      <w:pPr>
        <w:pStyle w:val="7"/>
        <w:ind w:left="0" w:right="3" w:firstLine="706"/>
      </w:pPr>
      <w:r>
        <w:t>Разработанная и внедрённая модифицированная техника протоково- слизистого ПЕА, адаптированная к мягкой паренхиме и узкому протоку, в сочетании с двойным дренированием зоны анастомоза и укрытием сосудистых структур круглой связкой печени, обеспечивает повышение механической устойчивости анастомоза, адекватную эвакуацию панкреатического секрета и эффективную профилактику ферментативных и геморрагических осложнений. Комплексное применение данных приёмов сопровождается достоверным снижением частоты КЗ-ПС, повторных операций и послеоперационной летальности при сохранении приемлемой длительности госпитализации.</w:t>
      </w:r>
    </w:p>
    <w:p w14:paraId="3D4A62E5">
      <w:pPr>
        <w:pStyle w:val="7"/>
        <w:sectPr>
          <w:pgSz w:w="11910" w:h="16840"/>
          <w:pgMar w:top="1134" w:right="567" w:bottom="1134" w:left="1701" w:header="0" w:footer="936" w:gutter="0"/>
          <w:cols w:space="720" w:num="1"/>
        </w:sectPr>
      </w:pPr>
    </w:p>
    <w:p w14:paraId="69C0AFE6">
      <w:pPr>
        <w:pStyle w:val="7"/>
        <w:spacing w:before="67"/>
        <w:ind w:left="0" w:right="3"/>
      </w:pPr>
      <w:r>
        <w:t>На</w:t>
      </w:r>
      <w:r>
        <w:rPr>
          <w:spacing w:val="-8"/>
        </w:rPr>
        <w:t xml:space="preserve"> </w:t>
      </w:r>
      <w:r>
        <w:t>основании</w:t>
      </w:r>
      <w:r>
        <w:rPr>
          <w:spacing w:val="-8"/>
        </w:rPr>
        <w:t xml:space="preserve"> </w:t>
      </w:r>
      <w:r>
        <w:t>полученных</w:t>
      </w:r>
      <w:r>
        <w:rPr>
          <w:spacing w:val="-13"/>
        </w:rPr>
        <w:t xml:space="preserve"> </w:t>
      </w:r>
      <w:r>
        <w:t>результатов</w:t>
      </w:r>
      <w:r>
        <w:rPr>
          <w:spacing w:val="-10"/>
        </w:rPr>
        <w:t xml:space="preserve"> </w:t>
      </w:r>
      <w:r>
        <w:t>сформированы</w:t>
      </w:r>
      <w:r>
        <w:rPr>
          <w:spacing w:val="-4"/>
        </w:rPr>
        <w:t xml:space="preserve"> </w:t>
      </w:r>
      <w:r>
        <w:t>профилактический</w:t>
      </w:r>
      <w:r>
        <w:rPr>
          <w:spacing w:val="-9"/>
        </w:rPr>
        <w:t xml:space="preserve"> </w:t>
      </w:r>
      <w:r>
        <w:t>и лечебный</w:t>
      </w:r>
      <w:r>
        <w:rPr>
          <w:spacing w:val="-10"/>
        </w:rPr>
        <w:t xml:space="preserve"> </w:t>
      </w:r>
      <w:r>
        <w:t>алгоритмы</w:t>
      </w:r>
      <w:r>
        <w:rPr>
          <w:spacing w:val="-6"/>
        </w:rPr>
        <w:t xml:space="preserve"> </w:t>
      </w:r>
      <w:r>
        <w:t>ведения</w:t>
      </w:r>
      <w:r>
        <w:rPr>
          <w:spacing w:val="-10"/>
        </w:rPr>
        <w:t xml:space="preserve"> </w:t>
      </w:r>
      <w:r>
        <w:t>пациентов</w:t>
      </w:r>
      <w:r>
        <w:rPr>
          <w:spacing w:val="-8"/>
        </w:rPr>
        <w:t xml:space="preserve"> </w:t>
      </w:r>
      <w:r>
        <w:t>после</w:t>
      </w:r>
      <w:r>
        <w:rPr>
          <w:spacing w:val="-9"/>
        </w:rPr>
        <w:t xml:space="preserve"> </w:t>
      </w:r>
      <w:r>
        <w:t>ГПДР,</w:t>
      </w:r>
      <w:r>
        <w:rPr>
          <w:spacing w:val="-8"/>
        </w:rPr>
        <w:t xml:space="preserve"> </w:t>
      </w:r>
      <w:r>
        <w:t>основанные</w:t>
      </w:r>
      <w:r>
        <w:rPr>
          <w:spacing w:val="-10"/>
        </w:rPr>
        <w:t xml:space="preserve"> </w:t>
      </w:r>
      <w:r>
        <w:t>на</w:t>
      </w:r>
      <w:r>
        <w:rPr>
          <w:spacing w:val="-10"/>
        </w:rPr>
        <w:t xml:space="preserve"> </w:t>
      </w:r>
      <w:r>
        <w:t>принципах стратификации риска и индивидуализации реконструктивного этапа. Их внедрение способствует стандартизации тактических решений, повышению безопасности</w:t>
      </w:r>
      <w:r>
        <w:rPr>
          <w:spacing w:val="-1"/>
        </w:rPr>
        <w:t xml:space="preserve"> </w:t>
      </w:r>
      <w:r>
        <w:t>хирургического</w:t>
      </w:r>
      <w:r>
        <w:rPr>
          <w:spacing w:val="-5"/>
        </w:rPr>
        <w:t xml:space="preserve"> </w:t>
      </w:r>
      <w:r>
        <w:t>лечения</w:t>
      </w:r>
      <w:r>
        <w:rPr>
          <w:spacing w:val="-4"/>
        </w:rPr>
        <w:t xml:space="preserve"> </w:t>
      </w:r>
      <w:r>
        <w:t>и</w:t>
      </w:r>
      <w:r>
        <w:rPr>
          <w:spacing w:val="-1"/>
        </w:rPr>
        <w:t xml:space="preserve"> </w:t>
      </w:r>
      <w:r>
        <w:t>улучшению</w:t>
      </w:r>
      <w:r>
        <w:rPr>
          <w:spacing w:val="-6"/>
        </w:rPr>
        <w:t xml:space="preserve"> </w:t>
      </w:r>
      <w:r>
        <w:t>непосредственных</w:t>
      </w:r>
      <w:r>
        <w:rPr>
          <w:spacing w:val="-9"/>
        </w:rPr>
        <w:t xml:space="preserve"> </w:t>
      </w:r>
      <w:r>
        <w:t>исходов у пациентов с опухолями периампулярной зоны.</w:t>
      </w:r>
    </w:p>
    <w:p w14:paraId="2028FA0D">
      <w:pPr>
        <w:pStyle w:val="7"/>
        <w:spacing w:before="4"/>
        <w:ind w:left="0" w:right="3"/>
      </w:pPr>
      <w:r>
        <w:t>Таким образом, результаты выполненного исследования обосновывают клиническую целесообразность применения модифицированного протоково- слизистого ПЕА и комплексного профилактического подхода у пациентов группы высокого риска и подтверждают их значение как ключевых элементов повышения надёжности реконструктивного этапа ГПДР.</w:t>
      </w:r>
    </w:p>
    <w:p w14:paraId="0B646817">
      <w:pPr>
        <w:pStyle w:val="7"/>
        <w:spacing w:before="4"/>
        <w:ind w:left="0" w:right="3"/>
      </w:pPr>
    </w:p>
    <w:p w14:paraId="2466FB94">
      <w:pPr>
        <w:pStyle w:val="3"/>
        <w:spacing w:before="1" w:line="319" w:lineRule="exact"/>
        <w:ind w:left="707" w:right="3" w:firstLine="0"/>
        <w:jc w:val="left"/>
        <w:rPr>
          <w:spacing w:val="-2"/>
        </w:rPr>
      </w:pPr>
      <w:r>
        <w:rPr>
          <w:spacing w:val="-2"/>
        </w:rPr>
        <w:t>Выводы</w:t>
      </w:r>
    </w:p>
    <w:p w14:paraId="639056D6">
      <w:pPr>
        <w:pStyle w:val="3"/>
        <w:spacing w:before="1" w:line="319" w:lineRule="exact"/>
        <w:ind w:left="707" w:right="3" w:firstLine="0"/>
        <w:jc w:val="left"/>
        <w:rPr>
          <w:b w:val="0"/>
          <w:bCs w:val="0"/>
        </w:rPr>
      </w:pPr>
    </w:p>
    <w:p w14:paraId="1DCE242D">
      <w:pPr>
        <w:pStyle w:val="10"/>
        <w:numPr>
          <w:ilvl w:val="0"/>
          <w:numId w:val="27"/>
        </w:numPr>
        <w:tabs>
          <w:tab w:val="left" w:pos="1478"/>
        </w:tabs>
        <w:ind w:left="0" w:right="3" w:firstLine="567"/>
        <w:rPr>
          <w:sz w:val="28"/>
        </w:rPr>
      </w:pPr>
      <w:r>
        <w:rPr>
          <w:sz w:val="28"/>
        </w:rPr>
        <w:t>Ретроспективный анализ 208 пациентов, перенёсших гастропанкреатодуоденальную резекцию в 2016–2022 гг., продемонстрировал, что общая частота послеоперационных осложнений составила 50,5%, частота клинически значимого панкреатического свища — 25,0%, госпитальная летальность — 8,2%; при этом на республиканском уровне в 2022–2025 гг. выявлена выраженная централизация хирургической помощи (более 70% вмешательств выполнялись в городах Алматы и Астана), увеличение числа операций с 145 в 2022 г. до 175 в 2024 г. с последующим снижением до 133 в 2025 г., а также снижение послеоперационной летальности с 6,2% до 3,0%;</w:t>
      </w:r>
    </w:p>
    <w:p w14:paraId="084E89CC">
      <w:pPr>
        <w:pStyle w:val="10"/>
        <w:numPr>
          <w:ilvl w:val="0"/>
          <w:numId w:val="27"/>
        </w:numPr>
        <w:tabs>
          <w:tab w:val="left" w:pos="945"/>
        </w:tabs>
        <w:ind w:left="0" w:right="3" w:firstLine="566"/>
        <w:rPr>
          <w:sz w:val="28"/>
        </w:rPr>
      </w:pPr>
      <w:r>
        <w:rPr>
          <w:sz w:val="28"/>
        </w:rPr>
        <w:t>Установлено, что клинически значимый панкреатический свищ является ведущим осложнением, формирующим структуру</w:t>
      </w:r>
      <w:r>
        <w:rPr>
          <w:spacing w:val="-3"/>
          <w:sz w:val="28"/>
        </w:rPr>
        <w:t xml:space="preserve"> </w:t>
      </w:r>
      <w:r>
        <w:rPr>
          <w:sz w:val="28"/>
        </w:rPr>
        <w:t>тяжёлых</w:t>
      </w:r>
      <w:r>
        <w:rPr>
          <w:spacing w:val="-3"/>
          <w:sz w:val="28"/>
        </w:rPr>
        <w:t xml:space="preserve"> </w:t>
      </w:r>
      <w:r>
        <w:rPr>
          <w:sz w:val="28"/>
        </w:rPr>
        <w:t>послеоперационных событий и госпитальной летальности после гастропанкреатодуоденальной резекции;</w:t>
      </w:r>
      <w:r>
        <w:rPr>
          <w:spacing w:val="-11"/>
          <w:sz w:val="28"/>
        </w:rPr>
        <w:t xml:space="preserve"> </w:t>
      </w:r>
      <w:r>
        <w:rPr>
          <w:sz w:val="28"/>
        </w:rPr>
        <w:t>при</w:t>
      </w:r>
      <w:r>
        <w:rPr>
          <w:spacing w:val="-11"/>
          <w:sz w:val="28"/>
        </w:rPr>
        <w:t xml:space="preserve"> </w:t>
      </w:r>
      <w:r>
        <w:rPr>
          <w:sz w:val="28"/>
        </w:rPr>
        <w:t>мягкой</w:t>
      </w:r>
      <w:r>
        <w:rPr>
          <w:spacing w:val="-10"/>
          <w:sz w:val="28"/>
        </w:rPr>
        <w:t xml:space="preserve"> </w:t>
      </w:r>
      <w:r>
        <w:rPr>
          <w:sz w:val="28"/>
        </w:rPr>
        <w:t>консистенции</w:t>
      </w:r>
      <w:r>
        <w:rPr>
          <w:spacing w:val="-11"/>
          <w:sz w:val="28"/>
        </w:rPr>
        <w:t xml:space="preserve"> </w:t>
      </w:r>
      <w:r>
        <w:rPr>
          <w:sz w:val="28"/>
        </w:rPr>
        <w:t>поджелудочной</w:t>
      </w:r>
      <w:r>
        <w:rPr>
          <w:spacing w:val="-11"/>
          <w:sz w:val="28"/>
        </w:rPr>
        <w:t xml:space="preserve"> </w:t>
      </w:r>
      <w:r>
        <w:rPr>
          <w:sz w:val="28"/>
        </w:rPr>
        <w:t>железы</w:t>
      </w:r>
      <w:r>
        <w:rPr>
          <w:spacing w:val="-10"/>
          <w:sz w:val="28"/>
        </w:rPr>
        <w:t xml:space="preserve"> </w:t>
      </w:r>
      <w:r>
        <w:rPr>
          <w:sz w:val="28"/>
        </w:rPr>
        <w:t>частота</w:t>
      </w:r>
      <w:r>
        <w:rPr>
          <w:spacing w:val="-10"/>
          <w:sz w:val="28"/>
        </w:rPr>
        <w:t xml:space="preserve"> </w:t>
      </w:r>
      <w:r>
        <w:rPr>
          <w:sz w:val="28"/>
        </w:rPr>
        <w:t>клинически значимого панкреатического свища составила 38,8% против 5,7% при плотной паренхиме</w:t>
      </w:r>
      <w:r>
        <w:rPr>
          <w:spacing w:val="-18"/>
          <w:sz w:val="28"/>
        </w:rPr>
        <w:t xml:space="preserve"> </w:t>
      </w:r>
      <w:r>
        <w:rPr>
          <w:sz w:val="28"/>
        </w:rPr>
        <w:t>(p&lt;0,001)</w:t>
      </w:r>
      <w:r>
        <w:rPr>
          <w:spacing w:val="-17"/>
          <w:sz w:val="28"/>
        </w:rPr>
        <w:t xml:space="preserve"> </w:t>
      </w:r>
      <w:r>
        <w:rPr>
          <w:sz w:val="28"/>
        </w:rPr>
        <w:t>с</w:t>
      </w:r>
      <w:r>
        <w:rPr>
          <w:spacing w:val="-18"/>
          <w:sz w:val="28"/>
        </w:rPr>
        <w:t xml:space="preserve"> </w:t>
      </w:r>
      <w:r>
        <w:rPr>
          <w:sz w:val="28"/>
        </w:rPr>
        <w:t>увеличением</w:t>
      </w:r>
      <w:r>
        <w:rPr>
          <w:spacing w:val="-17"/>
          <w:sz w:val="28"/>
        </w:rPr>
        <w:t xml:space="preserve"> </w:t>
      </w:r>
      <w:r>
        <w:rPr>
          <w:sz w:val="28"/>
        </w:rPr>
        <w:t>летальности</w:t>
      </w:r>
      <w:r>
        <w:rPr>
          <w:spacing w:val="-18"/>
          <w:sz w:val="28"/>
        </w:rPr>
        <w:t xml:space="preserve"> </w:t>
      </w:r>
      <w:r>
        <w:rPr>
          <w:sz w:val="28"/>
        </w:rPr>
        <w:t>до</w:t>
      </w:r>
      <w:r>
        <w:rPr>
          <w:spacing w:val="-17"/>
          <w:sz w:val="28"/>
        </w:rPr>
        <w:t xml:space="preserve"> </w:t>
      </w:r>
      <w:r>
        <w:rPr>
          <w:sz w:val="28"/>
        </w:rPr>
        <w:t>11,6%</w:t>
      </w:r>
      <w:r>
        <w:rPr>
          <w:spacing w:val="-18"/>
          <w:sz w:val="28"/>
        </w:rPr>
        <w:t xml:space="preserve"> </w:t>
      </w:r>
      <w:r>
        <w:rPr>
          <w:sz w:val="28"/>
        </w:rPr>
        <w:t>против</w:t>
      </w:r>
      <w:r>
        <w:rPr>
          <w:spacing w:val="-17"/>
          <w:sz w:val="28"/>
        </w:rPr>
        <w:t xml:space="preserve"> </w:t>
      </w:r>
      <w:r>
        <w:rPr>
          <w:sz w:val="28"/>
        </w:rPr>
        <w:t>3,4%</w:t>
      </w:r>
      <w:r>
        <w:rPr>
          <w:spacing w:val="-18"/>
          <w:sz w:val="28"/>
        </w:rPr>
        <w:t xml:space="preserve"> </w:t>
      </w:r>
      <w:r>
        <w:rPr>
          <w:sz w:val="28"/>
        </w:rPr>
        <w:t>(p=0,034), а при диаметре панкреатического протока ≤5 мм частота клинически значимого панкреатического свища достигала 33,7% против 3,4% при диаметре &gt;5 мм (p&lt;0,001) с ростом летальности до 10,8% против 1,7% (p=0,033); панкреатический свищ-ассоциированные кровотечения выявлены исключительно у пациентов группы высокого анатомического риска, что позволило</w:t>
      </w:r>
      <w:r>
        <w:rPr>
          <w:spacing w:val="-18"/>
          <w:sz w:val="28"/>
        </w:rPr>
        <w:t xml:space="preserve"> </w:t>
      </w:r>
      <w:r>
        <w:rPr>
          <w:sz w:val="28"/>
        </w:rPr>
        <w:t>определить</w:t>
      </w:r>
      <w:r>
        <w:rPr>
          <w:spacing w:val="-17"/>
          <w:sz w:val="28"/>
        </w:rPr>
        <w:t xml:space="preserve"> </w:t>
      </w:r>
      <w:r>
        <w:rPr>
          <w:sz w:val="28"/>
        </w:rPr>
        <w:t>клинически</w:t>
      </w:r>
      <w:r>
        <w:rPr>
          <w:spacing w:val="-18"/>
          <w:sz w:val="28"/>
        </w:rPr>
        <w:t xml:space="preserve"> </w:t>
      </w:r>
      <w:r>
        <w:rPr>
          <w:sz w:val="28"/>
        </w:rPr>
        <w:t>значимый</w:t>
      </w:r>
      <w:r>
        <w:rPr>
          <w:spacing w:val="-17"/>
          <w:sz w:val="28"/>
        </w:rPr>
        <w:t xml:space="preserve"> </w:t>
      </w:r>
      <w:r>
        <w:rPr>
          <w:sz w:val="28"/>
        </w:rPr>
        <w:t>панкреатический</w:t>
      </w:r>
      <w:r>
        <w:rPr>
          <w:spacing w:val="-18"/>
          <w:sz w:val="28"/>
        </w:rPr>
        <w:t xml:space="preserve"> </w:t>
      </w:r>
      <w:r>
        <w:rPr>
          <w:sz w:val="28"/>
        </w:rPr>
        <w:t>свищ</w:t>
      </w:r>
      <w:r>
        <w:rPr>
          <w:spacing w:val="-17"/>
          <w:sz w:val="28"/>
        </w:rPr>
        <w:t xml:space="preserve"> </w:t>
      </w:r>
      <w:r>
        <w:rPr>
          <w:sz w:val="28"/>
        </w:rPr>
        <w:t>и</w:t>
      </w:r>
      <w:r>
        <w:rPr>
          <w:spacing w:val="-18"/>
          <w:sz w:val="28"/>
        </w:rPr>
        <w:t xml:space="preserve"> </w:t>
      </w:r>
      <w:r>
        <w:rPr>
          <w:sz w:val="28"/>
        </w:rPr>
        <w:t>связанные с ним геморрагические и септические осложнения как основные причины неблагоприятных исходов;</w:t>
      </w:r>
    </w:p>
    <w:p w14:paraId="2D5761ED">
      <w:pPr>
        <w:pStyle w:val="10"/>
        <w:numPr>
          <w:ilvl w:val="0"/>
          <w:numId w:val="27"/>
        </w:numPr>
        <w:tabs>
          <w:tab w:val="left" w:pos="945"/>
        </w:tabs>
        <w:ind w:left="0" w:right="3" w:firstLine="566"/>
        <w:rPr>
          <w:sz w:val="28"/>
          <w:szCs w:val="28"/>
        </w:rPr>
      </w:pPr>
      <w:r>
        <w:rPr>
          <w:sz w:val="28"/>
          <w:szCs w:val="28"/>
        </w:rPr>
        <w:t>Разработанный комплекс профилактических мероприятий, включающий модифицированный протоково-слизистый панкреатоеюноанастомоз, двойное дренирование зоны анастомоза и окутывание культи гастродуоденальной артерии круглой связкой печени, обеспечил достоверное снижение общей частоты панкреатического свища с 48,6% до 23,4% (p&lt;0,001), а также сопровождался уменьшением частоты билиарных свищей и кровотечений после операции (1,6% vs 1,4%; p=1,000 и 2,8% vs 2,1%; p=1,000 соответственно), при этом отмечено значимое снижение кровотечений, ассоциированных с панкреатическим свищом (с 5,6% до 0,8%; p=0,026). Наибольший клинический эффект отмечен у пациентов с мягкой консистенцией поджелудочной железы и диаметром панкреатического протока ≤5 мм, где зарегистрировано почти двукратное снижение частоты панкреатического свища и существенное уменьшение летальности;</w:t>
      </w:r>
    </w:p>
    <w:p w14:paraId="366F48D4">
      <w:pPr>
        <w:pStyle w:val="10"/>
        <w:numPr>
          <w:ilvl w:val="0"/>
          <w:numId w:val="27"/>
        </w:numPr>
        <w:tabs>
          <w:tab w:val="left" w:pos="945"/>
        </w:tabs>
        <w:ind w:left="0" w:right="3" w:firstLine="566"/>
        <w:rPr>
          <w:sz w:val="28"/>
        </w:rPr>
      </w:pPr>
      <w:r>
        <w:rPr>
          <w:sz w:val="28"/>
        </w:rPr>
        <w:t>Сравнительный анализ стандартного и модифицированного протоково- слизистого панкреатоеюноанастомоза показал, что внедрение усовершенствованной методики сопровождалось достоверным снижением общей</w:t>
      </w:r>
      <w:r>
        <w:rPr>
          <w:spacing w:val="-9"/>
          <w:sz w:val="28"/>
        </w:rPr>
        <w:t xml:space="preserve"> </w:t>
      </w:r>
      <w:r>
        <w:rPr>
          <w:sz w:val="28"/>
        </w:rPr>
        <w:t>частоты</w:t>
      </w:r>
      <w:r>
        <w:rPr>
          <w:spacing w:val="-9"/>
          <w:sz w:val="28"/>
        </w:rPr>
        <w:t xml:space="preserve"> </w:t>
      </w:r>
      <w:r>
        <w:rPr>
          <w:sz w:val="28"/>
        </w:rPr>
        <w:t>клинически значимых</w:t>
      </w:r>
      <w:r>
        <w:rPr>
          <w:spacing w:val="-8"/>
          <w:sz w:val="28"/>
        </w:rPr>
        <w:t xml:space="preserve"> </w:t>
      </w:r>
      <w:r>
        <w:rPr>
          <w:sz w:val="28"/>
        </w:rPr>
        <w:t>форм</w:t>
      </w:r>
      <w:r>
        <w:t xml:space="preserve"> </w:t>
      </w:r>
      <w:r>
        <w:rPr>
          <w:sz w:val="28"/>
        </w:rPr>
        <w:t>панкреатического свища</w:t>
      </w:r>
      <w:r>
        <w:rPr>
          <w:spacing w:val="-1"/>
          <w:sz w:val="28"/>
        </w:rPr>
        <w:t xml:space="preserve"> </w:t>
      </w:r>
      <w:r>
        <w:rPr>
          <w:sz w:val="28"/>
        </w:rPr>
        <w:t>степени</w:t>
      </w:r>
      <w:r>
        <w:rPr>
          <w:spacing w:val="1"/>
          <w:sz w:val="28"/>
        </w:rPr>
        <w:t xml:space="preserve"> </w:t>
      </w:r>
      <w:r>
        <w:rPr>
          <w:sz w:val="28"/>
        </w:rPr>
        <w:t>B</w:t>
      </w:r>
      <w:r>
        <w:rPr>
          <w:spacing w:val="-6"/>
          <w:sz w:val="28"/>
        </w:rPr>
        <w:t xml:space="preserve"> </w:t>
      </w:r>
      <w:r>
        <w:rPr>
          <w:sz w:val="28"/>
        </w:rPr>
        <w:t>и</w:t>
      </w:r>
      <w:r>
        <w:rPr>
          <w:spacing w:val="-4"/>
          <w:sz w:val="28"/>
        </w:rPr>
        <w:t xml:space="preserve"> </w:t>
      </w:r>
      <w:r>
        <w:rPr>
          <w:sz w:val="28"/>
        </w:rPr>
        <w:t>C</w:t>
      </w:r>
      <w:r>
        <w:rPr>
          <w:spacing w:val="4"/>
          <w:sz w:val="28"/>
        </w:rPr>
        <w:t xml:space="preserve"> </w:t>
      </w:r>
      <w:r>
        <w:rPr>
          <w:sz w:val="28"/>
        </w:rPr>
        <w:t>—</w:t>
      </w:r>
      <w:r>
        <w:rPr>
          <w:spacing w:val="-3"/>
          <w:sz w:val="28"/>
        </w:rPr>
        <w:t xml:space="preserve"> </w:t>
      </w:r>
      <w:r>
        <w:rPr>
          <w:sz w:val="28"/>
        </w:rPr>
        <w:t>с</w:t>
      </w:r>
      <w:r>
        <w:rPr>
          <w:spacing w:val="-2"/>
          <w:sz w:val="28"/>
        </w:rPr>
        <w:t xml:space="preserve"> </w:t>
      </w:r>
      <w:r>
        <w:rPr>
          <w:sz w:val="28"/>
        </w:rPr>
        <w:t>29,0%</w:t>
      </w:r>
      <w:r>
        <w:rPr>
          <w:spacing w:val="-5"/>
          <w:sz w:val="28"/>
        </w:rPr>
        <w:t xml:space="preserve"> </w:t>
      </w:r>
      <w:r>
        <w:rPr>
          <w:sz w:val="28"/>
        </w:rPr>
        <w:t>до</w:t>
      </w:r>
      <w:r>
        <w:rPr>
          <w:spacing w:val="-3"/>
          <w:sz w:val="28"/>
        </w:rPr>
        <w:t xml:space="preserve"> </w:t>
      </w:r>
      <w:r>
        <w:rPr>
          <w:sz w:val="28"/>
        </w:rPr>
        <w:t>15,6%</w:t>
      </w:r>
      <w:r>
        <w:rPr>
          <w:spacing w:val="-5"/>
          <w:sz w:val="28"/>
        </w:rPr>
        <w:t xml:space="preserve"> </w:t>
      </w:r>
      <w:r>
        <w:rPr>
          <w:sz w:val="28"/>
        </w:rPr>
        <w:t>(p=0,008), свищей</w:t>
      </w:r>
      <w:r>
        <w:rPr>
          <w:spacing w:val="-4"/>
          <w:sz w:val="28"/>
        </w:rPr>
        <w:t xml:space="preserve"> </w:t>
      </w:r>
      <w:r>
        <w:rPr>
          <w:sz w:val="28"/>
        </w:rPr>
        <w:t>степени</w:t>
      </w:r>
      <w:r>
        <w:rPr>
          <w:spacing w:val="-3"/>
          <w:sz w:val="28"/>
        </w:rPr>
        <w:t xml:space="preserve"> </w:t>
      </w:r>
      <w:r>
        <w:rPr>
          <w:spacing w:val="-10"/>
          <w:sz w:val="28"/>
        </w:rPr>
        <w:t xml:space="preserve">C </w:t>
      </w:r>
      <w:r>
        <w:rPr>
          <w:sz w:val="28"/>
          <w:szCs w:val="28"/>
        </w:rPr>
        <w:t>— с 6,2% до 1,4% (p=0,044),</w:t>
      </w:r>
      <w:r>
        <w:t xml:space="preserve"> </w:t>
      </w:r>
      <w:r>
        <w:rPr>
          <w:sz w:val="28"/>
          <w:szCs w:val="28"/>
        </w:rPr>
        <w:t>релапаротомий — с 6,1% до 0,8% (p=0,015); по данным многофакторного логистического регрессионного анализа независимыми предикторами формирования клинически значимого панкреатического свища определены повышенный уровень амилазы в дренажной жидкости в первые сутки после операции (отношение шансов 1,012; p&lt;0,001), стандартный тип панкреатоеюноанастомоза (отношение шансов 3,21; 95% доверительный интервал 1,07–9,61) и малый диаметр панкреатического протока (пороговое значение ≤3,5 мм), тогда как влияние локализации опухоли статистически значимым не подтверждено;</w:t>
      </w:r>
    </w:p>
    <w:p w14:paraId="4B740B84">
      <w:pPr>
        <w:pStyle w:val="10"/>
        <w:numPr>
          <w:ilvl w:val="0"/>
          <w:numId w:val="27"/>
        </w:numPr>
        <w:tabs>
          <w:tab w:val="left" w:pos="945"/>
        </w:tabs>
        <w:ind w:left="0" w:right="3" w:firstLine="566"/>
        <w:rPr>
          <w:sz w:val="28"/>
          <w:szCs w:val="28"/>
        </w:rPr>
      </w:pPr>
      <w:r>
        <w:rPr>
          <w:sz w:val="28"/>
          <w:szCs w:val="28"/>
        </w:rPr>
        <w:t>На основании своих клинических данных разработан и внедрён интегрированный алгоритм профилактики и лечения панкреатического свища после</w:t>
      </w:r>
      <w:r>
        <w:rPr>
          <w:spacing w:val="-18"/>
          <w:sz w:val="28"/>
          <w:szCs w:val="28"/>
        </w:rPr>
        <w:t xml:space="preserve"> </w:t>
      </w:r>
      <w:r>
        <w:rPr>
          <w:sz w:val="28"/>
          <w:szCs w:val="28"/>
        </w:rPr>
        <w:t>гастропанкреатодуоденальной</w:t>
      </w:r>
      <w:r>
        <w:rPr>
          <w:spacing w:val="-17"/>
          <w:sz w:val="28"/>
          <w:szCs w:val="28"/>
        </w:rPr>
        <w:t xml:space="preserve"> </w:t>
      </w:r>
      <w:r>
        <w:rPr>
          <w:sz w:val="28"/>
          <w:szCs w:val="28"/>
        </w:rPr>
        <w:t>резекции,</w:t>
      </w:r>
      <w:r>
        <w:rPr>
          <w:spacing w:val="-18"/>
          <w:sz w:val="28"/>
          <w:szCs w:val="28"/>
        </w:rPr>
        <w:t xml:space="preserve"> </w:t>
      </w:r>
      <w:r>
        <w:rPr>
          <w:sz w:val="28"/>
          <w:szCs w:val="28"/>
        </w:rPr>
        <w:t>включающий</w:t>
      </w:r>
      <w:r>
        <w:rPr>
          <w:spacing w:val="-17"/>
          <w:sz w:val="28"/>
          <w:szCs w:val="28"/>
        </w:rPr>
        <w:t xml:space="preserve"> </w:t>
      </w:r>
      <w:r>
        <w:rPr>
          <w:sz w:val="28"/>
          <w:szCs w:val="28"/>
        </w:rPr>
        <w:t xml:space="preserve">предоперационную </w:t>
      </w:r>
      <w:r>
        <w:rPr>
          <w:spacing w:val="-2"/>
          <w:sz w:val="28"/>
          <w:szCs w:val="28"/>
        </w:rPr>
        <w:t>стратификацию</w:t>
      </w:r>
      <w:r>
        <w:rPr>
          <w:sz w:val="28"/>
          <w:szCs w:val="28"/>
        </w:rPr>
        <w:tab/>
      </w:r>
      <w:r>
        <w:rPr>
          <w:spacing w:val="-2"/>
          <w:sz w:val="28"/>
          <w:szCs w:val="28"/>
        </w:rPr>
        <w:t>риска,</w:t>
      </w:r>
      <w:r>
        <w:rPr>
          <w:sz w:val="28"/>
          <w:szCs w:val="28"/>
        </w:rPr>
        <w:tab/>
      </w:r>
      <w:r>
        <w:rPr>
          <w:spacing w:val="-2"/>
          <w:sz w:val="28"/>
          <w:szCs w:val="28"/>
        </w:rPr>
        <w:t>дифференцированный</w:t>
      </w:r>
      <w:r>
        <w:rPr>
          <w:sz w:val="28"/>
          <w:szCs w:val="28"/>
        </w:rPr>
        <w:tab/>
      </w:r>
      <w:r>
        <w:rPr>
          <w:spacing w:val="-2"/>
          <w:sz w:val="28"/>
          <w:szCs w:val="28"/>
        </w:rPr>
        <w:t>выбор</w:t>
      </w:r>
      <w:r>
        <w:rPr>
          <w:sz w:val="28"/>
          <w:szCs w:val="28"/>
        </w:rPr>
        <w:t xml:space="preserve"> </w:t>
      </w:r>
      <w:r>
        <w:rPr>
          <w:spacing w:val="-4"/>
          <w:sz w:val="28"/>
          <w:szCs w:val="28"/>
        </w:rPr>
        <w:t xml:space="preserve">типа </w:t>
      </w:r>
      <w:r>
        <w:rPr>
          <w:sz w:val="28"/>
          <w:szCs w:val="28"/>
        </w:rPr>
        <w:t>панкреатоеюноанастомоза с учётом консистенции поджелудочной железы и диаметра панкреатического протока, двойное дренирование зоны анастомоза, сосудистую защиту и динамический мониторинг уровня амилазы в дренажной жидкости;</w:t>
      </w:r>
      <w:r>
        <w:rPr>
          <w:spacing w:val="-4"/>
          <w:sz w:val="28"/>
          <w:szCs w:val="28"/>
        </w:rPr>
        <w:t xml:space="preserve"> </w:t>
      </w:r>
      <w:r>
        <w:rPr>
          <w:sz w:val="28"/>
          <w:szCs w:val="28"/>
        </w:rPr>
        <w:t>реализация</w:t>
      </w:r>
      <w:r>
        <w:rPr>
          <w:spacing w:val="-7"/>
          <w:sz w:val="28"/>
          <w:szCs w:val="28"/>
        </w:rPr>
        <w:t xml:space="preserve"> </w:t>
      </w:r>
      <w:r>
        <w:rPr>
          <w:sz w:val="28"/>
          <w:szCs w:val="28"/>
        </w:rPr>
        <w:t>алгоритма</w:t>
      </w:r>
      <w:r>
        <w:rPr>
          <w:spacing w:val="-7"/>
          <w:sz w:val="28"/>
          <w:szCs w:val="28"/>
        </w:rPr>
        <w:t xml:space="preserve"> </w:t>
      </w:r>
      <w:r>
        <w:rPr>
          <w:sz w:val="28"/>
          <w:szCs w:val="28"/>
        </w:rPr>
        <w:t>ассоциировалась</w:t>
      </w:r>
      <w:r>
        <w:rPr>
          <w:spacing w:val="-5"/>
          <w:sz w:val="28"/>
          <w:szCs w:val="28"/>
        </w:rPr>
        <w:t xml:space="preserve"> </w:t>
      </w:r>
      <w:r>
        <w:rPr>
          <w:sz w:val="28"/>
          <w:szCs w:val="28"/>
        </w:rPr>
        <w:t>со</w:t>
      </w:r>
      <w:r>
        <w:rPr>
          <w:spacing w:val="-7"/>
          <w:sz w:val="28"/>
          <w:szCs w:val="28"/>
        </w:rPr>
        <w:t xml:space="preserve"> </w:t>
      </w:r>
      <w:r>
        <w:rPr>
          <w:sz w:val="28"/>
          <w:szCs w:val="28"/>
        </w:rPr>
        <w:t>снижением</w:t>
      </w:r>
      <w:r>
        <w:rPr>
          <w:spacing w:val="-6"/>
          <w:sz w:val="28"/>
          <w:szCs w:val="28"/>
        </w:rPr>
        <w:t xml:space="preserve"> </w:t>
      </w:r>
      <w:r>
        <w:rPr>
          <w:sz w:val="28"/>
          <w:szCs w:val="28"/>
        </w:rPr>
        <w:t>общей</w:t>
      </w:r>
      <w:r>
        <w:rPr>
          <w:spacing w:val="-7"/>
          <w:sz w:val="28"/>
          <w:szCs w:val="28"/>
        </w:rPr>
        <w:t xml:space="preserve"> </w:t>
      </w:r>
      <w:r>
        <w:rPr>
          <w:sz w:val="28"/>
          <w:szCs w:val="28"/>
        </w:rPr>
        <w:t>частоты осложнений — с 27,3% до 17,7% (p=0,046) и</w:t>
      </w:r>
      <w:r>
        <w:rPr>
          <w:spacing w:val="-6"/>
          <w:sz w:val="28"/>
          <w:szCs w:val="28"/>
        </w:rPr>
        <w:t xml:space="preserve"> </w:t>
      </w:r>
      <w:r>
        <w:rPr>
          <w:sz w:val="28"/>
          <w:szCs w:val="28"/>
        </w:rPr>
        <w:t>госпитальной</w:t>
      </w:r>
      <w:r>
        <w:rPr>
          <w:spacing w:val="-6"/>
          <w:sz w:val="28"/>
          <w:szCs w:val="28"/>
        </w:rPr>
        <w:t xml:space="preserve"> </w:t>
      </w:r>
      <w:r>
        <w:rPr>
          <w:sz w:val="28"/>
          <w:szCs w:val="28"/>
        </w:rPr>
        <w:t>летальности</w:t>
      </w:r>
      <w:r>
        <w:rPr>
          <w:spacing w:val="-5"/>
          <w:sz w:val="28"/>
          <w:szCs w:val="28"/>
        </w:rPr>
        <w:t xml:space="preserve"> </w:t>
      </w:r>
      <w:r>
        <w:rPr>
          <w:sz w:val="28"/>
          <w:szCs w:val="28"/>
        </w:rPr>
        <w:t>—</w:t>
      </w:r>
      <w:r>
        <w:rPr>
          <w:spacing w:val="-6"/>
          <w:sz w:val="28"/>
          <w:szCs w:val="28"/>
        </w:rPr>
        <w:t xml:space="preserve"> </w:t>
      </w:r>
      <w:r>
        <w:rPr>
          <w:sz w:val="28"/>
          <w:szCs w:val="28"/>
        </w:rPr>
        <w:t>с</w:t>
      </w:r>
      <w:r>
        <w:rPr>
          <w:spacing w:val="-6"/>
          <w:sz w:val="28"/>
          <w:szCs w:val="28"/>
        </w:rPr>
        <w:t xml:space="preserve"> </w:t>
      </w:r>
      <w:r>
        <w:rPr>
          <w:sz w:val="28"/>
          <w:szCs w:val="28"/>
        </w:rPr>
        <w:t>6,1%</w:t>
      </w:r>
      <w:r>
        <w:rPr>
          <w:spacing w:val="-8"/>
          <w:sz w:val="28"/>
          <w:szCs w:val="28"/>
        </w:rPr>
        <w:t xml:space="preserve"> </w:t>
      </w:r>
      <w:r>
        <w:rPr>
          <w:sz w:val="28"/>
          <w:szCs w:val="28"/>
        </w:rPr>
        <w:t>до</w:t>
      </w:r>
      <w:r>
        <w:rPr>
          <w:spacing w:val="-6"/>
          <w:sz w:val="28"/>
          <w:szCs w:val="28"/>
        </w:rPr>
        <w:t xml:space="preserve"> </w:t>
      </w:r>
      <w:r>
        <w:rPr>
          <w:sz w:val="28"/>
          <w:szCs w:val="28"/>
        </w:rPr>
        <w:t>1,4%</w:t>
      </w:r>
      <w:r>
        <w:rPr>
          <w:spacing w:val="-8"/>
          <w:sz w:val="28"/>
          <w:szCs w:val="28"/>
        </w:rPr>
        <w:t xml:space="preserve"> </w:t>
      </w:r>
      <w:r>
        <w:rPr>
          <w:sz w:val="28"/>
          <w:szCs w:val="28"/>
        </w:rPr>
        <w:t xml:space="preserve">(p=0,044), а также сокращением длительности госпитализации с 25 до 16 суток (p&lt;0,001), что подтверждает клиническую эффективность и практическую значимость предложенного подхода.  </w:t>
      </w:r>
    </w:p>
    <w:p w14:paraId="3DEAA763">
      <w:pPr>
        <w:pStyle w:val="2"/>
        <w:spacing w:before="74"/>
        <w:ind w:left="572" w:right="6"/>
      </w:pPr>
      <w:bookmarkStart w:id="59" w:name="ПРАКТИЧЕСКИЕ_РЕКОМЕНДАЦИИ"/>
      <w:bookmarkEnd w:id="59"/>
    </w:p>
    <w:p w14:paraId="5C94F712">
      <w:pPr>
        <w:pStyle w:val="2"/>
        <w:spacing w:before="74"/>
        <w:ind w:left="0" w:right="6"/>
        <w:jc w:val="left"/>
      </w:pPr>
    </w:p>
    <w:p w14:paraId="03E470D3">
      <w:pPr>
        <w:pStyle w:val="2"/>
        <w:spacing w:before="74"/>
        <w:ind w:left="0" w:right="6"/>
        <w:jc w:val="left"/>
      </w:pPr>
    </w:p>
    <w:p w14:paraId="596C1300">
      <w:pPr>
        <w:pStyle w:val="2"/>
        <w:spacing w:before="74"/>
        <w:ind w:left="0" w:right="6"/>
        <w:jc w:val="left"/>
      </w:pPr>
    </w:p>
    <w:p w14:paraId="327D2826">
      <w:pPr>
        <w:pStyle w:val="2"/>
        <w:spacing w:before="74"/>
        <w:ind w:left="0" w:right="6"/>
        <w:jc w:val="left"/>
      </w:pPr>
    </w:p>
    <w:p w14:paraId="06F6B9BB">
      <w:pPr>
        <w:pStyle w:val="2"/>
        <w:spacing w:before="74"/>
        <w:ind w:left="0" w:right="6"/>
        <w:jc w:val="left"/>
      </w:pPr>
    </w:p>
    <w:p w14:paraId="00C4667A">
      <w:pPr>
        <w:pStyle w:val="2"/>
        <w:spacing w:before="74"/>
        <w:ind w:left="0" w:right="6"/>
        <w:jc w:val="left"/>
      </w:pPr>
    </w:p>
    <w:p w14:paraId="04131CC1">
      <w:pPr>
        <w:pStyle w:val="2"/>
        <w:spacing w:before="74"/>
        <w:ind w:left="0" w:right="6"/>
        <w:jc w:val="left"/>
      </w:pPr>
    </w:p>
    <w:p w14:paraId="6CB4EEDD">
      <w:pPr>
        <w:pStyle w:val="2"/>
        <w:spacing w:before="74"/>
        <w:ind w:left="0" w:right="6"/>
        <w:jc w:val="left"/>
      </w:pPr>
    </w:p>
    <w:p w14:paraId="657B11AF">
      <w:pPr>
        <w:pStyle w:val="2"/>
        <w:spacing w:before="74"/>
        <w:ind w:left="0" w:right="6"/>
        <w:jc w:val="left"/>
      </w:pPr>
    </w:p>
    <w:p w14:paraId="66FA5551">
      <w:pPr>
        <w:pStyle w:val="2"/>
        <w:spacing w:before="74"/>
        <w:ind w:left="0" w:right="6"/>
        <w:jc w:val="left"/>
      </w:pPr>
    </w:p>
    <w:p w14:paraId="59D757DC">
      <w:pPr>
        <w:pStyle w:val="2"/>
        <w:spacing w:before="0"/>
        <w:ind w:left="0" w:right="6" w:firstLine="572"/>
        <w:jc w:val="both"/>
        <w:rPr>
          <w:b w:val="0"/>
          <w:bCs w:val="0"/>
        </w:rPr>
      </w:pPr>
      <w:r>
        <w:rPr>
          <w:b w:val="0"/>
          <w:bCs w:val="0"/>
        </w:rPr>
        <w:t>Практические</w:t>
      </w:r>
      <w:r>
        <w:rPr>
          <w:b w:val="0"/>
          <w:bCs w:val="0"/>
          <w:spacing w:val="-19"/>
        </w:rPr>
        <w:t xml:space="preserve"> </w:t>
      </w:r>
      <w:r>
        <w:rPr>
          <w:b w:val="0"/>
          <w:bCs w:val="0"/>
          <w:spacing w:val="-2"/>
        </w:rPr>
        <w:t>рекомендации</w:t>
      </w:r>
    </w:p>
    <w:p w14:paraId="35528976">
      <w:pPr>
        <w:pStyle w:val="10"/>
        <w:numPr>
          <w:ilvl w:val="0"/>
          <w:numId w:val="28"/>
        </w:numPr>
        <w:tabs>
          <w:tab w:val="left" w:pos="1127"/>
        </w:tabs>
        <w:ind w:left="0" w:right="3" w:firstLine="572"/>
        <w:rPr>
          <w:sz w:val="28"/>
          <w:szCs w:val="28"/>
        </w:rPr>
      </w:pPr>
      <w:r>
        <w:rPr>
          <w:sz w:val="28"/>
          <w:szCs w:val="28"/>
        </w:rPr>
        <w:t xml:space="preserve">Рекомендуется проводить комплексную предоперационную оценку и стратификацию риска формирования панкреатического свища с учётом диаметра панкреатического протока, консистенции поджелудочной железы, индекса массы тела, уровня сывороточного альбумина и наличия билиарной гипертензии. Пациентам группы высокого риска показана коррекция белково- энергетической недостаточности, а при механической желтухе — выполнение билиарной декомпрессии до проведения гастропанкреатодуоденальной </w:t>
      </w:r>
      <w:r>
        <w:rPr>
          <w:spacing w:val="-2"/>
          <w:sz w:val="28"/>
          <w:szCs w:val="28"/>
        </w:rPr>
        <w:t>резекции.</w:t>
      </w:r>
    </w:p>
    <w:p w14:paraId="3A7034FB">
      <w:pPr>
        <w:pStyle w:val="10"/>
        <w:numPr>
          <w:ilvl w:val="0"/>
          <w:numId w:val="28"/>
        </w:numPr>
        <w:tabs>
          <w:tab w:val="left" w:pos="1127"/>
        </w:tabs>
        <w:spacing w:before="3"/>
        <w:ind w:left="0" w:right="3" w:firstLine="572"/>
        <w:rPr>
          <w:sz w:val="28"/>
          <w:szCs w:val="28"/>
        </w:rPr>
      </w:pPr>
      <w:r>
        <w:rPr>
          <w:sz w:val="28"/>
          <w:szCs w:val="28"/>
        </w:rPr>
        <w:t>При мягкой консистенции поджелудочной железы и нерасширенном диаметре панкреатического протока выполнение гастропанкреатодуоденальной резекции рекомендуется осуществлять с использованием модифицированного протоково-слизистого метода формирования панкреатоеюноанастомоза с применением транспанкреатических П-образных швов и дренированием панкреатического протока. Использование данной методики повышает надёжность реконструктивного этапа операции и снижает риск несостоятельности анастомоза.</w:t>
      </w:r>
    </w:p>
    <w:p w14:paraId="7DAD551A">
      <w:pPr>
        <w:pStyle w:val="10"/>
        <w:numPr>
          <w:ilvl w:val="0"/>
          <w:numId w:val="28"/>
        </w:numPr>
        <w:tabs>
          <w:tab w:val="left" w:pos="1127"/>
        </w:tabs>
        <w:ind w:left="0" w:right="3" w:firstLine="572"/>
        <w:rPr>
          <w:sz w:val="28"/>
          <w:szCs w:val="28"/>
        </w:rPr>
      </w:pPr>
      <w:r>
        <w:rPr>
          <w:sz w:val="28"/>
          <w:szCs w:val="28"/>
        </w:rPr>
        <w:t>С целью</w:t>
      </w:r>
      <w:r>
        <w:rPr>
          <w:spacing w:val="-1"/>
          <w:sz w:val="28"/>
          <w:szCs w:val="28"/>
        </w:rPr>
        <w:t xml:space="preserve"> </w:t>
      </w:r>
      <w:r>
        <w:rPr>
          <w:sz w:val="28"/>
          <w:szCs w:val="28"/>
        </w:rPr>
        <w:t>предупреждения гнойно-септических</w:t>
      </w:r>
      <w:r>
        <w:rPr>
          <w:spacing w:val="-6"/>
          <w:sz w:val="28"/>
          <w:szCs w:val="28"/>
        </w:rPr>
        <w:t xml:space="preserve"> </w:t>
      </w:r>
      <w:r>
        <w:rPr>
          <w:sz w:val="28"/>
          <w:szCs w:val="28"/>
        </w:rPr>
        <w:t>состояний</w:t>
      </w:r>
      <w:r>
        <w:rPr>
          <w:spacing w:val="-2"/>
          <w:sz w:val="28"/>
          <w:szCs w:val="28"/>
        </w:rPr>
        <w:t xml:space="preserve"> </w:t>
      </w:r>
      <w:r>
        <w:rPr>
          <w:sz w:val="28"/>
          <w:szCs w:val="28"/>
        </w:rPr>
        <w:t>и</w:t>
      </w:r>
      <w:r>
        <w:rPr>
          <w:spacing w:val="-1"/>
          <w:sz w:val="28"/>
          <w:szCs w:val="28"/>
        </w:rPr>
        <w:t xml:space="preserve"> </w:t>
      </w:r>
      <w:r>
        <w:rPr>
          <w:sz w:val="28"/>
          <w:szCs w:val="28"/>
        </w:rPr>
        <w:t>осложнений по</w:t>
      </w:r>
      <w:r>
        <w:rPr>
          <w:spacing w:val="-16"/>
          <w:sz w:val="28"/>
          <w:szCs w:val="28"/>
        </w:rPr>
        <w:t xml:space="preserve"> </w:t>
      </w:r>
      <w:r>
        <w:rPr>
          <w:sz w:val="28"/>
          <w:szCs w:val="28"/>
        </w:rPr>
        <w:t>Clavien-Dindo</w:t>
      </w:r>
      <w:r>
        <w:rPr>
          <w:spacing w:val="-16"/>
          <w:sz w:val="28"/>
          <w:szCs w:val="28"/>
        </w:rPr>
        <w:t xml:space="preserve"> </w:t>
      </w:r>
      <w:r>
        <w:rPr>
          <w:sz w:val="28"/>
          <w:szCs w:val="28"/>
        </w:rPr>
        <w:t>III</w:t>
      </w:r>
      <w:r>
        <w:rPr>
          <w:spacing w:val="-17"/>
          <w:sz w:val="28"/>
          <w:szCs w:val="28"/>
        </w:rPr>
        <w:t xml:space="preserve"> </w:t>
      </w:r>
      <w:r>
        <w:rPr>
          <w:sz w:val="28"/>
          <w:szCs w:val="28"/>
        </w:rPr>
        <w:t>степени</w:t>
      </w:r>
      <w:r>
        <w:rPr>
          <w:spacing w:val="-15"/>
          <w:sz w:val="28"/>
          <w:szCs w:val="28"/>
        </w:rPr>
        <w:t xml:space="preserve"> </w:t>
      </w:r>
      <w:r>
        <w:rPr>
          <w:sz w:val="28"/>
          <w:szCs w:val="28"/>
        </w:rPr>
        <w:t>необходимо</w:t>
      </w:r>
      <w:r>
        <w:rPr>
          <w:spacing w:val="-12"/>
          <w:sz w:val="28"/>
          <w:szCs w:val="28"/>
        </w:rPr>
        <w:t xml:space="preserve"> </w:t>
      </w:r>
      <w:r>
        <w:rPr>
          <w:sz w:val="28"/>
          <w:szCs w:val="28"/>
        </w:rPr>
        <w:t>обеспечивать</w:t>
      </w:r>
      <w:r>
        <w:rPr>
          <w:spacing w:val="-17"/>
          <w:sz w:val="28"/>
          <w:szCs w:val="28"/>
        </w:rPr>
        <w:t xml:space="preserve"> </w:t>
      </w:r>
      <w:r>
        <w:rPr>
          <w:sz w:val="28"/>
          <w:szCs w:val="28"/>
        </w:rPr>
        <w:t>адекватное</w:t>
      </w:r>
      <w:r>
        <w:rPr>
          <w:spacing w:val="-15"/>
          <w:sz w:val="28"/>
          <w:szCs w:val="28"/>
        </w:rPr>
        <w:t xml:space="preserve"> </w:t>
      </w:r>
      <w:r>
        <w:rPr>
          <w:sz w:val="28"/>
          <w:szCs w:val="28"/>
        </w:rPr>
        <w:t>дренирование зоны панкреатоеюноанастомоза с активным отведением панкреатического секрета посредством двойного дренирования области анастомоза. Применение данной тактики позволяет предотвратить скопление жидкости в брюшной полости вследствие утечки панкреатического сока из зоны анастомоза.</w:t>
      </w:r>
    </w:p>
    <w:p w14:paraId="7DA6B111">
      <w:pPr>
        <w:pStyle w:val="10"/>
        <w:numPr>
          <w:ilvl w:val="0"/>
          <w:numId w:val="28"/>
        </w:numPr>
        <w:tabs>
          <w:tab w:val="left" w:pos="1127"/>
        </w:tabs>
        <w:spacing w:before="1"/>
        <w:ind w:left="0" w:right="3" w:firstLine="572"/>
        <w:rPr>
          <w:sz w:val="28"/>
          <w:szCs w:val="28"/>
        </w:rPr>
      </w:pPr>
      <w:r>
        <w:rPr>
          <w:sz w:val="28"/>
          <w:szCs w:val="28"/>
        </w:rPr>
        <w:t>Для профилактики аррозивного кровотечения после гастропанкреатодуоденальной резекции рекомендуется применение метода окутывания культи гастродуоденальной артерии и печёночной артерии круглой связкой</w:t>
      </w:r>
      <w:r>
        <w:rPr>
          <w:spacing w:val="-16"/>
          <w:sz w:val="28"/>
          <w:szCs w:val="28"/>
        </w:rPr>
        <w:t xml:space="preserve"> </w:t>
      </w:r>
      <w:r>
        <w:rPr>
          <w:sz w:val="28"/>
          <w:szCs w:val="28"/>
        </w:rPr>
        <w:t>печени,</w:t>
      </w:r>
      <w:r>
        <w:rPr>
          <w:spacing w:val="-12"/>
          <w:sz w:val="28"/>
          <w:szCs w:val="28"/>
        </w:rPr>
        <w:t xml:space="preserve"> </w:t>
      </w:r>
      <w:r>
        <w:rPr>
          <w:sz w:val="28"/>
          <w:szCs w:val="28"/>
        </w:rPr>
        <w:t>что</w:t>
      </w:r>
      <w:r>
        <w:rPr>
          <w:spacing w:val="-14"/>
          <w:sz w:val="28"/>
          <w:szCs w:val="28"/>
        </w:rPr>
        <w:t xml:space="preserve"> </w:t>
      </w:r>
      <w:r>
        <w:rPr>
          <w:sz w:val="28"/>
          <w:szCs w:val="28"/>
        </w:rPr>
        <w:t>обеспечивает</w:t>
      </w:r>
      <w:r>
        <w:rPr>
          <w:spacing w:val="-16"/>
          <w:sz w:val="28"/>
          <w:szCs w:val="28"/>
        </w:rPr>
        <w:t xml:space="preserve"> </w:t>
      </w:r>
      <w:r>
        <w:rPr>
          <w:sz w:val="28"/>
          <w:szCs w:val="28"/>
        </w:rPr>
        <w:t>механическую</w:t>
      </w:r>
      <w:r>
        <w:rPr>
          <w:spacing w:val="-16"/>
          <w:sz w:val="28"/>
          <w:szCs w:val="28"/>
        </w:rPr>
        <w:t xml:space="preserve"> </w:t>
      </w:r>
      <w:r>
        <w:rPr>
          <w:sz w:val="28"/>
          <w:szCs w:val="28"/>
        </w:rPr>
        <w:t>защиту</w:t>
      </w:r>
      <w:r>
        <w:rPr>
          <w:spacing w:val="-18"/>
          <w:sz w:val="28"/>
          <w:szCs w:val="28"/>
        </w:rPr>
        <w:t xml:space="preserve"> </w:t>
      </w:r>
      <w:r>
        <w:rPr>
          <w:sz w:val="28"/>
          <w:szCs w:val="28"/>
        </w:rPr>
        <w:t>сосудистых</w:t>
      </w:r>
      <w:r>
        <w:rPr>
          <w:spacing w:val="-17"/>
          <w:sz w:val="28"/>
          <w:szCs w:val="28"/>
        </w:rPr>
        <w:t xml:space="preserve"> </w:t>
      </w:r>
      <w:r>
        <w:rPr>
          <w:sz w:val="28"/>
          <w:szCs w:val="28"/>
        </w:rPr>
        <w:t>структур</w:t>
      </w:r>
      <w:r>
        <w:rPr>
          <w:spacing w:val="-14"/>
          <w:sz w:val="28"/>
          <w:szCs w:val="28"/>
        </w:rPr>
        <w:t xml:space="preserve"> </w:t>
      </w:r>
      <w:r>
        <w:rPr>
          <w:sz w:val="28"/>
          <w:szCs w:val="28"/>
        </w:rPr>
        <w:t>от воздействия</w:t>
      </w:r>
      <w:r>
        <w:rPr>
          <w:spacing w:val="-15"/>
          <w:sz w:val="28"/>
          <w:szCs w:val="28"/>
        </w:rPr>
        <w:t xml:space="preserve"> </w:t>
      </w:r>
      <w:r>
        <w:rPr>
          <w:sz w:val="28"/>
          <w:szCs w:val="28"/>
        </w:rPr>
        <w:t>панкреатического</w:t>
      </w:r>
      <w:r>
        <w:rPr>
          <w:spacing w:val="-15"/>
          <w:sz w:val="28"/>
          <w:szCs w:val="28"/>
        </w:rPr>
        <w:t xml:space="preserve"> </w:t>
      </w:r>
      <w:r>
        <w:rPr>
          <w:sz w:val="28"/>
          <w:szCs w:val="28"/>
        </w:rPr>
        <w:t>секрета</w:t>
      </w:r>
      <w:r>
        <w:rPr>
          <w:spacing w:val="-14"/>
          <w:sz w:val="28"/>
          <w:szCs w:val="28"/>
        </w:rPr>
        <w:t xml:space="preserve"> </w:t>
      </w:r>
      <w:r>
        <w:rPr>
          <w:sz w:val="28"/>
          <w:szCs w:val="28"/>
        </w:rPr>
        <w:t>и</w:t>
      </w:r>
      <w:r>
        <w:rPr>
          <w:spacing w:val="-10"/>
          <w:sz w:val="28"/>
          <w:szCs w:val="28"/>
        </w:rPr>
        <w:t xml:space="preserve"> </w:t>
      </w:r>
      <w:r>
        <w:rPr>
          <w:sz w:val="28"/>
          <w:szCs w:val="28"/>
        </w:rPr>
        <w:t>снижает</w:t>
      </w:r>
      <w:r>
        <w:rPr>
          <w:spacing w:val="-16"/>
          <w:sz w:val="28"/>
          <w:szCs w:val="28"/>
        </w:rPr>
        <w:t xml:space="preserve"> </w:t>
      </w:r>
      <w:r>
        <w:rPr>
          <w:sz w:val="28"/>
          <w:szCs w:val="28"/>
        </w:rPr>
        <w:t>риск</w:t>
      </w:r>
      <w:r>
        <w:rPr>
          <w:spacing w:val="-11"/>
          <w:sz w:val="28"/>
          <w:szCs w:val="28"/>
        </w:rPr>
        <w:t xml:space="preserve"> </w:t>
      </w:r>
      <w:r>
        <w:rPr>
          <w:sz w:val="28"/>
          <w:szCs w:val="28"/>
        </w:rPr>
        <w:t>поздних</w:t>
      </w:r>
      <w:r>
        <w:rPr>
          <w:spacing w:val="-18"/>
          <w:sz w:val="28"/>
          <w:szCs w:val="28"/>
        </w:rPr>
        <w:t xml:space="preserve"> </w:t>
      </w:r>
      <w:r>
        <w:rPr>
          <w:sz w:val="28"/>
          <w:szCs w:val="28"/>
        </w:rPr>
        <w:t xml:space="preserve">геморрагических </w:t>
      </w:r>
      <w:r>
        <w:rPr>
          <w:spacing w:val="-2"/>
          <w:sz w:val="28"/>
          <w:szCs w:val="28"/>
        </w:rPr>
        <w:t>осложнений.</w:t>
      </w:r>
    </w:p>
    <w:p w14:paraId="7EE3C54B">
      <w:pPr>
        <w:pStyle w:val="10"/>
        <w:numPr>
          <w:ilvl w:val="0"/>
          <w:numId w:val="28"/>
        </w:numPr>
        <w:tabs>
          <w:tab w:val="left" w:pos="1022"/>
        </w:tabs>
        <w:ind w:left="0" w:right="3" w:firstLine="572"/>
        <w:rPr>
          <w:sz w:val="28"/>
          <w:szCs w:val="28"/>
        </w:rPr>
      </w:pPr>
      <w:r>
        <w:rPr>
          <w:sz w:val="28"/>
          <w:szCs w:val="28"/>
        </w:rPr>
        <w:t>В целях стандартизации хирургической тактики и повышения качества оказания</w:t>
      </w:r>
      <w:r>
        <w:rPr>
          <w:spacing w:val="-6"/>
          <w:sz w:val="28"/>
          <w:szCs w:val="28"/>
        </w:rPr>
        <w:t xml:space="preserve"> </w:t>
      </w:r>
      <w:r>
        <w:rPr>
          <w:sz w:val="28"/>
          <w:szCs w:val="28"/>
        </w:rPr>
        <w:t>высокотехнологичной</w:t>
      </w:r>
      <w:r>
        <w:rPr>
          <w:spacing w:val="-7"/>
          <w:sz w:val="28"/>
          <w:szCs w:val="28"/>
        </w:rPr>
        <w:t xml:space="preserve"> </w:t>
      </w:r>
      <w:r>
        <w:rPr>
          <w:sz w:val="28"/>
          <w:szCs w:val="28"/>
        </w:rPr>
        <w:t>медицинской</w:t>
      </w:r>
      <w:r>
        <w:rPr>
          <w:spacing w:val="-7"/>
          <w:sz w:val="28"/>
          <w:szCs w:val="28"/>
        </w:rPr>
        <w:t xml:space="preserve"> </w:t>
      </w:r>
      <w:r>
        <w:rPr>
          <w:sz w:val="28"/>
          <w:szCs w:val="28"/>
        </w:rPr>
        <w:t>помощи</w:t>
      </w:r>
      <w:r>
        <w:rPr>
          <w:spacing w:val="-7"/>
          <w:sz w:val="28"/>
          <w:szCs w:val="28"/>
        </w:rPr>
        <w:t xml:space="preserve"> </w:t>
      </w:r>
      <w:r>
        <w:rPr>
          <w:sz w:val="28"/>
          <w:szCs w:val="28"/>
        </w:rPr>
        <w:t>целесообразно</w:t>
      </w:r>
      <w:r>
        <w:rPr>
          <w:spacing w:val="-6"/>
          <w:sz w:val="28"/>
          <w:szCs w:val="28"/>
        </w:rPr>
        <w:t xml:space="preserve"> </w:t>
      </w:r>
      <w:r>
        <w:rPr>
          <w:sz w:val="28"/>
          <w:szCs w:val="28"/>
        </w:rPr>
        <w:t>внедрение разработанного алгоритма профилактики и лечения панкреатического свища в клиническую практику специализированных центров, а также его интеграция в образовательные программы по хирургии и онкологии.</w:t>
      </w:r>
    </w:p>
    <w:p w14:paraId="0314D2A6">
      <w:pPr>
        <w:pStyle w:val="10"/>
        <w:rPr>
          <w:sz w:val="28"/>
        </w:rPr>
        <w:sectPr>
          <w:pgSz w:w="11910" w:h="16840"/>
          <w:pgMar w:top="1134" w:right="567" w:bottom="1134" w:left="1701" w:header="0" w:footer="936" w:gutter="0"/>
          <w:cols w:space="720" w:num="1"/>
        </w:sectPr>
      </w:pPr>
    </w:p>
    <w:p w14:paraId="50E1DC48">
      <w:pPr>
        <w:pStyle w:val="2"/>
        <w:ind w:left="563"/>
      </w:pPr>
      <w:r>
        <w:t>СПИСОК</w:t>
      </w:r>
      <w:r>
        <w:rPr>
          <w:spacing w:val="-15"/>
        </w:rPr>
        <w:t xml:space="preserve"> </w:t>
      </w:r>
      <w:r>
        <w:t>ИСПОЛЬЗОВАННЫХ</w:t>
      </w:r>
      <w:r>
        <w:rPr>
          <w:spacing w:val="-14"/>
        </w:rPr>
        <w:t xml:space="preserve"> </w:t>
      </w:r>
      <w:r>
        <w:rPr>
          <w:spacing w:val="-2"/>
        </w:rPr>
        <w:t>ИСТОЧНИКОВ</w:t>
      </w:r>
    </w:p>
    <w:p w14:paraId="03CC95EC">
      <w:pPr>
        <w:pStyle w:val="10"/>
        <w:numPr>
          <w:ilvl w:val="0"/>
          <w:numId w:val="29"/>
        </w:numPr>
        <w:tabs>
          <w:tab w:val="left" w:pos="1127"/>
        </w:tabs>
        <w:spacing w:before="317" w:line="242" w:lineRule="auto"/>
        <w:ind w:left="0" w:right="3" w:firstLine="709"/>
        <w:rPr>
          <w:sz w:val="28"/>
          <w:lang w:val="en-US"/>
        </w:rPr>
      </w:pPr>
      <w:r>
        <w:rPr>
          <w:sz w:val="28"/>
          <w:lang w:val="en-US"/>
        </w:rPr>
        <w:t xml:space="preserve">Uijterwijk B.A. et al. Different periampullary types and subtypes leading to different perioperative outcomes of pancreatoduodenectomy // Cancers (Basel). — 2024. — Vol. 16(5). —899 </w:t>
      </w:r>
      <w:r>
        <w:rPr>
          <w:sz w:val="28"/>
        </w:rPr>
        <w:t>р</w:t>
      </w:r>
      <w:r>
        <w:rPr>
          <w:sz w:val="28"/>
          <w:lang w:val="en-US"/>
        </w:rPr>
        <w:t>.</w:t>
      </w:r>
    </w:p>
    <w:p w14:paraId="5AA02818">
      <w:pPr>
        <w:pStyle w:val="10"/>
        <w:numPr>
          <w:ilvl w:val="0"/>
          <w:numId w:val="29"/>
        </w:numPr>
        <w:tabs>
          <w:tab w:val="left" w:pos="1127"/>
        </w:tabs>
        <w:ind w:left="0" w:right="3" w:firstLine="709"/>
        <w:rPr>
          <w:sz w:val="28"/>
          <w:lang w:val="en-US"/>
        </w:rPr>
      </w:pPr>
      <w:r>
        <w:rPr>
          <w:sz w:val="28"/>
          <w:lang w:val="en-US"/>
        </w:rPr>
        <w:t>D’Cruz J.R. et al. Pancreaticoduodenectomy (Whipple Procedure) // StatPearls</w:t>
      </w:r>
      <w:r>
        <w:rPr>
          <w:sz w:val="28"/>
          <w:lang w:val="kk-KZ"/>
        </w:rPr>
        <w:t>. -</w:t>
      </w:r>
      <w:r>
        <w:rPr>
          <w:spacing w:val="-13"/>
          <w:sz w:val="28"/>
          <w:lang w:val="en-US"/>
        </w:rPr>
        <w:t xml:space="preserve"> </w:t>
      </w:r>
      <w:r>
        <w:rPr>
          <w:sz w:val="28"/>
          <w:lang w:val="en-US"/>
        </w:rPr>
        <w:t>Treasure</w:t>
      </w:r>
      <w:r>
        <w:rPr>
          <w:spacing w:val="-13"/>
          <w:sz w:val="28"/>
          <w:lang w:val="en-US"/>
        </w:rPr>
        <w:t xml:space="preserve"> </w:t>
      </w:r>
      <w:r>
        <w:rPr>
          <w:sz w:val="28"/>
          <w:lang w:val="en-US"/>
        </w:rPr>
        <w:t>Island</w:t>
      </w:r>
      <w:r>
        <w:rPr>
          <w:spacing w:val="-14"/>
          <w:sz w:val="28"/>
          <w:lang w:val="en-US"/>
        </w:rPr>
        <w:t xml:space="preserve"> </w:t>
      </w:r>
      <w:r>
        <w:rPr>
          <w:sz w:val="28"/>
          <w:lang w:val="en-US"/>
        </w:rPr>
        <w:t>(FL):</w:t>
      </w:r>
      <w:r>
        <w:rPr>
          <w:spacing w:val="-18"/>
          <w:sz w:val="28"/>
          <w:lang w:val="en-US"/>
        </w:rPr>
        <w:t xml:space="preserve"> </w:t>
      </w:r>
      <w:r>
        <w:rPr>
          <w:sz w:val="28"/>
          <w:lang w:val="en-US"/>
        </w:rPr>
        <w:t>StatPearls</w:t>
      </w:r>
      <w:r>
        <w:rPr>
          <w:spacing w:val="-12"/>
          <w:sz w:val="28"/>
          <w:lang w:val="en-US"/>
        </w:rPr>
        <w:t xml:space="preserve"> </w:t>
      </w:r>
      <w:r>
        <w:rPr>
          <w:sz w:val="28"/>
          <w:lang w:val="en-US"/>
        </w:rPr>
        <w:t>Publishing.</w:t>
      </w:r>
      <w:r>
        <w:rPr>
          <w:spacing w:val="-7"/>
          <w:sz w:val="28"/>
          <w:lang w:val="en-US"/>
        </w:rPr>
        <w:t xml:space="preserve"> </w:t>
      </w:r>
      <w:r>
        <w:rPr>
          <w:sz w:val="28"/>
          <w:lang w:val="kk-KZ"/>
        </w:rPr>
        <w:t>-</w:t>
      </w:r>
      <w:r>
        <w:rPr>
          <w:spacing w:val="-14"/>
          <w:sz w:val="28"/>
          <w:lang w:val="en-US"/>
        </w:rPr>
        <w:t xml:space="preserve"> </w:t>
      </w:r>
      <w:r>
        <w:rPr>
          <w:sz w:val="28"/>
          <w:lang w:val="en-US"/>
        </w:rPr>
        <w:t>Updated</w:t>
      </w:r>
      <w:r>
        <w:rPr>
          <w:spacing w:val="-14"/>
          <w:sz w:val="28"/>
          <w:lang w:val="en-US"/>
        </w:rPr>
        <w:t xml:space="preserve"> </w:t>
      </w:r>
      <w:r>
        <w:rPr>
          <w:sz w:val="28"/>
          <w:lang w:val="en-US"/>
        </w:rPr>
        <w:t>2024.</w:t>
      </w:r>
    </w:p>
    <w:p w14:paraId="4D2F04BF">
      <w:pPr>
        <w:pStyle w:val="10"/>
        <w:numPr>
          <w:ilvl w:val="0"/>
          <w:numId w:val="29"/>
        </w:numPr>
        <w:tabs>
          <w:tab w:val="left" w:pos="1128"/>
        </w:tabs>
        <w:spacing w:line="321" w:lineRule="exact"/>
        <w:ind w:left="0" w:right="3" w:firstLine="709"/>
        <w:rPr>
          <w:spacing w:val="-4"/>
          <w:sz w:val="28"/>
          <w:lang w:val="en-US"/>
        </w:rPr>
      </w:pPr>
      <w:r>
        <w:rPr>
          <w:sz w:val="28"/>
          <w:lang w:val="en-US"/>
        </w:rPr>
        <w:t>Mizrahi</w:t>
      </w:r>
      <w:r>
        <w:rPr>
          <w:spacing w:val="22"/>
          <w:sz w:val="28"/>
          <w:lang w:val="en-US"/>
        </w:rPr>
        <w:t xml:space="preserve"> </w:t>
      </w:r>
      <w:r>
        <w:rPr>
          <w:sz w:val="28"/>
          <w:lang w:val="en-US"/>
        </w:rPr>
        <w:t>J.D.</w:t>
      </w:r>
      <w:r>
        <w:rPr>
          <w:spacing w:val="31"/>
          <w:sz w:val="28"/>
          <w:lang w:val="en-US"/>
        </w:rPr>
        <w:t xml:space="preserve"> </w:t>
      </w:r>
      <w:r>
        <w:rPr>
          <w:sz w:val="28"/>
          <w:lang w:val="en-US"/>
        </w:rPr>
        <w:t>et</w:t>
      </w:r>
      <w:r>
        <w:rPr>
          <w:spacing w:val="27"/>
          <w:sz w:val="28"/>
          <w:lang w:val="en-US"/>
        </w:rPr>
        <w:t xml:space="preserve"> </w:t>
      </w:r>
      <w:r>
        <w:rPr>
          <w:sz w:val="28"/>
          <w:lang w:val="en-US"/>
        </w:rPr>
        <w:t>al.</w:t>
      </w:r>
      <w:r>
        <w:rPr>
          <w:spacing w:val="31"/>
          <w:sz w:val="28"/>
          <w:lang w:val="en-US"/>
        </w:rPr>
        <w:t xml:space="preserve"> </w:t>
      </w:r>
      <w:r>
        <w:rPr>
          <w:sz w:val="28"/>
          <w:lang w:val="en-US"/>
        </w:rPr>
        <w:t>Pancreatic</w:t>
      </w:r>
      <w:r>
        <w:rPr>
          <w:spacing w:val="29"/>
          <w:sz w:val="28"/>
          <w:lang w:val="en-US"/>
        </w:rPr>
        <w:t xml:space="preserve"> </w:t>
      </w:r>
      <w:r>
        <w:rPr>
          <w:sz w:val="28"/>
          <w:lang w:val="en-US"/>
        </w:rPr>
        <w:t>cancer</w:t>
      </w:r>
      <w:r>
        <w:rPr>
          <w:spacing w:val="26"/>
          <w:sz w:val="28"/>
          <w:lang w:val="en-US"/>
        </w:rPr>
        <w:t xml:space="preserve"> </w:t>
      </w:r>
      <w:r>
        <w:rPr>
          <w:sz w:val="28"/>
          <w:lang w:val="en-US"/>
        </w:rPr>
        <w:t>//</w:t>
      </w:r>
      <w:r>
        <w:rPr>
          <w:spacing w:val="41"/>
          <w:sz w:val="28"/>
          <w:lang w:val="en-US"/>
        </w:rPr>
        <w:t xml:space="preserve"> </w:t>
      </w:r>
      <w:r>
        <w:rPr>
          <w:sz w:val="28"/>
          <w:lang w:val="en-US"/>
        </w:rPr>
        <w:t>The</w:t>
      </w:r>
      <w:r>
        <w:rPr>
          <w:spacing w:val="29"/>
          <w:sz w:val="28"/>
          <w:lang w:val="en-US"/>
        </w:rPr>
        <w:t xml:space="preserve"> </w:t>
      </w:r>
      <w:r>
        <w:rPr>
          <w:sz w:val="28"/>
          <w:lang w:val="en-US"/>
        </w:rPr>
        <w:t>Lancet.</w:t>
      </w:r>
      <w:r>
        <w:rPr>
          <w:spacing w:val="31"/>
          <w:sz w:val="28"/>
          <w:lang w:val="en-US"/>
        </w:rPr>
        <w:t xml:space="preserve"> </w:t>
      </w:r>
      <w:r>
        <w:rPr>
          <w:sz w:val="28"/>
          <w:lang w:val="en-US"/>
        </w:rPr>
        <w:t>-</w:t>
      </w:r>
      <w:r>
        <w:rPr>
          <w:spacing w:val="28"/>
          <w:sz w:val="28"/>
          <w:lang w:val="en-US"/>
        </w:rPr>
        <w:t xml:space="preserve"> </w:t>
      </w:r>
      <w:r>
        <w:rPr>
          <w:sz w:val="28"/>
          <w:lang w:val="en-US"/>
        </w:rPr>
        <w:t>2020.</w:t>
      </w:r>
      <w:r>
        <w:rPr>
          <w:spacing w:val="31"/>
          <w:sz w:val="28"/>
          <w:lang w:val="en-US"/>
        </w:rPr>
        <w:t xml:space="preserve"> </w:t>
      </w:r>
      <w:r>
        <w:rPr>
          <w:sz w:val="28"/>
          <w:lang w:val="en-US"/>
        </w:rPr>
        <w:t>-</w:t>
      </w:r>
      <w:r>
        <w:rPr>
          <w:spacing w:val="28"/>
          <w:sz w:val="28"/>
          <w:lang w:val="en-US"/>
        </w:rPr>
        <w:t xml:space="preserve"> </w:t>
      </w:r>
      <w:r>
        <w:rPr>
          <w:sz w:val="28"/>
          <w:lang w:val="en-US"/>
        </w:rPr>
        <w:t>Vol.</w:t>
      </w:r>
      <w:r>
        <w:rPr>
          <w:spacing w:val="30"/>
          <w:sz w:val="28"/>
          <w:lang w:val="en-US"/>
        </w:rPr>
        <w:t xml:space="preserve"> </w:t>
      </w:r>
      <w:r>
        <w:rPr>
          <w:spacing w:val="-4"/>
          <w:sz w:val="28"/>
          <w:lang w:val="en-US"/>
        </w:rPr>
        <w:t>395, №10242. - P. 2008–2020.</w:t>
      </w:r>
    </w:p>
    <w:p w14:paraId="1FD60009">
      <w:pPr>
        <w:pStyle w:val="10"/>
        <w:numPr>
          <w:ilvl w:val="0"/>
          <w:numId w:val="29"/>
        </w:numPr>
        <w:tabs>
          <w:tab w:val="left" w:pos="1127"/>
        </w:tabs>
        <w:ind w:left="0" w:right="3" w:firstLine="709"/>
        <w:rPr>
          <w:sz w:val="28"/>
          <w:lang w:val="en-US"/>
        </w:rPr>
      </w:pPr>
      <w:r>
        <w:rPr>
          <w:sz w:val="28"/>
          <w:lang w:val="en-US"/>
        </w:rPr>
        <w:t>American Cancer Society. Global Cancer Facts &amp; Figures. 5th Edition. - Atlanta: American Cancer Society, 2024. - 48 p.</w:t>
      </w:r>
    </w:p>
    <w:p w14:paraId="5F3CB4B6">
      <w:pPr>
        <w:pStyle w:val="10"/>
        <w:numPr>
          <w:ilvl w:val="0"/>
          <w:numId w:val="29"/>
        </w:numPr>
        <w:tabs>
          <w:tab w:val="left" w:pos="1127"/>
        </w:tabs>
        <w:ind w:left="0" w:right="3" w:firstLine="709"/>
        <w:rPr>
          <w:sz w:val="28"/>
        </w:rPr>
      </w:pPr>
      <w:r>
        <w:rPr>
          <w:sz w:val="28"/>
          <w:lang w:val="en-US"/>
        </w:rPr>
        <w:t>Chen Jun et al. Global characteristics of pancreatic cancer survival: a comprehensive</w:t>
      </w:r>
      <w:r>
        <w:rPr>
          <w:spacing w:val="-2"/>
          <w:sz w:val="28"/>
          <w:lang w:val="en-US"/>
        </w:rPr>
        <w:t xml:space="preserve"> </w:t>
      </w:r>
      <w:r>
        <w:rPr>
          <w:sz w:val="28"/>
          <w:lang w:val="en-US"/>
        </w:rPr>
        <w:t>overview</w:t>
      </w:r>
      <w:r>
        <w:rPr>
          <w:spacing w:val="-2"/>
          <w:sz w:val="28"/>
          <w:lang w:val="en-US"/>
        </w:rPr>
        <w:t xml:space="preserve"> </w:t>
      </w:r>
      <w:r>
        <w:rPr>
          <w:sz w:val="28"/>
          <w:lang w:val="en-US"/>
        </w:rPr>
        <w:t>of</w:t>
      </w:r>
      <w:r>
        <w:rPr>
          <w:spacing w:val="-4"/>
          <w:sz w:val="28"/>
          <w:lang w:val="en-US"/>
        </w:rPr>
        <w:t xml:space="preserve"> </w:t>
      </w:r>
      <w:r>
        <w:rPr>
          <w:sz w:val="28"/>
          <w:lang w:val="en-US"/>
        </w:rPr>
        <w:t>survival</w:t>
      </w:r>
      <w:r>
        <w:rPr>
          <w:spacing w:val="-3"/>
          <w:sz w:val="28"/>
          <w:lang w:val="en-US"/>
        </w:rPr>
        <w:t xml:space="preserve"> </w:t>
      </w:r>
      <w:r>
        <w:rPr>
          <w:sz w:val="28"/>
          <w:lang w:val="en-US"/>
        </w:rPr>
        <w:t>analysis from</w:t>
      </w:r>
      <w:r>
        <w:rPr>
          <w:spacing w:val="-8"/>
          <w:sz w:val="28"/>
          <w:lang w:val="en-US"/>
        </w:rPr>
        <w:t xml:space="preserve"> </w:t>
      </w:r>
      <w:r>
        <w:rPr>
          <w:sz w:val="28"/>
          <w:lang w:val="en-US"/>
        </w:rPr>
        <w:t>cancer registration</w:t>
      </w:r>
      <w:r>
        <w:rPr>
          <w:spacing w:val="-7"/>
          <w:sz w:val="28"/>
          <w:lang w:val="en-US"/>
        </w:rPr>
        <w:t xml:space="preserve"> </w:t>
      </w:r>
      <w:r>
        <w:rPr>
          <w:sz w:val="28"/>
          <w:lang w:val="en-US"/>
        </w:rPr>
        <w:t>data. // Journal</w:t>
      </w:r>
      <w:r>
        <w:rPr>
          <w:spacing w:val="-3"/>
          <w:sz w:val="28"/>
          <w:lang w:val="en-US"/>
        </w:rPr>
        <w:t xml:space="preserve"> </w:t>
      </w:r>
      <w:r>
        <w:rPr>
          <w:sz w:val="28"/>
          <w:lang w:val="en-US"/>
        </w:rPr>
        <w:t xml:space="preserve">of Pancreatology.-2025.-№ </w:t>
      </w:r>
      <w:r>
        <w:rPr>
          <w:sz w:val="28"/>
        </w:rPr>
        <w:t>8(4).-Р. 307-317.</w:t>
      </w:r>
    </w:p>
    <w:p w14:paraId="1150D0A1">
      <w:pPr>
        <w:pStyle w:val="10"/>
        <w:numPr>
          <w:ilvl w:val="0"/>
          <w:numId w:val="29"/>
        </w:numPr>
        <w:tabs>
          <w:tab w:val="left" w:pos="1127"/>
        </w:tabs>
        <w:ind w:left="0" w:right="3" w:firstLine="709"/>
        <w:rPr>
          <w:sz w:val="28"/>
          <w:szCs w:val="28"/>
          <w:lang w:val="en-US"/>
        </w:rPr>
      </w:pPr>
      <w:r>
        <w:rPr>
          <w:sz w:val="28"/>
          <w:szCs w:val="28"/>
          <w:lang w:val="en-US"/>
        </w:rPr>
        <w:t>van Rijssen L.B. et al. Nationwide prospective audit of pancreatic surgery: outcomes of</w:t>
      </w:r>
      <w:r>
        <w:rPr>
          <w:spacing w:val="-4"/>
          <w:sz w:val="28"/>
          <w:szCs w:val="28"/>
          <w:lang w:val="en-US"/>
        </w:rPr>
        <w:t xml:space="preserve"> </w:t>
      </w:r>
      <w:r>
        <w:rPr>
          <w:sz w:val="28"/>
          <w:szCs w:val="28"/>
          <w:lang w:val="en-US"/>
        </w:rPr>
        <w:t>pancreatoduodenectomy</w:t>
      </w:r>
      <w:r>
        <w:rPr>
          <w:spacing w:val="-3"/>
          <w:sz w:val="28"/>
          <w:szCs w:val="28"/>
          <w:lang w:val="en-US"/>
        </w:rPr>
        <w:t xml:space="preserve"> </w:t>
      </w:r>
      <w:r>
        <w:rPr>
          <w:sz w:val="28"/>
          <w:szCs w:val="28"/>
          <w:lang w:val="en-US"/>
        </w:rPr>
        <w:t>// HPB</w:t>
      </w:r>
      <w:r>
        <w:rPr>
          <w:spacing w:val="-1"/>
          <w:sz w:val="28"/>
          <w:szCs w:val="28"/>
          <w:lang w:val="en-US"/>
        </w:rPr>
        <w:t xml:space="preserve"> </w:t>
      </w:r>
      <w:r>
        <w:rPr>
          <w:sz w:val="28"/>
          <w:szCs w:val="28"/>
          <w:lang w:val="en-US"/>
        </w:rPr>
        <w:t>(Oxford). - 2017. - Vol. 19, №10. -P.</w:t>
      </w:r>
      <w:r>
        <w:rPr>
          <w:spacing w:val="-1"/>
          <w:sz w:val="28"/>
          <w:szCs w:val="28"/>
          <w:lang w:val="en-US"/>
        </w:rPr>
        <w:t xml:space="preserve"> </w:t>
      </w:r>
      <w:r>
        <w:rPr>
          <w:spacing w:val="-2"/>
          <w:sz w:val="28"/>
          <w:szCs w:val="28"/>
          <w:lang w:val="en-US"/>
        </w:rPr>
        <w:t>919–926.</w:t>
      </w:r>
    </w:p>
    <w:p w14:paraId="64607AAA">
      <w:pPr>
        <w:pStyle w:val="10"/>
        <w:numPr>
          <w:ilvl w:val="0"/>
          <w:numId w:val="29"/>
        </w:numPr>
        <w:tabs>
          <w:tab w:val="left" w:pos="1127"/>
        </w:tabs>
        <w:ind w:left="0" w:right="3" w:firstLine="706"/>
        <w:rPr>
          <w:sz w:val="28"/>
          <w:lang w:val="en-US"/>
        </w:rPr>
      </w:pPr>
      <w:r>
        <w:rPr>
          <w:sz w:val="28"/>
          <w:lang w:val="en-US"/>
        </w:rPr>
        <w:t>Melloul E. et al. Guidelines for perioperative care for pancreatoduodenectomy: ERAS Society recommendations // World Journal of Surgery. - 2020. - Vol. 44, №7. - P. 2056–2084.</w:t>
      </w:r>
    </w:p>
    <w:p w14:paraId="644EC537">
      <w:pPr>
        <w:pStyle w:val="10"/>
        <w:numPr>
          <w:ilvl w:val="0"/>
          <w:numId w:val="29"/>
        </w:numPr>
        <w:tabs>
          <w:tab w:val="left" w:pos="1127"/>
        </w:tabs>
        <w:ind w:left="0" w:right="3" w:firstLine="706"/>
        <w:rPr>
          <w:sz w:val="28"/>
          <w:lang w:val="en-US"/>
        </w:rPr>
      </w:pPr>
      <w:r>
        <w:rPr>
          <w:sz w:val="28"/>
          <w:lang w:val="en-US"/>
        </w:rPr>
        <w:t>Bassi C. et al. The 2016 update of the International Study Group (ISGPS) definition</w:t>
      </w:r>
      <w:r>
        <w:rPr>
          <w:spacing w:val="-4"/>
          <w:sz w:val="28"/>
          <w:lang w:val="en-US"/>
        </w:rPr>
        <w:t xml:space="preserve"> </w:t>
      </w:r>
      <w:r>
        <w:rPr>
          <w:sz w:val="28"/>
          <w:lang w:val="en-US"/>
        </w:rPr>
        <w:t>and grading of</w:t>
      </w:r>
      <w:r>
        <w:rPr>
          <w:spacing w:val="-5"/>
          <w:sz w:val="28"/>
          <w:lang w:val="en-US"/>
        </w:rPr>
        <w:t xml:space="preserve"> </w:t>
      </w:r>
      <w:r>
        <w:rPr>
          <w:sz w:val="28"/>
          <w:lang w:val="en-US"/>
        </w:rPr>
        <w:t>postoperative pancreatic fistula // Surgery. - 2017. - Vol. 161, №3. - P. 584–591.</w:t>
      </w:r>
    </w:p>
    <w:p w14:paraId="3CF0B9AE">
      <w:pPr>
        <w:pStyle w:val="10"/>
        <w:numPr>
          <w:ilvl w:val="0"/>
          <w:numId w:val="29"/>
        </w:numPr>
        <w:tabs>
          <w:tab w:val="left" w:pos="1127"/>
        </w:tabs>
        <w:ind w:left="0" w:right="3" w:firstLine="706"/>
        <w:rPr>
          <w:sz w:val="28"/>
          <w:lang w:val="en-US"/>
        </w:rPr>
      </w:pPr>
      <w:r>
        <w:rPr>
          <w:sz w:val="28"/>
          <w:lang w:val="en-US"/>
        </w:rPr>
        <w:t>Kamarajah</w:t>
      </w:r>
      <w:r>
        <w:rPr>
          <w:spacing w:val="-14"/>
          <w:sz w:val="28"/>
          <w:lang w:val="en-US"/>
        </w:rPr>
        <w:t xml:space="preserve"> </w:t>
      </w:r>
      <w:r>
        <w:rPr>
          <w:sz w:val="28"/>
          <w:lang w:val="en-US"/>
        </w:rPr>
        <w:t>S.K.</w:t>
      </w:r>
      <w:r>
        <w:rPr>
          <w:spacing w:val="-8"/>
          <w:sz w:val="28"/>
          <w:lang w:val="en-US"/>
        </w:rPr>
        <w:t xml:space="preserve"> </w:t>
      </w:r>
      <w:r>
        <w:rPr>
          <w:sz w:val="28"/>
          <w:lang w:val="en-US"/>
        </w:rPr>
        <w:t>et</w:t>
      </w:r>
      <w:r>
        <w:rPr>
          <w:spacing w:val="-10"/>
          <w:sz w:val="28"/>
          <w:lang w:val="en-US"/>
        </w:rPr>
        <w:t xml:space="preserve"> </w:t>
      </w:r>
      <w:r>
        <w:rPr>
          <w:sz w:val="28"/>
          <w:lang w:val="en-US"/>
        </w:rPr>
        <w:t>al.</w:t>
      </w:r>
      <w:r>
        <w:rPr>
          <w:spacing w:val="-8"/>
          <w:sz w:val="28"/>
          <w:lang w:val="en-US"/>
        </w:rPr>
        <w:t xml:space="preserve"> </w:t>
      </w:r>
      <w:r>
        <w:rPr>
          <w:sz w:val="28"/>
          <w:lang w:val="en-US"/>
        </w:rPr>
        <w:t>Clinically</w:t>
      </w:r>
      <w:r>
        <w:rPr>
          <w:spacing w:val="-14"/>
          <w:sz w:val="28"/>
          <w:lang w:val="en-US"/>
        </w:rPr>
        <w:t xml:space="preserve"> </w:t>
      </w:r>
      <w:r>
        <w:rPr>
          <w:sz w:val="28"/>
          <w:lang w:val="en-US"/>
        </w:rPr>
        <w:t>relevant</w:t>
      </w:r>
      <w:r>
        <w:rPr>
          <w:spacing w:val="-10"/>
          <w:sz w:val="28"/>
          <w:lang w:val="en-US"/>
        </w:rPr>
        <w:t xml:space="preserve"> </w:t>
      </w:r>
      <w:r>
        <w:rPr>
          <w:sz w:val="28"/>
          <w:lang w:val="en-US"/>
        </w:rPr>
        <w:t>postoperative</w:t>
      </w:r>
      <w:r>
        <w:rPr>
          <w:spacing w:val="-9"/>
          <w:sz w:val="28"/>
          <w:lang w:val="en-US"/>
        </w:rPr>
        <w:t xml:space="preserve"> </w:t>
      </w:r>
      <w:r>
        <w:rPr>
          <w:sz w:val="28"/>
          <w:lang w:val="en-US"/>
        </w:rPr>
        <w:t>pancreatic</w:t>
      </w:r>
      <w:r>
        <w:rPr>
          <w:spacing w:val="-9"/>
          <w:sz w:val="28"/>
          <w:lang w:val="en-US"/>
        </w:rPr>
        <w:t xml:space="preserve"> </w:t>
      </w:r>
      <w:r>
        <w:rPr>
          <w:sz w:val="28"/>
          <w:lang w:val="en-US"/>
        </w:rPr>
        <w:t>fistula</w:t>
      </w:r>
      <w:r>
        <w:rPr>
          <w:spacing w:val="-9"/>
          <w:sz w:val="28"/>
          <w:lang w:val="en-US"/>
        </w:rPr>
        <w:t xml:space="preserve"> </w:t>
      </w:r>
      <w:r>
        <w:rPr>
          <w:sz w:val="28"/>
          <w:lang w:val="en-US"/>
        </w:rPr>
        <w:t>after pancreatoduodenectomy: systematic review and meta-analysis // HPB (Oxford). - 2022. - Vol. 24, №5. - P. 647–658.</w:t>
      </w:r>
    </w:p>
    <w:p w14:paraId="7A1014DC">
      <w:pPr>
        <w:pStyle w:val="10"/>
        <w:numPr>
          <w:ilvl w:val="0"/>
          <w:numId w:val="29"/>
        </w:numPr>
        <w:tabs>
          <w:tab w:val="left" w:pos="1128"/>
        </w:tabs>
        <w:ind w:left="0" w:right="3" w:firstLine="706"/>
        <w:rPr>
          <w:sz w:val="28"/>
          <w:lang w:val="en-US"/>
        </w:rPr>
      </w:pPr>
      <w:r>
        <w:rPr>
          <w:color w:val="202020"/>
          <w:sz w:val="28"/>
          <w:lang w:val="en-US"/>
        </w:rPr>
        <w:t xml:space="preserve">Enderes J. </w:t>
      </w:r>
      <w:r>
        <w:rPr>
          <w:sz w:val="28"/>
          <w:lang w:val="en-US"/>
        </w:rPr>
        <w:t xml:space="preserve">et al. </w:t>
      </w:r>
      <w:r>
        <w:rPr>
          <w:color w:val="202020"/>
          <w:sz w:val="28"/>
          <w:lang w:val="en-US"/>
        </w:rPr>
        <w:t xml:space="preserve">Clinically Relevant Pancreatic Fistula after Pancreaticoduodenectomy: How We Do It. Biology (Basel). -2023.- №12(2).-178 </w:t>
      </w:r>
      <w:r>
        <w:rPr>
          <w:color w:val="202020"/>
          <w:sz w:val="28"/>
        </w:rPr>
        <w:t>р</w:t>
      </w:r>
      <w:r>
        <w:rPr>
          <w:color w:val="202020"/>
          <w:sz w:val="28"/>
          <w:lang w:val="en-US"/>
        </w:rPr>
        <w:t>.</w:t>
      </w:r>
    </w:p>
    <w:p w14:paraId="55FD3528">
      <w:pPr>
        <w:pStyle w:val="10"/>
        <w:numPr>
          <w:ilvl w:val="0"/>
          <w:numId w:val="29"/>
        </w:numPr>
        <w:tabs>
          <w:tab w:val="left" w:pos="1128"/>
        </w:tabs>
        <w:spacing w:line="242" w:lineRule="auto"/>
        <w:ind w:left="0" w:right="3" w:firstLine="706"/>
        <w:rPr>
          <w:sz w:val="28"/>
          <w:lang w:val="en-US"/>
        </w:rPr>
      </w:pPr>
      <w:r>
        <w:rPr>
          <w:sz w:val="28"/>
          <w:lang w:val="en-US"/>
        </w:rPr>
        <w:t>Zhang B. et al. Risk factors of clinically relevant postoperative pancreatic fistula after pancreaticoduodenectomy: A systematic review and meta-analysis. Medicine 2022;101:26(e29757).</w:t>
      </w:r>
    </w:p>
    <w:p w14:paraId="6DED1579">
      <w:pPr>
        <w:pStyle w:val="10"/>
        <w:numPr>
          <w:ilvl w:val="0"/>
          <w:numId w:val="29"/>
        </w:numPr>
        <w:tabs>
          <w:tab w:val="left" w:pos="1128"/>
        </w:tabs>
        <w:ind w:left="0" w:right="3" w:firstLine="706"/>
        <w:rPr>
          <w:sz w:val="28"/>
          <w:lang w:val="en-US"/>
        </w:rPr>
      </w:pPr>
      <w:r>
        <w:rPr>
          <w:sz w:val="28"/>
          <w:lang w:val="en-US"/>
        </w:rPr>
        <w:t>Doskhanov M.O., Tileuov S.T., Baimakhanov B.B. et al. Results of pancreatoduodenectomy depending on pancreatic gland texture and pancreatic duct diameter // Georgian Medical News. -2022.- № 4 (325). - P. 21–26.</w:t>
      </w:r>
    </w:p>
    <w:p w14:paraId="3B5DA9E9">
      <w:pPr>
        <w:pStyle w:val="10"/>
        <w:numPr>
          <w:ilvl w:val="0"/>
          <w:numId w:val="29"/>
        </w:numPr>
        <w:tabs>
          <w:tab w:val="left" w:pos="1128"/>
        </w:tabs>
        <w:ind w:left="0" w:right="3" w:firstLine="706"/>
        <w:rPr>
          <w:sz w:val="28"/>
          <w:lang w:val="en-US"/>
        </w:rPr>
      </w:pPr>
      <w:r>
        <w:rPr>
          <w:sz w:val="28"/>
          <w:lang w:val="en-US"/>
        </w:rPr>
        <w:t>Tileuov</w:t>
      </w:r>
      <w:r>
        <w:rPr>
          <w:spacing w:val="-18"/>
          <w:sz w:val="28"/>
          <w:lang w:val="en-US"/>
        </w:rPr>
        <w:t xml:space="preserve"> </w:t>
      </w:r>
      <w:r>
        <w:rPr>
          <w:sz w:val="28"/>
          <w:lang w:val="en-US"/>
        </w:rPr>
        <w:t>S.T.,</w:t>
      </w:r>
      <w:r>
        <w:rPr>
          <w:spacing w:val="-12"/>
          <w:sz w:val="28"/>
          <w:lang w:val="en-US"/>
        </w:rPr>
        <w:t xml:space="preserve"> </w:t>
      </w:r>
      <w:r>
        <w:rPr>
          <w:sz w:val="28"/>
          <w:lang w:val="en-US"/>
        </w:rPr>
        <w:t>Dzhumabekov</w:t>
      </w:r>
      <w:r>
        <w:rPr>
          <w:spacing w:val="-14"/>
          <w:sz w:val="28"/>
          <w:lang w:val="en-US"/>
        </w:rPr>
        <w:t xml:space="preserve"> </w:t>
      </w:r>
      <w:r>
        <w:rPr>
          <w:sz w:val="28"/>
          <w:lang w:val="en-US"/>
        </w:rPr>
        <w:t>A.T.,</w:t>
      </w:r>
      <w:r>
        <w:rPr>
          <w:spacing w:val="-12"/>
          <w:sz w:val="28"/>
          <w:lang w:val="en-US"/>
        </w:rPr>
        <w:t xml:space="preserve"> </w:t>
      </w:r>
      <w:r>
        <w:rPr>
          <w:sz w:val="28"/>
          <w:lang w:val="en-US"/>
        </w:rPr>
        <w:t>Doskhanov</w:t>
      </w:r>
      <w:r>
        <w:rPr>
          <w:spacing w:val="-18"/>
          <w:sz w:val="28"/>
          <w:lang w:val="en-US"/>
        </w:rPr>
        <w:t xml:space="preserve"> </w:t>
      </w:r>
      <w:r>
        <w:rPr>
          <w:sz w:val="28"/>
          <w:lang w:val="en-US"/>
        </w:rPr>
        <w:t>M.O.,</w:t>
      </w:r>
      <w:r>
        <w:rPr>
          <w:spacing w:val="-11"/>
          <w:sz w:val="28"/>
          <w:lang w:val="en-US"/>
        </w:rPr>
        <w:t xml:space="preserve"> </w:t>
      </w:r>
      <w:r>
        <w:rPr>
          <w:sz w:val="28"/>
          <w:lang w:val="en-US"/>
        </w:rPr>
        <w:t>Baimakhanov</w:t>
      </w:r>
      <w:r>
        <w:rPr>
          <w:spacing w:val="-14"/>
          <w:sz w:val="28"/>
          <w:lang w:val="en-US"/>
        </w:rPr>
        <w:t xml:space="preserve"> </w:t>
      </w:r>
      <w:r>
        <w:rPr>
          <w:sz w:val="28"/>
          <w:lang w:val="en-US"/>
        </w:rPr>
        <w:t>B.B.</w:t>
      </w:r>
      <w:r>
        <w:rPr>
          <w:spacing w:val="-2"/>
          <w:sz w:val="28"/>
          <w:lang w:val="en-US"/>
        </w:rPr>
        <w:t xml:space="preserve"> </w:t>
      </w:r>
      <w:r>
        <w:rPr>
          <w:sz w:val="28"/>
          <w:lang w:val="en-US"/>
        </w:rPr>
        <w:t>et</w:t>
      </w:r>
      <w:r>
        <w:rPr>
          <w:spacing w:val="-14"/>
          <w:sz w:val="28"/>
          <w:lang w:val="en-US"/>
        </w:rPr>
        <w:t xml:space="preserve"> </w:t>
      </w:r>
      <w:r>
        <w:rPr>
          <w:sz w:val="28"/>
          <w:lang w:val="en-US"/>
        </w:rPr>
        <w:t>al. Risk Factors for Postoperative Pancreatic Fistula after Pancreatoduodenectomy: Role of Pancreatic Texture and Duct Diameter // Journal of Carcinogenesis. - 2025. - Vol. 24(8). - P. 122–130.</w:t>
      </w:r>
    </w:p>
    <w:p w14:paraId="134C194D">
      <w:pPr>
        <w:pStyle w:val="10"/>
        <w:numPr>
          <w:ilvl w:val="0"/>
          <w:numId w:val="29"/>
        </w:numPr>
        <w:tabs>
          <w:tab w:val="left" w:pos="1128"/>
        </w:tabs>
        <w:ind w:left="0" w:right="3" w:firstLine="706"/>
        <w:rPr>
          <w:sz w:val="28"/>
          <w:lang w:val="en-US"/>
        </w:rPr>
      </w:pPr>
      <w:r>
        <w:rPr>
          <w:sz w:val="28"/>
          <w:lang w:val="en-US"/>
        </w:rPr>
        <w:t>Ji</w:t>
      </w:r>
      <w:r>
        <w:rPr>
          <w:spacing w:val="-17"/>
          <w:sz w:val="28"/>
          <w:lang w:val="en-US"/>
        </w:rPr>
        <w:t xml:space="preserve"> </w:t>
      </w:r>
      <w:r>
        <w:rPr>
          <w:sz w:val="28"/>
          <w:lang w:val="en-US"/>
        </w:rPr>
        <w:t>Y.</w:t>
      </w:r>
      <w:r>
        <w:rPr>
          <w:spacing w:val="-9"/>
          <w:sz w:val="28"/>
          <w:lang w:val="en-US"/>
        </w:rPr>
        <w:t xml:space="preserve"> </w:t>
      </w:r>
      <w:r>
        <w:rPr>
          <w:sz w:val="28"/>
          <w:lang w:val="en-US"/>
        </w:rPr>
        <w:t>et</w:t>
      </w:r>
      <w:r>
        <w:rPr>
          <w:spacing w:val="-13"/>
          <w:sz w:val="28"/>
          <w:lang w:val="en-US"/>
        </w:rPr>
        <w:t xml:space="preserve"> </w:t>
      </w:r>
      <w:r>
        <w:rPr>
          <w:sz w:val="28"/>
          <w:lang w:val="en-US"/>
        </w:rPr>
        <w:t>al.</w:t>
      </w:r>
      <w:r>
        <w:rPr>
          <w:spacing w:val="-10"/>
          <w:sz w:val="28"/>
          <w:lang w:val="en-US"/>
        </w:rPr>
        <w:t xml:space="preserve"> </w:t>
      </w:r>
      <w:r>
        <w:rPr>
          <w:sz w:val="28"/>
          <w:lang w:val="en-US"/>
        </w:rPr>
        <w:t>Drain</w:t>
      </w:r>
      <w:r>
        <w:rPr>
          <w:spacing w:val="-13"/>
          <w:sz w:val="28"/>
          <w:lang w:val="en-US"/>
        </w:rPr>
        <w:t xml:space="preserve"> </w:t>
      </w:r>
      <w:r>
        <w:rPr>
          <w:sz w:val="28"/>
          <w:lang w:val="en-US"/>
        </w:rPr>
        <w:t>fluid</w:t>
      </w:r>
      <w:r>
        <w:rPr>
          <w:spacing w:val="-12"/>
          <w:sz w:val="28"/>
          <w:lang w:val="en-US"/>
        </w:rPr>
        <w:t xml:space="preserve"> </w:t>
      </w:r>
      <w:r>
        <w:rPr>
          <w:sz w:val="28"/>
          <w:lang w:val="en-US"/>
        </w:rPr>
        <w:t>volume</w:t>
      </w:r>
      <w:r>
        <w:rPr>
          <w:spacing w:val="-11"/>
          <w:sz w:val="28"/>
          <w:lang w:val="en-US"/>
        </w:rPr>
        <w:t xml:space="preserve"> </w:t>
      </w:r>
      <w:r>
        <w:rPr>
          <w:sz w:val="28"/>
          <w:lang w:val="en-US"/>
        </w:rPr>
        <w:t>combined</w:t>
      </w:r>
      <w:r>
        <w:rPr>
          <w:spacing w:val="-12"/>
          <w:sz w:val="28"/>
          <w:lang w:val="en-US"/>
        </w:rPr>
        <w:t xml:space="preserve"> </w:t>
      </w:r>
      <w:r>
        <w:rPr>
          <w:sz w:val="28"/>
          <w:lang w:val="en-US"/>
        </w:rPr>
        <w:t>with</w:t>
      </w:r>
      <w:r>
        <w:rPr>
          <w:spacing w:val="-17"/>
          <w:sz w:val="28"/>
          <w:lang w:val="en-US"/>
        </w:rPr>
        <w:t xml:space="preserve"> </w:t>
      </w:r>
      <w:r>
        <w:rPr>
          <w:sz w:val="28"/>
          <w:lang w:val="en-US"/>
        </w:rPr>
        <w:t>amylase</w:t>
      </w:r>
      <w:r>
        <w:rPr>
          <w:spacing w:val="-11"/>
          <w:sz w:val="28"/>
          <w:lang w:val="en-US"/>
        </w:rPr>
        <w:t xml:space="preserve"> </w:t>
      </w:r>
      <w:r>
        <w:rPr>
          <w:sz w:val="28"/>
          <w:lang w:val="en-US"/>
        </w:rPr>
        <w:t>level</w:t>
      </w:r>
      <w:r>
        <w:rPr>
          <w:spacing w:val="-17"/>
          <w:sz w:val="28"/>
          <w:lang w:val="en-US"/>
        </w:rPr>
        <w:t xml:space="preserve"> </w:t>
      </w:r>
      <w:r>
        <w:rPr>
          <w:sz w:val="28"/>
          <w:lang w:val="en-US"/>
        </w:rPr>
        <w:t>predicts</w:t>
      </w:r>
      <w:r>
        <w:rPr>
          <w:spacing w:val="-11"/>
          <w:sz w:val="28"/>
          <w:lang w:val="en-US"/>
        </w:rPr>
        <w:t xml:space="preserve"> </w:t>
      </w:r>
      <w:r>
        <w:rPr>
          <w:sz w:val="28"/>
          <w:lang w:val="en-US"/>
        </w:rPr>
        <w:t>clinically relevant postoperative pancreatic fistula after pancreatoduodenectomy // Journal of Gastroenterology and Hepatology. - 2023. - Vol. 38(12). - P. 2228–2237.</w:t>
      </w:r>
    </w:p>
    <w:p w14:paraId="697367A7">
      <w:pPr>
        <w:pStyle w:val="10"/>
        <w:numPr>
          <w:ilvl w:val="0"/>
          <w:numId w:val="29"/>
        </w:numPr>
        <w:tabs>
          <w:tab w:val="left" w:pos="1128"/>
        </w:tabs>
        <w:spacing w:line="242" w:lineRule="auto"/>
        <w:ind w:left="0" w:right="3" w:firstLine="706"/>
        <w:rPr>
          <w:sz w:val="28"/>
          <w:lang w:val="en-US"/>
        </w:rPr>
      </w:pPr>
      <w:r>
        <w:rPr>
          <w:sz w:val="28"/>
          <w:lang w:val="en-US"/>
        </w:rPr>
        <w:t>Tileuov S.T., Doskhanov M.O., Baimakhanov B.B. et al. Fatty liver disease after pancreatoduodenectomy and total pancreatectomy // Bulletin of Surgery of Kazakhstan. - 2025. - Vol. 21, №1. - P. 20–28.</w:t>
      </w:r>
    </w:p>
    <w:p w14:paraId="0B5C52DA">
      <w:pPr>
        <w:pStyle w:val="10"/>
        <w:numPr>
          <w:ilvl w:val="0"/>
          <w:numId w:val="29"/>
        </w:numPr>
        <w:tabs>
          <w:tab w:val="left" w:pos="1128"/>
        </w:tabs>
        <w:spacing w:before="67"/>
        <w:ind w:left="0" w:right="3" w:firstLine="706"/>
        <w:rPr>
          <w:sz w:val="28"/>
          <w:lang w:val="en-US"/>
        </w:rPr>
      </w:pPr>
      <w:r>
        <w:rPr>
          <w:sz w:val="28"/>
          <w:lang w:val="en-US"/>
        </w:rPr>
        <w:t>Tileuov</w:t>
      </w:r>
      <w:r>
        <w:rPr>
          <w:spacing w:val="-18"/>
          <w:sz w:val="28"/>
          <w:lang w:val="en-US"/>
        </w:rPr>
        <w:t xml:space="preserve"> </w:t>
      </w:r>
      <w:r>
        <w:rPr>
          <w:sz w:val="28"/>
          <w:lang w:val="en-US"/>
        </w:rPr>
        <w:t>S.T.,</w:t>
      </w:r>
      <w:r>
        <w:rPr>
          <w:spacing w:val="-13"/>
          <w:sz w:val="28"/>
          <w:lang w:val="en-US"/>
        </w:rPr>
        <w:t xml:space="preserve"> </w:t>
      </w:r>
      <w:r>
        <w:rPr>
          <w:sz w:val="28"/>
          <w:lang w:val="en-US"/>
        </w:rPr>
        <w:t>Dzhumabekov</w:t>
      </w:r>
      <w:r>
        <w:rPr>
          <w:spacing w:val="-14"/>
          <w:sz w:val="28"/>
          <w:lang w:val="en-US"/>
        </w:rPr>
        <w:t xml:space="preserve"> </w:t>
      </w:r>
      <w:r>
        <w:rPr>
          <w:sz w:val="28"/>
          <w:lang w:val="en-US"/>
        </w:rPr>
        <w:t>A.T.,</w:t>
      </w:r>
      <w:r>
        <w:rPr>
          <w:spacing w:val="-12"/>
          <w:sz w:val="28"/>
          <w:lang w:val="en-US"/>
        </w:rPr>
        <w:t xml:space="preserve"> </w:t>
      </w:r>
      <w:r>
        <w:rPr>
          <w:sz w:val="28"/>
          <w:lang w:val="en-US"/>
        </w:rPr>
        <w:t>Baimakhanov</w:t>
      </w:r>
      <w:r>
        <w:rPr>
          <w:spacing w:val="-14"/>
          <w:sz w:val="28"/>
          <w:lang w:val="en-US"/>
        </w:rPr>
        <w:t xml:space="preserve"> </w:t>
      </w:r>
      <w:r>
        <w:rPr>
          <w:sz w:val="28"/>
          <w:lang w:val="en-US"/>
        </w:rPr>
        <w:t>B.B.</w:t>
      </w:r>
      <w:r>
        <w:rPr>
          <w:spacing w:val="-12"/>
          <w:sz w:val="28"/>
          <w:lang w:val="en-US"/>
        </w:rPr>
        <w:t xml:space="preserve"> </w:t>
      </w:r>
      <w:r>
        <w:rPr>
          <w:sz w:val="28"/>
          <w:lang w:val="en-US"/>
        </w:rPr>
        <w:t>et</w:t>
      </w:r>
      <w:r>
        <w:rPr>
          <w:spacing w:val="-15"/>
          <w:sz w:val="28"/>
          <w:lang w:val="en-US"/>
        </w:rPr>
        <w:t xml:space="preserve"> </w:t>
      </w:r>
      <w:r>
        <w:rPr>
          <w:sz w:val="28"/>
          <w:lang w:val="en-US"/>
        </w:rPr>
        <w:t>al.</w:t>
      </w:r>
      <w:r>
        <w:rPr>
          <w:spacing w:val="-3"/>
          <w:sz w:val="28"/>
          <w:lang w:val="en-US"/>
        </w:rPr>
        <w:t xml:space="preserve"> </w:t>
      </w:r>
      <w:r>
        <w:rPr>
          <w:sz w:val="28"/>
          <w:lang w:val="en-US"/>
        </w:rPr>
        <w:t>Our</w:t>
      </w:r>
      <w:r>
        <w:rPr>
          <w:spacing w:val="-15"/>
          <w:sz w:val="28"/>
          <w:lang w:val="en-US"/>
        </w:rPr>
        <w:t xml:space="preserve"> </w:t>
      </w:r>
      <w:r>
        <w:rPr>
          <w:sz w:val="28"/>
          <w:lang w:val="en-US"/>
        </w:rPr>
        <w:t>experience</w:t>
      </w:r>
      <w:r>
        <w:rPr>
          <w:spacing w:val="-13"/>
          <w:sz w:val="28"/>
          <w:lang w:val="en-US"/>
        </w:rPr>
        <w:t xml:space="preserve"> </w:t>
      </w:r>
      <w:r>
        <w:rPr>
          <w:sz w:val="28"/>
          <w:lang w:val="en-US"/>
        </w:rPr>
        <w:t>of laparoscopic pancreatoduodenectomy in tumors of the periampullary zone // Bulletin of Surgery of Kazakhstan. - 2023. - №2. - P. 5–14.</w:t>
      </w:r>
    </w:p>
    <w:p w14:paraId="6FE33F39">
      <w:pPr>
        <w:pStyle w:val="10"/>
        <w:numPr>
          <w:ilvl w:val="0"/>
          <w:numId w:val="29"/>
        </w:numPr>
        <w:tabs>
          <w:tab w:val="left" w:pos="1128"/>
        </w:tabs>
        <w:spacing w:line="242" w:lineRule="auto"/>
        <w:ind w:left="0" w:right="3" w:firstLine="706"/>
        <w:rPr>
          <w:sz w:val="28"/>
          <w:lang w:val="en-US"/>
        </w:rPr>
      </w:pPr>
      <w:r>
        <w:rPr>
          <w:sz w:val="28"/>
          <w:lang w:val="en-US"/>
        </w:rPr>
        <w:t>Doskhanov</w:t>
      </w:r>
      <w:r>
        <w:rPr>
          <w:spacing w:val="-13"/>
          <w:sz w:val="28"/>
          <w:lang w:val="en-US"/>
        </w:rPr>
        <w:t xml:space="preserve"> </w:t>
      </w:r>
      <w:r>
        <w:rPr>
          <w:sz w:val="28"/>
          <w:lang w:val="en-US"/>
        </w:rPr>
        <w:t>M.O.,</w:t>
      </w:r>
      <w:r>
        <w:rPr>
          <w:spacing w:val="-6"/>
          <w:sz w:val="28"/>
          <w:lang w:val="en-US"/>
        </w:rPr>
        <w:t xml:space="preserve"> </w:t>
      </w:r>
      <w:r>
        <w:rPr>
          <w:sz w:val="28"/>
          <w:lang w:val="en-US"/>
        </w:rPr>
        <w:t>Baimakhanov</w:t>
      </w:r>
      <w:r>
        <w:rPr>
          <w:spacing w:val="-8"/>
          <w:sz w:val="28"/>
          <w:lang w:val="en-US"/>
        </w:rPr>
        <w:t xml:space="preserve"> </w:t>
      </w:r>
      <w:r>
        <w:rPr>
          <w:sz w:val="28"/>
          <w:lang w:val="en-US"/>
        </w:rPr>
        <w:t>B.B.,</w:t>
      </w:r>
      <w:r>
        <w:rPr>
          <w:spacing w:val="-6"/>
          <w:sz w:val="28"/>
          <w:lang w:val="en-US"/>
        </w:rPr>
        <w:t xml:space="preserve"> </w:t>
      </w:r>
      <w:r>
        <w:rPr>
          <w:sz w:val="28"/>
          <w:lang w:val="en-US"/>
        </w:rPr>
        <w:t>Tileuov</w:t>
      </w:r>
      <w:r>
        <w:rPr>
          <w:spacing w:val="-8"/>
          <w:sz w:val="28"/>
          <w:lang w:val="en-US"/>
        </w:rPr>
        <w:t xml:space="preserve"> </w:t>
      </w:r>
      <w:r>
        <w:rPr>
          <w:sz w:val="28"/>
          <w:lang w:val="en-US"/>
        </w:rPr>
        <w:t>S.T.</w:t>
      </w:r>
      <w:r>
        <w:rPr>
          <w:spacing w:val="-6"/>
          <w:sz w:val="28"/>
          <w:lang w:val="en-US"/>
        </w:rPr>
        <w:t xml:space="preserve"> </w:t>
      </w:r>
      <w:r>
        <w:rPr>
          <w:sz w:val="28"/>
          <w:lang w:val="en-US"/>
        </w:rPr>
        <w:t>et</w:t>
      </w:r>
      <w:r>
        <w:rPr>
          <w:spacing w:val="-9"/>
          <w:sz w:val="28"/>
          <w:lang w:val="en-US"/>
        </w:rPr>
        <w:t xml:space="preserve"> </w:t>
      </w:r>
      <w:r>
        <w:rPr>
          <w:sz w:val="28"/>
          <w:lang w:val="en-US"/>
        </w:rPr>
        <w:t>al.</w:t>
      </w:r>
      <w:r>
        <w:rPr>
          <w:spacing w:val="-6"/>
          <w:sz w:val="28"/>
          <w:lang w:val="en-US"/>
        </w:rPr>
        <w:t xml:space="preserve"> </w:t>
      </w:r>
      <w:r>
        <w:rPr>
          <w:sz w:val="28"/>
          <w:lang w:val="en-US"/>
        </w:rPr>
        <w:t>The</w:t>
      </w:r>
      <w:r>
        <w:rPr>
          <w:spacing w:val="-3"/>
          <w:sz w:val="28"/>
          <w:lang w:val="en-US"/>
        </w:rPr>
        <w:t xml:space="preserve"> </w:t>
      </w:r>
      <w:r>
        <w:rPr>
          <w:sz w:val="28"/>
          <w:lang w:val="en-US"/>
        </w:rPr>
        <w:t>first</w:t>
      </w:r>
      <w:r>
        <w:rPr>
          <w:spacing w:val="-9"/>
          <w:sz w:val="28"/>
          <w:lang w:val="en-US"/>
        </w:rPr>
        <w:t xml:space="preserve"> </w:t>
      </w:r>
      <w:r>
        <w:rPr>
          <w:sz w:val="28"/>
          <w:lang w:val="en-US"/>
        </w:rPr>
        <w:t>experience of laparoscopic pancreatoduodenectomy // Annals of Hepato-Biliary-Pancreatic Surgery (supplement). -2023.- №27.-</w:t>
      </w:r>
      <w:r>
        <w:rPr>
          <w:sz w:val="28"/>
          <w:lang w:val="kk-KZ"/>
        </w:rPr>
        <w:t xml:space="preserve"> </w:t>
      </w:r>
      <w:r>
        <w:rPr>
          <w:sz w:val="28"/>
          <w:lang w:val="en-US"/>
        </w:rPr>
        <w:t xml:space="preserve">405 </w:t>
      </w:r>
      <w:r>
        <w:rPr>
          <w:sz w:val="28"/>
        </w:rPr>
        <w:t>р</w:t>
      </w:r>
      <w:r>
        <w:rPr>
          <w:sz w:val="28"/>
          <w:lang w:val="en-US"/>
        </w:rPr>
        <w:t>.</w:t>
      </w:r>
    </w:p>
    <w:p w14:paraId="7BFD593A">
      <w:pPr>
        <w:pStyle w:val="10"/>
        <w:numPr>
          <w:ilvl w:val="0"/>
          <w:numId w:val="29"/>
        </w:numPr>
        <w:tabs>
          <w:tab w:val="left" w:pos="1128"/>
        </w:tabs>
        <w:ind w:left="0" w:right="3" w:firstLine="706"/>
        <w:rPr>
          <w:sz w:val="28"/>
          <w:lang w:val="en-US"/>
        </w:rPr>
      </w:pPr>
      <w:r>
        <w:rPr>
          <w:sz w:val="28"/>
          <w:lang w:val="en-US"/>
        </w:rPr>
        <w:t xml:space="preserve">Park W. et al. Pancreatic cancer: A Review. //JAMA. -2021.- №326(9).- </w:t>
      </w:r>
      <w:r>
        <w:rPr>
          <w:sz w:val="28"/>
        </w:rPr>
        <w:t xml:space="preserve">Р. </w:t>
      </w:r>
      <w:r>
        <w:rPr>
          <w:sz w:val="28"/>
          <w:lang w:val="en-US"/>
        </w:rPr>
        <w:t>851–862.</w:t>
      </w:r>
    </w:p>
    <w:p w14:paraId="4154F916">
      <w:pPr>
        <w:pStyle w:val="10"/>
        <w:numPr>
          <w:ilvl w:val="0"/>
          <w:numId w:val="29"/>
        </w:numPr>
        <w:tabs>
          <w:tab w:val="left" w:pos="1128"/>
        </w:tabs>
        <w:ind w:left="0" w:right="3" w:firstLine="706"/>
        <w:rPr>
          <w:sz w:val="28"/>
          <w:lang w:val="en-US"/>
        </w:rPr>
      </w:pPr>
      <w:r>
        <w:rPr>
          <w:sz w:val="28"/>
          <w:lang w:val="en-US"/>
        </w:rPr>
        <w:t>Stoffel E.M. et al. Pancreatic cancer: Changing Epidemiology and New Approaches to Risk Assessment, Early Detection, and Prevention. //Gastroenterology .-2023.- №164.-</w:t>
      </w:r>
      <w:r>
        <w:rPr>
          <w:sz w:val="28"/>
        </w:rPr>
        <w:t>Р</w:t>
      </w:r>
      <w:r>
        <w:rPr>
          <w:sz w:val="28"/>
          <w:lang w:val="en-US"/>
        </w:rPr>
        <w:t>. 752–765.</w:t>
      </w:r>
    </w:p>
    <w:p w14:paraId="73E493EF">
      <w:pPr>
        <w:pStyle w:val="10"/>
        <w:numPr>
          <w:ilvl w:val="0"/>
          <w:numId w:val="29"/>
        </w:numPr>
        <w:tabs>
          <w:tab w:val="left" w:pos="1128"/>
        </w:tabs>
        <w:ind w:left="0" w:right="3" w:firstLine="706"/>
        <w:rPr>
          <w:sz w:val="28"/>
          <w:lang w:val="en-US"/>
        </w:rPr>
      </w:pPr>
      <w:r>
        <w:rPr>
          <w:sz w:val="28"/>
          <w:lang w:val="en-US"/>
        </w:rPr>
        <w:t>Bray F. et al. Global cancer statistics 2022: GLOBOCAN estimates of incidence and mortality worldwide for 36 cancers in 185 countries // CA: A Cancer //Journal for Clinicians.- 2024. -Vol. 74, № 3. - P. 229–263.</w:t>
      </w:r>
    </w:p>
    <w:p w14:paraId="230C3AF3">
      <w:pPr>
        <w:pStyle w:val="10"/>
        <w:numPr>
          <w:ilvl w:val="0"/>
          <w:numId w:val="29"/>
        </w:numPr>
        <w:tabs>
          <w:tab w:val="left" w:pos="1128"/>
        </w:tabs>
        <w:ind w:left="0" w:right="3" w:firstLine="706"/>
        <w:rPr>
          <w:sz w:val="28"/>
          <w:lang w:val="en-US"/>
        </w:rPr>
      </w:pPr>
      <w:r>
        <w:rPr>
          <w:sz w:val="28"/>
          <w:lang w:val="en-US"/>
        </w:rPr>
        <w:t>Biniyazova A. et al. The Incidence, Mortality, and Survival Trends of Pancreatic Cancer in Kazakhstan: Data from the National Electronic Registry of Oncological</w:t>
      </w:r>
      <w:r>
        <w:rPr>
          <w:spacing w:val="-4"/>
          <w:sz w:val="28"/>
          <w:lang w:val="en-US"/>
        </w:rPr>
        <w:t xml:space="preserve"> </w:t>
      </w:r>
      <w:r>
        <w:rPr>
          <w:sz w:val="28"/>
          <w:lang w:val="en-US"/>
        </w:rPr>
        <w:t>Patients (2014–2023) // Cancers (Basel). -2025. -Vol. 17, №14.-</w:t>
      </w:r>
      <w:r>
        <w:rPr>
          <w:spacing w:val="-1"/>
          <w:sz w:val="28"/>
          <w:lang w:val="en-US"/>
        </w:rPr>
        <w:t xml:space="preserve"> </w:t>
      </w:r>
      <w:r>
        <w:rPr>
          <w:sz w:val="28"/>
          <w:lang w:val="en-US"/>
        </w:rPr>
        <w:t>P. 22</w:t>
      </w:r>
      <w:r>
        <w:rPr>
          <w:sz w:val="28"/>
        </w:rPr>
        <w:t>-</w:t>
      </w:r>
      <w:r>
        <w:rPr>
          <w:sz w:val="28"/>
          <w:lang w:val="en-US"/>
        </w:rPr>
        <w:t>77.</w:t>
      </w:r>
    </w:p>
    <w:p w14:paraId="273E5153">
      <w:pPr>
        <w:pStyle w:val="10"/>
        <w:numPr>
          <w:ilvl w:val="0"/>
          <w:numId w:val="29"/>
        </w:numPr>
        <w:tabs>
          <w:tab w:val="left" w:pos="1128"/>
        </w:tabs>
        <w:ind w:left="0" w:right="3" w:firstLine="706"/>
        <w:rPr>
          <w:sz w:val="28"/>
        </w:rPr>
      </w:pPr>
      <w:r>
        <w:rPr>
          <w:sz w:val="28"/>
          <w:lang w:val="en-US"/>
        </w:rPr>
        <w:t xml:space="preserve">Didier A.J. et al. Trends in pancreatic cancer mortality in the United States 1999–2020: A CDC database population-based study. //Cancer Causes Control.- </w:t>
      </w:r>
      <w:r>
        <w:rPr>
          <w:sz w:val="28"/>
        </w:rPr>
        <w:t>2024.- № 35.-Р. 1509–1516.</w:t>
      </w:r>
    </w:p>
    <w:p w14:paraId="1CC296D9">
      <w:pPr>
        <w:pStyle w:val="10"/>
        <w:numPr>
          <w:ilvl w:val="0"/>
          <w:numId w:val="29"/>
        </w:numPr>
        <w:tabs>
          <w:tab w:val="left" w:pos="1128"/>
        </w:tabs>
        <w:ind w:left="0" w:right="3" w:firstLine="706"/>
        <w:rPr>
          <w:sz w:val="28"/>
          <w:lang w:val="en-US"/>
        </w:rPr>
      </w:pPr>
      <w:r>
        <w:rPr>
          <w:sz w:val="28"/>
        </w:rPr>
        <w:t>Қайдарова</w:t>
      </w:r>
      <w:r>
        <w:rPr>
          <w:sz w:val="28"/>
          <w:lang w:val="en-US"/>
        </w:rPr>
        <w:t xml:space="preserve"> </w:t>
      </w:r>
      <w:r>
        <w:rPr>
          <w:sz w:val="28"/>
        </w:rPr>
        <w:t>Д</w:t>
      </w:r>
      <w:r>
        <w:rPr>
          <w:sz w:val="28"/>
          <w:lang w:val="en-US"/>
        </w:rPr>
        <w:t>.</w:t>
      </w:r>
      <w:r>
        <w:rPr>
          <w:sz w:val="28"/>
        </w:rPr>
        <w:t>Р</w:t>
      </w:r>
      <w:r>
        <w:rPr>
          <w:sz w:val="28"/>
          <w:lang w:val="en-US"/>
        </w:rPr>
        <w:t xml:space="preserve">., </w:t>
      </w:r>
      <w:r>
        <w:rPr>
          <w:sz w:val="28"/>
        </w:rPr>
        <w:t>Шатковская</w:t>
      </w:r>
      <w:r>
        <w:rPr>
          <w:sz w:val="28"/>
          <w:lang w:val="en-US"/>
        </w:rPr>
        <w:t xml:space="preserve"> </w:t>
      </w:r>
      <w:r>
        <w:rPr>
          <w:sz w:val="28"/>
        </w:rPr>
        <w:t>О</w:t>
      </w:r>
      <w:r>
        <w:rPr>
          <w:sz w:val="28"/>
          <w:lang w:val="en-US"/>
        </w:rPr>
        <w:t>.</w:t>
      </w:r>
      <w:r>
        <w:rPr>
          <w:sz w:val="28"/>
        </w:rPr>
        <w:t>В</w:t>
      </w:r>
      <w:r>
        <w:rPr>
          <w:sz w:val="28"/>
          <w:lang w:val="en-US"/>
        </w:rPr>
        <w:t>., Kazakh Institute of Oncology and Radiology. Indicators of the Oncology Service of the Republic of Kazakhstan, 2023 (Statistical and Analytical Materials).</w:t>
      </w:r>
    </w:p>
    <w:p w14:paraId="7021D76C">
      <w:pPr>
        <w:pStyle w:val="10"/>
        <w:numPr>
          <w:ilvl w:val="0"/>
          <w:numId w:val="29"/>
        </w:numPr>
        <w:tabs>
          <w:tab w:val="left" w:pos="1128"/>
        </w:tabs>
        <w:ind w:left="0" w:right="3" w:firstLine="706"/>
        <w:rPr>
          <w:sz w:val="28"/>
          <w:lang w:val="en-US"/>
        </w:rPr>
      </w:pPr>
      <w:r>
        <w:rPr>
          <w:sz w:val="28"/>
          <w:lang w:val="en-US"/>
        </w:rPr>
        <w:t>Fazyl F. et al.  Main epidemiological aspects of pancreatic cancer in Kazakhstan. //Eurasian Journal of Applied Biotechnology.-2022.- № (3)</w:t>
      </w:r>
      <w:r>
        <w:rPr>
          <w:sz w:val="28"/>
        </w:rPr>
        <w:t>.-Р.</w:t>
      </w:r>
      <w:r>
        <w:rPr>
          <w:sz w:val="28"/>
          <w:lang w:val="en-US"/>
        </w:rPr>
        <w:t xml:space="preserve"> 75–81.</w:t>
      </w:r>
    </w:p>
    <w:p w14:paraId="5D524D35">
      <w:pPr>
        <w:pStyle w:val="10"/>
        <w:numPr>
          <w:ilvl w:val="0"/>
          <w:numId w:val="29"/>
        </w:numPr>
        <w:tabs>
          <w:tab w:val="left" w:pos="1128"/>
        </w:tabs>
        <w:ind w:left="0" w:right="3" w:firstLine="706"/>
        <w:rPr>
          <w:sz w:val="28"/>
        </w:rPr>
      </w:pPr>
      <w:r>
        <w:rPr>
          <w:sz w:val="28"/>
          <w:lang w:val="en-US"/>
        </w:rPr>
        <w:t>Partyka</w:t>
      </w:r>
      <w:r>
        <w:rPr>
          <w:spacing w:val="-8"/>
          <w:sz w:val="28"/>
          <w:lang w:val="en-US"/>
        </w:rPr>
        <w:t xml:space="preserve"> </w:t>
      </w:r>
      <w:r>
        <w:rPr>
          <w:sz w:val="28"/>
          <w:lang w:val="en-US"/>
        </w:rPr>
        <w:t>O.</w:t>
      </w:r>
      <w:r>
        <w:rPr>
          <w:spacing w:val="-5"/>
          <w:sz w:val="28"/>
          <w:lang w:val="en-US"/>
        </w:rPr>
        <w:t xml:space="preserve"> </w:t>
      </w:r>
      <w:r>
        <w:rPr>
          <w:sz w:val="28"/>
          <w:lang w:val="en-US"/>
        </w:rPr>
        <w:t>et</w:t>
      </w:r>
      <w:r>
        <w:rPr>
          <w:spacing w:val="-9"/>
          <w:sz w:val="28"/>
          <w:lang w:val="en-US"/>
        </w:rPr>
        <w:t xml:space="preserve"> </w:t>
      </w:r>
      <w:r>
        <w:rPr>
          <w:sz w:val="28"/>
          <w:lang w:val="en-US"/>
        </w:rPr>
        <w:t>al.</w:t>
      </w:r>
      <w:r>
        <w:rPr>
          <w:spacing w:val="-5"/>
          <w:sz w:val="28"/>
          <w:lang w:val="en-US"/>
        </w:rPr>
        <w:t xml:space="preserve"> </w:t>
      </w:r>
      <w:r>
        <w:rPr>
          <w:sz w:val="28"/>
          <w:lang w:val="en-US"/>
        </w:rPr>
        <w:t>Overview</w:t>
      </w:r>
      <w:r>
        <w:rPr>
          <w:spacing w:val="-8"/>
          <w:sz w:val="28"/>
          <w:lang w:val="en-US"/>
        </w:rPr>
        <w:t xml:space="preserve"> </w:t>
      </w:r>
      <w:r>
        <w:rPr>
          <w:sz w:val="28"/>
          <w:lang w:val="en-US"/>
        </w:rPr>
        <w:t>of</w:t>
      </w:r>
      <w:r>
        <w:rPr>
          <w:spacing w:val="-10"/>
          <w:sz w:val="28"/>
          <w:lang w:val="en-US"/>
        </w:rPr>
        <w:t xml:space="preserve"> </w:t>
      </w:r>
      <w:r>
        <w:rPr>
          <w:sz w:val="28"/>
          <w:lang w:val="en-US"/>
        </w:rPr>
        <w:t>Pancreatic</w:t>
      </w:r>
      <w:r>
        <w:rPr>
          <w:spacing w:val="-8"/>
          <w:sz w:val="28"/>
          <w:lang w:val="en-US"/>
        </w:rPr>
        <w:t xml:space="preserve"> </w:t>
      </w:r>
      <w:r>
        <w:rPr>
          <w:sz w:val="28"/>
          <w:lang w:val="en-US"/>
        </w:rPr>
        <w:t>Cancer</w:t>
      </w:r>
      <w:r>
        <w:rPr>
          <w:spacing w:val="-5"/>
          <w:sz w:val="28"/>
          <w:lang w:val="en-US"/>
        </w:rPr>
        <w:t xml:space="preserve"> </w:t>
      </w:r>
      <w:r>
        <w:rPr>
          <w:sz w:val="28"/>
          <w:lang w:val="en-US"/>
        </w:rPr>
        <w:t>Epidemiology</w:t>
      </w:r>
      <w:r>
        <w:rPr>
          <w:spacing w:val="-5"/>
          <w:sz w:val="28"/>
          <w:lang w:val="en-US"/>
        </w:rPr>
        <w:t xml:space="preserve"> </w:t>
      </w:r>
      <w:r>
        <w:rPr>
          <w:sz w:val="28"/>
          <w:lang w:val="en-US"/>
        </w:rPr>
        <w:t>in</w:t>
      </w:r>
      <w:r>
        <w:rPr>
          <w:spacing w:val="-9"/>
          <w:sz w:val="28"/>
          <w:lang w:val="en-US"/>
        </w:rPr>
        <w:t xml:space="preserve"> </w:t>
      </w:r>
      <w:r>
        <w:rPr>
          <w:sz w:val="28"/>
          <w:lang w:val="en-US"/>
        </w:rPr>
        <w:t>Europe</w:t>
      </w:r>
      <w:r>
        <w:rPr>
          <w:spacing w:val="-8"/>
          <w:sz w:val="28"/>
          <w:lang w:val="en-US"/>
        </w:rPr>
        <w:t xml:space="preserve"> </w:t>
      </w:r>
      <w:r>
        <w:rPr>
          <w:sz w:val="28"/>
          <w:lang w:val="en-US"/>
        </w:rPr>
        <w:t xml:space="preserve">and Recommendations for Screening in High-Risk Populations.// </w:t>
      </w:r>
      <w:r>
        <w:rPr>
          <w:sz w:val="28"/>
        </w:rPr>
        <w:t>Cancers.- 2023.- №15.-</w:t>
      </w:r>
      <w:r>
        <w:rPr>
          <w:sz w:val="28"/>
          <w:lang w:val="kk-KZ"/>
        </w:rPr>
        <w:t xml:space="preserve"> </w:t>
      </w:r>
      <w:r>
        <w:rPr>
          <w:sz w:val="28"/>
        </w:rPr>
        <w:t>Р. 34-36.</w:t>
      </w:r>
    </w:p>
    <w:p w14:paraId="3968D793">
      <w:pPr>
        <w:pStyle w:val="10"/>
        <w:numPr>
          <w:ilvl w:val="0"/>
          <w:numId w:val="29"/>
        </w:numPr>
        <w:tabs>
          <w:tab w:val="left" w:pos="1128"/>
        </w:tabs>
        <w:spacing w:line="242" w:lineRule="auto"/>
        <w:ind w:left="0" w:right="3" w:firstLine="706"/>
        <w:rPr>
          <w:sz w:val="28"/>
        </w:rPr>
      </w:pPr>
      <w:r>
        <w:rPr>
          <w:sz w:val="28"/>
          <w:lang w:val="en-US"/>
        </w:rPr>
        <w:t xml:space="preserve">Bekzat M. Turmakhanbetov et al. Incidence of malignant neoplasms and organizational aspects of cancer care in the Republic of Kazakhstan. //Clinical Epidemiology and Global Health.-2024.- № </w:t>
      </w:r>
      <w:r>
        <w:rPr>
          <w:sz w:val="28"/>
        </w:rPr>
        <w:t>30 .-</w:t>
      </w:r>
      <w:r>
        <w:rPr>
          <w:sz w:val="28"/>
          <w:lang w:val="kk-KZ"/>
        </w:rPr>
        <w:t xml:space="preserve"> </w:t>
      </w:r>
      <w:r>
        <w:rPr>
          <w:sz w:val="28"/>
        </w:rPr>
        <w:t>Р.101-838.</w:t>
      </w:r>
    </w:p>
    <w:p w14:paraId="0622FCC5">
      <w:pPr>
        <w:pStyle w:val="10"/>
        <w:numPr>
          <w:ilvl w:val="0"/>
          <w:numId w:val="29"/>
        </w:numPr>
        <w:tabs>
          <w:tab w:val="left" w:pos="1128"/>
        </w:tabs>
        <w:ind w:left="0" w:right="3" w:firstLine="706"/>
        <w:rPr>
          <w:sz w:val="28"/>
        </w:rPr>
      </w:pPr>
      <w:r>
        <w:rPr>
          <w:sz w:val="28"/>
        </w:rPr>
        <w:t>Каприн А.Д., ред. Злокачественные новообразования в России в 2023 году. М., НИОИ им. П.А. Герцена − филиал ФГБУ «НМИЦ радиологии» Минздрава России, 2024. – 276 с.</w:t>
      </w:r>
    </w:p>
    <w:p w14:paraId="0747C74B">
      <w:pPr>
        <w:pStyle w:val="10"/>
        <w:numPr>
          <w:ilvl w:val="0"/>
          <w:numId w:val="29"/>
        </w:numPr>
        <w:tabs>
          <w:tab w:val="left" w:pos="1128"/>
        </w:tabs>
        <w:ind w:left="0" w:right="3" w:firstLine="706"/>
        <w:rPr>
          <w:sz w:val="28"/>
        </w:rPr>
      </w:pPr>
      <w:r>
        <w:rPr>
          <w:sz w:val="28"/>
        </w:rPr>
        <w:t xml:space="preserve">MedElement. Клинические протоколы РФ: Рак поджелудочной железы, </w:t>
      </w:r>
      <w:r>
        <w:rPr>
          <w:spacing w:val="-2"/>
          <w:sz w:val="28"/>
        </w:rPr>
        <w:t>2024.</w:t>
      </w:r>
    </w:p>
    <w:p w14:paraId="67B544C9">
      <w:pPr>
        <w:pStyle w:val="10"/>
        <w:numPr>
          <w:ilvl w:val="0"/>
          <w:numId w:val="29"/>
        </w:numPr>
        <w:tabs>
          <w:tab w:val="left" w:pos="1128"/>
        </w:tabs>
        <w:ind w:left="0" w:right="3" w:firstLine="706"/>
        <w:rPr>
          <w:sz w:val="28"/>
        </w:rPr>
      </w:pPr>
      <w:r>
        <w:rPr>
          <w:sz w:val="28"/>
        </w:rPr>
        <w:t>Мерабишвили В.М. et al. Состояние онкологической помощи в России: возраст и рак. Особенности локализационной структуры, качества учета и выживаемость больных ЗНО //</w:t>
      </w:r>
      <w:r>
        <w:rPr>
          <w:sz w:val="28"/>
          <w:lang w:val="kk-KZ"/>
        </w:rPr>
        <w:t xml:space="preserve"> </w:t>
      </w:r>
      <w:r>
        <w:rPr>
          <w:sz w:val="28"/>
        </w:rPr>
        <w:t>Формулы Фармации. -</w:t>
      </w:r>
      <w:r>
        <w:rPr>
          <w:sz w:val="28"/>
          <w:lang w:val="kk-KZ"/>
        </w:rPr>
        <w:t xml:space="preserve"> </w:t>
      </w:r>
      <w:r>
        <w:rPr>
          <w:sz w:val="28"/>
        </w:rPr>
        <w:t>2023. -Т. 5, № 2.- С. 24–37</w:t>
      </w:r>
    </w:p>
    <w:p w14:paraId="301CCA3B">
      <w:pPr>
        <w:pStyle w:val="10"/>
        <w:numPr>
          <w:ilvl w:val="0"/>
          <w:numId w:val="29"/>
        </w:numPr>
        <w:tabs>
          <w:tab w:val="left" w:pos="1128"/>
        </w:tabs>
        <w:ind w:left="0" w:right="3" w:firstLine="706"/>
        <w:rPr>
          <w:sz w:val="28"/>
          <w:lang w:val="en-US"/>
        </w:rPr>
      </w:pPr>
      <w:r>
        <w:rPr>
          <w:sz w:val="28"/>
          <w:lang w:val="en-US"/>
        </w:rPr>
        <w:t>Ramai D. et al. Demographics, tumor characteristics, treatment, and clinical outcomes of patients with ampullary cancer: a Surveillance, Epidemiology, and End Results (SEER) cohort study. //Minerva Gastroenterol Dietol .-</w:t>
      </w:r>
      <w:r>
        <w:rPr>
          <w:sz w:val="28"/>
          <w:lang w:val="kk-KZ"/>
        </w:rPr>
        <w:t xml:space="preserve"> </w:t>
      </w:r>
      <w:r>
        <w:rPr>
          <w:sz w:val="28"/>
          <w:lang w:val="en-US"/>
        </w:rPr>
        <w:t>2019.- №65.-</w:t>
      </w:r>
      <w:r>
        <w:rPr>
          <w:sz w:val="28"/>
        </w:rPr>
        <w:t>Р</w:t>
      </w:r>
      <w:r>
        <w:rPr>
          <w:sz w:val="28"/>
          <w:lang w:val="en-US"/>
        </w:rPr>
        <w:t>. 85-90.</w:t>
      </w:r>
    </w:p>
    <w:p w14:paraId="5B8712E6">
      <w:pPr>
        <w:pStyle w:val="10"/>
        <w:numPr>
          <w:ilvl w:val="0"/>
          <w:numId w:val="29"/>
        </w:numPr>
        <w:tabs>
          <w:tab w:val="left" w:pos="1128"/>
        </w:tabs>
        <w:spacing w:line="242" w:lineRule="auto"/>
        <w:ind w:left="0" w:right="3" w:firstLine="706"/>
        <w:rPr>
          <w:sz w:val="28"/>
          <w:lang w:val="en-US"/>
        </w:rPr>
      </w:pPr>
      <w:r>
        <w:rPr>
          <w:sz w:val="28"/>
          <w:lang w:val="en-US"/>
        </w:rPr>
        <w:t>Zimmermann C. et al. The pathohistological subtype strongly predicts survival in ampullary carcinoma // Scientific Reports. -2019. -Vol. 9. –</w:t>
      </w:r>
      <w:r>
        <w:rPr>
          <w:sz w:val="28"/>
        </w:rPr>
        <w:t>Р</w:t>
      </w:r>
      <w:r>
        <w:rPr>
          <w:sz w:val="28"/>
          <w:lang w:val="en-US"/>
        </w:rPr>
        <w:t>. 12-64.</w:t>
      </w:r>
    </w:p>
    <w:p w14:paraId="67ECD6BF">
      <w:pPr>
        <w:pStyle w:val="10"/>
        <w:numPr>
          <w:ilvl w:val="0"/>
          <w:numId w:val="29"/>
        </w:numPr>
        <w:tabs>
          <w:tab w:val="left" w:pos="1128"/>
        </w:tabs>
        <w:spacing w:before="67"/>
        <w:ind w:right="3" w:firstLine="566"/>
        <w:rPr>
          <w:sz w:val="28"/>
          <w:lang w:val="en-US"/>
        </w:rPr>
      </w:pPr>
      <w:r>
        <w:rPr>
          <w:sz w:val="28"/>
          <w:lang w:val="en-US"/>
        </w:rPr>
        <w:t>Hautefeuille V. et al. Ampullary tumors: French Intergroup Clinical Practice Guidelines for diagnosis, treatments and follow-up // Digestive and Liver Disease. -</w:t>
      </w:r>
      <w:r>
        <w:rPr>
          <w:spacing w:val="-2"/>
          <w:sz w:val="28"/>
          <w:lang w:val="en-US"/>
        </w:rPr>
        <w:t>2024.</w:t>
      </w:r>
    </w:p>
    <w:p w14:paraId="03F74B63">
      <w:pPr>
        <w:pStyle w:val="10"/>
        <w:numPr>
          <w:ilvl w:val="0"/>
          <w:numId w:val="29"/>
        </w:numPr>
        <w:tabs>
          <w:tab w:val="left" w:pos="1128"/>
        </w:tabs>
        <w:spacing w:line="242" w:lineRule="auto"/>
        <w:ind w:right="3" w:firstLine="566"/>
        <w:rPr>
          <w:sz w:val="28"/>
          <w:lang w:val="en-US"/>
        </w:rPr>
      </w:pPr>
      <w:r>
        <w:rPr>
          <w:sz w:val="28"/>
          <w:lang w:val="en-US"/>
        </w:rPr>
        <w:t>Chiorean E.G. et al. Ampullary Adenocarcinoma, Version 1.2023, NCCN Clinical Practice Guidelines in Oncology // J Natl Compr Canc Netw. -2023. -Vol. 21, № 7. - P. 753–781.</w:t>
      </w:r>
    </w:p>
    <w:p w14:paraId="4113BAF4">
      <w:pPr>
        <w:pStyle w:val="10"/>
        <w:numPr>
          <w:ilvl w:val="0"/>
          <w:numId w:val="29"/>
        </w:numPr>
        <w:tabs>
          <w:tab w:val="left" w:pos="1128"/>
        </w:tabs>
        <w:ind w:left="0" w:right="3" w:firstLine="709"/>
        <w:rPr>
          <w:sz w:val="28"/>
          <w:lang w:val="en-US"/>
        </w:rPr>
      </w:pPr>
      <w:r>
        <w:rPr>
          <w:sz w:val="28"/>
          <w:lang w:val="en-US"/>
        </w:rPr>
        <w:t xml:space="preserve">Hyung Sun Kim et al. Practice guidelines for managing extrahepatic biliary tract cancers // </w:t>
      </w:r>
      <w:r>
        <w:rPr>
          <w:color w:val="1B1B1B"/>
          <w:sz w:val="28"/>
          <w:lang w:val="en-US"/>
        </w:rPr>
        <w:t>Ann Hepatobiliary Pancreat Surg. -2024 .- №28(2).-</w:t>
      </w:r>
      <w:r>
        <w:rPr>
          <w:color w:val="1B1B1B"/>
          <w:sz w:val="28"/>
          <w:lang w:val="kk-KZ"/>
        </w:rPr>
        <w:t xml:space="preserve"> </w:t>
      </w:r>
      <w:r>
        <w:rPr>
          <w:color w:val="1B1B1B"/>
          <w:sz w:val="28"/>
        </w:rPr>
        <w:t>Р</w:t>
      </w:r>
      <w:r>
        <w:rPr>
          <w:color w:val="1B1B1B"/>
          <w:sz w:val="28"/>
          <w:lang w:val="en-US"/>
        </w:rPr>
        <w:t>.161-202.</w:t>
      </w:r>
    </w:p>
    <w:p w14:paraId="2CF80001">
      <w:pPr>
        <w:pStyle w:val="10"/>
        <w:numPr>
          <w:ilvl w:val="0"/>
          <w:numId w:val="29"/>
        </w:numPr>
        <w:tabs>
          <w:tab w:val="left" w:pos="1128"/>
        </w:tabs>
        <w:ind w:left="0" w:right="3" w:firstLine="706"/>
        <w:rPr>
          <w:sz w:val="28"/>
          <w:lang w:val="en-US"/>
        </w:rPr>
      </w:pPr>
      <w:r>
        <w:rPr>
          <w:sz w:val="28"/>
          <w:lang w:val="en-US"/>
        </w:rPr>
        <w:t>Banales</w:t>
      </w:r>
      <w:r>
        <w:rPr>
          <w:spacing w:val="-18"/>
          <w:sz w:val="28"/>
          <w:lang w:val="en-US"/>
        </w:rPr>
        <w:t xml:space="preserve"> </w:t>
      </w:r>
      <w:r>
        <w:rPr>
          <w:sz w:val="28"/>
          <w:lang w:val="en-US"/>
        </w:rPr>
        <w:t>J.M.</w:t>
      </w:r>
      <w:r>
        <w:rPr>
          <w:spacing w:val="-17"/>
          <w:sz w:val="28"/>
          <w:lang w:val="en-US"/>
        </w:rPr>
        <w:t xml:space="preserve"> </w:t>
      </w:r>
      <w:r>
        <w:rPr>
          <w:sz w:val="28"/>
          <w:lang w:val="en-US"/>
        </w:rPr>
        <w:t>et</w:t>
      </w:r>
      <w:r>
        <w:rPr>
          <w:spacing w:val="-18"/>
          <w:sz w:val="28"/>
          <w:lang w:val="en-US"/>
        </w:rPr>
        <w:t xml:space="preserve"> </w:t>
      </w:r>
      <w:r>
        <w:rPr>
          <w:sz w:val="28"/>
          <w:lang w:val="en-US"/>
        </w:rPr>
        <w:t>al.</w:t>
      </w:r>
      <w:r>
        <w:rPr>
          <w:spacing w:val="-17"/>
          <w:sz w:val="28"/>
          <w:lang w:val="en-US"/>
        </w:rPr>
        <w:t xml:space="preserve"> </w:t>
      </w:r>
      <w:r>
        <w:rPr>
          <w:sz w:val="28"/>
          <w:lang w:val="en-US"/>
        </w:rPr>
        <w:t>Cholangiocarcinoma</w:t>
      </w:r>
      <w:r>
        <w:rPr>
          <w:spacing w:val="-18"/>
          <w:sz w:val="28"/>
          <w:lang w:val="en-US"/>
        </w:rPr>
        <w:t xml:space="preserve"> </w:t>
      </w:r>
      <w:r>
        <w:rPr>
          <w:sz w:val="28"/>
          <w:lang w:val="en-US"/>
        </w:rPr>
        <w:t>2020:</w:t>
      </w:r>
      <w:r>
        <w:rPr>
          <w:spacing w:val="-17"/>
          <w:sz w:val="28"/>
          <w:lang w:val="en-US"/>
        </w:rPr>
        <w:t xml:space="preserve"> </w:t>
      </w:r>
      <w:r>
        <w:rPr>
          <w:sz w:val="28"/>
          <w:lang w:val="en-US"/>
        </w:rPr>
        <w:t>the</w:t>
      </w:r>
      <w:r>
        <w:rPr>
          <w:spacing w:val="-18"/>
          <w:sz w:val="28"/>
          <w:lang w:val="en-US"/>
        </w:rPr>
        <w:t xml:space="preserve"> </w:t>
      </w:r>
      <w:r>
        <w:rPr>
          <w:sz w:val="28"/>
          <w:lang w:val="en-US"/>
        </w:rPr>
        <w:t>next</w:t>
      </w:r>
      <w:r>
        <w:rPr>
          <w:spacing w:val="-17"/>
          <w:sz w:val="28"/>
          <w:lang w:val="en-US"/>
        </w:rPr>
        <w:t xml:space="preserve"> </w:t>
      </w:r>
      <w:r>
        <w:rPr>
          <w:sz w:val="28"/>
          <w:lang w:val="en-US"/>
        </w:rPr>
        <w:t>horizon</w:t>
      </w:r>
      <w:r>
        <w:rPr>
          <w:spacing w:val="-18"/>
          <w:sz w:val="28"/>
          <w:lang w:val="en-US"/>
        </w:rPr>
        <w:t xml:space="preserve"> </w:t>
      </w:r>
      <w:r>
        <w:rPr>
          <w:sz w:val="28"/>
          <w:lang w:val="en-US"/>
        </w:rPr>
        <w:t>in</w:t>
      </w:r>
      <w:r>
        <w:rPr>
          <w:spacing w:val="-17"/>
          <w:sz w:val="28"/>
          <w:lang w:val="en-US"/>
        </w:rPr>
        <w:t xml:space="preserve"> </w:t>
      </w:r>
      <w:r>
        <w:rPr>
          <w:sz w:val="28"/>
          <w:lang w:val="en-US"/>
        </w:rPr>
        <w:t>mechanisms and</w:t>
      </w:r>
      <w:r>
        <w:rPr>
          <w:spacing w:val="-7"/>
          <w:sz w:val="28"/>
          <w:lang w:val="en-US"/>
        </w:rPr>
        <w:t xml:space="preserve"> </w:t>
      </w:r>
      <w:r>
        <w:rPr>
          <w:sz w:val="28"/>
          <w:lang w:val="en-US"/>
        </w:rPr>
        <w:t>management</w:t>
      </w:r>
      <w:r>
        <w:rPr>
          <w:spacing w:val="-12"/>
          <w:sz w:val="28"/>
          <w:lang w:val="en-US"/>
        </w:rPr>
        <w:t xml:space="preserve"> </w:t>
      </w:r>
      <w:r>
        <w:rPr>
          <w:sz w:val="28"/>
          <w:lang w:val="en-US"/>
        </w:rPr>
        <w:t>//</w:t>
      </w:r>
      <w:r>
        <w:rPr>
          <w:spacing w:val="-13"/>
          <w:sz w:val="28"/>
          <w:lang w:val="en-US"/>
        </w:rPr>
        <w:t xml:space="preserve"> </w:t>
      </w:r>
      <w:r>
        <w:rPr>
          <w:sz w:val="28"/>
          <w:lang w:val="en-US"/>
        </w:rPr>
        <w:t>Nature</w:t>
      </w:r>
      <w:r>
        <w:rPr>
          <w:spacing w:val="-11"/>
          <w:sz w:val="28"/>
          <w:lang w:val="en-US"/>
        </w:rPr>
        <w:t xml:space="preserve"> </w:t>
      </w:r>
      <w:r>
        <w:rPr>
          <w:sz w:val="28"/>
          <w:lang w:val="en-US"/>
        </w:rPr>
        <w:t>Reviews</w:t>
      </w:r>
      <w:r>
        <w:rPr>
          <w:spacing w:val="-9"/>
          <w:sz w:val="28"/>
          <w:lang w:val="en-US"/>
        </w:rPr>
        <w:t xml:space="preserve"> </w:t>
      </w:r>
      <w:r>
        <w:rPr>
          <w:sz w:val="28"/>
          <w:lang w:val="en-US"/>
        </w:rPr>
        <w:t>Gastroenterology</w:t>
      </w:r>
      <w:r>
        <w:rPr>
          <w:spacing w:val="-9"/>
          <w:sz w:val="28"/>
          <w:lang w:val="en-US"/>
        </w:rPr>
        <w:t xml:space="preserve"> </w:t>
      </w:r>
      <w:r>
        <w:rPr>
          <w:sz w:val="28"/>
          <w:lang w:val="en-US"/>
        </w:rPr>
        <w:t>&amp;</w:t>
      </w:r>
      <w:r>
        <w:rPr>
          <w:spacing w:val="-7"/>
          <w:sz w:val="28"/>
          <w:lang w:val="en-US"/>
        </w:rPr>
        <w:t xml:space="preserve"> </w:t>
      </w:r>
      <w:r>
        <w:rPr>
          <w:sz w:val="28"/>
          <w:lang w:val="en-US"/>
        </w:rPr>
        <w:t>Hepatology.</w:t>
      </w:r>
      <w:r>
        <w:rPr>
          <w:spacing w:val="-6"/>
          <w:sz w:val="28"/>
          <w:lang w:val="en-US"/>
        </w:rPr>
        <w:t xml:space="preserve"> </w:t>
      </w:r>
      <w:r>
        <w:rPr>
          <w:sz w:val="28"/>
          <w:lang w:val="en-US"/>
        </w:rPr>
        <w:t>-</w:t>
      </w:r>
      <w:r>
        <w:rPr>
          <w:spacing w:val="-11"/>
          <w:sz w:val="28"/>
          <w:lang w:val="en-US"/>
        </w:rPr>
        <w:t xml:space="preserve"> </w:t>
      </w:r>
      <w:r>
        <w:rPr>
          <w:sz w:val="28"/>
          <w:lang w:val="en-US"/>
        </w:rPr>
        <w:t>2020.</w:t>
      </w:r>
      <w:r>
        <w:rPr>
          <w:spacing w:val="-9"/>
          <w:sz w:val="28"/>
          <w:lang w:val="en-US"/>
        </w:rPr>
        <w:t xml:space="preserve"> </w:t>
      </w:r>
      <w:r>
        <w:rPr>
          <w:sz w:val="28"/>
          <w:lang w:val="en-US"/>
        </w:rPr>
        <w:t>-</w:t>
      </w:r>
      <w:r>
        <w:rPr>
          <w:spacing w:val="-11"/>
          <w:sz w:val="28"/>
          <w:lang w:val="en-US"/>
        </w:rPr>
        <w:t xml:space="preserve"> </w:t>
      </w:r>
      <w:r>
        <w:rPr>
          <w:sz w:val="28"/>
          <w:lang w:val="en-US"/>
        </w:rPr>
        <w:t>Vol. 17, № 9. - P. 557–588.</w:t>
      </w:r>
    </w:p>
    <w:p w14:paraId="4124E647">
      <w:pPr>
        <w:pStyle w:val="10"/>
        <w:numPr>
          <w:ilvl w:val="0"/>
          <w:numId w:val="29"/>
        </w:numPr>
        <w:tabs>
          <w:tab w:val="left" w:pos="1128"/>
        </w:tabs>
        <w:ind w:left="0" w:right="3" w:firstLine="709"/>
        <w:rPr>
          <w:sz w:val="28"/>
          <w:lang w:val="en-US"/>
        </w:rPr>
      </w:pPr>
      <w:r>
        <w:rPr>
          <w:sz w:val="28"/>
          <w:lang w:val="en-US"/>
        </w:rPr>
        <w:t>Javle M. et al. Temporal trends in cholangiocarcinoma incidence and mortality in the United States: 2001–2017 // The Oncologist.-</w:t>
      </w:r>
      <w:r>
        <w:rPr>
          <w:sz w:val="28"/>
          <w:lang w:val="kk-KZ"/>
        </w:rPr>
        <w:t xml:space="preserve"> </w:t>
      </w:r>
      <w:r>
        <w:rPr>
          <w:sz w:val="28"/>
          <w:lang w:val="en-US"/>
        </w:rPr>
        <w:t>2022.- №27.-</w:t>
      </w:r>
      <w:r>
        <w:rPr>
          <w:sz w:val="28"/>
          <w:lang w:val="kk-KZ"/>
        </w:rPr>
        <w:t xml:space="preserve"> </w:t>
      </w:r>
      <w:r>
        <w:rPr>
          <w:sz w:val="28"/>
        </w:rPr>
        <w:t>Р</w:t>
      </w:r>
      <w:r>
        <w:rPr>
          <w:sz w:val="28"/>
          <w:lang w:val="en-US"/>
        </w:rPr>
        <w:t>. 874–883.</w:t>
      </w:r>
    </w:p>
    <w:p w14:paraId="3FA3094F">
      <w:pPr>
        <w:pStyle w:val="10"/>
        <w:numPr>
          <w:ilvl w:val="0"/>
          <w:numId w:val="29"/>
        </w:numPr>
        <w:tabs>
          <w:tab w:val="left" w:pos="1128"/>
        </w:tabs>
        <w:ind w:left="0" w:right="3" w:firstLine="706"/>
        <w:rPr>
          <w:sz w:val="28"/>
          <w:lang w:val="en-US"/>
        </w:rPr>
      </w:pPr>
      <w:r>
        <w:rPr>
          <w:sz w:val="28"/>
          <w:lang w:val="en-US"/>
        </w:rPr>
        <w:t xml:space="preserve">Taylor D. et al. Ellington Incidence and Mortality of Cancers of the Biliary Tract, Gallbladder, and Liver by Sex, Age, Race/Ethnicity, and Stage at Diagnosis: </w:t>
      </w:r>
      <w:r>
        <w:rPr>
          <w:spacing w:val="-2"/>
          <w:sz w:val="28"/>
          <w:lang w:val="en-US"/>
        </w:rPr>
        <w:t>United</w:t>
      </w:r>
      <w:r>
        <w:rPr>
          <w:spacing w:val="-8"/>
          <w:sz w:val="28"/>
          <w:lang w:val="en-US"/>
        </w:rPr>
        <w:t xml:space="preserve"> </w:t>
      </w:r>
      <w:r>
        <w:rPr>
          <w:spacing w:val="-2"/>
          <w:sz w:val="28"/>
          <w:lang w:val="en-US"/>
        </w:rPr>
        <w:t>States,</w:t>
      </w:r>
      <w:r>
        <w:rPr>
          <w:spacing w:val="-6"/>
          <w:sz w:val="28"/>
          <w:lang w:val="en-US"/>
        </w:rPr>
        <w:t xml:space="preserve"> </w:t>
      </w:r>
      <w:r>
        <w:rPr>
          <w:spacing w:val="-2"/>
          <w:sz w:val="28"/>
          <w:lang w:val="en-US"/>
        </w:rPr>
        <w:t>2013</w:t>
      </w:r>
      <w:r>
        <w:rPr>
          <w:spacing w:val="-9"/>
          <w:sz w:val="28"/>
          <w:lang w:val="en-US"/>
        </w:rPr>
        <w:t xml:space="preserve"> </w:t>
      </w:r>
      <w:r>
        <w:rPr>
          <w:spacing w:val="-2"/>
          <w:sz w:val="28"/>
          <w:lang w:val="en-US"/>
        </w:rPr>
        <w:t>to</w:t>
      </w:r>
      <w:r>
        <w:rPr>
          <w:spacing w:val="-8"/>
          <w:sz w:val="28"/>
          <w:lang w:val="en-US"/>
        </w:rPr>
        <w:t xml:space="preserve"> </w:t>
      </w:r>
      <w:r>
        <w:rPr>
          <w:spacing w:val="-2"/>
          <w:sz w:val="28"/>
          <w:lang w:val="en-US"/>
        </w:rPr>
        <w:t>2017</w:t>
      </w:r>
      <w:r>
        <w:rPr>
          <w:spacing w:val="-7"/>
          <w:sz w:val="28"/>
          <w:lang w:val="en-US"/>
        </w:rPr>
        <w:t xml:space="preserve"> </w:t>
      </w:r>
      <w:r>
        <w:rPr>
          <w:spacing w:val="-2"/>
          <w:sz w:val="28"/>
          <w:lang w:val="en-US"/>
        </w:rPr>
        <w:t>//</w:t>
      </w:r>
      <w:r>
        <w:rPr>
          <w:spacing w:val="-8"/>
          <w:sz w:val="28"/>
          <w:lang w:val="en-US"/>
        </w:rPr>
        <w:t xml:space="preserve"> </w:t>
      </w:r>
      <w:r>
        <w:rPr>
          <w:spacing w:val="-2"/>
          <w:sz w:val="28"/>
          <w:lang w:val="en-US"/>
        </w:rPr>
        <w:t>Cancer</w:t>
      </w:r>
      <w:r>
        <w:rPr>
          <w:spacing w:val="-10"/>
          <w:sz w:val="28"/>
          <w:lang w:val="en-US"/>
        </w:rPr>
        <w:t xml:space="preserve"> </w:t>
      </w:r>
      <w:r>
        <w:rPr>
          <w:spacing w:val="-2"/>
          <w:sz w:val="28"/>
          <w:lang w:val="en-US"/>
        </w:rPr>
        <w:t>Epidemiol</w:t>
      </w:r>
      <w:r>
        <w:rPr>
          <w:spacing w:val="-14"/>
          <w:sz w:val="28"/>
          <w:lang w:val="en-US"/>
        </w:rPr>
        <w:t xml:space="preserve"> </w:t>
      </w:r>
      <w:r>
        <w:rPr>
          <w:spacing w:val="-2"/>
          <w:sz w:val="28"/>
          <w:lang w:val="en-US"/>
        </w:rPr>
        <w:t>Biomarkers</w:t>
      </w:r>
      <w:r>
        <w:rPr>
          <w:spacing w:val="-6"/>
          <w:sz w:val="28"/>
          <w:lang w:val="en-US"/>
        </w:rPr>
        <w:t xml:space="preserve"> </w:t>
      </w:r>
      <w:r>
        <w:rPr>
          <w:spacing w:val="-2"/>
          <w:sz w:val="28"/>
          <w:lang w:val="en-US"/>
        </w:rPr>
        <w:t>Prev</w:t>
      </w:r>
      <w:r>
        <w:rPr>
          <w:spacing w:val="8"/>
          <w:sz w:val="28"/>
          <w:lang w:val="en-US"/>
        </w:rPr>
        <w:t>.-</w:t>
      </w:r>
      <w:r>
        <w:rPr>
          <w:spacing w:val="-2"/>
          <w:sz w:val="28"/>
          <w:lang w:val="en-US"/>
        </w:rPr>
        <w:t>2021.- №</w:t>
      </w:r>
      <w:r>
        <w:rPr>
          <w:spacing w:val="-10"/>
          <w:sz w:val="28"/>
          <w:lang w:val="en-US"/>
        </w:rPr>
        <w:t xml:space="preserve"> </w:t>
      </w:r>
      <w:r>
        <w:rPr>
          <w:spacing w:val="-2"/>
          <w:sz w:val="28"/>
          <w:lang w:val="en-US"/>
        </w:rPr>
        <w:t>30</w:t>
      </w:r>
      <w:r>
        <w:rPr>
          <w:spacing w:val="-9"/>
          <w:sz w:val="28"/>
          <w:lang w:val="en-US"/>
        </w:rPr>
        <w:t xml:space="preserve"> </w:t>
      </w:r>
      <w:r>
        <w:rPr>
          <w:spacing w:val="-2"/>
          <w:sz w:val="28"/>
          <w:lang w:val="en-US"/>
        </w:rPr>
        <w:t>(9)</w:t>
      </w:r>
      <w:r>
        <w:rPr>
          <w:spacing w:val="-2"/>
          <w:sz w:val="28"/>
        </w:rPr>
        <w:t>.-Р.</w:t>
      </w:r>
      <w:r>
        <w:rPr>
          <w:spacing w:val="-14"/>
          <w:sz w:val="28"/>
          <w:lang w:val="en-US"/>
        </w:rPr>
        <w:t xml:space="preserve"> </w:t>
      </w:r>
      <w:r>
        <w:rPr>
          <w:spacing w:val="-2"/>
          <w:sz w:val="28"/>
          <w:lang w:val="en-US"/>
        </w:rPr>
        <w:t>1607–1614.</w:t>
      </w:r>
    </w:p>
    <w:p w14:paraId="6CA8FB88">
      <w:pPr>
        <w:pStyle w:val="10"/>
        <w:numPr>
          <w:ilvl w:val="0"/>
          <w:numId w:val="29"/>
        </w:numPr>
        <w:tabs>
          <w:tab w:val="left" w:pos="1128"/>
        </w:tabs>
        <w:ind w:left="0" w:firstLine="709"/>
        <w:rPr>
          <w:sz w:val="28"/>
          <w:lang w:val="en-US"/>
        </w:rPr>
      </w:pPr>
      <w:r>
        <w:rPr>
          <w:sz w:val="28"/>
          <w:lang w:val="en-US"/>
        </w:rPr>
        <w:t>Tjaden C. et al. Distal Bile Duct Cancer: Radical (R0 &gt; 1 mm) Resection Achieves Favorable Survival // Ann Surg.- 2023.- №277.-</w:t>
      </w:r>
      <w:r>
        <w:rPr>
          <w:sz w:val="28"/>
        </w:rPr>
        <w:t>Р</w:t>
      </w:r>
      <w:r>
        <w:rPr>
          <w:sz w:val="28"/>
          <w:lang w:val="en-US"/>
        </w:rPr>
        <w:t>.112–118.</w:t>
      </w:r>
    </w:p>
    <w:p w14:paraId="29C67676">
      <w:pPr>
        <w:pStyle w:val="10"/>
        <w:numPr>
          <w:ilvl w:val="0"/>
          <w:numId w:val="29"/>
        </w:numPr>
        <w:tabs>
          <w:tab w:val="left" w:pos="1128"/>
        </w:tabs>
        <w:ind w:left="0" w:firstLine="709"/>
        <w:rPr>
          <w:sz w:val="28"/>
          <w:lang w:val="en-US"/>
        </w:rPr>
      </w:pPr>
      <w:r>
        <w:rPr>
          <w:sz w:val="28"/>
          <w:lang w:val="en-US"/>
        </w:rPr>
        <w:t>Gorji L. et al. Surgical Treatment of Distal Cholangiocarcinoma. //Current Oncology. -2022.- № 29(9)</w:t>
      </w:r>
      <w:r>
        <w:rPr>
          <w:sz w:val="28"/>
        </w:rPr>
        <w:t>.-Р.</w:t>
      </w:r>
      <w:r>
        <w:rPr>
          <w:sz w:val="28"/>
          <w:lang w:val="en-US"/>
        </w:rPr>
        <w:t>6674-6687.</w:t>
      </w:r>
    </w:p>
    <w:p w14:paraId="3DBB4FA1">
      <w:pPr>
        <w:pStyle w:val="10"/>
        <w:numPr>
          <w:ilvl w:val="0"/>
          <w:numId w:val="29"/>
        </w:numPr>
        <w:tabs>
          <w:tab w:val="left" w:pos="1128"/>
        </w:tabs>
        <w:ind w:left="0" w:firstLine="709"/>
        <w:rPr>
          <w:sz w:val="28"/>
          <w:lang w:val="en-US"/>
        </w:rPr>
      </w:pPr>
      <w:r>
        <w:rPr>
          <w:sz w:val="28"/>
          <w:lang w:val="en-US"/>
        </w:rPr>
        <w:t>Lv T-R. et al.  The consistencies and inconsistencies between distal cholangiocarcinoma and pancreatic ductal adenocarcinoma: A systematic review and meta-analysis // Frontiers in Oncology.-2022.- №12.-</w:t>
      </w:r>
      <w:r>
        <w:rPr>
          <w:sz w:val="28"/>
          <w:lang w:val="kk-KZ"/>
        </w:rPr>
        <w:t xml:space="preserve"> </w:t>
      </w:r>
      <w:r>
        <w:rPr>
          <w:sz w:val="28"/>
        </w:rPr>
        <w:t>Р</w:t>
      </w:r>
      <w:r>
        <w:rPr>
          <w:sz w:val="28"/>
          <w:lang w:val="en-US"/>
        </w:rPr>
        <w:t>.104-243.</w:t>
      </w:r>
    </w:p>
    <w:p w14:paraId="55EAA742">
      <w:pPr>
        <w:pStyle w:val="10"/>
        <w:numPr>
          <w:ilvl w:val="0"/>
          <w:numId w:val="29"/>
        </w:numPr>
        <w:tabs>
          <w:tab w:val="left" w:pos="1128"/>
        </w:tabs>
        <w:ind w:left="0" w:firstLine="709"/>
        <w:rPr>
          <w:sz w:val="28"/>
        </w:rPr>
      </w:pPr>
      <w:r>
        <w:rPr>
          <w:sz w:val="28"/>
          <w:lang w:val="en-US"/>
        </w:rPr>
        <w:t xml:space="preserve">Liao L.-G. et al. Progress in the treatment of duodenal cancer: A comprehensive review // World Journal of Gastrointestinal Oncology. -2025.- </w:t>
      </w:r>
      <w:r>
        <w:rPr>
          <w:sz w:val="28"/>
        </w:rPr>
        <w:t>Vol. 17, № 7.-Р. 105-712</w:t>
      </w:r>
      <w:r>
        <w:rPr>
          <w:spacing w:val="-2"/>
        </w:rPr>
        <w:t>.</w:t>
      </w:r>
    </w:p>
    <w:p w14:paraId="261F6BAA">
      <w:pPr>
        <w:pStyle w:val="10"/>
        <w:numPr>
          <w:ilvl w:val="0"/>
          <w:numId w:val="29"/>
        </w:numPr>
        <w:tabs>
          <w:tab w:val="left" w:pos="1128"/>
        </w:tabs>
        <w:ind w:left="0" w:firstLine="709"/>
        <w:rPr>
          <w:sz w:val="28"/>
          <w:lang w:val="en-US"/>
        </w:rPr>
      </w:pPr>
      <w:r>
        <w:rPr>
          <w:sz w:val="28"/>
          <w:lang w:val="en-US"/>
        </w:rPr>
        <w:t>Khosla</w:t>
      </w:r>
      <w:r>
        <w:rPr>
          <w:spacing w:val="-2"/>
          <w:sz w:val="28"/>
          <w:lang w:val="en-US"/>
        </w:rPr>
        <w:t xml:space="preserve"> </w:t>
      </w:r>
      <w:r>
        <w:rPr>
          <w:sz w:val="28"/>
          <w:lang w:val="en-US"/>
        </w:rPr>
        <w:t>D. et</w:t>
      </w:r>
      <w:r>
        <w:rPr>
          <w:spacing w:val="-3"/>
          <w:sz w:val="28"/>
          <w:lang w:val="en-US"/>
        </w:rPr>
        <w:t xml:space="preserve"> </w:t>
      </w:r>
      <w:r>
        <w:rPr>
          <w:sz w:val="28"/>
          <w:lang w:val="en-US"/>
        </w:rPr>
        <w:t>al. Small</w:t>
      </w:r>
      <w:r>
        <w:rPr>
          <w:spacing w:val="-4"/>
          <w:sz w:val="28"/>
          <w:lang w:val="en-US"/>
        </w:rPr>
        <w:t xml:space="preserve"> </w:t>
      </w:r>
      <w:r>
        <w:rPr>
          <w:sz w:val="28"/>
          <w:lang w:val="en-US"/>
        </w:rPr>
        <w:t>bowel</w:t>
      </w:r>
      <w:r>
        <w:rPr>
          <w:spacing w:val="-7"/>
          <w:sz w:val="28"/>
          <w:lang w:val="en-US"/>
        </w:rPr>
        <w:t xml:space="preserve"> </w:t>
      </w:r>
      <w:r>
        <w:rPr>
          <w:sz w:val="28"/>
          <w:lang w:val="en-US"/>
        </w:rPr>
        <w:t>adenocarcinoma:</w:t>
      </w:r>
      <w:r>
        <w:rPr>
          <w:spacing w:val="-3"/>
          <w:sz w:val="28"/>
          <w:lang w:val="en-US"/>
        </w:rPr>
        <w:t xml:space="preserve"> </w:t>
      </w:r>
      <w:r>
        <w:rPr>
          <w:sz w:val="28"/>
          <w:lang w:val="en-US"/>
        </w:rPr>
        <w:t>An</w:t>
      </w:r>
      <w:r>
        <w:rPr>
          <w:spacing w:val="-6"/>
          <w:sz w:val="28"/>
          <w:lang w:val="en-US"/>
        </w:rPr>
        <w:t xml:space="preserve"> </w:t>
      </w:r>
      <w:r>
        <w:rPr>
          <w:sz w:val="28"/>
          <w:lang w:val="en-US"/>
        </w:rPr>
        <w:t>overview</w:t>
      </w:r>
      <w:r>
        <w:rPr>
          <w:spacing w:val="-2"/>
          <w:sz w:val="28"/>
          <w:lang w:val="en-US"/>
        </w:rPr>
        <w:t xml:space="preserve"> </w:t>
      </w:r>
      <w:r>
        <w:rPr>
          <w:sz w:val="28"/>
          <w:lang w:val="en-US"/>
        </w:rPr>
        <w:t>// World</w:t>
      </w:r>
      <w:r>
        <w:rPr>
          <w:spacing w:val="-3"/>
          <w:sz w:val="28"/>
          <w:lang w:val="en-US"/>
        </w:rPr>
        <w:t xml:space="preserve"> </w:t>
      </w:r>
      <w:r>
        <w:rPr>
          <w:sz w:val="28"/>
          <w:lang w:val="en-US"/>
        </w:rPr>
        <w:t>Journal of Gastrointestinal Oncology. -2022. -Vol. 14, № 2.-</w:t>
      </w:r>
      <w:r>
        <w:rPr>
          <w:sz w:val="28"/>
        </w:rPr>
        <w:t>Р</w:t>
      </w:r>
      <w:r>
        <w:rPr>
          <w:sz w:val="28"/>
          <w:lang w:val="en-US"/>
        </w:rPr>
        <w:t>. 413–422.</w:t>
      </w:r>
    </w:p>
    <w:p w14:paraId="1E7226B0">
      <w:pPr>
        <w:pStyle w:val="10"/>
        <w:numPr>
          <w:ilvl w:val="0"/>
          <w:numId w:val="29"/>
        </w:numPr>
        <w:tabs>
          <w:tab w:val="left" w:pos="1128"/>
        </w:tabs>
        <w:ind w:left="0" w:firstLine="709"/>
        <w:rPr>
          <w:sz w:val="28"/>
        </w:rPr>
      </w:pPr>
      <w:r>
        <w:rPr>
          <w:sz w:val="28"/>
          <w:lang w:val="en-US"/>
        </w:rPr>
        <w:t xml:space="preserve">Nakagawa K. et al. Clinical practice guidelines for duodenal cancer 2021 // Journal of Gastroenterology. -2022.- </w:t>
      </w:r>
      <w:r>
        <w:rPr>
          <w:sz w:val="28"/>
        </w:rPr>
        <w:t>Vol. 57.- Р. 927–941.</w:t>
      </w:r>
    </w:p>
    <w:p w14:paraId="1C42DDD2">
      <w:pPr>
        <w:pStyle w:val="10"/>
        <w:numPr>
          <w:ilvl w:val="0"/>
          <w:numId w:val="29"/>
        </w:numPr>
        <w:tabs>
          <w:tab w:val="left" w:pos="1128"/>
        </w:tabs>
        <w:ind w:left="0" w:firstLine="709"/>
        <w:rPr>
          <w:sz w:val="28"/>
          <w:lang w:val="en-US"/>
        </w:rPr>
      </w:pPr>
      <w:r>
        <w:rPr>
          <w:sz w:val="28"/>
          <w:lang w:val="en-US"/>
        </w:rPr>
        <w:t>Lin C.F. et al. Risk of Gastric and Small Intestinal Cancer in Patients With Lynch Syndrome: Data From a Large, Community-Based US Population // Clinical and Translational Gastroenterology.- 2024</w:t>
      </w:r>
      <w:r>
        <w:rPr>
          <w:sz w:val="28"/>
        </w:rPr>
        <w:t>.- №</w:t>
      </w:r>
      <w:r>
        <w:rPr>
          <w:sz w:val="28"/>
          <w:lang w:val="en-US"/>
        </w:rPr>
        <w:t>15</w:t>
      </w:r>
      <w:r>
        <w:rPr>
          <w:sz w:val="28"/>
        </w:rPr>
        <w:t>.-</w:t>
      </w:r>
      <w:r>
        <w:rPr>
          <w:sz w:val="28"/>
          <w:lang w:val="en-US"/>
        </w:rPr>
        <w:t>739</w:t>
      </w:r>
      <w:r>
        <w:rPr>
          <w:sz w:val="28"/>
        </w:rPr>
        <w:t xml:space="preserve"> р</w:t>
      </w:r>
      <w:r>
        <w:rPr>
          <w:sz w:val="28"/>
          <w:lang w:val="en-US"/>
        </w:rPr>
        <w:t>.</w:t>
      </w:r>
    </w:p>
    <w:p w14:paraId="4C447763">
      <w:pPr>
        <w:pStyle w:val="10"/>
        <w:numPr>
          <w:ilvl w:val="0"/>
          <w:numId w:val="29"/>
        </w:numPr>
        <w:tabs>
          <w:tab w:val="left" w:pos="1128"/>
        </w:tabs>
        <w:ind w:left="0" w:firstLine="709"/>
        <w:rPr>
          <w:sz w:val="28"/>
          <w:lang w:val="en-US"/>
        </w:rPr>
      </w:pPr>
      <w:r>
        <w:rPr>
          <w:sz w:val="28"/>
          <w:lang w:val="en-US"/>
        </w:rPr>
        <w:t>Zaffaroni G. et al. Updated European guidelines for clinical management of familial</w:t>
      </w:r>
      <w:r>
        <w:rPr>
          <w:spacing w:val="-14"/>
          <w:sz w:val="28"/>
          <w:lang w:val="en-US"/>
        </w:rPr>
        <w:t xml:space="preserve"> </w:t>
      </w:r>
      <w:r>
        <w:rPr>
          <w:sz w:val="28"/>
          <w:lang w:val="en-US"/>
        </w:rPr>
        <w:t>adenomatous</w:t>
      </w:r>
      <w:r>
        <w:rPr>
          <w:spacing w:val="-6"/>
          <w:sz w:val="28"/>
          <w:lang w:val="en-US"/>
        </w:rPr>
        <w:t xml:space="preserve"> </w:t>
      </w:r>
      <w:r>
        <w:rPr>
          <w:sz w:val="28"/>
          <w:lang w:val="en-US"/>
        </w:rPr>
        <w:t>polyposis</w:t>
      </w:r>
      <w:r>
        <w:rPr>
          <w:spacing w:val="-6"/>
          <w:sz w:val="28"/>
          <w:lang w:val="en-US"/>
        </w:rPr>
        <w:t xml:space="preserve"> </w:t>
      </w:r>
      <w:r>
        <w:rPr>
          <w:sz w:val="28"/>
          <w:lang w:val="en-US"/>
        </w:rPr>
        <w:t>(FAP)…:</w:t>
      </w:r>
      <w:r>
        <w:rPr>
          <w:spacing w:val="-14"/>
          <w:sz w:val="28"/>
          <w:lang w:val="en-US"/>
        </w:rPr>
        <w:t xml:space="preserve"> </w:t>
      </w:r>
      <w:r>
        <w:rPr>
          <w:sz w:val="28"/>
          <w:lang w:val="en-US"/>
        </w:rPr>
        <w:t>a</w:t>
      </w:r>
      <w:r>
        <w:rPr>
          <w:spacing w:val="-3"/>
          <w:sz w:val="28"/>
          <w:lang w:val="en-US"/>
        </w:rPr>
        <w:t xml:space="preserve"> </w:t>
      </w:r>
      <w:r>
        <w:rPr>
          <w:sz w:val="28"/>
          <w:lang w:val="en-US"/>
        </w:rPr>
        <w:t>joint</w:t>
      </w:r>
      <w:r>
        <w:rPr>
          <w:spacing w:val="-4"/>
          <w:sz w:val="28"/>
          <w:lang w:val="en-US"/>
        </w:rPr>
        <w:t xml:space="preserve"> </w:t>
      </w:r>
      <w:r>
        <w:rPr>
          <w:sz w:val="28"/>
          <w:lang w:val="en-US"/>
        </w:rPr>
        <w:t>EHTG-ESCP</w:t>
      </w:r>
      <w:r>
        <w:rPr>
          <w:spacing w:val="-10"/>
          <w:sz w:val="28"/>
          <w:lang w:val="en-US"/>
        </w:rPr>
        <w:t xml:space="preserve"> </w:t>
      </w:r>
      <w:r>
        <w:rPr>
          <w:sz w:val="28"/>
          <w:lang w:val="en-US"/>
        </w:rPr>
        <w:t>revision</w:t>
      </w:r>
      <w:r>
        <w:rPr>
          <w:spacing w:val="-13"/>
          <w:sz w:val="28"/>
          <w:lang w:val="en-US"/>
        </w:rPr>
        <w:t xml:space="preserve"> </w:t>
      </w:r>
      <w:r>
        <w:rPr>
          <w:sz w:val="28"/>
          <w:lang w:val="en-US"/>
        </w:rPr>
        <w:t>//</w:t>
      </w:r>
      <w:r>
        <w:rPr>
          <w:spacing w:val="-6"/>
          <w:sz w:val="28"/>
          <w:lang w:val="en-US"/>
        </w:rPr>
        <w:t xml:space="preserve"> </w:t>
      </w:r>
      <w:r>
        <w:rPr>
          <w:sz w:val="28"/>
          <w:lang w:val="en-US"/>
        </w:rPr>
        <w:t>BJS</w:t>
      </w:r>
      <w:r>
        <w:rPr>
          <w:spacing w:val="-10"/>
          <w:sz w:val="28"/>
          <w:lang w:val="en-US"/>
        </w:rPr>
        <w:t xml:space="preserve"> </w:t>
      </w:r>
      <w:r>
        <w:rPr>
          <w:sz w:val="28"/>
          <w:lang w:val="en-US"/>
        </w:rPr>
        <w:t>(British Journal of Surgery). -2024. -Vol. 111, № 5.- 70</w:t>
      </w:r>
      <w:r>
        <w:rPr>
          <w:sz w:val="28"/>
        </w:rPr>
        <w:t xml:space="preserve"> р</w:t>
      </w:r>
      <w:r>
        <w:rPr>
          <w:sz w:val="28"/>
          <w:lang w:val="en-US"/>
        </w:rPr>
        <w:t>.</w:t>
      </w:r>
    </w:p>
    <w:p w14:paraId="79A4F058">
      <w:pPr>
        <w:pStyle w:val="10"/>
        <w:numPr>
          <w:ilvl w:val="0"/>
          <w:numId w:val="29"/>
        </w:numPr>
        <w:tabs>
          <w:tab w:val="left" w:pos="1128"/>
        </w:tabs>
        <w:ind w:left="0" w:firstLine="709"/>
        <w:rPr>
          <w:sz w:val="28"/>
          <w:lang w:val="en-US"/>
        </w:rPr>
      </w:pPr>
      <w:r>
        <w:rPr>
          <w:sz w:val="28"/>
          <w:lang w:val="en-US"/>
        </w:rPr>
        <w:t>Emilsson L. et al.</w:t>
      </w:r>
      <w:r>
        <w:rPr>
          <w:spacing w:val="40"/>
          <w:sz w:val="28"/>
          <w:lang w:val="en-US"/>
        </w:rPr>
        <w:t xml:space="preserve"> </w:t>
      </w:r>
      <w:r>
        <w:rPr>
          <w:sz w:val="28"/>
          <w:lang w:val="en-US"/>
        </w:rPr>
        <w:t>Risk of Small Bowel Adenocarcinoma, Adenomas, and Carcinoids in a Nationwide Cohort of Individuals With Celiac Disease // Gastroenterology. -2020. -Vol. 159, № 5.-</w:t>
      </w:r>
      <w:r>
        <w:rPr>
          <w:sz w:val="28"/>
        </w:rPr>
        <w:t>Р</w:t>
      </w:r>
      <w:r>
        <w:rPr>
          <w:sz w:val="28"/>
          <w:lang w:val="en-US"/>
        </w:rPr>
        <w:t>. 1686–1694.</w:t>
      </w:r>
    </w:p>
    <w:p w14:paraId="47A568F0">
      <w:pPr>
        <w:pStyle w:val="10"/>
        <w:numPr>
          <w:ilvl w:val="0"/>
          <w:numId w:val="29"/>
        </w:numPr>
        <w:tabs>
          <w:tab w:val="left" w:pos="1128"/>
        </w:tabs>
        <w:spacing w:line="242" w:lineRule="auto"/>
        <w:ind w:firstLine="569"/>
        <w:rPr>
          <w:sz w:val="28"/>
        </w:rPr>
      </w:pPr>
      <w:r>
        <w:rPr>
          <w:sz w:val="28"/>
          <w:lang w:val="en-US"/>
        </w:rPr>
        <w:t>Cloyd J.M. et al. Duodenal adenocarcinoma: Advances in diagnosis and surgical</w:t>
      </w:r>
      <w:r>
        <w:rPr>
          <w:spacing w:val="-2"/>
          <w:sz w:val="28"/>
          <w:lang w:val="en-US"/>
        </w:rPr>
        <w:t xml:space="preserve"> </w:t>
      </w:r>
      <w:r>
        <w:rPr>
          <w:sz w:val="28"/>
          <w:lang w:val="en-US"/>
        </w:rPr>
        <w:t>management</w:t>
      </w:r>
      <w:r>
        <w:rPr>
          <w:spacing w:val="-2"/>
          <w:sz w:val="28"/>
          <w:lang w:val="en-US"/>
        </w:rPr>
        <w:t xml:space="preserve"> </w:t>
      </w:r>
      <w:r>
        <w:rPr>
          <w:sz w:val="28"/>
          <w:lang w:val="en-US"/>
        </w:rPr>
        <w:t>// World</w:t>
      </w:r>
      <w:r>
        <w:rPr>
          <w:spacing w:val="-2"/>
          <w:sz w:val="28"/>
          <w:lang w:val="en-US"/>
        </w:rPr>
        <w:t xml:space="preserve"> </w:t>
      </w:r>
      <w:r>
        <w:rPr>
          <w:sz w:val="28"/>
          <w:lang w:val="en-US"/>
        </w:rPr>
        <w:t>Journal</w:t>
      </w:r>
      <w:r>
        <w:rPr>
          <w:spacing w:val="-2"/>
          <w:sz w:val="28"/>
          <w:lang w:val="en-US"/>
        </w:rPr>
        <w:t xml:space="preserve"> </w:t>
      </w:r>
      <w:r>
        <w:rPr>
          <w:sz w:val="28"/>
          <w:lang w:val="en-US"/>
        </w:rPr>
        <w:t>of</w:t>
      </w:r>
      <w:r>
        <w:rPr>
          <w:spacing w:val="-8"/>
          <w:sz w:val="28"/>
          <w:lang w:val="en-US"/>
        </w:rPr>
        <w:t xml:space="preserve"> </w:t>
      </w:r>
      <w:r>
        <w:rPr>
          <w:sz w:val="28"/>
          <w:lang w:val="en-US"/>
        </w:rPr>
        <w:t>Gastrointestinal</w:t>
      </w:r>
      <w:r>
        <w:rPr>
          <w:spacing w:val="-7"/>
          <w:sz w:val="28"/>
          <w:lang w:val="en-US"/>
        </w:rPr>
        <w:t xml:space="preserve"> </w:t>
      </w:r>
      <w:r>
        <w:rPr>
          <w:sz w:val="28"/>
          <w:lang w:val="en-US"/>
        </w:rPr>
        <w:t xml:space="preserve">Surgery. -2016.- </w:t>
      </w:r>
      <w:r>
        <w:rPr>
          <w:sz w:val="28"/>
        </w:rPr>
        <w:t>Vol. 8, №</w:t>
      </w:r>
      <w:r>
        <w:rPr>
          <w:spacing w:val="-3"/>
          <w:sz w:val="28"/>
        </w:rPr>
        <w:t xml:space="preserve"> </w:t>
      </w:r>
      <w:r>
        <w:rPr>
          <w:sz w:val="28"/>
        </w:rPr>
        <w:t>3.-</w:t>
      </w:r>
      <w:r>
        <w:rPr>
          <w:sz w:val="28"/>
          <w:lang w:val="kk-KZ"/>
        </w:rPr>
        <w:t xml:space="preserve"> </w:t>
      </w:r>
      <w:r>
        <w:rPr>
          <w:sz w:val="28"/>
        </w:rPr>
        <w:t>Р.</w:t>
      </w:r>
      <w:r>
        <w:rPr>
          <w:spacing w:val="-2"/>
          <w:sz w:val="28"/>
        </w:rPr>
        <w:t>212–221.</w:t>
      </w:r>
    </w:p>
    <w:p w14:paraId="2FB79A87">
      <w:pPr>
        <w:pStyle w:val="10"/>
        <w:numPr>
          <w:ilvl w:val="0"/>
          <w:numId w:val="29"/>
        </w:numPr>
        <w:tabs>
          <w:tab w:val="left" w:pos="1128"/>
        </w:tabs>
        <w:ind w:left="0" w:right="3" w:firstLine="709"/>
        <w:rPr>
          <w:sz w:val="28"/>
          <w:lang w:val="en-US"/>
        </w:rPr>
      </w:pPr>
      <w:r>
        <w:rPr>
          <w:sz w:val="28"/>
          <w:lang w:val="en-US"/>
        </w:rPr>
        <w:t>Xiao Q., et al. Clinicopathologic features and surgery-related outcomes of duodenal adenocarcinoma // Surgery .-2024- №176.-</w:t>
      </w:r>
      <w:r>
        <w:rPr>
          <w:sz w:val="28"/>
        </w:rPr>
        <w:t>Р</w:t>
      </w:r>
      <w:r>
        <w:rPr>
          <w:sz w:val="28"/>
          <w:lang w:val="en-US"/>
        </w:rPr>
        <w:t>.1745-1753.</w:t>
      </w:r>
    </w:p>
    <w:p w14:paraId="31AFF0A1">
      <w:pPr>
        <w:pStyle w:val="10"/>
        <w:numPr>
          <w:ilvl w:val="0"/>
          <w:numId w:val="29"/>
        </w:numPr>
        <w:tabs>
          <w:tab w:val="left" w:pos="1128"/>
          <w:tab w:val="left" w:pos="3828"/>
        </w:tabs>
        <w:spacing w:before="67"/>
        <w:ind w:left="0" w:right="3" w:firstLine="709"/>
        <w:rPr>
          <w:sz w:val="28"/>
          <w:lang w:val="en-US"/>
        </w:rPr>
      </w:pPr>
      <w:r>
        <w:rPr>
          <w:sz w:val="28"/>
          <w:lang w:val="en-US"/>
        </w:rPr>
        <w:t>Laura L. Meijer. et al. Outcomes and Treatment Options for Duodenal Adenocarcinoma:</w:t>
      </w:r>
      <w:r>
        <w:rPr>
          <w:spacing w:val="-2"/>
          <w:sz w:val="28"/>
          <w:lang w:val="en-US"/>
        </w:rPr>
        <w:t xml:space="preserve"> </w:t>
      </w:r>
      <w:r>
        <w:rPr>
          <w:sz w:val="28"/>
          <w:lang w:val="en-US"/>
        </w:rPr>
        <w:t>A</w:t>
      </w:r>
      <w:r>
        <w:rPr>
          <w:spacing w:val="-2"/>
          <w:sz w:val="28"/>
          <w:lang w:val="en-US"/>
        </w:rPr>
        <w:t xml:space="preserve"> </w:t>
      </w:r>
      <w:r>
        <w:rPr>
          <w:sz w:val="28"/>
          <w:lang w:val="en-US"/>
        </w:rPr>
        <w:t>Systematic</w:t>
      </w:r>
      <w:r>
        <w:rPr>
          <w:spacing w:val="-2"/>
          <w:sz w:val="28"/>
          <w:lang w:val="en-US"/>
        </w:rPr>
        <w:t xml:space="preserve"> </w:t>
      </w:r>
      <w:r>
        <w:rPr>
          <w:sz w:val="28"/>
          <w:lang w:val="en-US"/>
        </w:rPr>
        <w:t>Review</w:t>
      </w:r>
      <w:r>
        <w:rPr>
          <w:spacing w:val="-2"/>
          <w:sz w:val="28"/>
          <w:lang w:val="en-US"/>
        </w:rPr>
        <w:t xml:space="preserve"> </w:t>
      </w:r>
      <w:r>
        <w:rPr>
          <w:sz w:val="28"/>
          <w:lang w:val="en-US"/>
        </w:rPr>
        <w:t>and</w:t>
      </w:r>
      <w:r>
        <w:rPr>
          <w:spacing w:val="-2"/>
          <w:sz w:val="28"/>
          <w:lang w:val="en-US"/>
        </w:rPr>
        <w:t xml:space="preserve"> </w:t>
      </w:r>
      <w:r>
        <w:rPr>
          <w:sz w:val="28"/>
          <w:lang w:val="en-US"/>
        </w:rPr>
        <w:t>Meta-Analysis</w:t>
      </w:r>
      <w:r>
        <w:rPr>
          <w:spacing w:val="-1"/>
          <w:sz w:val="28"/>
          <w:lang w:val="en-US"/>
        </w:rPr>
        <w:t xml:space="preserve"> </w:t>
      </w:r>
      <w:r>
        <w:rPr>
          <w:sz w:val="28"/>
          <w:lang w:val="en-US"/>
        </w:rPr>
        <w:t>// Ann</w:t>
      </w:r>
      <w:r>
        <w:rPr>
          <w:spacing w:val="-6"/>
          <w:sz w:val="28"/>
          <w:lang w:val="en-US"/>
        </w:rPr>
        <w:t xml:space="preserve"> </w:t>
      </w:r>
      <w:r>
        <w:rPr>
          <w:sz w:val="28"/>
          <w:lang w:val="en-US"/>
        </w:rPr>
        <w:t>Surg</w:t>
      </w:r>
      <w:r>
        <w:rPr>
          <w:spacing w:val="-6"/>
          <w:sz w:val="28"/>
          <w:lang w:val="en-US"/>
        </w:rPr>
        <w:t xml:space="preserve"> </w:t>
      </w:r>
      <w:r>
        <w:rPr>
          <w:sz w:val="28"/>
          <w:lang w:val="en-US"/>
        </w:rPr>
        <w:t xml:space="preserve">Oncol.-2018.- </w:t>
      </w:r>
      <w:r>
        <w:rPr>
          <w:sz w:val="28"/>
        </w:rPr>
        <w:t>№</w:t>
      </w:r>
      <w:r>
        <w:rPr>
          <w:spacing w:val="-2"/>
          <w:sz w:val="28"/>
          <w:lang w:val="en-US"/>
        </w:rPr>
        <w:t>25</w:t>
      </w:r>
      <w:r>
        <w:rPr>
          <w:spacing w:val="-2"/>
          <w:sz w:val="28"/>
        </w:rPr>
        <w:t>.-Р.</w:t>
      </w:r>
      <w:r>
        <w:rPr>
          <w:spacing w:val="-2"/>
          <w:sz w:val="28"/>
          <w:lang w:val="en-US"/>
        </w:rPr>
        <w:t>2681–2692</w:t>
      </w:r>
      <w:r>
        <w:rPr>
          <w:spacing w:val="-2"/>
          <w:sz w:val="28"/>
        </w:rPr>
        <w:t>.</w:t>
      </w:r>
    </w:p>
    <w:p w14:paraId="45AF242F">
      <w:pPr>
        <w:pStyle w:val="10"/>
        <w:numPr>
          <w:ilvl w:val="0"/>
          <w:numId w:val="29"/>
        </w:numPr>
        <w:tabs>
          <w:tab w:val="left" w:pos="1128"/>
        </w:tabs>
        <w:spacing w:line="244" w:lineRule="auto"/>
        <w:ind w:left="0" w:right="3" w:firstLine="709"/>
        <w:rPr>
          <w:sz w:val="28"/>
        </w:rPr>
      </w:pPr>
      <w:r>
        <w:rPr>
          <w:sz w:val="28"/>
          <w:lang w:val="en-US"/>
        </w:rPr>
        <w:t>Whipple</w:t>
      </w:r>
      <w:r>
        <w:rPr>
          <w:spacing w:val="-8"/>
          <w:sz w:val="28"/>
          <w:lang w:val="en-US"/>
        </w:rPr>
        <w:t xml:space="preserve"> </w:t>
      </w:r>
      <w:r>
        <w:rPr>
          <w:sz w:val="28"/>
          <w:lang w:val="en-US"/>
        </w:rPr>
        <w:t>A.O.</w:t>
      </w:r>
      <w:r>
        <w:rPr>
          <w:spacing w:val="-4"/>
          <w:sz w:val="28"/>
          <w:lang w:val="en-US"/>
        </w:rPr>
        <w:t xml:space="preserve"> </w:t>
      </w:r>
      <w:r>
        <w:rPr>
          <w:sz w:val="28"/>
          <w:lang w:val="en-US"/>
        </w:rPr>
        <w:t>et</w:t>
      </w:r>
      <w:r>
        <w:rPr>
          <w:spacing w:val="-9"/>
          <w:sz w:val="28"/>
          <w:lang w:val="en-US"/>
        </w:rPr>
        <w:t xml:space="preserve"> </w:t>
      </w:r>
      <w:r>
        <w:rPr>
          <w:sz w:val="28"/>
          <w:lang w:val="en-US"/>
        </w:rPr>
        <w:t>al.</w:t>
      </w:r>
      <w:r>
        <w:rPr>
          <w:spacing w:val="-6"/>
          <w:sz w:val="28"/>
          <w:lang w:val="en-US"/>
        </w:rPr>
        <w:t xml:space="preserve"> </w:t>
      </w:r>
      <w:r>
        <w:rPr>
          <w:sz w:val="28"/>
          <w:lang w:val="en-US"/>
        </w:rPr>
        <w:t>Treatment</w:t>
      </w:r>
      <w:r>
        <w:rPr>
          <w:spacing w:val="-9"/>
          <w:sz w:val="28"/>
          <w:lang w:val="en-US"/>
        </w:rPr>
        <w:t xml:space="preserve"> </w:t>
      </w:r>
      <w:r>
        <w:rPr>
          <w:sz w:val="28"/>
          <w:lang w:val="en-US"/>
        </w:rPr>
        <w:t>of</w:t>
      </w:r>
      <w:r>
        <w:rPr>
          <w:spacing w:val="-15"/>
          <w:sz w:val="28"/>
          <w:lang w:val="en-US"/>
        </w:rPr>
        <w:t xml:space="preserve"> </w:t>
      </w:r>
      <w:r>
        <w:rPr>
          <w:sz w:val="28"/>
          <w:lang w:val="en-US"/>
        </w:rPr>
        <w:t>carcinoma</w:t>
      </w:r>
      <w:r>
        <w:rPr>
          <w:spacing w:val="-8"/>
          <w:sz w:val="28"/>
          <w:lang w:val="en-US"/>
        </w:rPr>
        <w:t xml:space="preserve"> </w:t>
      </w:r>
      <w:r>
        <w:rPr>
          <w:sz w:val="28"/>
          <w:lang w:val="en-US"/>
        </w:rPr>
        <w:t>of</w:t>
      </w:r>
      <w:r>
        <w:rPr>
          <w:spacing w:val="-15"/>
          <w:sz w:val="28"/>
          <w:lang w:val="en-US"/>
        </w:rPr>
        <w:t xml:space="preserve"> </w:t>
      </w:r>
      <w:r>
        <w:rPr>
          <w:sz w:val="28"/>
          <w:lang w:val="en-US"/>
        </w:rPr>
        <w:t>the</w:t>
      </w:r>
      <w:r>
        <w:rPr>
          <w:spacing w:val="-8"/>
          <w:sz w:val="28"/>
          <w:lang w:val="en-US"/>
        </w:rPr>
        <w:t xml:space="preserve"> </w:t>
      </w:r>
      <w:r>
        <w:rPr>
          <w:sz w:val="28"/>
          <w:lang w:val="en-US"/>
        </w:rPr>
        <w:t>ampulla</w:t>
      </w:r>
      <w:r>
        <w:rPr>
          <w:spacing w:val="-8"/>
          <w:sz w:val="28"/>
          <w:lang w:val="en-US"/>
        </w:rPr>
        <w:t xml:space="preserve"> </w:t>
      </w:r>
      <w:r>
        <w:rPr>
          <w:sz w:val="28"/>
          <w:lang w:val="en-US"/>
        </w:rPr>
        <w:t>of</w:t>
      </w:r>
      <w:r>
        <w:rPr>
          <w:spacing w:val="-15"/>
          <w:sz w:val="28"/>
          <w:lang w:val="en-US"/>
        </w:rPr>
        <w:t xml:space="preserve"> </w:t>
      </w:r>
      <w:r>
        <w:rPr>
          <w:sz w:val="28"/>
          <w:lang w:val="en-US"/>
        </w:rPr>
        <w:t>Vater</w:t>
      </w:r>
      <w:r>
        <w:rPr>
          <w:spacing w:val="-9"/>
          <w:sz w:val="28"/>
          <w:lang w:val="en-US"/>
        </w:rPr>
        <w:t xml:space="preserve"> </w:t>
      </w:r>
      <w:r>
        <w:rPr>
          <w:sz w:val="28"/>
          <w:lang w:val="en-US"/>
        </w:rPr>
        <w:t>//</w:t>
      </w:r>
      <w:r>
        <w:rPr>
          <w:spacing w:val="-1"/>
          <w:sz w:val="28"/>
          <w:lang w:val="en-US"/>
        </w:rPr>
        <w:t xml:space="preserve"> </w:t>
      </w:r>
      <w:r>
        <w:rPr>
          <w:sz w:val="28"/>
          <w:lang w:val="en-US"/>
        </w:rPr>
        <w:t xml:space="preserve">Annals of Surgery. -1935.- </w:t>
      </w:r>
      <w:r>
        <w:rPr>
          <w:sz w:val="28"/>
        </w:rPr>
        <w:t>Vol. 102, № 4. - P. 763–779.</w:t>
      </w:r>
    </w:p>
    <w:p w14:paraId="6B0BF4CA">
      <w:pPr>
        <w:pStyle w:val="10"/>
        <w:numPr>
          <w:ilvl w:val="0"/>
          <w:numId w:val="29"/>
        </w:numPr>
        <w:tabs>
          <w:tab w:val="left" w:pos="1128"/>
        </w:tabs>
        <w:ind w:left="0" w:right="3" w:firstLine="709"/>
        <w:rPr>
          <w:sz w:val="28"/>
          <w:lang w:val="en-US"/>
        </w:rPr>
      </w:pPr>
      <w:r>
        <w:rPr>
          <w:sz w:val="28"/>
          <w:lang w:val="en-US"/>
        </w:rPr>
        <w:t>Narayanan</w:t>
      </w:r>
      <w:r>
        <w:rPr>
          <w:spacing w:val="-9"/>
          <w:sz w:val="28"/>
          <w:lang w:val="en-US"/>
        </w:rPr>
        <w:t xml:space="preserve"> </w:t>
      </w:r>
      <w:r>
        <w:rPr>
          <w:sz w:val="28"/>
          <w:lang w:val="en-US"/>
        </w:rPr>
        <w:t>S.</w:t>
      </w:r>
      <w:r>
        <w:rPr>
          <w:spacing w:val="-3"/>
          <w:sz w:val="28"/>
          <w:lang w:val="en-US"/>
        </w:rPr>
        <w:t xml:space="preserve"> </w:t>
      </w:r>
      <w:r>
        <w:rPr>
          <w:sz w:val="28"/>
          <w:lang w:val="en-US"/>
        </w:rPr>
        <w:t>et</w:t>
      </w:r>
      <w:r>
        <w:rPr>
          <w:spacing w:val="-5"/>
          <w:sz w:val="28"/>
          <w:lang w:val="en-US"/>
        </w:rPr>
        <w:t xml:space="preserve"> </w:t>
      </w:r>
      <w:r>
        <w:rPr>
          <w:sz w:val="28"/>
          <w:lang w:val="en-US"/>
        </w:rPr>
        <w:t>al. Mortality</w:t>
      </w:r>
      <w:r>
        <w:rPr>
          <w:spacing w:val="-9"/>
          <w:sz w:val="28"/>
          <w:lang w:val="en-US"/>
        </w:rPr>
        <w:t xml:space="preserve"> </w:t>
      </w:r>
      <w:r>
        <w:rPr>
          <w:sz w:val="28"/>
          <w:lang w:val="en-US"/>
        </w:rPr>
        <w:t>after</w:t>
      </w:r>
      <w:r>
        <w:rPr>
          <w:spacing w:val="-5"/>
          <w:sz w:val="28"/>
          <w:lang w:val="en-US"/>
        </w:rPr>
        <w:t xml:space="preserve"> </w:t>
      </w:r>
      <w:r>
        <w:rPr>
          <w:sz w:val="28"/>
          <w:lang w:val="en-US"/>
        </w:rPr>
        <w:t>pancreaticoduodenectomy:</w:t>
      </w:r>
      <w:r>
        <w:rPr>
          <w:spacing w:val="-11"/>
          <w:sz w:val="28"/>
          <w:lang w:val="en-US"/>
        </w:rPr>
        <w:t xml:space="preserve"> </w:t>
      </w:r>
      <w:r>
        <w:rPr>
          <w:sz w:val="28"/>
          <w:lang w:val="en-US"/>
        </w:rPr>
        <w:t>assessing</w:t>
      </w:r>
      <w:r>
        <w:rPr>
          <w:spacing w:val="-10"/>
          <w:sz w:val="28"/>
          <w:lang w:val="en-US"/>
        </w:rPr>
        <w:t xml:space="preserve"> </w:t>
      </w:r>
      <w:r>
        <w:rPr>
          <w:sz w:val="28"/>
          <w:lang w:val="en-US"/>
        </w:rPr>
        <w:t>early and late causes of death // J Surg Res. -2018.- №231.-</w:t>
      </w:r>
      <w:r>
        <w:rPr>
          <w:sz w:val="28"/>
          <w:lang w:val="kk-KZ"/>
        </w:rPr>
        <w:t xml:space="preserve"> </w:t>
      </w:r>
      <w:r>
        <w:rPr>
          <w:sz w:val="28"/>
        </w:rPr>
        <w:t>Р</w:t>
      </w:r>
      <w:r>
        <w:rPr>
          <w:sz w:val="28"/>
          <w:lang w:val="en-US"/>
        </w:rPr>
        <w:t>. 304–308.</w:t>
      </w:r>
    </w:p>
    <w:p w14:paraId="44BAE1CB">
      <w:pPr>
        <w:pStyle w:val="10"/>
        <w:numPr>
          <w:ilvl w:val="0"/>
          <w:numId w:val="29"/>
        </w:numPr>
        <w:tabs>
          <w:tab w:val="left" w:pos="1128"/>
        </w:tabs>
        <w:ind w:left="0" w:right="3" w:firstLine="709"/>
        <w:rPr>
          <w:sz w:val="28"/>
        </w:rPr>
      </w:pPr>
      <w:r>
        <w:rPr>
          <w:sz w:val="28"/>
          <w:lang w:val="en-US"/>
        </w:rPr>
        <w:t xml:space="preserve">Giuliano K. et al. Technical aspects of pancreaticoduodenectomy and their outcomes. Chin Clin Oncol.- </w:t>
      </w:r>
      <w:r>
        <w:rPr>
          <w:sz w:val="28"/>
        </w:rPr>
        <w:t>2017.- №6(6).</w:t>
      </w:r>
    </w:p>
    <w:p w14:paraId="5074FEB0">
      <w:pPr>
        <w:pStyle w:val="10"/>
        <w:numPr>
          <w:ilvl w:val="0"/>
          <w:numId w:val="29"/>
        </w:numPr>
        <w:tabs>
          <w:tab w:val="left" w:pos="1128"/>
        </w:tabs>
        <w:ind w:left="0" w:right="3" w:firstLine="709"/>
        <w:rPr>
          <w:sz w:val="28"/>
          <w:lang w:val="en-US"/>
        </w:rPr>
      </w:pPr>
      <w:r>
        <w:rPr>
          <w:sz w:val="28"/>
          <w:lang w:val="en-US"/>
        </w:rPr>
        <w:t>van Rijssen L.B. et al. Variation in hospital mortality after pancreatoduodenectomy</w:t>
      </w:r>
      <w:r>
        <w:rPr>
          <w:spacing w:val="-11"/>
          <w:sz w:val="28"/>
          <w:lang w:val="en-US"/>
        </w:rPr>
        <w:t xml:space="preserve"> </w:t>
      </w:r>
      <w:r>
        <w:rPr>
          <w:sz w:val="28"/>
          <w:lang w:val="en-US"/>
        </w:rPr>
        <w:t>is</w:t>
      </w:r>
      <w:r>
        <w:rPr>
          <w:spacing w:val="-9"/>
          <w:sz w:val="28"/>
          <w:lang w:val="en-US"/>
        </w:rPr>
        <w:t xml:space="preserve"> </w:t>
      </w:r>
      <w:r>
        <w:rPr>
          <w:sz w:val="28"/>
          <w:lang w:val="en-US"/>
        </w:rPr>
        <w:t>related</w:t>
      </w:r>
      <w:r>
        <w:rPr>
          <w:spacing w:val="-11"/>
          <w:sz w:val="28"/>
          <w:lang w:val="en-US"/>
        </w:rPr>
        <w:t xml:space="preserve"> </w:t>
      </w:r>
      <w:r>
        <w:rPr>
          <w:sz w:val="28"/>
          <w:lang w:val="en-US"/>
        </w:rPr>
        <w:t>to</w:t>
      </w:r>
      <w:r>
        <w:rPr>
          <w:spacing w:val="-12"/>
          <w:sz w:val="28"/>
          <w:lang w:val="en-US"/>
        </w:rPr>
        <w:t xml:space="preserve"> </w:t>
      </w:r>
      <w:r>
        <w:rPr>
          <w:sz w:val="28"/>
          <w:lang w:val="en-US"/>
        </w:rPr>
        <w:t>failure</w:t>
      </w:r>
      <w:r>
        <w:rPr>
          <w:spacing w:val="-6"/>
          <w:sz w:val="28"/>
          <w:lang w:val="en-US"/>
        </w:rPr>
        <w:t xml:space="preserve"> </w:t>
      </w:r>
      <w:r>
        <w:rPr>
          <w:sz w:val="28"/>
          <w:lang w:val="en-US"/>
        </w:rPr>
        <w:t>to</w:t>
      </w:r>
      <w:r>
        <w:rPr>
          <w:spacing w:val="-12"/>
          <w:sz w:val="28"/>
          <w:lang w:val="en-US"/>
        </w:rPr>
        <w:t xml:space="preserve"> </w:t>
      </w:r>
      <w:r>
        <w:rPr>
          <w:sz w:val="28"/>
          <w:lang w:val="en-US"/>
        </w:rPr>
        <w:t>rescue</w:t>
      </w:r>
      <w:r>
        <w:rPr>
          <w:spacing w:val="-11"/>
          <w:sz w:val="28"/>
          <w:lang w:val="en-US"/>
        </w:rPr>
        <w:t xml:space="preserve"> </w:t>
      </w:r>
      <w:r>
        <w:rPr>
          <w:sz w:val="28"/>
          <w:lang w:val="en-US"/>
        </w:rPr>
        <w:t>rather</w:t>
      </w:r>
      <w:r>
        <w:rPr>
          <w:spacing w:val="-13"/>
          <w:sz w:val="28"/>
          <w:lang w:val="en-US"/>
        </w:rPr>
        <w:t xml:space="preserve"> </w:t>
      </w:r>
      <w:r>
        <w:rPr>
          <w:sz w:val="28"/>
          <w:lang w:val="en-US"/>
        </w:rPr>
        <w:t>than</w:t>
      </w:r>
      <w:r>
        <w:rPr>
          <w:spacing w:val="-11"/>
          <w:sz w:val="28"/>
          <w:lang w:val="en-US"/>
        </w:rPr>
        <w:t xml:space="preserve"> </w:t>
      </w:r>
      <w:r>
        <w:rPr>
          <w:sz w:val="28"/>
          <w:lang w:val="en-US"/>
        </w:rPr>
        <w:t>major</w:t>
      </w:r>
      <w:r>
        <w:rPr>
          <w:spacing w:val="-13"/>
          <w:sz w:val="28"/>
          <w:lang w:val="en-US"/>
        </w:rPr>
        <w:t xml:space="preserve"> </w:t>
      </w:r>
      <w:r>
        <w:rPr>
          <w:sz w:val="28"/>
          <w:lang w:val="en-US"/>
        </w:rPr>
        <w:t>complications: a nationwide audit // HPB (Oxford). -2018. -Vol. 20, № 8.- P. 759–767.</w:t>
      </w:r>
    </w:p>
    <w:p w14:paraId="335B8CE4">
      <w:pPr>
        <w:pStyle w:val="10"/>
        <w:numPr>
          <w:ilvl w:val="0"/>
          <w:numId w:val="29"/>
        </w:numPr>
        <w:tabs>
          <w:tab w:val="left" w:pos="1128"/>
        </w:tabs>
        <w:ind w:left="0" w:right="3" w:firstLine="709"/>
        <w:rPr>
          <w:sz w:val="28"/>
          <w:lang w:val="en-US"/>
        </w:rPr>
      </w:pPr>
      <w:r>
        <w:rPr>
          <w:sz w:val="28"/>
          <w:lang w:val="en-US"/>
        </w:rPr>
        <w:t>Mizuma M. et al. Updated risk prediction model for pancreaticoduodenectomy using data from the National Clinical Database in Japan. Ann Gastroenterol Surg. -2025.- №9.-</w:t>
      </w:r>
      <w:r>
        <w:rPr>
          <w:sz w:val="28"/>
        </w:rPr>
        <w:t>Р</w:t>
      </w:r>
      <w:r>
        <w:rPr>
          <w:sz w:val="28"/>
          <w:lang w:val="en-US"/>
        </w:rPr>
        <w:t>.559–568.</w:t>
      </w:r>
    </w:p>
    <w:p w14:paraId="5A38D055">
      <w:pPr>
        <w:pStyle w:val="10"/>
        <w:numPr>
          <w:ilvl w:val="0"/>
          <w:numId w:val="29"/>
        </w:numPr>
        <w:tabs>
          <w:tab w:val="left" w:pos="1128"/>
        </w:tabs>
        <w:ind w:left="0" w:right="3" w:firstLine="709"/>
        <w:rPr>
          <w:sz w:val="28"/>
          <w:lang w:val="en-US"/>
        </w:rPr>
      </w:pPr>
      <w:r>
        <w:rPr>
          <w:sz w:val="28"/>
          <w:lang w:val="en-US"/>
        </w:rPr>
        <w:t>Tingstedt B. et al. First results from the Swedish National Pancreatic and Periampullary Cancer Registry // HPB.- 2019.- № 21</w:t>
      </w:r>
      <w:r>
        <w:rPr>
          <w:sz w:val="28"/>
        </w:rPr>
        <w:t>.-Р.</w:t>
      </w:r>
      <w:r>
        <w:rPr>
          <w:sz w:val="28"/>
          <w:lang w:val="en-US"/>
        </w:rPr>
        <w:t xml:space="preserve"> 34–42</w:t>
      </w:r>
      <w:r>
        <w:rPr>
          <w:sz w:val="28"/>
        </w:rPr>
        <w:t>.</w:t>
      </w:r>
    </w:p>
    <w:p w14:paraId="509D2DFC">
      <w:pPr>
        <w:pStyle w:val="10"/>
        <w:numPr>
          <w:ilvl w:val="0"/>
          <w:numId w:val="29"/>
        </w:numPr>
        <w:tabs>
          <w:tab w:val="left" w:pos="1128"/>
        </w:tabs>
        <w:ind w:left="0" w:right="3" w:firstLine="706"/>
        <w:rPr>
          <w:sz w:val="28"/>
          <w:lang w:val="en-US"/>
        </w:rPr>
      </w:pPr>
      <w:r>
        <w:rPr>
          <w:sz w:val="28"/>
          <w:lang w:val="en-US"/>
        </w:rPr>
        <w:t>Busquets</w:t>
      </w:r>
      <w:r>
        <w:rPr>
          <w:spacing w:val="80"/>
          <w:w w:val="150"/>
          <w:sz w:val="28"/>
          <w:lang w:val="en-US"/>
        </w:rPr>
        <w:t xml:space="preserve"> </w:t>
      </w:r>
      <w:r>
        <w:rPr>
          <w:sz w:val="28"/>
          <w:lang w:val="en-US"/>
        </w:rPr>
        <w:t>J.</w:t>
      </w:r>
      <w:r>
        <w:rPr>
          <w:spacing w:val="80"/>
          <w:w w:val="150"/>
          <w:sz w:val="28"/>
          <w:lang w:val="en-US"/>
        </w:rPr>
        <w:t xml:space="preserve"> </w:t>
      </w:r>
      <w:r>
        <w:rPr>
          <w:sz w:val="28"/>
          <w:lang w:val="en-US"/>
        </w:rPr>
        <w:t>et</w:t>
      </w:r>
      <w:r>
        <w:rPr>
          <w:spacing w:val="80"/>
          <w:w w:val="150"/>
          <w:sz w:val="28"/>
          <w:lang w:val="en-US"/>
        </w:rPr>
        <w:t xml:space="preserve"> </w:t>
      </w:r>
      <w:r>
        <w:rPr>
          <w:sz w:val="28"/>
          <w:lang w:val="en-US"/>
        </w:rPr>
        <w:t>al.</w:t>
      </w:r>
      <w:r>
        <w:rPr>
          <w:spacing w:val="80"/>
          <w:w w:val="150"/>
          <w:sz w:val="28"/>
          <w:lang w:val="en-US"/>
        </w:rPr>
        <w:t xml:space="preserve"> </w:t>
      </w:r>
      <w:r>
        <w:rPr>
          <w:sz w:val="28"/>
          <w:lang w:val="en-US"/>
        </w:rPr>
        <w:t>Delayed</w:t>
      </w:r>
      <w:r>
        <w:rPr>
          <w:spacing w:val="80"/>
          <w:w w:val="150"/>
          <w:sz w:val="28"/>
          <w:lang w:val="en-US"/>
        </w:rPr>
        <w:t xml:space="preserve"> </w:t>
      </w:r>
      <w:r>
        <w:rPr>
          <w:sz w:val="28"/>
          <w:lang w:val="en-US"/>
        </w:rPr>
        <w:t>gastric</w:t>
      </w:r>
      <w:r>
        <w:rPr>
          <w:spacing w:val="80"/>
          <w:w w:val="150"/>
          <w:sz w:val="28"/>
          <w:lang w:val="en-US"/>
        </w:rPr>
        <w:t xml:space="preserve"> </w:t>
      </w:r>
      <w:r>
        <w:rPr>
          <w:sz w:val="28"/>
          <w:lang w:val="en-US"/>
        </w:rPr>
        <w:t>emptying</w:t>
      </w:r>
      <w:r>
        <w:rPr>
          <w:spacing w:val="80"/>
          <w:w w:val="150"/>
          <w:sz w:val="28"/>
          <w:lang w:val="en-US"/>
        </w:rPr>
        <w:t xml:space="preserve"> </w:t>
      </w:r>
      <w:r>
        <w:rPr>
          <w:sz w:val="28"/>
          <w:lang w:val="en-US"/>
        </w:rPr>
        <w:t>after classical</w:t>
      </w:r>
      <w:r>
        <w:rPr>
          <w:spacing w:val="80"/>
          <w:w w:val="150"/>
          <w:sz w:val="28"/>
          <w:lang w:val="en-US"/>
        </w:rPr>
        <w:t xml:space="preserve"> </w:t>
      </w:r>
      <w:r>
        <w:rPr>
          <w:sz w:val="28"/>
          <w:lang w:val="en-US"/>
        </w:rPr>
        <w:t>Whipple</w:t>
      </w:r>
      <w:r>
        <w:rPr>
          <w:spacing w:val="40"/>
          <w:sz w:val="28"/>
          <w:lang w:val="en-US"/>
        </w:rPr>
        <w:t xml:space="preserve"> </w:t>
      </w:r>
      <w:r>
        <w:rPr>
          <w:sz w:val="28"/>
          <w:lang w:val="en-US"/>
        </w:rPr>
        <w:t>or</w:t>
      </w:r>
      <w:r>
        <w:rPr>
          <w:spacing w:val="-1"/>
          <w:sz w:val="28"/>
          <w:lang w:val="en-US"/>
        </w:rPr>
        <w:t xml:space="preserve"> </w:t>
      </w:r>
      <w:r>
        <w:rPr>
          <w:sz w:val="28"/>
          <w:lang w:val="en-US"/>
        </w:rPr>
        <w:t>pylorus-preserving</w:t>
      </w:r>
      <w:r>
        <w:rPr>
          <w:spacing w:val="40"/>
          <w:sz w:val="28"/>
          <w:lang w:val="en-US"/>
        </w:rPr>
        <w:t xml:space="preserve"> </w:t>
      </w:r>
      <w:r>
        <w:rPr>
          <w:sz w:val="28"/>
          <w:lang w:val="en-US"/>
        </w:rPr>
        <w:t>pancreatoduodenectomy:</w:t>
      </w:r>
      <w:r>
        <w:rPr>
          <w:spacing w:val="40"/>
          <w:sz w:val="28"/>
          <w:lang w:val="en-US"/>
        </w:rPr>
        <w:t xml:space="preserve"> </w:t>
      </w:r>
      <w:r>
        <w:rPr>
          <w:sz w:val="28"/>
          <w:lang w:val="en-US"/>
        </w:rPr>
        <w:t>a randomized</w:t>
      </w:r>
      <w:r>
        <w:rPr>
          <w:spacing w:val="40"/>
          <w:sz w:val="28"/>
          <w:lang w:val="en-US"/>
        </w:rPr>
        <w:t xml:space="preserve"> </w:t>
      </w:r>
      <w:r>
        <w:rPr>
          <w:sz w:val="28"/>
          <w:lang w:val="en-US"/>
        </w:rPr>
        <w:t>clinical</w:t>
      </w:r>
      <w:r>
        <w:rPr>
          <w:spacing w:val="40"/>
          <w:sz w:val="28"/>
          <w:lang w:val="en-US"/>
        </w:rPr>
        <w:t xml:space="preserve"> </w:t>
      </w:r>
      <w:r>
        <w:rPr>
          <w:sz w:val="28"/>
          <w:lang w:val="en-US"/>
        </w:rPr>
        <w:t>trial (QUANUPAD) // Langenbeck's Archives of Surgery.-2022.- № 407</w:t>
      </w:r>
      <w:r>
        <w:rPr>
          <w:sz w:val="28"/>
        </w:rPr>
        <w:t xml:space="preserve">.-Р. </w:t>
      </w:r>
      <w:r>
        <w:rPr>
          <w:sz w:val="28"/>
          <w:lang w:val="en-US"/>
        </w:rPr>
        <w:t>2247–2258</w:t>
      </w:r>
      <w:r>
        <w:rPr>
          <w:sz w:val="28"/>
        </w:rPr>
        <w:t>.</w:t>
      </w:r>
    </w:p>
    <w:p w14:paraId="38FA05F9">
      <w:pPr>
        <w:pStyle w:val="10"/>
        <w:numPr>
          <w:ilvl w:val="0"/>
          <w:numId w:val="29"/>
        </w:numPr>
        <w:tabs>
          <w:tab w:val="left" w:pos="1128"/>
        </w:tabs>
        <w:ind w:left="0" w:right="3" w:firstLine="706"/>
        <w:rPr>
          <w:sz w:val="28"/>
        </w:rPr>
      </w:pPr>
      <w:r>
        <w:rPr>
          <w:sz w:val="28"/>
        </w:rPr>
        <w:t>Солодкий В.А. et al. Аррозионное кровотечение после панкреатодуоденальной резекции. //</w:t>
      </w:r>
      <w:r>
        <w:rPr>
          <w:sz w:val="28"/>
          <w:lang w:val="kk-KZ"/>
        </w:rPr>
        <w:t xml:space="preserve"> </w:t>
      </w:r>
      <w:r>
        <w:rPr>
          <w:sz w:val="28"/>
        </w:rPr>
        <w:t>Хирургия. Журнал им. Н.И. Пирогова. -</w:t>
      </w:r>
      <w:r>
        <w:rPr>
          <w:spacing w:val="-2"/>
          <w:sz w:val="28"/>
        </w:rPr>
        <w:t>2025.- №1.-Р.14–21.</w:t>
      </w:r>
    </w:p>
    <w:p w14:paraId="6AC3EABC">
      <w:pPr>
        <w:pStyle w:val="10"/>
        <w:numPr>
          <w:ilvl w:val="0"/>
          <w:numId w:val="29"/>
        </w:numPr>
        <w:tabs>
          <w:tab w:val="left" w:pos="1128"/>
        </w:tabs>
        <w:ind w:left="0" w:right="3" w:firstLine="709"/>
        <w:rPr>
          <w:sz w:val="28"/>
          <w:lang w:val="en-US"/>
        </w:rPr>
      </w:pPr>
      <w:r>
        <w:rPr>
          <w:sz w:val="28"/>
          <w:lang w:val="en-US"/>
        </w:rPr>
        <w:t>Thomas A. Maccabe. et al. A systematic review of post-pancreatectomy haemorrhage management stratified according to ISGPS grading // HPB.- 2022.- №24.-</w:t>
      </w:r>
      <w:r>
        <w:rPr>
          <w:sz w:val="28"/>
        </w:rPr>
        <w:t>Р</w:t>
      </w:r>
      <w:r>
        <w:rPr>
          <w:sz w:val="28"/>
          <w:lang w:val="en-US"/>
        </w:rPr>
        <w:t xml:space="preserve">. </w:t>
      </w:r>
      <w:r>
        <w:rPr>
          <w:spacing w:val="-2"/>
          <w:sz w:val="28"/>
          <w:lang w:val="en-US"/>
        </w:rPr>
        <w:t>1110–1118</w:t>
      </w:r>
      <w:r>
        <w:rPr>
          <w:spacing w:val="-2"/>
          <w:sz w:val="28"/>
        </w:rPr>
        <w:t>.</w:t>
      </w:r>
    </w:p>
    <w:p w14:paraId="791120DC">
      <w:pPr>
        <w:pStyle w:val="10"/>
        <w:numPr>
          <w:ilvl w:val="0"/>
          <w:numId w:val="29"/>
        </w:numPr>
        <w:tabs>
          <w:tab w:val="left" w:pos="1128"/>
        </w:tabs>
        <w:ind w:left="0" w:right="3" w:firstLine="566"/>
        <w:rPr>
          <w:sz w:val="28"/>
          <w:lang w:val="en-US"/>
        </w:rPr>
      </w:pPr>
      <w:r>
        <w:rPr>
          <w:sz w:val="28"/>
          <w:lang w:val="en-US"/>
        </w:rPr>
        <w:t>Rutger T. Theijse. et al. Nationwide Outcome after Pancreatoduodenectomy in Patients at Very High Risk (ISGPS-D) for Postoperative Pancreatic Fistula // Ann Surg .-2025.- №281.-</w:t>
      </w:r>
      <w:r>
        <w:rPr>
          <w:sz w:val="28"/>
        </w:rPr>
        <w:t>Р</w:t>
      </w:r>
      <w:r>
        <w:rPr>
          <w:sz w:val="28"/>
          <w:lang w:val="en-US"/>
        </w:rPr>
        <w:t>.322–328.</w:t>
      </w:r>
    </w:p>
    <w:p w14:paraId="21268DB6">
      <w:pPr>
        <w:pStyle w:val="10"/>
        <w:numPr>
          <w:ilvl w:val="0"/>
          <w:numId w:val="29"/>
        </w:numPr>
        <w:tabs>
          <w:tab w:val="left" w:pos="1128"/>
        </w:tabs>
        <w:ind w:left="0" w:right="3" w:firstLine="709"/>
        <w:rPr>
          <w:sz w:val="28"/>
          <w:lang w:val="en-US"/>
        </w:rPr>
      </w:pPr>
      <w:r>
        <w:rPr>
          <w:sz w:val="28"/>
          <w:lang w:val="en-US"/>
        </w:rPr>
        <w:t>Karin</w:t>
      </w:r>
      <w:r>
        <w:rPr>
          <w:spacing w:val="-18"/>
          <w:sz w:val="28"/>
          <w:lang w:val="en-US"/>
        </w:rPr>
        <w:t xml:space="preserve"> </w:t>
      </w:r>
      <w:r>
        <w:rPr>
          <w:sz w:val="28"/>
          <w:lang w:val="en-US"/>
        </w:rPr>
        <w:t>U.</w:t>
      </w:r>
      <w:r>
        <w:rPr>
          <w:spacing w:val="-12"/>
          <w:sz w:val="28"/>
          <w:lang w:val="en-US"/>
        </w:rPr>
        <w:t xml:space="preserve"> </w:t>
      </w:r>
      <w:r>
        <w:rPr>
          <w:sz w:val="28"/>
          <w:lang w:val="en-US"/>
        </w:rPr>
        <w:t>Johansen.</w:t>
      </w:r>
      <w:r>
        <w:rPr>
          <w:spacing w:val="-16"/>
          <w:sz w:val="28"/>
          <w:lang w:val="en-US"/>
        </w:rPr>
        <w:t xml:space="preserve"> </w:t>
      </w:r>
      <w:r>
        <w:rPr>
          <w:sz w:val="28"/>
          <w:lang w:val="en-US"/>
        </w:rPr>
        <w:t>et</w:t>
      </w:r>
      <w:r>
        <w:rPr>
          <w:spacing w:val="-18"/>
          <w:sz w:val="28"/>
          <w:lang w:val="en-US"/>
        </w:rPr>
        <w:t xml:space="preserve"> </w:t>
      </w:r>
      <w:r>
        <w:rPr>
          <w:sz w:val="28"/>
          <w:lang w:val="en-US"/>
        </w:rPr>
        <w:t>al.</w:t>
      </w:r>
      <w:r>
        <w:rPr>
          <w:spacing w:val="-16"/>
          <w:sz w:val="28"/>
          <w:lang w:val="en-US"/>
        </w:rPr>
        <w:t xml:space="preserve"> </w:t>
      </w:r>
      <w:r>
        <w:rPr>
          <w:sz w:val="28"/>
          <w:lang w:val="en-US"/>
        </w:rPr>
        <w:t>There</w:t>
      </w:r>
      <w:r>
        <w:rPr>
          <w:spacing w:val="-17"/>
          <w:sz w:val="28"/>
          <w:lang w:val="en-US"/>
        </w:rPr>
        <w:t xml:space="preserve"> </w:t>
      </w:r>
      <w:r>
        <w:rPr>
          <w:sz w:val="28"/>
          <w:lang w:val="en-US"/>
        </w:rPr>
        <w:t>Is</w:t>
      </w:r>
      <w:r>
        <w:rPr>
          <w:spacing w:val="-16"/>
          <w:sz w:val="28"/>
          <w:lang w:val="en-US"/>
        </w:rPr>
        <w:t xml:space="preserve"> </w:t>
      </w:r>
      <w:r>
        <w:rPr>
          <w:sz w:val="28"/>
          <w:lang w:val="en-US"/>
        </w:rPr>
        <w:t>No</w:t>
      </w:r>
      <w:r>
        <w:rPr>
          <w:spacing w:val="-17"/>
          <w:sz w:val="28"/>
          <w:lang w:val="en-US"/>
        </w:rPr>
        <w:t xml:space="preserve"> </w:t>
      </w:r>
      <w:r>
        <w:rPr>
          <w:sz w:val="28"/>
          <w:lang w:val="en-US"/>
        </w:rPr>
        <w:t>Increase</w:t>
      </w:r>
      <w:r>
        <w:rPr>
          <w:spacing w:val="-17"/>
          <w:sz w:val="28"/>
          <w:lang w:val="en-US"/>
        </w:rPr>
        <w:t xml:space="preserve"> </w:t>
      </w:r>
      <w:r>
        <w:rPr>
          <w:sz w:val="28"/>
          <w:lang w:val="en-US"/>
        </w:rPr>
        <w:t>in</w:t>
      </w:r>
      <w:r>
        <w:rPr>
          <w:spacing w:val="-18"/>
          <w:sz w:val="28"/>
          <w:lang w:val="en-US"/>
        </w:rPr>
        <w:t xml:space="preserve"> </w:t>
      </w:r>
      <w:r>
        <w:rPr>
          <w:sz w:val="28"/>
          <w:lang w:val="en-US"/>
        </w:rPr>
        <w:t>Perioperative</w:t>
      </w:r>
      <w:r>
        <w:rPr>
          <w:spacing w:val="-17"/>
          <w:sz w:val="28"/>
          <w:lang w:val="en-US"/>
        </w:rPr>
        <w:t xml:space="preserve"> </w:t>
      </w:r>
      <w:r>
        <w:rPr>
          <w:sz w:val="28"/>
          <w:lang w:val="en-US"/>
        </w:rPr>
        <w:t>Mortality</w:t>
      </w:r>
      <w:r>
        <w:rPr>
          <w:spacing w:val="-18"/>
          <w:sz w:val="28"/>
          <w:lang w:val="en-US"/>
        </w:rPr>
        <w:t xml:space="preserve"> </w:t>
      </w:r>
      <w:r>
        <w:rPr>
          <w:sz w:val="28"/>
          <w:lang w:val="en-US"/>
        </w:rPr>
        <w:t>After Pancreaticoduodenectomy in Octogenarians: Results From the Swedish National Registry for Tumors in</w:t>
      </w:r>
      <w:r>
        <w:rPr>
          <w:spacing w:val="-3"/>
          <w:sz w:val="28"/>
          <w:lang w:val="en-US"/>
        </w:rPr>
        <w:t xml:space="preserve"> </w:t>
      </w:r>
      <w:r>
        <w:rPr>
          <w:sz w:val="28"/>
          <w:lang w:val="en-US"/>
        </w:rPr>
        <w:t>the Pancreatic and Periampullary</w:t>
      </w:r>
      <w:r>
        <w:rPr>
          <w:spacing w:val="-3"/>
          <w:sz w:val="28"/>
          <w:lang w:val="en-US"/>
        </w:rPr>
        <w:t xml:space="preserve"> </w:t>
      </w:r>
      <w:r>
        <w:rPr>
          <w:sz w:val="28"/>
          <w:lang w:val="en-US"/>
        </w:rPr>
        <w:t>Region</w:t>
      </w:r>
      <w:r>
        <w:rPr>
          <w:spacing w:val="-3"/>
          <w:sz w:val="28"/>
          <w:lang w:val="en-US"/>
        </w:rPr>
        <w:t xml:space="preserve"> </w:t>
      </w:r>
      <w:r>
        <w:rPr>
          <w:sz w:val="28"/>
          <w:lang w:val="en-US"/>
        </w:rPr>
        <w:t>// Annals of Surgery Open.-</w:t>
      </w:r>
      <w:r>
        <w:rPr>
          <w:sz w:val="28"/>
          <w:lang w:val="kk-KZ"/>
        </w:rPr>
        <w:t xml:space="preserve"> </w:t>
      </w:r>
      <w:r>
        <w:rPr>
          <w:sz w:val="28"/>
          <w:lang w:val="en-US"/>
        </w:rPr>
        <w:t xml:space="preserve">2020.- № 2.-15 </w:t>
      </w:r>
      <w:r>
        <w:rPr>
          <w:sz w:val="28"/>
        </w:rPr>
        <w:t>р</w:t>
      </w:r>
      <w:r>
        <w:rPr>
          <w:sz w:val="28"/>
          <w:lang w:val="en-US"/>
        </w:rPr>
        <w:t>.</w:t>
      </w:r>
    </w:p>
    <w:p w14:paraId="5F174746">
      <w:pPr>
        <w:pStyle w:val="10"/>
        <w:numPr>
          <w:ilvl w:val="0"/>
          <w:numId w:val="29"/>
        </w:numPr>
        <w:tabs>
          <w:tab w:val="left" w:pos="1128"/>
        </w:tabs>
        <w:ind w:left="0" w:right="3" w:firstLine="709"/>
        <w:rPr>
          <w:sz w:val="28"/>
          <w:lang w:val="en-US"/>
        </w:rPr>
      </w:pPr>
      <w:r>
        <w:rPr>
          <w:sz w:val="28"/>
          <w:lang w:val="en-US"/>
        </w:rPr>
        <w:t>International Multicentre Pancreatic Surgery Snapshot Study Group. Global variation in outcomes after pancreatoduodenectomy: results from a multicentre prospective</w:t>
      </w:r>
      <w:r>
        <w:rPr>
          <w:spacing w:val="-7"/>
          <w:sz w:val="28"/>
          <w:lang w:val="en-US"/>
        </w:rPr>
        <w:t xml:space="preserve"> </w:t>
      </w:r>
      <w:r>
        <w:rPr>
          <w:sz w:val="28"/>
          <w:lang w:val="en-US"/>
        </w:rPr>
        <w:t>snapshot</w:t>
      </w:r>
      <w:r>
        <w:rPr>
          <w:spacing w:val="-8"/>
          <w:sz w:val="28"/>
          <w:lang w:val="en-US"/>
        </w:rPr>
        <w:t xml:space="preserve"> </w:t>
      </w:r>
      <w:r>
        <w:rPr>
          <w:sz w:val="28"/>
          <w:lang w:val="en-US"/>
        </w:rPr>
        <w:t>study</w:t>
      </w:r>
      <w:r>
        <w:rPr>
          <w:spacing w:val="-7"/>
          <w:sz w:val="28"/>
          <w:lang w:val="en-US"/>
        </w:rPr>
        <w:t xml:space="preserve"> </w:t>
      </w:r>
      <w:r>
        <w:rPr>
          <w:sz w:val="28"/>
          <w:lang w:val="en-US"/>
        </w:rPr>
        <w:t>in</w:t>
      </w:r>
      <w:r>
        <w:rPr>
          <w:spacing w:val="-13"/>
          <w:sz w:val="28"/>
          <w:lang w:val="en-US"/>
        </w:rPr>
        <w:t xml:space="preserve"> </w:t>
      </w:r>
      <w:r>
        <w:rPr>
          <w:sz w:val="28"/>
          <w:lang w:val="en-US"/>
        </w:rPr>
        <w:t>67</w:t>
      </w:r>
      <w:r>
        <w:rPr>
          <w:spacing w:val="-7"/>
          <w:sz w:val="28"/>
          <w:lang w:val="en-US"/>
        </w:rPr>
        <w:t xml:space="preserve"> </w:t>
      </w:r>
      <w:r>
        <w:rPr>
          <w:sz w:val="28"/>
          <w:lang w:val="en-US"/>
        </w:rPr>
        <w:t>countries</w:t>
      </w:r>
      <w:r>
        <w:rPr>
          <w:spacing w:val="-5"/>
          <w:sz w:val="28"/>
          <w:lang w:val="en-US"/>
        </w:rPr>
        <w:t xml:space="preserve"> </w:t>
      </w:r>
      <w:r>
        <w:rPr>
          <w:sz w:val="28"/>
          <w:lang w:val="en-US"/>
        </w:rPr>
        <w:t>//</w:t>
      </w:r>
      <w:r>
        <w:rPr>
          <w:spacing w:val="-3"/>
          <w:sz w:val="28"/>
          <w:lang w:val="en-US"/>
        </w:rPr>
        <w:t xml:space="preserve"> </w:t>
      </w:r>
      <w:r>
        <w:rPr>
          <w:sz w:val="28"/>
          <w:lang w:val="en-US"/>
        </w:rPr>
        <w:t>British</w:t>
      </w:r>
      <w:r>
        <w:rPr>
          <w:spacing w:val="-12"/>
          <w:sz w:val="28"/>
          <w:lang w:val="en-US"/>
        </w:rPr>
        <w:t xml:space="preserve"> </w:t>
      </w:r>
      <w:r>
        <w:rPr>
          <w:sz w:val="28"/>
          <w:lang w:val="en-US"/>
        </w:rPr>
        <w:t>Journal</w:t>
      </w:r>
      <w:r>
        <w:rPr>
          <w:spacing w:val="-13"/>
          <w:sz w:val="28"/>
          <w:lang w:val="en-US"/>
        </w:rPr>
        <w:t xml:space="preserve"> </w:t>
      </w:r>
      <w:r>
        <w:rPr>
          <w:sz w:val="28"/>
          <w:lang w:val="en-US"/>
        </w:rPr>
        <w:t>of</w:t>
      </w:r>
      <w:r>
        <w:rPr>
          <w:spacing w:val="-9"/>
          <w:sz w:val="28"/>
          <w:lang w:val="en-US"/>
        </w:rPr>
        <w:t xml:space="preserve"> </w:t>
      </w:r>
      <w:r>
        <w:rPr>
          <w:sz w:val="28"/>
          <w:lang w:val="en-US"/>
        </w:rPr>
        <w:t>Surgery.</w:t>
      </w:r>
      <w:r>
        <w:rPr>
          <w:spacing w:val="-5"/>
          <w:sz w:val="28"/>
          <w:lang w:val="en-US"/>
        </w:rPr>
        <w:t xml:space="preserve"> </w:t>
      </w:r>
      <w:r>
        <w:rPr>
          <w:sz w:val="28"/>
          <w:lang w:val="en-US"/>
        </w:rPr>
        <w:t>–</w:t>
      </w:r>
      <w:r>
        <w:rPr>
          <w:spacing w:val="-7"/>
          <w:sz w:val="28"/>
          <w:lang w:val="en-US"/>
        </w:rPr>
        <w:t xml:space="preserve"> </w:t>
      </w:r>
      <w:r>
        <w:rPr>
          <w:sz w:val="28"/>
          <w:lang w:val="en-US"/>
        </w:rPr>
        <w:t>2024.</w:t>
      </w:r>
      <w:r>
        <w:rPr>
          <w:spacing w:val="-5"/>
          <w:sz w:val="28"/>
          <w:lang w:val="en-US"/>
        </w:rPr>
        <w:t xml:space="preserve"> </w:t>
      </w:r>
      <w:r>
        <w:rPr>
          <w:sz w:val="28"/>
          <w:lang w:val="en-US"/>
        </w:rPr>
        <w:t>–</w:t>
      </w:r>
      <w:r>
        <w:rPr>
          <w:spacing w:val="-7"/>
          <w:sz w:val="28"/>
          <w:lang w:val="en-US"/>
        </w:rPr>
        <w:t xml:space="preserve"> </w:t>
      </w:r>
      <w:r>
        <w:rPr>
          <w:sz w:val="28"/>
          <w:lang w:val="en-US"/>
        </w:rPr>
        <w:t xml:space="preserve">Vol. 111,  №1. – 330 </w:t>
      </w:r>
      <w:r>
        <w:rPr>
          <w:sz w:val="28"/>
        </w:rPr>
        <w:t>р</w:t>
      </w:r>
      <w:r>
        <w:rPr>
          <w:sz w:val="28"/>
          <w:lang w:val="en-US"/>
        </w:rPr>
        <w:t>.</w:t>
      </w:r>
    </w:p>
    <w:p w14:paraId="1B161F33">
      <w:pPr>
        <w:pStyle w:val="10"/>
        <w:numPr>
          <w:ilvl w:val="0"/>
          <w:numId w:val="29"/>
        </w:numPr>
        <w:tabs>
          <w:tab w:val="left" w:pos="1128"/>
        </w:tabs>
        <w:ind w:left="0" w:right="3" w:firstLine="706"/>
        <w:rPr>
          <w:sz w:val="28"/>
          <w:lang w:val="en-US"/>
        </w:rPr>
      </w:pPr>
      <w:r>
        <w:rPr>
          <w:sz w:val="28"/>
          <w:lang w:val="en-US"/>
        </w:rPr>
        <w:t>Kakeji Y. et al. Surgical outcomes in gastroenterological surgery in Japan: Report of the National Clinical Database 2011-2018. Ann Gastroenterol Surg. -</w:t>
      </w:r>
      <w:r>
        <w:rPr>
          <w:spacing w:val="-2"/>
          <w:sz w:val="28"/>
          <w:lang w:val="en-US"/>
        </w:rPr>
        <w:t>2020.- №4.-</w:t>
      </w:r>
      <w:r>
        <w:rPr>
          <w:spacing w:val="-2"/>
          <w:sz w:val="28"/>
        </w:rPr>
        <w:t>Р</w:t>
      </w:r>
      <w:r>
        <w:rPr>
          <w:spacing w:val="-2"/>
          <w:sz w:val="28"/>
          <w:lang w:val="en-US"/>
        </w:rPr>
        <w:t>.250–274.</w:t>
      </w:r>
    </w:p>
    <w:p w14:paraId="3AB7A80B">
      <w:pPr>
        <w:pStyle w:val="10"/>
        <w:numPr>
          <w:ilvl w:val="0"/>
          <w:numId w:val="29"/>
        </w:numPr>
        <w:tabs>
          <w:tab w:val="left" w:pos="1128"/>
        </w:tabs>
        <w:spacing w:line="242" w:lineRule="auto"/>
        <w:ind w:left="0" w:right="3" w:firstLine="706"/>
        <w:rPr>
          <w:sz w:val="28"/>
        </w:rPr>
      </w:pPr>
      <w:r>
        <w:rPr>
          <w:sz w:val="28"/>
          <w:lang w:val="en-US"/>
        </w:rPr>
        <w:t xml:space="preserve">Marubashi S. et al. </w:t>
      </w:r>
      <w:r>
        <w:rPr>
          <w:sz w:val="28"/>
        </w:rPr>
        <w:t>Т</w:t>
      </w:r>
      <w:r>
        <w:rPr>
          <w:sz w:val="28"/>
          <w:lang w:val="en-US"/>
        </w:rPr>
        <w:t xml:space="preserve">he National Clinical Database. Surgical outcomes in gastroenterological surgery in Japan: Report of the National Clinical Database 2011– 2019. </w:t>
      </w:r>
      <w:r>
        <w:rPr>
          <w:sz w:val="28"/>
        </w:rPr>
        <w:t>Ann Gastroenterol Surg.- 2021.- №5.-</w:t>
      </w:r>
      <w:r>
        <w:rPr>
          <w:sz w:val="28"/>
          <w:lang w:val="kk-KZ"/>
        </w:rPr>
        <w:t xml:space="preserve"> </w:t>
      </w:r>
      <w:r>
        <w:rPr>
          <w:sz w:val="28"/>
        </w:rPr>
        <w:t>Р. 639– 658.</w:t>
      </w:r>
    </w:p>
    <w:p w14:paraId="32B67089">
      <w:pPr>
        <w:pStyle w:val="10"/>
        <w:numPr>
          <w:ilvl w:val="0"/>
          <w:numId w:val="29"/>
        </w:numPr>
        <w:tabs>
          <w:tab w:val="left" w:pos="1128"/>
        </w:tabs>
        <w:ind w:left="0" w:right="3" w:firstLine="706"/>
        <w:rPr>
          <w:sz w:val="28"/>
          <w:lang w:val="en-US"/>
        </w:rPr>
      </w:pPr>
      <w:r>
        <w:rPr>
          <w:sz w:val="28"/>
          <w:lang w:val="en-US"/>
        </w:rPr>
        <w:t>Jaewoo Kwon et al. (2024). Perioperative textbook outcomes of minimally invasive</w:t>
      </w:r>
      <w:r>
        <w:rPr>
          <w:spacing w:val="40"/>
          <w:sz w:val="28"/>
          <w:lang w:val="en-US"/>
        </w:rPr>
        <w:t xml:space="preserve"> </w:t>
      </w:r>
      <w:r>
        <w:rPr>
          <w:sz w:val="28"/>
          <w:lang w:val="en-US"/>
        </w:rPr>
        <w:t>pancreatoduodenectomy:</w:t>
      </w:r>
      <w:r>
        <w:rPr>
          <w:spacing w:val="40"/>
          <w:sz w:val="28"/>
          <w:lang w:val="en-US"/>
        </w:rPr>
        <w:t xml:space="preserve"> </w:t>
      </w:r>
      <w:r>
        <w:rPr>
          <w:sz w:val="28"/>
          <w:lang w:val="en-US"/>
        </w:rPr>
        <w:t>a</w:t>
      </w:r>
      <w:r>
        <w:rPr>
          <w:spacing w:val="40"/>
          <w:sz w:val="28"/>
          <w:lang w:val="en-US"/>
        </w:rPr>
        <w:t xml:space="preserve"> </w:t>
      </w:r>
      <w:r>
        <w:rPr>
          <w:sz w:val="28"/>
          <w:lang w:val="en-US"/>
        </w:rPr>
        <w:t>multicenter</w:t>
      </w:r>
      <w:r>
        <w:rPr>
          <w:spacing w:val="40"/>
          <w:sz w:val="28"/>
          <w:lang w:val="en-US"/>
        </w:rPr>
        <w:t xml:space="preserve"> </w:t>
      </w:r>
      <w:r>
        <w:rPr>
          <w:sz w:val="28"/>
          <w:lang w:val="en-US"/>
        </w:rPr>
        <w:t>retrospective</w:t>
      </w:r>
      <w:r>
        <w:rPr>
          <w:spacing w:val="40"/>
          <w:sz w:val="28"/>
          <w:lang w:val="en-US"/>
        </w:rPr>
        <w:t xml:space="preserve"> </w:t>
      </w:r>
      <w:r>
        <w:rPr>
          <w:sz w:val="28"/>
          <w:lang w:val="en-US"/>
        </w:rPr>
        <w:t>cohort</w:t>
      </w:r>
      <w:r>
        <w:rPr>
          <w:spacing w:val="40"/>
          <w:sz w:val="28"/>
          <w:lang w:val="en-US"/>
        </w:rPr>
        <w:t xml:space="preserve"> </w:t>
      </w:r>
      <w:r>
        <w:rPr>
          <w:sz w:val="28"/>
          <w:lang w:val="en-US"/>
        </w:rPr>
        <w:t>analysis</w:t>
      </w:r>
      <w:r>
        <w:rPr>
          <w:spacing w:val="40"/>
          <w:sz w:val="28"/>
          <w:lang w:val="en-US"/>
        </w:rPr>
        <w:t xml:space="preserve"> </w:t>
      </w:r>
      <w:r>
        <w:rPr>
          <w:sz w:val="28"/>
          <w:lang w:val="en-US"/>
        </w:rPr>
        <w:t>in</w:t>
      </w:r>
      <w:r>
        <w:rPr>
          <w:spacing w:val="40"/>
          <w:sz w:val="28"/>
          <w:lang w:val="en-US"/>
        </w:rPr>
        <w:t xml:space="preserve"> </w:t>
      </w:r>
      <w:r>
        <w:rPr>
          <w:sz w:val="28"/>
          <w:lang w:val="en-US"/>
        </w:rPr>
        <w:t>a</w:t>
      </w:r>
    </w:p>
    <w:p w14:paraId="1C07F6A3">
      <w:pPr>
        <w:pStyle w:val="7"/>
        <w:spacing w:before="67"/>
        <w:ind w:left="0" w:right="3" w:firstLine="0"/>
        <w:rPr>
          <w:lang w:val="en-US"/>
        </w:rPr>
      </w:pPr>
      <w:r>
        <w:rPr>
          <w:lang w:val="en-US"/>
        </w:rPr>
        <w:t>Korean</w:t>
      </w:r>
      <w:r>
        <w:rPr>
          <w:spacing w:val="-18"/>
          <w:lang w:val="en-US"/>
        </w:rPr>
        <w:t xml:space="preserve"> </w:t>
      </w:r>
      <w:r>
        <w:rPr>
          <w:lang w:val="en-US"/>
        </w:rPr>
        <w:t>minimally</w:t>
      </w:r>
      <w:r>
        <w:rPr>
          <w:spacing w:val="-17"/>
          <w:lang w:val="en-US"/>
        </w:rPr>
        <w:t xml:space="preserve"> </w:t>
      </w:r>
      <w:r>
        <w:rPr>
          <w:lang w:val="en-US"/>
        </w:rPr>
        <w:t>invasive</w:t>
      </w:r>
      <w:r>
        <w:rPr>
          <w:spacing w:val="-16"/>
          <w:lang w:val="en-US"/>
        </w:rPr>
        <w:t xml:space="preserve"> </w:t>
      </w:r>
      <w:r>
        <w:rPr>
          <w:lang w:val="en-US"/>
        </w:rPr>
        <w:t>pancreatic</w:t>
      </w:r>
      <w:r>
        <w:rPr>
          <w:spacing w:val="-15"/>
          <w:lang w:val="en-US"/>
        </w:rPr>
        <w:t xml:space="preserve"> </w:t>
      </w:r>
      <w:r>
        <w:rPr>
          <w:lang w:val="en-US"/>
        </w:rPr>
        <w:t>surgery</w:t>
      </w:r>
      <w:r>
        <w:rPr>
          <w:spacing w:val="-18"/>
          <w:lang w:val="en-US"/>
        </w:rPr>
        <w:t xml:space="preserve"> </w:t>
      </w:r>
      <w:r>
        <w:rPr>
          <w:lang w:val="en-US"/>
        </w:rPr>
        <w:t>registry</w:t>
      </w:r>
      <w:r>
        <w:rPr>
          <w:spacing w:val="-16"/>
          <w:lang w:val="en-US"/>
        </w:rPr>
        <w:t xml:space="preserve"> </w:t>
      </w:r>
      <w:r>
        <w:rPr>
          <w:lang w:val="en-US"/>
        </w:rPr>
        <w:t>International</w:t>
      </w:r>
      <w:r>
        <w:rPr>
          <w:spacing w:val="-18"/>
          <w:lang w:val="en-US"/>
        </w:rPr>
        <w:t xml:space="preserve"> </w:t>
      </w:r>
      <w:r>
        <w:rPr>
          <w:lang w:val="en-US"/>
        </w:rPr>
        <w:t>Journal</w:t>
      </w:r>
      <w:r>
        <w:rPr>
          <w:spacing w:val="-17"/>
          <w:lang w:val="en-US"/>
        </w:rPr>
        <w:t xml:space="preserve"> </w:t>
      </w:r>
      <w:r>
        <w:rPr>
          <w:lang w:val="en-US"/>
        </w:rPr>
        <w:t>of</w:t>
      </w:r>
      <w:r>
        <w:rPr>
          <w:spacing w:val="-18"/>
          <w:lang w:val="en-US"/>
        </w:rPr>
        <w:t xml:space="preserve"> </w:t>
      </w:r>
      <w:r>
        <w:rPr>
          <w:lang w:val="en-US"/>
        </w:rPr>
        <w:t>Surgery.-</w:t>
      </w:r>
      <w:r>
        <w:rPr>
          <w:spacing w:val="-2"/>
          <w:lang w:val="en-US"/>
        </w:rPr>
        <w:t>2024.</w:t>
      </w:r>
    </w:p>
    <w:p w14:paraId="788D8DE6">
      <w:pPr>
        <w:pStyle w:val="10"/>
        <w:numPr>
          <w:ilvl w:val="0"/>
          <w:numId w:val="29"/>
        </w:numPr>
        <w:tabs>
          <w:tab w:val="left" w:pos="1128"/>
        </w:tabs>
        <w:spacing w:line="242" w:lineRule="auto"/>
        <w:ind w:left="0" w:right="3" w:firstLine="709"/>
        <w:rPr>
          <w:sz w:val="28"/>
          <w:lang w:val="en-US"/>
        </w:rPr>
      </w:pPr>
      <w:r>
        <w:rPr>
          <w:sz w:val="28"/>
          <w:lang w:val="en-US"/>
        </w:rPr>
        <w:t>Wang M. et al. Short-Term Outcomes Following Laparoscopic vs Open Pancreaticoduodenectomy in Patients With Pancreatic Ductal Adenocarcinoma: A Randomized Clinical Trial. //JAMA Surg.- 2023.- №158(12).-</w:t>
      </w:r>
      <w:r>
        <w:rPr>
          <w:sz w:val="28"/>
          <w:lang w:val="kk-KZ"/>
        </w:rPr>
        <w:t xml:space="preserve"> </w:t>
      </w:r>
      <w:r>
        <w:rPr>
          <w:sz w:val="28"/>
        </w:rPr>
        <w:t>Р</w:t>
      </w:r>
      <w:r>
        <w:rPr>
          <w:sz w:val="28"/>
          <w:lang w:val="en-US"/>
        </w:rPr>
        <w:t>.1245–1253.</w:t>
      </w:r>
    </w:p>
    <w:p w14:paraId="6989A3B8">
      <w:pPr>
        <w:pStyle w:val="10"/>
        <w:numPr>
          <w:ilvl w:val="0"/>
          <w:numId w:val="29"/>
        </w:numPr>
        <w:tabs>
          <w:tab w:val="left" w:pos="1128"/>
        </w:tabs>
        <w:ind w:left="0" w:right="3" w:firstLine="709"/>
        <w:rPr>
          <w:sz w:val="28"/>
          <w:lang w:val="en-US"/>
        </w:rPr>
      </w:pPr>
      <w:r>
        <w:rPr>
          <w:sz w:val="28"/>
          <w:lang w:val="en-US"/>
        </w:rPr>
        <w:t>Sheetz KH. et al. Association of Surgeon Case Numbers of Pancreaticoduodenectomies vs Related Procedures With Patient Outcomes to Inform Volume-Based Credentialing. //JAMA Netw Open. -2020.- №3(4).-</w:t>
      </w:r>
      <w:r>
        <w:rPr>
          <w:sz w:val="28"/>
        </w:rPr>
        <w:t>Р</w:t>
      </w:r>
      <w:r>
        <w:rPr>
          <w:sz w:val="28"/>
          <w:lang w:val="en-US"/>
        </w:rPr>
        <w:t>.203-850.</w:t>
      </w:r>
    </w:p>
    <w:p w14:paraId="605AAAB9">
      <w:pPr>
        <w:pStyle w:val="10"/>
        <w:numPr>
          <w:ilvl w:val="0"/>
          <w:numId w:val="29"/>
        </w:numPr>
        <w:tabs>
          <w:tab w:val="left" w:pos="1128"/>
        </w:tabs>
        <w:ind w:left="0" w:right="3" w:firstLine="709"/>
        <w:rPr>
          <w:sz w:val="28"/>
        </w:rPr>
      </w:pPr>
      <w:r>
        <w:rPr>
          <w:sz w:val="28"/>
          <w:lang w:val="en-US"/>
        </w:rPr>
        <w:t>Augustinus</w:t>
      </w:r>
      <w:r>
        <w:rPr>
          <w:spacing w:val="-7"/>
          <w:sz w:val="28"/>
          <w:lang w:val="en-US"/>
        </w:rPr>
        <w:t xml:space="preserve"> </w:t>
      </w:r>
      <w:r>
        <w:rPr>
          <w:sz w:val="28"/>
          <w:lang w:val="en-US"/>
        </w:rPr>
        <w:t>S.,</w:t>
      </w:r>
      <w:r>
        <w:rPr>
          <w:spacing w:val="-7"/>
          <w:sz w:val="28"/>
          <w:lang w:val="en-US"/>
        </w:rPr>
        <w:t xml:space="preserve"> </w:t>
      </w:r>
      <w:r>
        <w:rPr>
          <w:sz w:val="28"/>
          <w:lang w:val="en-US"/>
        </w:rPr>
        <w:t>et</w:t>
      </w:r>
      <w:r>
        <w:rPr>
          <w:spacing w:val="-14"/>
          <w:sz w:val="28"/>
          <w:lang w:val="en-US"/>
        </w:rPr>
        <w:t xml:space="preserve"> </w:t>
      </w:r>
      <w:r>
        <w:rPr>
          <w:sz w:val="28"/>
          <w:lang w:val="en-US"/>
        </w:rPr>
        <w:t>al.</w:t>
      </w:r>
      <w:r>
        <w:rPr>
          <w:spacing w:val="-7"/>
          <w:sz w:val="28"/>
          <w:lang w:val="en-US"/>
        </w:rPr>
        <w:t xml:space="preserve"> </w:t>
      </w:r>
      <w:r>
        <w:rPr>
          <w:sz w:val="28"/>
          <w:lang w:val="en-US"/>
        </w:rPr>
        <w:t>Ideal</w:t>
      </w:r>
      <w:r>
        <w:rPr>
          <w:spacing w:val="-14"/>
          <w:sz w:val="28"/>
          <w:lang w:val="en-US"/>
        </w:rPr>
        <w:t xml:space="preserve"> </w:t>
      </w:r>
      <w:r>
        <w:rPr>
          <w:sz w:val="28"/>
          <w:lang w:val="en-US"/>
        </w:rPr>
        <w:t>Outcome</w:t>
      </w:r>
      <w:r>
        <w:rPr>
          <w:spacing w:val="-9"/>
          <w:sz w:val="28"/>
          <w:lang w:val="en-US"/>
        </w:rPr>
        <w:t xml:space="preserve"> </w:t>
      </w:r>
      <w:r>
        <w:rPr>
          <w:sz w:val="28"/>
          <w:lang w:val="en-US"/>
        </w:rPr>
        <w:t>After</w:t>
      </w:r>
      <w:r>
        <w:rPr>
          <w:spacing w:val="-10"/>
          <w:sz w:val="28"/>
          <w:lang w:val="en-US"/>
        </w:rPr>
        <w:t xml:space="preserve"> </w:t>
      </w:r>
      <w:r>
        <w:rPr>
          <w:sz w:val="28"/>
          <w:lang w:val="en-US"/>
        </w:rPr>
        <w:t>Pancreatoduodenectomy:</w:t>
      </w:r>
      <w:r>
        <w:rPr>
          <w:spacing w:val="-5"/>
          <w:sz w:val="28"/>
          <w:lang w:val="en-US"/>
        </w:rPr>
        <w:t xml:space="preserve"> </w:t>
      </w:r>
      <w:r>
        <w:rPr>
          <w:sz w:val="28"/>
          <w:lang w:val="en-US"/>
        </w:rPr>
        <w:t xml:space="preserve">A Transatlantic Evaluation of a Harmonized Composite Outcome Measure. Annals of Surgery.-2023.- № </w:t>
      </w:r>
      <w:r>
        <w:rPr>
          <w:sz w:val="28"/>
        </w:rPr>
        <w:t>278(5).-Р. 740-747.</w:t>
      </w:r>
    </w:p>
    <w:p w14:paraId="11547618">
      <w:pPr>
        <w:pStyle w:val="10"/>
        <w:numPr>
          <w:ilvl w:val="0"/>
          <w:numId w:val="29"/>
        </w:numPr>
        <w:tabs>
          <w:tab w:val="left" w:pos="1128"/>
        </w:tabs>
        <w:ind w:left="0" w:right="3" w:firstLine="706"/>
        <w:rPr>
          <w:sz w:val="28"/>
        </w:rPr>
      </w:pPr>
      <w:r>
        <w:rPr>
          <w:sz w:val="28"/>
          <w:lang w:val="en-US"/>
        </w:rPr>
        <w:t>Gleeson</w:t>
      </w:r>
      <w:r>
        <w:rPr>
          <w:spacing w:val="-12"/>
          <w:sz w:val="28"/>
          <w:lang w:val="en-US"/>
        </w:rPr>
        <w:t xml:space="preserve"> </w:t>
      </w:r>
      <w:r>
        <w:rPr>
          <w:sz w:val="28"/>
          <w:lang w:val="en-US"/>
        </w:rPr>
        <w:t>Elizabeth</w:t>
      </w:r>
      <w:r>
        <w:rPr>
          <w:spacing w:val="-18"/>
          <w:sz w:val="28"/>
          <w:lang w:val="en-US"/>
        </w:rPr>
        <w:t xml:space="preserve"> </w:t>
      </w:r>
      <w:r>
        <w:rPr>
          <w:sz w:val="28"/>
          <w:lang w:val="en-US"/>
        </w:rPr>
        <w:t>M.</w:t>
      </w:r>
      <w:r>
        <w:rPr>
          <w:spacing w:val="-7"/>
          <w:sz w:val="28"/>
          <w:lang w:val="en-US"/>
        </w:rPr>
        <w:t xml:space="preserve"> </w:t>
      </w:r>
      <w:r>
        <w:rPr>
          <w:sz w:val="28"/>
          <w:lang w:val="en-US"/>
        </w:rPr>
        <w:t>et</w:t>
      </w:r>
      <w:r>
        <w:rPr>
          <w:spacing w:val="-15"/>
          <w:sz w:val="28"/>
          <w:lang w:val="en-US"/>
        </w:rPr>
        <w:t xml:space="preserve"> </w:t>
      </w:r>
      <w:r>
        <w:rPr>
          <w:sz w:val="28"/>
          <w:lang w:val="en-US"/>
        </w:rPr>
        <w:t>al.</w:t>
      </w:r>
      <w:r>
        <w:rPr>
          <w:spacing w:val="-2"/>
          <w:sz w:val="28"/>
          <w:lang w:val="en-US"/>
        </w:rPr>
        <w:t xml:space="preserve"> </w:t>
      </w:r>
      <w:r>
        <w:rPr>
          <w:sz w:val="28"/>
          <w:lang w:val="en-US"/>
        </w:rPr>
        <w:t>Failure</w:t>
      </w:r>
      <w:r>
        <w:rPr>
          <w:spacing w:val="-13"/>
          <w:sz w:val="28"/>
          <w:lang w:val="en-US"/>
        </w:rPr>
        <w:t xml:space="preserve"> </w:t>
      </w:r>
      <w:r>
        <w:rPr>
          <w:sz w:val="28"/>
          <w:lang w:val="en-US"/>
        </w:rPr>
        <w:t>to</w:t>
      </w:r>
      <w:r>
        <w:rPr>
          <w:spacing w:val="-10"/>
          <w:sz w:val="28"/>
          <w:lang w:val="en-US"/>
        </w:rPr>
        <w:t xml:space="preserve"> </w:t>
      </w:r>
      <w:r>
        <w:rPr>
          <w:sz w:val="28"/>
          <w:lang w:val="en-US"/>
        </w:rPr>
        <w:t>Rescue</w:t>
      </w:r>
      <w:r>
        <w:rPr>
          <w:spacing w:val="-9"/>
          <w:sz w:val="28"/>
          <w:lang w:val="en-US"/>
        </w:rPr>
        <w:t xml:space="preserve"> </w:t>
      </w:r>
      <w:r>
        <w:rPr>
          <w:sz w:val="28"/>
          <w:lang w:val="en-US"/>
        </w:rPr>
        <w:t>After</w:t>
      </w:r>
      <w:r>
        <w:rPr>
          <w:spacing w:val="-10"/>
          <w:sz w:val="28"/>
          <w:lang w:val="en-US"/>
        </w:rPr>
        <w:t xml:space="preserve"> </w:t>
      </w:r>
      <w:r>
        <w:rPr>
          <w:sz w:val="28"/>
          <w:lang w:val="en-US"/>
        </w:rPr>
        <w:t xml:space="preserve">Pancreatoduodenectomy: A Transatlantic Analysis. //Annals of Surgery.-2021.- </w:t>
      </w:r>
      <w:r>
        <w:rPr>
          <w:sz w:val="28"/>
        </w:rPr>
        <w:t>№274(3).-</w:t>
      </w:r>
      <w:r>
        <w:rPr>
          <w:sz w:val="28"/>
          <w:lang w:val="kk-KZ"/>
        </w:rPr>
        <w:t xml:space="preserve"> </w:t>
      </w:r>
      <w:r>
        <w:rPr>
          <w:sz w:val="28"/>
        </w:rPr>
        <w:t>Р.459-466.</w:t>
      </w:r>
    </w:p>
    <w:p w14:paraId="704325FF">
      <w:pPr>
        <w:pStyle w:val="10"/>
        <w:numPr>
          <w:ilvl w:val="0"/>
          <w:numId w:val="29"/>
        </w:numPr>
        <w:tabs>
          <w:tab w:val="left" w:pos="1128"/>
        </w:tabs>
        <w:ind w:left="0" w:right="3" w:firstLine="706"/>
        <w:rPr>
          <w:sz w:val="28"/>
          <w:lang w:val="en-US"/>
        </w:rPr>
      </w:pPr>
      <w:r>
        <w:rPr>
          <w:sz w:val="28"/>
          <w:lang w:val="en-US"/>
        </w:rPr>
        <w:t>Ji H.B. et al. Impact of enhanced recovery after surgery programs on pancreatic</w:t>
      </w:r>
      <w:r>
        <w:rPr>
          <w:spacing w:val="-8"/>
          <w:sz w:val="28"/>
          <w:lang w:val="en-US"/>
        </w:rPr>
        <w:t xml:space="preserve"> </w:t>
      </w:r>
      <w:r>
        <w:rPr>
          <w:sz w:val="28"/>
          <w:lang w:val="en-US"/>
        </w:rPr>
        <w:t>surgery:</w:t>
      </w:r>
      <w:r>
        <w:rPr>
          <w:spacing w:val="-14"/>
          <w:sz w:val="28"/>
          <w:lang w:val="en-US"/>
        </w:rPr>
        <w:t xml:space="preserve"> </w:t>
      </w:r>
      <w:r>
        <w:rPr>
          <w:sz w:val="28"/>
          <w:lang w:val="en-US"/>
        </w:rPr>
        <w:t>A</w:t>
      </w:r>
      <w:r>
        <w:rPr>
          <w:spacing w:val="-8"/>
          <w:sz w:val="28"/>
          <w:lang w:val="en-US"/>
        </w:rPr>
        <w:t xml:space="preserve"> </w:t>
      </w:r>
      <w:r>
        <w:rPr>
          <w:sz w:val="28"/>
          <w:lang w:val="en-US"/>
        </w:rPr>
        <w:t>meta-analysis</w:t>
      </w:r>
      <w:r>
        <w:rPr>
          <w:spacing w:val="-6"/>
          <w:sz w:val="28"/>
          <w:lang w:val="en-US"/>
        </w:rPr>
        <w:t xml:space="preserve"> </w:t>
      </w:r>
      <w:r>
        <w:rPr>
          <w:sz w:val="28"/>
          <w:lang w:val="en-US"/>
        </w:rPr>
        <w:t>//</w:t>
      </w:r>
      <w:r>
        <w:rPr>
          <w:spacing w:val="-8"/>
          <w:sz w:val="28"/>
          <w:lang w:val="en-US"/>
        </w:rPr>
        <w:t xml:space="preserve"> </w:t>
      </w:r>
      <w:r>
        <w:rPr>
          <w:sz w:val="28"/>
          <w:lang w:val="en-US"/>
        </w:rPr>
        <w:t>World</w:t>
      </w:r>
      <w:r>
        <w:rPr>
          <w:spacing w:val="-9"/>
          <w:sz w:val="28"/>
          <w:lang w:val="en-US"/>
        </w:rPr>
        <w:t xml:space="preserve"> </w:t>
      </w:r>
      <w:r>
        <w:rPr>
          <w:sz w:val="28"/>
          <w:lang w:val="en-US"/>
        </w:rPr>
        <w:t>Journal</w:t>
      </w:r>
      <w:r>
        <w:rPr>
          <w:spacing w:val="-14"/>
          <w:sz w:val="28"/>
          <w:lang w:val="en-US"/>
        </w:rPr>
        <w:t xml:space="preserve"> </w:t>
      </w:r>
      <w:r>
        <w:rPr>
          <w:sz w:val="28"/>
          <w:lang w:val="en-US"/>
        </w:rPr>
        <w:t>of</w:t>
      </w:r>
      <w:r>
        <w:rPr>
          <w:spacing w:val="-15"/>
          <w:sz w:val="28"/>
          <w:lang w:val="en-US"/>
        </w:rPr>
        <w:t xml:space="preserve"> </w:t>
      </w:r>
      <w:r>
        <w:rPr>
          <w:sz w:val="28"/>
          <w:lang w:val="en-US"/>
        </w:rPr>
        <w:t>Gastroenterology.</w:t>
      </w:r>
      <w:r>
        <w:rPr>
          <w:spacing w:val="-6"/>
          <w:sz w:val="28"/>
          <w:lang w:val="en-US"/>
        </w:rPr>
        <w:t xml:space="preserve"> </w:t>
      </w:r>
      <w:r>
        <w:rPr>
          <w:sz w:val="28"/>
          <w:lang w:val="en-US"/>
        </w:rPr>
        <w:t>-</w:t>
      </w:r>
      <w:r>
        <w:rPr>
          <w:spacing w:val="-8"/>
          <w:sz w:val="28"/>
          <w:lang w:val="en-US"/>
        </w:rPr>
        <w:t xml:space="preserve"> </w:t>
      </w:r>
      <w:r>
        <w:rPr>
          <w:sz w:val="28"/>
          <w:lang w:val="en-US"/>
        </w:rPr>
        <w:t>2018.</w:t>
      </w:r>
      <w:r>
        <w:rPr>
          <w:spacing w:val="-5"/>
          <w:sz w:val="28"/>
          <w:lang w:val="en-US"/>
        </w:rPr>
        <w:t xml:space="preserve"> </w:t>
      </w:r>
      <w:r>
        <w:rPr>
          <w:sz w:val="28"/>
          <w:lang w:val="en-US"/>
        </w:rPr>
        <w:t xml:space="preserve">- </w:t>
      </w:r>
      <w:r>
        <w:rPr>
          <w:sz w:val="28"/>
        </w:rPr>
        <w:t>Т</w:t>
      </w:r>
      <w:r>
        <w:rPr>
          <w:sz w:val="28"/>
          <w:lang w:val="en-US"/>
        </w:rPr>
        <w:t xml:space="preserve">. 24, № 15. - </w:t>
      </w:r>
      <w:r>
        <w:rPr>
          <w:sz w:val="28"/>
        </w:rPr>
        <w:t>Р</w:t>
      </w:r>
      <w:r>
        <w:rPr>
          <w:sz w:val="28"/>
          <w:lang w:val="en-US"/>
        </w:rPr>
        <w:t>. 1666–1678.</w:t>
      </w:r>
    </w:p>
    <w:p w14:paraId="5B159914">
      <w:pPr>
        <w:pStyle w:val="10"/>
        <w:numPr>
          <w:ilvl w:val="0"/>
          <w:numId w:val="29"/>
        </w:numPr>
        <w:tabs>
          <w:tab w:val="left" w:pos="1128"/>
        </w:tabs>
        <w:spacing w:line="242" w:lineRule="auto"/>
        <w:ind w:left="0" w:right="3" w:firstLine="706"/>
        <w:rPr>
          <w:sz w:val="28"/>
          <w:lang w:val="en-US"/>
        </w:rPr>
      </w:pPr>
      <w:r>
        <w:rPr>
          <w:sz w:val="28"/>
          <w:lang w:val="en-US"/>
        </w:rPr>
        <w:t>Kuemmerli C. et al. Impact of enhanced recovery protocols after pancreatoduodenectomy: meta-analysis // BJS.-2022.- №109.-</w:t>
      </w:r>
      <w:r>
        <w:rPr>
          <w:sz w:val="28"/>
          <w:lang w:val="kk-KZ"/>
        </w:rPr>
        <w:t xml:space="preserve"> </w:t>
      </w:r>
      <w:r>
        <w:rPr>
          <w:sz w:val="28"/>
        </w:rPr>
        <w:t>Р</w:t>
      </w:r>
      <w:r>
        <w:rPr>
          <w:sz w:val="28"/>
          <w:lang w:val="en-US"/>
        </w:rPr>
        <w:t>.256–266.</w:t>
      </w:r>
    </w:p>
    <w:p w14:paraId="669E6E67">
      <w:pPr>
        <w:pStyle w:val="10"/>
        <w:numPr>
          <w:ilvl w:val="0"/>
          <w:numId w:val="29"/>
        </w:numPr>
        <w:tabs>
          <w:tab w:val="left" w:pos="1128"/>
          <w:tab w:val="left" w:pos="2803"/>
          <w:tab w:val="left" w:pos="4487"/>
          <w:tab w:val="left" w:pos="4693"/>
          <w:tab w:val="left" w:pos="6454"/>
          <w:tab w:val="left" w:pos="8335"/>
          <w:tab w:val="left" w:pos="8830"/>
        </w:tabs>
        <w:ind w:left="0" w:right="3" w:firstLine="706"/>
        <w:rPr>
          <w:sz w:val="28"/>
        </w:rPr>
      </w:pPr>
      <w:r>
        <w:rPr>
          <w:sz w:val="28"/>
        </w:rPr>
        <w:t xml:space="preserve">Далгатов К.Д. et al. Оценка безопасности протокола ускоренного </w:t>
      </w:r>
      <w:r>
        <w:rPr>
          <w:spacing w:val="-2"/>
          <w:sz w:val="28"/>
        </w:rPr>
        <w:t>восстановления</w:t>
      </w:r>
      <w:r>
        <w:rPr>
          <w:sz w:val="28"/>
        </w:rPr>
        <w:tab/>
      </w:r>
      <w:r>
        <w:rPr>
          <w:spacing w:val="-2"/>
          <w:sz w:val="28"/>
        </w:rPr>
        <w:t>(ERAS)</w:t>
      </w:r>
      <w:r>
        <w:rPr>
          <w:sz w:val="28"/>
        </w:rPr>
        <w:tab/>
      </w:r>
      <w:r>
        <w:rPr>
          <w:sz w:val="28"/>
        </w:rPr>
        <w:t>в лечении</w:t>
      </w:r>
      <w:r>
        <w:rPr>
          <w:sz w:val="28"/>
        </w:rPr>
        <w:tab/>
      </w:r>
      <w:r>
        <w:rPr>
          <w:spacing w:val="-2"/>
          <w:sz w:val="28"/>
        </w:rPr>
        <w:t>больных,</w:t>
      </w:r>
      <w:r>
        <w:rPr>
          <w:sz w:val="28"/>
        </w:rPr>
        <w:t xml:space="preserve"> </w:t>
      </w:r>
      <w:r>
        <w:rPr>
          <w:spacing w:val="-2"/>
          <w:sz w:val="28"/>
        </w:rPr>
        <w:t>перенесших панкреатодуоденальну</w:t>
      </w:r>
      <w:r>
        <w:rPr>
          <w:sz w:val="28"/>
        </w:rPr>
        <w:tab/>
      </w:r>
      <w:r>
        <w:rPr>
          <w:sz w:val="28"/>
        </w:rPr>
        <w:t>резекцию</w:t>
      </w:r>
      <w:r>
        <w:rPr>
          <w:sz w:val="28"/>
          <w:lang w:val="kk-KZ"/>
        </w:rPr>
        <w:t xml:space="preserve"> </w:t>
      </w:r>
      <w:r>
        <w:rPr>
          <w:sz w:val="28"/>
        </w:rPr>
        <w:t xml:space="preserve">// Хирургия. </w:t>
      </w:r>
      <w:r>
        <w:rPr>
          <w:spacing w:val="-2"/>
          <w:sz w:val="28"/>
        </w:rPr>
        <w:t xml:space="preserve">Журнал </w:t>
      </w:r>
      <w:r>
        <w:rPr>
          <w:sz w:val="28"/>
        </w:rPr>
        <w:t>им. Н.И. Пирогова. -2021.- №(11).-</w:t>
      </w:r>
      <w:r>
        <w:rPr>
          <w:sz w:val="28"/>
          <w:lang w:val="kk-KZ"/>
        </w:rPr>
        <w:t xml:space="preserve"> </w:t>
      </w:r>
      <w:r>
        <w:rPr>
          <w:sz w:val="28"/>
        </w:rPr>
        <w:t>Р.19-26.</w:t>
      </w:r>
    </w:p>
    <w:p w14:paraId="66FE52F6">
      <w:pPr>
        <w:pStyle w:val="10"/>
        <w:numPr>
          <w:ilvl w:val="0"/>
          <w:numId w:val="29"/>
        </w:numPr>
        <w:tabs>
          <w:tab w:val="left" w:pos="1128"/>
        </w:tabs>
        <w:ind w:left="0" w:right="3" w:firstLine="706"/>
        <w:rPr>
          <w:sz w:val="28"/>
          <w:lang w:val="en-US"/>
        </w:rPr>
      </w:pPr>
      <w:r>
        <w:rPr>
          <w:sz w:val="28"/>
          <w:lang w:val="en-US"/>
        </w:rPr>
        <w:t>Nickel F. et al. Laparoscopic Versus Open Pancreaticoduodenectomy: A Systematic Review and Meta-analysis of Randomized Controlled Trials</w:t>
      </w:r>
      <w:r>
        <w:rPr>
          <w:sz w:val="28"/>
          <w:lang w:val="kk-KZ"/>
        </w:rPr>
        <w:t xml:space="preserve"> </w:t>
      </w:r>
      <w:r>
        <w:rPr>
          <w:sz w:val="28"/>
          <w:lang w:val="en-US"/>
        </w:rPr>
        <w:t>//</w:t>
      </w:r>
      <w:r>
        <w:rPr>
          <w:sz w:val="28"/>
          <w:lang w:val="kk-KZ"/>
        </w:rPr>
        <w:t xml:space="preserve"> </w:t>
      </w:r>
      <w:r>
        <w:rPr>
          <w:sz w:val="28"/>
          <w:lang w:val="en-US"/>
        </w:rPr>
        <w:t>Annals of Surgery .-2020.- №271(1).-</w:t>
      </w:r>
      <w:r>
        <w:rPr>
          <w:sz w:val="28"/>
          <w:lang w:val="kk-KZ"/>
        </w:rPr>
        <w:t xml:space="preserve"> </w:t>
      </w:r>
      <w:r>
        <w:rPr>
          <w:sz w:val="28"/>
        </w:rPr>
        <w:t>Р</w:t>
      </w:r>
      <w:r>
        <w:rPr>
          <w:sz w:val="28"/>
          <w:lang w:val="en-US"/>
        </w:rPr>
        <w:t>. 54-66.</w:t>
      </w:r>
    </w:p>
    <w:p w14:paraId="45C196A3">
      <w:pPr>
        <w:pStyle w:val="10"/>
        <w:numPr>
          <w:ilvl w:val="0"/>
          <w:numId w:val="29"/>
        </w:numPr>
        <w:tabs>
          <w:tab w:val="left" w:pos="1128"/>
        </w:tabs>
        <w:ind w:left="0" w:right="3" w:firstLine="706"/>
        <w:rPr>
          <w:sz w:val="28"/>
          <w:lang w:val="en-US"/>
        </w:rPr>
      </w:pPr>
      <w:r>
        <w:rPr>
          <w:sz w:val="28"/>
          <w:lang w:val="en-US"/>
        </w:rPr>
        <w:t>Matthias Pfister et al. Minimally invasive</w:t>
      </w:r>
      <w:r>
        <w:rPr>
          <w:spacing w:val="-1"/>
          <w:sz w:val="28"/>
          <w:lang w:val="en-US"/>
        </w:rPr>
        <w:t xml:space="preserve"> </w:t>
      </w:r>
      <w:r>
        <w:rPr>
          <w:sz w:val="28"/>
          <w:lang w:val="en-US"/>
        </w:rPr>
        <w:t>versus</w:t>
      </w:r>
      <w:r>
        <w:rPr>
          <w:spacing w:val="-1"/>
          <w:sz w:val="28"/>
          <w:lang w:val="en-US"/>
        </w:rPr>
        <w:t xml:space="preserve"> </w:t>
      </w:r>
      <w:r>
        <w:rPr>
          <w:sz w:val="28"/>
          <w:lang w:val="en-US"/>
        </w:rPr>
        <w:t>open pancreatic surgery: meta-analysis</w:t>
      </w:r>
      <w:r>
        <w:rPr>
          <w:spacing w:val="-1"/>
          <w:sz w:val="28"/>
          <w:lang w:val="en-US"/>
        </w:rPr>
        <w:t xml:space="preserve"> </w:t>
      </w:r>
      <w:r>
        <w:rPr>
          <w:sz w:val="28"/>
          <w:lang w:val="en-US"/>
        </w:rPr>
        <w:t>of</w:t>
      </w:r>
      <w:r>
        <w:rPr>
          <w:spacing w:val="-9"/>
          <w:sz w:val="28"/>
          <w:lang w:val="en-US"/>
        </w:rPr>
        <w:t xml:space="preserve"> </w:t>
      </w:r>
      <w:r>
        <w:rPr>
          <w:sz w:val="28"/>
          <w:lang w:val="en-US"/>
        </w:rPr>
        <w:t>randomized</w:t>
      </w:r>
      <w:r>
        <w:rPr>
          <w:spacing w:val="-3"/>
          <w:sz w:val="28"/>
          <w:lang w:val="en-US"/>
        </w:rPr>
        <w:t xml:space="preserve"> </w:t>
      </w:r>
      <w:r>
        <w:rPr>
          <w:sz w:val="28"/>
          <w:lang w:val="en-US"/>
        </w:rPr>
        <w:t>clinical</w:t>
      </w:r>
      <w:r>
        <w:rPr>
          <w:spacing w:val="-8"/>
          <w:sz w:val="28"/>
          <w:lang w:val="en-US"/>
        </w:rPr>
        <w:t xml:space="preserve"> </w:t>
      </w:r>
      <w:r>
        <w:rPr>
          <w:sz w:val="28"/>
          <w:lang w:val="en-US"/>
        </w:rPr>
        <w:t>trials, BJS</w:t>
      </w:r>
      <w:r>
        <w:rPr>
          <w:spacing w:val="-4"/>
          <w:sz w:val="28"/>
          <w:lang w:val="en-US"/>
        </w:rPr>
        <w:t xml:space="preserve"> </w:t>
      </w:r>
      <w:r>
        <w:rPr>
          <w:sz w:val="28"/>
          <w:lang w:val="en-US"/>
        </w:rPr>
        <w:t>Open, 2023.-Vol.</w:t>
      </w:r>
      <w:r>
        <w:rPr>
          <w:spacing w:val="-2"/>
          <w:sz w:val="28"/>
          <w:lang w:val="en-US"/>
        </w:rPr>
        <w:t xml:space="preserve"> </w:t>
      </w:r>
      <w:r>
        <w:rPr>
          <w:sz w:val="28"/>
          <w:lang w:val="en-US"/>
        </w:rPr>
        <w:t>7, №</w:t>
      </w:r>
      <w:r>
        <w:rPr>
          <w:spacing w:val="-2"/>
          <w:sz w:val="28"/>
          <w:lang w:val="en-US"/>
        </w:rPr>
        <w:t xml:space="preserve"> </w:t>
      </w:r>
      <w:r>
        <w:rPr>
          <w:sz w:val="28"/>
          <w:lang w:val="en-US"/>
        </w:rPr>
        <w:t xml:space="preserve">2.- </w:t>
      </w:r>
      <w:r>
        <w:rPr>
          <w:spacing w:val="-2"/>
          <w:sz w:val="28"/>
          <w:lang w:val="en-US"/>
        </w:rPr>
        <w:t xml:space="preserve">7 </w:t>
      </w:r>
      <w:r>
        <w:rPr>
          <w:spacing w:val="-2"/>
          <w:sz w:val="28"/>
        </w:rPr>
        <w:t>р</w:t>
      </w:r>
      <w:r>
        <w:rPr>
          <w:spacing w:val="-2"/>
          <w:sz w:val="28"/>
          <w:lang w:val="en-US"/>
        </w:rPr>
        <w:t>.</w:t>
      </w:r>
    </w:p>
    <w:p w14:paraId="2EBCBAF1">
      <w:pPr>
        <w:pStyle w:val="10"/>
        <w:numPr>
          <w:ilvl w:val="0"/>
          <w:numId w:val="29"/>
        </w:numPr>
        <w:tabs>
          <w:tab w:val="left" w:pos="1128"/>
        </w:tabs>
        <w:spacing w:line="242" w:lineRule="auto"/>
        <w:ind w:left="0" w:right="3" w:firstLine="706"/>
        <w:rPr>
          <w:sz w:val="28"/>
        </w:rPr>
      </w:pPr>
      <w:r>
        <w:rPr>
          <w:sz w:val="28"/>
        </w:rPr>
        <w:t>Нурланбаев</w:t>
      </w:r>
      <w:r>
        <w:rPr>
          <w:sz w:val="28"/>
          <w:lang w:val="en-US"/>
        </w:rPr>
        <w:t xml:space="preserve"> </w:t>
      </w:r>
      <w:r>
        <w:rPr>
          <w:sz w:val="28"/>
        </w:rPr>
        <w:t>Е</w:t>
      </w:r>
      <w:r>
        <w:rPr>
          <w:sz w:val="28"/>
          <w:lang w:val="en-US"/>
        </w:rPr>
        <w:t>.</w:t>
      </w:r>
      <w:r>
        <w:rPr>
          <w:sz w:val="28"/>
        </w:rPr>
        <w:t>К</w:t>
      </w:r>
      <w:r>
        <w:rPr>
          <w:sz w:val="28"/>
          <w:lang w:val="en-US"/>
        </w:rPr>
        <w:t xml:space="preserve">. et al. </w:t>
      </w:r>
      <w:r>
        <w:rPr>
          <w:sz w:val="28"/>
        </w:rPr>
        <w:t>Анализ хирургических методов резекции хвоста поджелудочной железы при раке</w:t>
      </w:r>
      <w:r>
        <w:rPr>
          <w:spacing w:val="40"/>
          <w:sz w:val="28"/>
        </w:rPr>
        <w:t xml:space="preserve"> </w:t>
      </w:r>
      <w:r>
        <w:rPr>
          <w:sz w:val="28"/>
        </w:rPr>
        <w:t xml:space="preserve">// Вестник КазНМУ №2 (65) – 2023. - С. 22– </w:t>
      </w:r>
      <w:r>
        <w:rPr>
          <w:spacing w:val="-4"/>
          <w:sz w:val="28"/>
        </w:rPr>
        <w:t>31.</w:t>
      </w:r>
    </w:p>
    <w:p w14:paraId="195C6D38">
      <w:pPr>
        <w:pStyle w:val="10"/>
        <w:numPr>
          <w:ilvl w:val="0"/>
          <w:numId w:val="29"/>
        </w:numPr>
        <w:tabs>
          <w:tab w:val="left" w:pos="1129"/>
        </w:tabs>
        <w:spacing w:line="303" w:lineRule="exact"/>
        <w:ind w:left="0" w:right="3" w:firstLine="706"/>
        <w:rPr>
          <w:spacing w:val="-2"/>
          <w:sz w:val="28"/>
        </w:rPr>
      </w:pPr>
      <w:r>
        <w:rPr>
          <w:sz w:val="28"/>
        </w:rPr>
        <w:t>Клинический</w:t>
      </w:r>
      <w:r>
        <w:rPr>
          <w:spacing w:val="76"/>
          <w:w w:val="150"/>
          <w:sz w:val="28"/>
        </w:rPr>
        <w:t xml:space="preserve"> </w:t>
      </w:r>
      <w:r>
        <w:rPr>
          <w:sz w:val="28"/>
        </w:rPr>
        <w:t>протокол</w:t>
      </w:r>
      <w:r>
        <w:rPr>
          <w:spacing w:val="76"/>
          <w:w w:val="150"/>
          <w:sz w:val="28"/>
        </w:rPr>
        <w:t xml:space="preserve"> </w:t>
      </w:r>
      <w:r>
        <w:rPr>
          <w:sz w:val="28"/>
        </w:rPr>
        <w:t>Министерства</w:t>
      </w:r>
      <w:r>
        <w:rPr>
          <w:spacing w:val="23"/>
          <w:sz w:val="28"/>
        </w:rPr>
        <w:t xml:space="preserve">  </w:t>
      </w:r>
      <w:r>
        <w:rPr>
          <w:spacing w:val="-2"/>
          <w:sz w:val="28"/>
        </w:rPr>
        <w:t xml:space="preserve">здравоохранения Республики Казахстан </w:t>
      </w:r>
      <w:r>
        <w:t>«</w:t>
      </w:r>
      <w:r>
        <w:rPr>
          <w:spacing w:val="-2"/>
          <w:sz w:val="28"/>
        </w:rPr>
        <w:t xml:space="preserve">Рак поджелудочной железы». - Астана, 2023. </w:t>
      </w:r>
    </w:p>
    <w:p w14:paraId="09D6C3A1">
      <w:pPr>
        <w:pStyle w:val="10"/>
        <w:numPr>
          <w:ilvl w:val="0"/>
          <w:numId w:val="29"/>
        </w:numPr>
        <w:tabs>
          <w:tab w:val="left" w:pos="1128"/>
        </w:tabs>
        <w:ind w:left="0" w:right="3" w:firstLine="706"/>
        <w:rPr>
          <w:sz w:val="28"/>
        </w:rPr>
      </w:pPr>
      <w:r>
        <w:rPr>
          <w:sz w:val="28"/>
        </w:rPr>
        <w:t>Батенова У.Г., Калиева Д.К. Панкреатодуоденальная резекция при раке головки поджелудочной железы // Медицина и экология (QMU). - 2022. - №3. - С. 82–84.</w:t>
      </w:r>
    </w:p>
    <w:p w14:paraId="0F1BB981">
      <w:pPr>
        <w:pStyle w:val="10"/>
        <w:numPr>
          <w:ilvl w:val="0"/>
          <w:numId w:val="29"/>
        </w:numPr>
        <w:tabs>
          <w:tab w:val="left" w:pos="1128"/>
        </w:tabs>
        <w:ind w:left="0" w:right="3" w:firstLine="706"/>
        <w:rPr>
          <w:sz w:val="28"/>
        </w:rPr>
      </w:pPr>
      <w:r>
        <w:rPr>
          <w:sz w:val="28"/>
          <w:lang w:val="en-US"/>
        </w:rPr>
        <w:t xml:space="preserve">Anuar M. Abdikarimov et al. Pancreaticoduodenectomy in a Hemodialysis Patient: First Report From Kazakhstan with a Brief Literature Review. //International Medical Case Reports Journal.- </w:t>
      </w:r>
      <w:r>
        <w:rPr>
          <w:sz w:val="28"/>
        </w:rPr>
        <w:t>2025.- №18 .-</w:t>
      </w:r>
      <w:r>
        <w:rPr>
          <w:sz w:val="28"/>
          <w:lang w:val="kk-KZ"/>
        </w:rPr>
        <w:t xml:space="preserve"> </w:t>
      </w:r>
      <w:r>
        <w:rPr>
          <w:sz w:val="28"/>
        </w:rPr>
        <w:t>Р.1077–1083.</w:t>
      </w:r>
    </w:p>
    <w:p w14:paraId="35A83E50">
      <w:pPr>
        <w:pStyle w:val="10"/>
        <w:numPr>
          <w:ilvl w:val="0"/>
          <w:numId w:val="29"/>
        </w:numPr>
        <w:tabs>
          <w:tab w:val="left" w:pos="1128"/>
        </w:tabs>
        <w:spacing w:line="242" w:lineRule="auto"/>
        <w:ind w:left="0" w:right="3" w:firstLine="709"/>
        <w:rPr>
          <w:sz w:val="28"/>
        </w:rPr>
      </w:pPr>
      <w:r>
        <w:rPr>
          <w:sz w:val="28"/>
        </w:rPr>
        <w:t>Егоров В. И. et al. Панкреатодуоденальная резекция у лиц старческого возраста:</w:t>
      </w:r>
      <w:r>
        <w:rPr>
          <w:spacing w:val="-11"/>
          <w:sz w:val="28"/>
        </w:rPr>
        <w:t xml:space="preserve"> </w:t>
      </w:r>
      <w:r>
        <w:rPr>
          <w:sz w:val="28"/>
        </w:rPr>
        <w:t>ближайшие</w:t>
      </w:r>
      <w:r>
        <w:rPr>
          <w:spacing w:val="-6"/>
          <w:sz w:val="28"/>
        </w:rPr>
        <w:t xml:space="preserve"> </w:t>
      </w:r>
      <w:r>
        <w:rPr>
          <w:sz w:val="28"/>
        </w:rPr>
        <w:t>и</w:t>
      </w:r>
      <w:r>
        <w:rPr>
          <w:spacing w:val="-7"/>
          <w:sz w:val="28"/>
        </w:rPr>
        <w:t xml:space="preserve"> </w:t>
      </w:r>
      <w:r>
        <w:rPr>
          <w:sz w:val="28"/>
        </w:rPr>
        <w:t>отдаленные</w:t>
      </w:r>
      <w:r>
        <w:rPr>
          <w:spacing w:val="-6"/>
          <w:sz w:val="28"/>
        </w:rPr>
        <w:t xml:space="preserve"> </w:t>
      </w:r>
      <w:r>
        <w:rPr>
          <w:sz w:val="28"/>
        </w:rPr>
        <w:t>результаты. //Вопросы</w:t>
      </w:r>
      <w:r>
        <w:rPr>
          <w:spacing w:val="-7"/>
          <w:sz w:val="28"/>
        </w:rPr>
        <w:t xml:space="preserve"> </w:t>
      </w:r>
      <w:r>
        <w:rPr>
          <w:sz w:val="28"/>
        </w:rPr>
        <w:t>онкологии.-</w:t>
      </w:r>
      <w:r>
        <w:rPr>
          <w:spacing w:val="-3"/>
          <w:sz w:val="28"/>
        </w:rPr>
        <w:t xml:space="preserve"> </w:t>
      </w:r>
      <w:r>
        <w:rPr>
          <w:sz w:val="28"/>
        </w:rPr>
        <w:t>2025.-</w:t>
      </w:r>
      <w:r>
        <w:rPr>
          <w:spacing w:val="-7"/>
          <w:sz w:val="28"/>
        </w:rPr>
        <w:t xml:space="preserve"> №</w:t>
      </w:r>
      <w:r>
        <w:rPr>
          <w:sz w:val="28"/>
        </w:rPr>
        <w:t xml:space="preserve">71(2).- </w:t>
      </w:r>
      <w:r>
        <w:rPr>
          <w:spacing w:val="-2"/>
          <w:sz w:val="28"/>
        </w:rPr>
        <w:t>Р.21-98.</w:t>
      </w:r>
    </w:p>
    <w:p w14:paraId="126B6299">
      <w:pPr>
        <w:pStyle w:val="10"/>
        <w:numPr>
          <w:ilvl w:val="0"/>
          <w:numId w:val="29"/>
        </w:numPr>
        <w:tabs>
          <w:tab w:val="left" w:pos="1128"/>
        </w:tabs>
        <w:spacing w:before="67"/>
        <w:ind w:left="0" w:right="3" w:firstLine="709"/>
        <w:rPr>
          <w:sz w:val="28"/>
        </w:rPr>
      </w:pPr>
      <w:r>
        <w:rPr>
          <w:sz w:val="28"/>
          <w:lang w:val="en-US"/>
        </w:rPr>
        <w:t xml:space="preserve">Delitto D. et al. Standardization of surgical care in a high-volume center improves outcomes after pancreatic surgery // American Journal of Surgery. -2016 .- № </w:t>
      </w:r>
      <w:r>
        <w:rPr>
          <w:sz w:val="28"/>
        </w:rPr>
        <w:t>212(2).-Р.195–201.</w:t>
      </w:r>
    </w:p>
    <w:p w14:paraId="3CB251C3">
      <w:pPr>
        <w:pStyle w:val="10"/>
        <w:numPr>
          <w:ilvl w:val="0"/>
          <w:numId w:val="29"/>
        </w:numPr>
        <w:tabs>
          <w:tab w:val="left" w:pos="1128"/>
        </w:tabs>
        <w:spacing w:line="242" w:lineRule="auto"/>
        <w:ind w:left="0" w:right="3" w:firstLine="709"/>
        <w:rPr>
          <w:sz w:val="28"/>
          <w:lang w:val="en-US"/>
        </w:rPr>
      </w:pPr>
      <w:r>
        <w:rPr>
          <w:color w:val="202020"/>
          <w:sz w:val="28"/>
          <w:lang w:val="en-US"/>
        </w:rPr>
        <w:t xml:space="preserve">Bhasker N. </w:t>
      </w:r>
      <w:r>
        <w:rPr>
          <w:sz w:val="28"/>
          <w:lang w:val="en-US"/>
        </w:rPr>
        <w:t xml:space="preserve">et al. </w:t>
      </w:r>
      <w:r>
        <w:rPr>
          <w:color w:val="202020"/>
          <w:sz w:val="28"/>
          <w:lang w:val="en-US"/>
        </w:rPr>
        <w:t>Prediction of clinically relevant postoperative pancreatic fistula using radiomic features and preoperative data. Sci Rep. -2023.-Vol.</w:t>
      </w:r>
      <w:r>
        <w:rPr>
          <w:color w:val="202020"/>
          <w:spacing w:val="-2"/>
          <w:sz w:val="28"/>
          <w:lang w:val="en-US"/>
        </w:rPr>
        <w:t xml:space="preserve">9, №13(1).-750 </w:t>
      </w:r>
      <w:r>
        <w:rPr>
          <w:color w:val="202020"/>
          <w:spacing w:val="-2"/>
          <w:sz w:val="28"/>
        </w:rPr>
        <w:t>р</w:t>
      </w:r>
      <w:r>
        <w:rPr>
          <w:color w:val="202020"/>
          <w:spacing w:val="-2"/>
          <w:sz w:val="28"/>
          <w:lang w:val="en-US"/>
        </w:rPr>
        <w:t>.</w:t>
      </w:r>
    </w:p>
    <w:p w14:paraId="1FF778F0">
      <w:pPr>
        <w:pStyle w:val="10"/>
        <w:numPr>
          <w:ilvl w:val="0"/>
          <w:numId w:val="29"/>
        </w:numPr>
        <w:tabs>
          <w:tab w:val="left" w:pos="1128"/>
        </w:tabs>
        <w:ind w:left="0" w:right="3" w:firstLine="709"/>
        <w:rPr>
          <w:sz w:val="28"/>
          <w:lang w:val="en-US"/>
        </w:rPr>
      </w:pPr>
      <w:r>
        <w:rPr>
          <w:color w:val="212121"/>
          <w:sz w:val="28"/>
          <w:lang w:val="en-US"/>
        </w:rPr>
        <w:t>Waili A. et al. Postoperative pancreatic fistula: a bibliometric analysis of research trends and a meta-analysis on the association with intra pancreatic fat deposition. //Sci Rep.-2025.- № 15</w:t>
      </w:r>
      <w:r>
        <w:rPr>
          <w:color w:val="212121"/>
          <w:sz w:val="28"/>
        </w:rPr>
        <w:t>.-Р.</w:t>
      </w:r>
      <w:r>
        <w:rPr>
          <w:color w:val="212121"/>
          <w:sz w:val="28"/>
          <w:lang w:val="en-US"/>
        </w:rPr>
        <w:t>44</w:t>
      </w:r>
      <w:r>
        <w:rPr>
          <w:color w:val="212121"/>
          <w:sz w:val="28"/>
        </w:rPr>
        <w:t>-</w:t>
      </w:r>
      <w:r>
        <w:rPr>
          <w:color w:val="212121"/>
          <w:sz w:val="28"/>
          <w:lang w:val="en-US"/>
        </w:rPr>
        <w:t>60.</w:t>
      </w:r>
    </w:p>
    <w:p w14:paraId="73E75385">
      <w:pPr>
        <w:pStyle w:val="10"/>
        <w:numPr>
          <w:ilvl w:val="0"/>
          <w:numId w:val="29"/>
        </w:numPr>
        <w:tabs>
          <w:tab w:val="left" w:pos="1128"/>
        </w:tabs>
        <w:ind w:left="0" w:right="3" w:firstLine="709"/>
        <w:rPr>
          <w:sz w:val="28"/>
          <w:lang w:val="en-US"/>
        </w:rPr>
      </w:pPr>
      <w:r>
        <w:rPr>
          <w:sz w:val="28"/>
          <w:lang w:val="en-US"/>
        </w:rPr>
        <w:t>Shah D.A. et al. Postoperative pancreatic fistula in 33 consecutive patients: biochemical leak and clinically relevant outcomes // Research Square. - 2025.</w:t>
      </w:r>
    </w:p>
    <w:p w14:paraId="0C7C0856">
      <w:pPr>
        <w:pStyle w:val="10"/>
        <w:numPr>
          <w:ilvl w:val="0"/>
          <w:numId w:val="29"/>
        </w:numPr>
        <w:tabs>
          <w:tab w:val="left" w:pos="1128"/>
        </w:tabs>
        <w:ind w:left="0" w:right="3" w:firstLine="709"/>
        <w:rPr>
          <w:sz w:val="28"/>
          <w:lang w:val="en-US"/>
        </w:rPr>
      </w:pPr>
      <w:r>
        <w:rPr>
          <w:sz w:val="28"/>
          <w:lang w:val="en-US"/>
        </w:rPr>
        <w:t>Vouros D., et al. Contemporary Assessment of Post-Operative Pancreatic Fistula</w:t>
      </w:r>
      <w:r>
        <w:rPr>
          <w:spacing w:val="-15"/>
          <w:sz w:val="28"/>
          <w:lang w:val="en-US"/>
        </w:rPr>
        <w:t xml:space="preserve"> </w:t>
      </w:r>
      <w:r>
        <w:rPr>
          <w:sz w:val="28"/>
          <w:lang w:val="en-US"/>
        </w:rPr>
        <w:t>After</w:t>
      </w:r>
      <w:r>
        <w:rPr>
          <w:spacing w:val="-15"/>
          <w:sz w:val="28"/>
          <w:lang w:val="en-US"/>
        </w:rPr>
        <w:t xml:space="preserve"> </w:t>
      </w:r>
      <w:r>
        <w:rPr>
          <w:sz w:val="28"/>
          <w:lang w:val="en-US"/>
        </w:rPr>
        <w:t>Pancreatoduodenectomy</w:t>
      </w:r>
      <w:r>
        <w:rPr>
          <w:spacing w:val="-14"/>
          <w:sz w:val="28"/>
          <w:lang w:val="en-US"/>
        </w:rPr>
        <w:t xml:space="preserve"> </w:t>
      </w:r>
      <w:r>
        <w:rPr>
          <w:sz w:val="28"/>
          <w:lang w:val="en-US"/>
        </w:rPr>
        <w:t>in</w:t>
      </w:r>
      <w:r>
        <w:rPr>
          <w:spacing w:val="-18"/>
          <w:sz w:val="28"/>
          <w:lang w:val="en-US"/>
        </w:rPr>
        <w:t xml:space="preserve"> </w:t>
      </w:r>
      <w:r>
        <w:rPr>
          <w:sz w:val="28"/>
          <w:lang w:val="en-US"/>
        </w:rPr>
        <w:t>a</w:t>
      </w:r>
      <w:r>
        <w:rPr>
          <w:spacing w:val="-9"/>
          <w:sz w:val="28"/>
          <w:lang w:val="en-US"/>
        </w:rPr>
        <w:t xml:space="preserve"> </w:t>
      </w:r>
      <w:r>
        <w:rPr>
          <w:sz w:val="28"/>
          <w:lang w:val="en-US"/>
        </w:rPr>
        <w:t>European</w:t>
      </w:r>
      <w:r>
        <w:rPr>
          <w:spacing w:val="-14"/>
          <w:sz w:val="28"/>
          <w:lang w:val="en-US"/>
        </w:rPr>
        <w:t xml:space="preserve"> </w:t>
      </w:r>
      <w:r>
        <w:rPr>
          <w:sz w:val="28"/>
          <w:lang w:val="en-US"/>
        </w:rPr>
        <w:t>Hepato-Pancreato-Biliary</w:t>
      </w:r>
      <w:r>
        <w:rPr>
          <w:spacing w:val="-18"/>
          <w:sz w:val="28"/>
          <w:lang w:val="en-US"/>
        </w:rPr>
        <w:t xml:space="preserve"> </w:t>
      </w:r>
      <w:r>
        <w:rPr>
          <w:sz w:val="28"/>
          <w:lang w:val="en-US"/>
        </w:rPr>
        <w:t>Center: A 5-Year Experience. // Medicina (Kaunas). - 2026. - Vol. 62, № 1</w:t>
      </w:r>
      <w:r>
        <w:rPr>
          <w:sz w:val="28"/>
          <w:lang w:val="kk-KZ"/>
        </w:rPr>
        <w:t>. -</w:t>
      </w:r>
      <w:r>
        <w:rPr>
          <w:sz w:val="28"/>
          <w:lang w:val="en-US"/>
        </w:rPr>
        <w:t xml:space="preserve"> P. 94–102.</w:t>
      </w:r>
    </w:p>
    <w:p w14:paraId="0D5877D4">
      <w:pPr>
        <w:pStyle w:val="10"/>
        <w:numPr>
          <w:ilvl w:val="0"/>
          <w:numId w:val="29"/>
        </w:numPr>
        <w:tabs>
          <w:tab w:val="left" w:pos="1128"/>
        </w:tabs>
        <w:ind w:left="0" w:right="3" w:firstLine="709"/>
        <w:rPr>
          <w:sz w:val="28"/>
          <w:lang w:val="en-US"/>
        </w:rPr>
      </w:pPr>
      <w:r>
        <w:rPr>
          <w:color w:val="202020"/>
          <w:sz w:val="28"/>
          <w:lang w:val="en-US"/>
        </w:rPr>
        <w:t xml:space="preserve">Maggino L. </w:t>
      </w:r>
      <w:r>
        <w:rPr>
          <w:sz w:val="28"/>
          <w:lang w:val="en-US"/>
        </w:rPr>
        <w:t xml:space="preserve">et al. </w:t>
      </w:r>
      <w:r>
        <w:rPr>
          <w:color w:val="202020"/>
          <w:sz w:val="28"/>
          <w:lang w:val="en-US"/>
        </w:rPr>
        <w:t>Decoding Grade B Pancreatic Fistula: A Clinical and Economical Analysis and Subclassification Proposal. Ann Surg.- 2019.- №</w:t>
      </w:r>
      <w:r>
        <w:rPr>
          <w:color w:val="202020"/>
          <w:spacing w:val="-2"/>
          <w:sz w:val="28"/>
          <w:lang w:val="en-US"/>
        </w:rPr>
        <w:t>269(6).-</w:t>
      </w:r>
      <w:r>
        <w:rPr>
          <w:color w:val="202020"/>
          <w:spacing w:val="-2"/>
          <w:sz w:val="28"/>
        </w:rPr>
        <w:t>Р</w:t>
      </w:r>
      <w:r>
        <w:rPr>
          <w:color w:val="202020"/>
          <w:spacing w:val="-2"/>
          <w:sz w:val="28"/>
          <w:lang w:val="en-US"/>
        </w:rPr>
        <w:t>.1146-1153.</w:t>
      </w:r>
    </w:p>
    <w:p w14:paraId="15F9B66B">
      <w:pPr>
        <w:pStyle w:val="10"/>
        <w:numPr>
          <w:ilvl w:val="0"/>
          <w:numId w:val="29"/>
        </w:numPr>
        <w:tabs>
          <w:tab w:val="left" w:pos="1128"/>
        </w:tabs>
        <w:ind w:left="0" w:right="3" w:firstLine="709"/>
        <w:rPr>
          <w:sz w:val="28"/>
          <w:lang w:val="en-US"/>
        </w:rPr>
      </w:pPr>
      <w:r>
        <w:rPr>
          <w:sz w:val="28"/>
          <w:lang w:val="en-US"/>
        </w:rPr>
        <w:t>Tovikkai C. et al.  Incidence and risk factors of postoperative pancreatic</w:t>
      </w:r>
      <w:r>
        <w:rPr>
          <w:spacing w:val="40"/>
          <w:sz w:val="28"/>
          <w:lang w:val="en-US"/>
        </w:rPr>
        <w:t xml:space="preserve"> </w:t>
      </w:r>
      <w:r>
        <w:rPr>
          <w:sz w:val="28"/>
          <w:lang w:val="en-US"/>
        </w:rPr>
        <w:t>fistula</w:t>
      </w:r>
      <w:r>
        <w:rPr>
          <w:spacing w:val="40"/>
          <w:sz w:val="28"/>
          <w:lang w:val="en-US"/>
        </w:rPr>
        <w:t xml:space="preserve"> </w:t>
      </w:r>
      <w:r>
        <w:rPr>
          <w:sz w:val="28"/>
          <w:lang w:val="en-US"/>
        </w:rPr>
        <w:t>after</w:t>
      </w:r>
      <w:r>
        <w:rPr>
          <w:spacing w:val="40"/>
          <w:sz w:val="28"/>
          <w:lang w:val="en-US"/>
        </w:rPr>
        <w:t xml:space="preserve"> </w:t>
      </w:r>
      <w:r>
        <w:rPr>
          <w:sz w:val="28"/>
          <w:lang w:val="en-US"/>
        </w:rPr>
        <w:t>pancreaticoduodenectomy:</w:t>
      </w:r>
      <w:r>
        <w:rPr>
          <w:spacing w:val="40"/>
          <w:sz w:val="28"/>
          <w:lang w:val="en-US"/>
        </w:rPr>
        <w:t xml:space="preserve"> </w:t>
      </w:r>
      <w:r>
        <w:rPr>
          <w:sz w:val="28"/>
          <w:lang w:val="en-US"/>
        </w:rPr>
        <w:t>A</w:t>
      </w:r>
      <w:r>
        <w:rPr>
          <w:spacing w:val="40"/>
          <w:sz w:val="28"/>
          <w:lang w:val="en-US"/>
        </w:rPr>
        <w:t xml:space="preserve"> </w:t>
      </w:r>
      <w:r>
        <w:rPr>
          <w:sz w:val="28"/>
          <w:lang w:val="en-US"/>
        </w:rPr>
        <w:t>large</w:t>
      </w:r>
      <w:r>
        <w:rPr>
          <w:spacing w:val="40"/>
          <w:sz w:val="28"/>
          <w:lang w:val="en-US"/>
        </w:rPr>
        <w:t xml:space="preserve"> </w:t>
      </w:r>
      <w:r>
        <w:rPr>
          <w:sz w:val="28"/>
          <w:lang w:val="en-US"/>
        </w:rPr>
        <w:t>tertiary</w:t>
      </w:r>
      <w:r>
        <w:rPr>
          <w:spacing w:val="40"/>
          <w:sz w:val="28"/>
          <w:lang w:val="en-US"/>
        </w:rPr>
        <w:t xml:space="preserve"> </w:t>
      </w:r>
      <w:r>
        <w:rPr>
          <w:sz w:val="28"/>
          <w:lang w:val="en-US"/>
        </w:rPr>
        <w:t>center experience. //Journal of the Medical Association of Thailand.-2020.- №103(2).-</w:t>
      </w:r>
      <w:r>
        <w:rPr>
          <w:sz w:val="28"/>
        </w:rPr>
        <w:t>Р</w:t>
      </w:r>
      <w:r>
        <w:rPr>
          <w:sz w:val="28"/>
          <w:lang w:val="en-US"/>
        </w:rPr>
        <w:t>.5-12.</w:t>
      </w:r>
    </w:p>
    <w:p w14:paraId="27D7D567">
      <w:pPr>
        <w:pStyle w:val="10"/>
        <w:numPr>
          <w:ilvl w:val="0"/>
          <w:numId w:val="29"/>
        </w:numPr>
        <w:tabs>
          <w:tab w:val="left" w:pos="1128"/>
        </w:tabs>
        <w:ind w:left="0" w:right="3" w:firstLine="566"/>
        <w:rPr>
          <w:sz w:val="28"/>
        </w:rPr>
      </w:pPr>
      <w:r>
        <w:rPr>
          <w:color w:val="202020"/>
          <w:sz w:val="28"/>
          <w:lang w:val="en-US"/>
        </w:rPr>
        <w:t xml:space="preserve">Shubert CR. </w:t>
      </w:r>
      <w:r>
        <w:rPr>
          <w:sz w:val="28"/>
          <w:lang w:val="en-US"/>
        </w:rPr>
        <w:t xml:space="preserve">et al. </w:t>
      </w:r>
      <w:r>
        <w:rPr>
          <w:color w:val="202020"/>
          <w:sz w:val="28"/>
          <w:lang w:val="en-US"/>
        </w:rPr>
        <w:t>Clinical Risk Score to Predict Pancreatic Fistula after Pancreatoduodenectomy:</w:t>
      </w:r>
      <w:r>
        <w:rPr>
          <w:color w:val="202020"/>
          <w:spacing w:val="-16"/>
          <w:sz w:val="28"/>
          <w:lang w:val="en-US"/>
        </w:rPr>
        <w:t xml:space="preserve"> </w:t>
      </w:r>
      <w:r>
        <w:rPr>
          <w:color w:val="202020"/>
          <w:sz w:val="28"/>
          <w:lang w:val="en-US"/>
        </w:rPr>
        <w:t>Independent</w:t>
      </w:r>
      <w:r>
        <w:rPr>
          <w:color w:val="202020"/>
          <w:spacing w:val="-11"/>
          <w:sz w:val="28"/>
          <w:lang w:val="en-US"/>
        </w:rPr>
        <w:t xml:space="preserve"> </w:t>
      </w:r>
      <w:r>
        <w:rPr>
          <w:color w:val="202020"/>
          <w:sz w:val="28"/>
          <w:lang w:val="en-US"/>
        </w:rPr>
        <w:t>External</w:t>
      </w:r>
      <w:r>
        <w:rPr>
          <w:color w:val="202020"/>
          <w:spacing w:val="-16"/>
          <w:sz w:val="28"/>
          <w:lang w:val="en-US"/>
        </w:rPr>
        <w:t xml:space="preserve"> </w:t>
      </w:r>
      <w:r>
        <w:rPr>
          <w:color w:val="202020"/>
          <w:sz w:val="28"/>
          <w:lang w:val="en-US"/>
        </w:rPr>
        <w:t>Validation</w:t>
      </w:r>
      <w:r>
        <w:rPr>
          <w:color w:val="202020"/>
          <w:spacing w:val="-10"/>
          <w:sz w:val="28"/>
          <w:lang w:val="en-US"/>
        </w:rPr>
        <w:t xml:space="preserve"> </w:t>
      </w:r>
      <w:r>
        <w:rPr>
          <w:color w:val="202020"/>
          <w:sz w:val="28"/>
          <w:lang w:val="en-US"/>
        </w:rPr>
        <w:t>for</w:t>
      </w:r>
      <w:r>
        <w:rPr>
          <w:color w:val="202020"/>
          <w:spacing w:val="-12"/>
          <w:sz w:val="28"/>
          <w:lang w:val="en-US"/>
        </w:rPr>
        <w:t xml:space="preserve"> </w:t>
      </w:r>
      <w:r>
        <w:rPr>
          <w:color w:val="202020"/>
          <w:sz w:val="28"/>
          <w:lang w:val="en-US"/>
        </w:rPr>
        <w:t>Open</w:t>
      </w:r>
      <w:r>
        <w:rPr>
          <w:color w:val="202020"/>
          <w:spacing w:val="-15"/>
          <w:sz w:val="28"/>
          <w:lang w:val="en-US"/>
        </w:rPr>
        <w:t xml:space="preserve"> </w:t>
      </w:r>
      <w:r>
        <w:rPr>
          <w:color w:val="202020"/>
          <w:sz w:val="28"/>
          <w:lang w:val="en-US"/>
        </w:rPr>
        <w:t>and</w:t>
      </w:r>
      <w:r>
        <w:rPr>
          <w:color w:val="202020"/>
          <w:spacing w:val="-7"/>
          <w:sz w:val="28"/>
          <w:lang w:val="en-US"/>
        </w:rPr>
        <w:t xml:space="preserve"> </w:t>
      </w:r>
      <w:r>
        <w:rPr>
          <w:color w:val="202020"/>
          <w:sz w:val="28"/>
          <w:lang w:val="en-US"/>
        </w:rPr>
        <w:t xml:space="preserve">Laparoscopic Approaches. J Am Coll Surg.- 2015.- №221(3).- </w:t>
      </w:r>
      <w:r>
        <w:rPr>
          <w:color w:val="202020"/>
          <w:sz w:val="28"/>
        </w:rPr>
        <w:t>Р.69-98.</w:t>
      </w:r>
    </w:p>
    <w:p w14:paraId="1E22A28B">
      <w:pPr>
        <w:pStyle w:val="10"/>
        <w:numPr>
          <w:ilvl w:val="0"/>
          <w:numId w:val="29"/>
        </w:numPr>
        <w:tabs>
          <w:tab w:val="left" w:pos="1128"/>
        </w:tabs>
        <w:ind w:left="0" w:right="3" w:firstLine="566"/>
        <w:rPr>
          <w:sz w:val="28"/>
          <w:lang w:val="en-US"/>
        </w:rPr>
      </w:pPr>
      <w:r>
        <w:rPr>
          <w:sz w:val="28"/>
          <w:lang w:val="en-US"/>
        </w:rPr>
        <w:t>Xiang</w:t>
      </w:r>
      <w:r>
        <w:rPr>
          <w:spacing w:val="-17"/>
          <w:sz w:val="28"/>
          <w:lang w:val="en-US"/>
        </w:rPr>
        <w:t xml:space="preserve"> </w:t>
      </w:r>
      <w:r>
        <w:rPr>
          <w:sz w:val="28"/>
          <w:lang w:val="en-US"/>
        </w:rPr>
        <w:t>C.</w:t>
      </w:r>
      <w:r>
        <w:rPr>
          <w:spacing w:val="-10"/>
          <w:sz w:val="28"/>
          <w:lang w:val="en-US"/>
        </w:rPr>
        <w:t xml:space="preserve"> </w:t>
      </w:r>
      <w:r>
        <w:rPr>
          <w:sz w:val="28"/>
          <w:lang w:val="en-US"/>
        </w:rPr>
        <w:t>et</w:t>
      </w:r>
      <w:r>
        <w:rPr>
          <w:spacing w:val="-13"/>
          <w:sz w:val="28"/>
          <w:lang w:val="en-US"/>
        </w:rPr>
        <w:t xml:space="preserve"> </w:t>
      </w:r>
      <w:r>
        <w:rPr>
          <w:sz w:val="28"/>
          <w:lang w:val="en-US"/>
        </w:rPr>
        <w:t>al.</w:t>
      </w:r>
      <w:r>
        <w:rPr>
          <w:spacing w:val="-10"/>
          <w:sz w:val="28"/>
          <w:lang w:val="en-US"/>
        </w:rPr>
        <w:t xml:space="preserve"> </w:t>
      </w:r>
      <w:r>
        <w:rPr>
          <w:sz w:val="28"/>
          <w:lang w:val="en-US"/>
        </w:rPr>
        <w:t>Prevention</w:t>
      </w:r>
      <w:r>
        <w:rPr>
          <w:spacing w:val="-17"/>
          <w:sz w:val="28"/>
          <w:lang w:val="en-US"/>
        </w:rPr>
        <w:t xml:space="preserve"> </w:t>
      </w:r>
      <w:r>
        <w:rPr>
          <w:sz w:val="28"/>
          <w:lang w:val="en-US"/>
        </w:rPr>
        <w:t>and</w:t>
      </w:r>
      <w:r>
        <w:rPr>
          <w:spacing w:val="-7"/>
          <w:sz w:val="28"/>
          <w:lang w:val="en-US"/>
        </w:rPr>
        <w:t xml:space="preserve"> </w:t>
      </w:r>
      <w:r>
        <w:rPr>
          <w:sz w:val="28"/>
          <w:lang w:val="en-US"/>
        </w:rPr>
        <w:t>Treatment</w:t>
      </w:r>
      <w:r>
        <w:rPr>
          <w:spacing w:val="-13"/>
          <w:sz w:val="28"/>
          <w:lang w:val="en-US"/>
        </w:rPr>
        <w:t xml:space="preserve"> </w:t>
      </w:r>
      <w:r>
        <w:rPr>
          <w:sz w:val="28"/>
          <w:lang w:val="en-US"/>
        </w:rPr>
        <w:t>of</w:t>
      </w:r>
      <w:r>
        <w:rPr>
          <w:spacing w:val="-14"/>
          <w:sz w:val="28"/>
          <w:lang w:val="en-US"/>
        </w:rPr>
        <w:t xml:space="preserve"> </w:t>
      </w:r>
      <w:r>
        <w:rPr>
          <w:sz w:val="28"/>
          <w:lang w:val="en-US"/>
        </w:rPr>
        <w:t>Grade</w:t>
      </w:r>
      <w:r>
        <w:rPr>
          <w:spacing w:val="-11"/>
          <w:sz w:val="28"/>
          <w:lang w:val="en-US"/>
        </w:rPr>
        <w:t xml:space="preserve"> </w:t>
      </w:r>
      <w:r>
        <w:rPr>
          <w:sz w:val="28"/>
          <w:lang w:val="en-US"/>
        </w:rPr>
        <w:t>C</w:t>
      </w:r>
      <w:r>
        <w:rPr>
          <w:spacing w:val="-11"/>
          <w:sz w:val="28"/>
          <w:lang w:val="en-US"/>
        </w:rPr>
        <w:t xml:space="preserve"> </w:t>
      </w:r>
      <w:r>
        <w:rPr>
          <w:sz w:val="28"/>
          <w:lang w:val="en-US"/>
        </w:rPr>
        <w:t>Postoperative</w:t>
      </w:r>
      <w:r>
        <w:rPr>
          <w:spacing w:val="-11"/>
          <w:sz w:val="28"/>
          <w:lang w:val="en-US"/>
        </w:rPr>
        <w:t xml:space="preserve"> </w:t>
      </w:r>
      <w:r>
        <w:rPr>
          <w:sz w:val="28"/>
          <w:lang w:val="en-US"/>
        </w:rPr>
        <w:t xml:space="preserve">Pancreatic Fistula: A Review // Journal of Clinical Medicine. - 2022. - Vol. 11, № 24. - 751 </w:t>
      </w:r>
      <w:r>
        <w:rPr>
          <w:sz w:val="28"/>
        </w:rPr>
        <w:t>р</w:t>
      </w:r>
      <w:r>
        <w:rPr>
          <w:sz w:val="28"/>
          <w:lang w:val="en-US"/>
        </w:rPr>
        <w:t>.</w:t>
      </w:r>
    </w:p>
    <w:p w14:paraId="31C264F8">
      <w:pPr>
        <w:pStyle w:val="10"/>
        <w:numPr>
          <w:ilvl w:val="0"/>
          <w:numId w:val="29"/>
        </w:numPr>
        <w:tabs>
          <w:tab w:val="left" w:pos="1128"/>
        </w:tabs>
        <w:ind w:left="0" w:right="3" w:firstLine="566"/>
        <w:rPr>
          <w:sz w:val="28"/>
          <w:lang w:val="en-US"/>
        </w:rPr>
      </w:pPr>
      <w:r>
        <w:rPr>
          <w:color w:val="202020"/>
          <w:sz w:val="28"/>
          <w:lang w:val="en-US"/>
        </w:rPr>
        <w:t>Luu</w:t>
      </w:r>
      <w:r>
        <w:rPr>
          <w:color w:val="202020"/>
          <w:spacing w:val="-8"/>
          <w:sz w:val="28"/>
          <w:lang w:val="en-US"/>
        </w:rPr>
        <w:t xml:space="preserve"> </w:t>
      </w:r>
      <w:r>
        <w:rPr>
          <w:color w:val="202020"/>
          <w:sz w:val="28"/>
          <w:lang w:val="en-US"/>
        </w:rPr>
        <w:t>AM.</w:t>
      </w:r>
      <w:r>
        <w:rPr>
          <w:color w:val="202020"/>
          <w:spacing w:val="-10"/>
          <w:sz w:val="28"/>
          <w:lang w:val="en-US"/>
        </w:rPr>
        <w:t xml:space="preserve"> </w:t>
      </w:r>
      <w:r>
        <w:rPr>
          <w:sz w:val="28"/>
          <w:lang w:val="en-US"/>
        </w:rPr>
        <w:t>et</w:t>
      </w:r>
      <w:r>
        <w:rPr>
          <w:spacing w:val="-14"/>
          <w:sz w:val="28"/>
          <w:lang w:val="en-US"/>
        </w:rPr>
        <w:t xml:space="preserve"> </w:t>
      </w:r>
      <w:r>
        <w:rPr>
          <w:sz w:val="28"/>
          <w:lang w:val="en-US"/>
        </w:rPr>
        <w:t>al.</w:t>
      </w:r>
      <w:r>
        <w:rPr>
          <w:spacing w:val="-10"/>
          <w:sz w:val="28"/>
          <w:lang w:val="en-US"/>
        </w:rPr>
        <w:t xml:space="preserve"> </w:t>
      </w:r>
      <w:r>
        <w:rPr>
          <w:color w:val="202020"/>
          <w:sz w:val="28"/>
          <w:lang w:val="en-US"/>
        </w:rPr>
        <w:t>Facing</w:t>
      </w:r>
      <w:r>
        <w:rPr>
          <w:color w:val="202020"/>
          <w:spacing w:val="-14"/>
          <w:sz w:val="28"/>
          <w:lang w:val="en-US"/>
        </w:rPr>
        <w:t xml:space="preserve"> </w:t>
      </w:r>
      <w:r>
        <w:rPr>
          <w:color w:val="202020"/>
          <w:sz w:val="28"/>
          <w:lang w:val="en-US"/>
        </w:rPr>
        <w:t>the</w:t>
      </w:r>
      <w:r>
        <w:rPr>
          <w:color w:val="202020"/>
          <w:spacing w:val="-12"/>
          <w:sz w:val="28"/>
          <w:lang w:val="en-US"/>
        </w:rPr>
        <w:t xml:space="preserve"> </w:t>
      </w:r>
      <w:r>
        <w:rPr>
          <w:color w:val="202020"/>
          <w:sz w:val="28"/>
          <w:lang w:val="en-US"/>
        </w:rPr>
        <w:t>surgeon's</w:t>
      </w:r>
      <w:r>
        <w:rPr>
          <w:color w:val="202020"/>
          <w:spacing w:val="-6"/>
          <w:sz w:val="28"/>
          <w:lang w:val="en-US"/>
        </w:rPr>
        <w:t xml:space="preserve"> </w:t>
      </w:r>
      <w:r>
        <w:rPr>
          <w:color w:val="202020"/>
          <w:sz w:val="28"/>
          <w:lang w:val="en-US"/>
        </w:rPr>
        <w:t>nightmare:</w:t>
      </w:r>
      <w:r>
        <w:rPr>
          <w:color w:val="202020"/>
          <w:spacing w:val="-14"/>
          <w:sz w:val="28"/>
          <w:lang w:val="en-US"/>
        </w:rPr>
        <w:t xml:space="preserve"> </w:t>
      </w:r>
      <w:r>
        <w:rPr>
          <w:color w:val="202020"/>
          <w:sz w:val="28"/>
          <w:lang w:val="en-US"/>
        </w:rPr>
        <w:t>Incidence</w:t>
      </w:r>
      <w:r>
        <w:rPr>
          <w:color w:val="202020"/>
          <w:spacing w:val="-12"/>
          <w:sz w:val="28"/>
          <w:lang w:val="en-US"/>
        </w:rPr>
        <w:t xml:space="preserve"> </w:t>
      </w:r>
      <w:r>
        <w:rPr>
          <w:color w:val="202020"/>
          <w:sz w:val="28"/>
          <w:lang w:val="en-US"/>
        </w:rPr>
        <w:t>and</w:t>
      </w:r>
      <w:r>
        <w:rPr>
          <w:color w:val="202020"/>
          <w:spacing w:val="-8"/>
          <w:sz w:val="28"/>
          <w:lang w:val="en-US"/>
        </w:rPr>
        <w:t xml:space="preserve"> </w:t>
      </w:r>
      <w:r>
        <w:rPr>
          <w:color w:val="202020"/>
          <w:sz w:val="28"/>
          <w:lang w:val="en-US"/>
        </w:rPr>
        <w:t>management</w:t>
      </w:r>
      <w:r>
        <w:rPr>
          <w:color w:val="202020"/>
          <w:spacing w:val="-14"/>
          <w:sz w:val="28"/>
          <w:lang w:val="en-US"/>
        </w:rPr>
        <w:t xml:space="preserve"> </w:t>
      </w:r>
      <w:r>
        <w:rPr>
          <w:color w:val="202020"/>
          <w:sz w:val="28"/>
          <w:lang w:val="en-US"/>
        </w:rPr>
        <w:t>of postoperative pancreatic fistulas grade C after</w:t>
      </w:r>
      <w:r>
        <w:rPr>
          <w:color w:val="202020"/>
          <w:spacing w:val="-2"/>
          <w:sz w:val="28"/>
          <w:lang w:val="en-US"/>
        </w:rPr>
        <w:t xml:space="preserve"> </w:t>
      </w:r>
      <w:r>
        <w:rPr>
          <w:color w:val="202020"/>
          <w:sz w:val="28"/>
          <w:lang w:val="en-US"/>
        </w:rPr>
        <w:t>pancreaticoduodenectomy</w:t>
      </w:r>
      <w:r>
        <w:rPr>
          <w:color w:val="202020"/>
          <w:spacing w:val="-6"/>
          <w:sz w:val="28"/>
          <w:lang w:val="en-US"/>
        </w:rPr>
        <w:t xml:space="preserve"> </w:t>
      </w:r>
      <w:r>
        <w:rPr>
          <w:color w:val="202020"/>
          <w:sz w:val="28"/>
          <w:lang w:val="en-US"/>
        </w:rPr>
        <w:t>based</w:t>
      </w:r>
      <w:r>
        <w:rPr>
          <w:color w:val="202020"/>
          <w:spacing w:val="-1"/>
          <w:sz w:val="28"/>
          <w:lang w:val="en-US"/>
        </w:rPr>
        <w:t xml:space="preserve"> </w:t>
      </w:r>
      <w:r>
        <w:rPr>
          <w:color w:val="202020"/>
          <w:sz w:val="28"/>
          <w:lang w:val="en-US"/>
        </w:rPr>
        <w:t>on</w:t>
      </w:r>
      <w:r>
        <w:rPr>
          <w:color w:val="202020"/>
          <w:spacing w:val="-6"/>
          <w:sz w:val="28"/>
          <w:lang w:val="en-US"/>
        </w:rPr>
        <w:t xml:space="preserve"> </w:t>
      </w:r>
      <w:r>
        <w:rPr>
          <w:color w:val="202020"/>
          <w:sz w:val="28"/>
          <w:lang w:val="en-US"/>
        </w:rPr>
        <w:t>the updated definition of the International Study Group of Pancreatic Surgery</w:t>
      </w:r>
      <w:r>
        <w:rPr>
          <w:color w:val="202020"/>
          <w:spacing w:val="-5"/>
          <w:sz w:val="28"/>
          <w:lang w:val="en-US"/>
        </w:rPr>
        <w:t xml:space="preserve"> </w:t>
      </w:r>
      <w:r>
        <w:rPr>
          <w:color w:val="202020"/>
          <w:sz w:val="28"/>
          <w:lang w:val="en-US"/>
        </w:rPr>
        <w:t>(ISGPS). J Hepatobiliary Pancreat Sci. -2020.- №27(4).-</w:t>
      </w:r>
      <w:r>
        <w:rPr>
          <w:color w:val="202020"/>
          <w:sz w:val="28"/>
          <w:lang w:val="kk-KZ"/>
        </w:rPr>
        <w:t xml:space="preserve"> </w:t>
      </w:r>
      <w:r>
        <w:rPr>
          <w:color w:val="202020"/>
          <w:sz w:val="28"/>
        </w:rPr>
        <w:t>Р</w:t>
      </w:r>
      <w:r>
        <w:rPr>
          <w:color w:val="202020"/>
          <w:sz w:val="28"/>
          <w:lang w:val="en-US"/>
        </w:rPr>
        <w:t>.171-181.</w:t>
      </w:r>
    </w:p>
    <w:p w14:paraId="09A859F6">
      <w:pPr>
        <w:pStyle w:val="10"/>
        <w:numPr>
          <w:ilvl w:val="0"/>
          <w:numId w:val="29"/>
        </w:numPr>
        <w:tabs>
          <w:tab w:val="left" w:pos="1128"/>
        </w:tabs>
        <w:ind w:left="0" w:right="3" w:firstLine="709"/>
        <w:rPr>
          <w:sz w:val="28"/>
          <w:lang w:val="en-US"/>
        </w:rPr>
      </w:pPr>
      <w:r>
        <w:rPr>
          <w:color w:val="1B1B1B"/>
          <w:sz w:val="28"/>
          <w:lang w:val="en-US"/>
        </w:rPr>
        <w:t xml:space="preserve">Nahm CB. </w:t>
      </w:r>
      <w:r>
        <w:rPr>
          <w:sz w:val="28"/>
          <w:lang w:val="en-US"/>
        </w:rPr>
        <w:t xml:space="preserve">et al. </w:t>
      </w:r>
      <w:r>
        <w:rPr>
          <w:color w:val="1B1B1B"/>
          <w:sz w:val="28"/>
          <w:lang w:val="en-US"/>
        </w:rPr>
        <w:t>Postoperative pancreatic fistula: a review of traditional and emerging concepts. Clin Exp Gastroenterol. -2018.- №11.-</w:t>
      </w:r>
      <w:r>
        <w:rPr>
          <w:color w:val="1B1B1B"/>
          <w:sz w:val="28"/>
        </w:rPr>
        <w:t>Р</w:t>
      </w:r>
      <w:r>
        <w:rPr>
          <w:color w:val="1B1B1B"/>
          <w:sz w:val="28"/>
          <w:lang w:val="en-US"/>
        </w:rPr>
        <w:t>.105-118.</w:t>
      </w:r>
    </w:p>
    <w:p w14:paraId="1A8FDA02">
      <w:pPr>
        <w:pStyle w:val="10"/>
        <w:numPr>
          <w:ilvl w:val="0"/>
          <w:numId w:val="29"/>
        </w:numPr>
        <w:tabs>
          <w:tab w:val="left" w:pos="1128"/>
        </w:tabs>
        <w:ind w:left="0" w:right="3" w:firstLine="709"/>
        <w:rPr>
          <w:sz w:val="28"/>
        </w:rPr>
      </w:pPr>
      <w:r>
        <w:rPr>
          <w:color w:val="353535"/>
          <w:sz w:val="28"/>
          <w:lang w:val="en-US"/>
        </w:rPr>
        <w:t xml:space="preserve">Stoop Thomas F. </w:t>
      </w:r>
      <w:r>
        <w:rPr>
          <w:sz w:val="28"/>
          <w:lang w:val="en-US"/>
        </w:rPr>
        <w:t xml:space="preserve">et al. </w:t>
      </w:r>
      <w:r>
        <w:rPr>
          <w:color w:val="353535"/>
          <w:sz w:val="28"/>
          <w:lang w:val="en-US"/>
        </w:rPr>
        <w:t>Systematic Review and Meta-analysis of the Role of Total</w:t>
      </w:r>
      <w:r>
        <w:rPr>
          <w:color w:val="353535"/>
          <w:spacing w:val="-13"/>
          <w:sz w:val="28"/>
          <w:lang w:val="en-US"/>
        </w:rPr>
        <w:t xml:space="preserve"> </w:t>
      </w:r>
      <w:r>
        <w:rPr>
          <w:color w:val="353535"/>
          <w:sz w:val="28"/>
          <w:lang w:val="en-US"/>
        </w:rPr>
        <w:t>Pancreatectomy</w:t>
      </w:r>
      <w:r>
        <w:rPr>
          <w:color w:val="353535"/>
          <w:spacing w:val="-7"/>
          <w:sz w:val="28"/>
          <w:lang w:val="en-US"/>
        </w:rPr>
        <w:t xml:space="preserve"> </w:t>
      </w:r>
      <w:r>
        <w:rPr>
          <w:color w:val="353535"/>
          <w:sz w:val="28"/>
          <w:lang w:val="en-US"/>
        </w:rPr>
        <w:t>as</w:t>
      </w:r>
      <w:r>
        <w:rPr>
          <w:color w:val="353535"/>
          <w:spacing w:val="-5"/>
          <w:sz w:val="28"/>
          <w:lang w:val="en-US"/>
        </w:rPr>
        <w:t xml:space="preserve"> </w:t>
      </w:r>
      <w:r>
        <w:rPr>
          <w:color w:val="353535"/>
          <w:sz w:val="28"/>
          <w:lang w:val="en-US"/>
        </w:rPr>
        <w:t>an</w:t>
      </w:r>
      <w:r>
        <w:rPr>
          <w:color w:val="353535"/>
          <w:spacing w:val="-7"/>
          <w:sz w:val="28"/>
          <w:lang w:val="en-US"/>
        </w:rPr>
        <w:t xml:space="preserve"> </w:t>
      </w:r>
      <w:r>
        <w:rPr>
          <w:color w:val="353535"/>
          <w:sz w:val="28"/>
          <w:lang w:val="en-US"/>
        </w:rPr>
        <w:t>Alternative</w:t>
      </w:r>
      <w:r>
        <w:rPr>
          <w:color w:val="353535"/>
          <w:spacing w:val="-7"/>
          <w:sz w:val="28"/>
          <w:lang w:val="en-US"/>
        </w:rPr>
        <w:t xml:space="preserve"> </w:t>
      </w:r>
      <w:r>
        <w:rPr>
          <w:color w:val="353535"/>
          <w:sz w:val="28"/>
          <w:lang w:val="en-US"/>
        </w:rPr>
        <w:t>to</w:t>
      </w:r>
      <w:r>
        <w:rPr>
          <w:color w:val="353535"/>
          <w:spacing w:val="-3"/>
          <w:sz w:val="28"/>
          <w:lang w:val="en-US"/>
        </w:rPr>
        <w:t xml:space="preserve"> </w:t>
      </w:r>
      <w:r>
        <w:rPr>
          <w:color w:val="353535"/>
          <w:sz w:val="28"/>
          <w:lang w:val="en-US"/>
        </w:rPr>
        <w:t>Pancreatoduodenectomy</w:t>
      </w:r>
      <w:r>
        <w:rPr>
          <w:color w:val="353535"/>
          <w:spacing w:val="-3"/>
          <w:sz w:val="28"/>
          <w:lang w:val="en-US"/>
        </w:rPr>
        <w:t xml:space="preserve"> </w:t>
      </w:r>
      <w:r>
        <w:rPr>
          <w:color w:val="353535"/>
          <w:sz w:val="28"/>
          <w:lang w:val="en-US"/>
        </w:rPr>
        <w:t>in</w:t>
      </w:r>
      <w:r>
        <w:rPr>
          <w:color w:val="353535"/>
          <w:spacing w:val="-13"/>
          <w:sz w:val="28"/>
          <w:lang w:val="en-US"/>
        </w:rPr>
        <w:t xml:space="preserve"> </w:t>
      </w:r>
      <w:r>
        <w:rPr>
          <w:color w:val="353535"/>
          <w:sz w:val="28"/>
          <w:lang w:val="en-US"/>
        </w:rPr>
        <w:t>Patients</w:t>
      </w:r>
      <w:r>
        <w:rPr>
          <w:color w:val="353535"/>
          <w:spacing w:val="-6"/>
          <w:sz w:val="28"/>
          <w:lang w:val="en-US"/>
        </w:rPr>
        <w:t xml:space="preserve"> </w:t>
      </w:r>
      <w:r>
        <w:rPr>
          <w:color w:val="353535"/>
          <w:sz w:val="28"/>
          <w:lang w:val="en-US"/>
        </w:rPr>
        <w:t>at</w:t>
      </w:r>
      <w:r>
        <w:rPr>
          <w:color w:val="353535"/>
          <w:spacing w:val="-3"/>
          <w:sz w:val="28"/>
          <w:lang w:val="en-US"/>
        </w:rPr>
        <w:t xml:space="preserve"> </w:t>
      </w:r>
      <w:r>
        <w:rPr>
          <w:color w:val="353535"/>
          <w:sz w:val="28"/>
          <w:lang w:val="en-US"/>
        </w:rPr>
        <w:t>High Risk for Postoperative Pancreatic Fistula: Is it a Justifiable Indication?. Annals of Surgery.-</w:t>
      </w:r>
      <w:r>
        <w:rPr>
          <w:color w:val="353535"/>
          <w:sz w:val="28"/>
          <w:lang w:val="kk-KZ"/>
        </w:rPr>
        <w:t xml:space="preserve"> </w:t>
      </w:r>
      <w:r>
        <w:rPr>
          <w:color w:val="353535"/>
          <w:sz w:val="28"/>
          <w:lang w:val="en-US"/>
        </w:rPr>
        <w:t xml:space="preserve">2023.- № </w:t>
      </w:r>
      <w:r>
        <w:rPr>
          <w:color w:val="353535"/>
          <w:sz w:val="28"/>
        </w:rPr>
        <w:t>278(4).-</w:t>
      </w:r>
      <w:r>
        <w:rPr>
          <w:color w:val="353535"/>
          <w:sz w:val="28"/>
          <w:lang w:val="kk-KZ"/>
        </w:rPr>
        <w:t xml:space="preserve"> </w:t>
      </w:r>
      <w:r>
        <w:rPr>
          <w:color w:val="353535"/>
          <w:sz w:val="28"/>
        </w:rPr>
        <w:t>Р. 702-711.</w:t>
      </w:r>
    </w:p>
    <w:p w14:paraId="1BAB3594">
      <w:pPr>
        <w:pStyle w:val="10"/>
        <w:numPr>
          <w:ilvl w:val="0"/>
          <w:numId w:val="29"/>
        </w:numPr>
        <w:tabs>
          <w:tab w:val="left" w:pos="1128"/>
        </w:tabs>
        <w:ind w:left="0" w:right="3" w:firstLine="709"/>
        <w:rPr>
          <w:sz w:val="28"/>
          <w:lang w:val="en-US"/>
        </w:rPr>
      </w:pPr>
      <w:r>
        <w:rPr>
          <w:sz w:val="28"/>
          <w:lang w:val="en-US"/>
        </w:rPr>
        <w:t>Turner K.M. et al. Contemporary outcomes of Grade-C postoperative pancreatic fistula in a national database // Journal of Surgical Research. - 2024. - Vol. 296. - P. 302–309.</w:t>
      </w:r>
    </w:p>
    <w:p w14:paraId="123320BF">
      <w:pPr>
        <w:pStyle w:val="10"/>
        <w:numPr>
          <w:ilvl w:val="0"/>
          <w:numId w:val="29"/>
        </w:numPr>
        <w:tabs>
          <w:tab w:val="left" w:pos="1128"/>
        </w:tabs>
        <w:ind w:left="0" w:right="3" w:firstLine="709"/>
        <w:rPr>
          <w:sz w:val="28"/>
          <w:lang w:val="en-US"/>
        </w:rPr>
      </w:pPr>
      <w:r>
        <w:rPr>
          <w:color w:val="202020"/>
          <w:sz w:val="28"/>
          <w:lang w:val="en-US"/>
        </w:rPr>
        <w:t xml:space="preserve">Callery MP. </w:t>
      </w:r>
      <w:r>
        <w:rPr>
          <w:sz w:val="28"/>
          <w:lang w:val="en-US"/>
        </w:rPr>
        <w:t xml:space="preserve">et al. </w:t>
      </w:r>
      <w:r>
        <w:rPr>
          <w:color w:val="202020"/>
          <w:sz w:val="28"/>
          <w:lang w:val="en-US"/>
        </w:rPr>
        <w:t>A prospectively validated clinical risk score accurately predicts pancreatic fistula after pancreatoduodenectomy. J Am Coll Surg. -2013.- №</w:t>
      </w:r>
      <w:r>
        <w:rPr>
          <w:color w:val="202020"/>
          <w:spacing w:val="-2"/>
          <w:sz w:val="28"/>
          <w:lang w:val="en-US"/>
        </w:rPr>
        <w:t>216(1).-</w:t>
      </w:r>
      <w:r>
        <w:rPr>
          <w:color w:val="202020"/>
          <w:spacing w:val="-2"/>
          <w:sz w:val="28"/>
        </w:rPr>
        <w:t>Р</w:t>
      </w:r>
      <w:r>
        <w:rPr>
          <w:color w:val="202020"/>
          <w:spacing w:val="-2"/>
          <w:sz w:val="28"/>
          <w:lang w:val="en-US"/>
        </w:rPr>
        <w:t>.1-14.</w:t>
      </w:r>
    </w:p>
    <w:p w14:paraId="4E7BF8C8">
      <w:pPr>
        <w:pStyle w:val="10"/>
        <w:numPr>
          <w:ilvl w:val="0"/>
          <w:numId w:val="29"/>
        </w:numPr>
        <w:tabs>
          <w:tab w:val="left" w:pos="1128"/>
        </w:tabs>
        <w:ind w:left="0" w:right="3" w:firstLine="709"/>
        <w:rPr>
          <w:sz w:val="28"/>
          <w:lang w:val="en-US"/>
        </w:rPr>
      </w:pPr>
      <w:r>
        <w:rPr>
          <w:color w:val="202020"/>
          <w:sz w:val="28"/>
          <w:lang w:val="en-US"/>
        </w:rPr>
        <w:t xml:space="preserve">Mungroop TH. </w:t>
      </w:r>
      <w:r>
        <w:rPr>
          <w:sz w:val="28"/>
          <w:lang w:val="en-US"/>
        </w:rPr>
        <w:t xml:space="preserve">et al. </w:t>
      </w:r>
      <w:r>
        <w:rPr>
          <w:color w:val="202020"/>
          <w:sz w:val="28"/>
          <w:lang w:val="en-US"/>
        </w:rPr>
        <w:t>Updated Alternative Fistula Risk Score (ua-FRS) to Include Minimally Invasive Pancreatoduodenectomy: Pan-European Validation. Ann Surg. -2021.- №273(2).-</w:t>
      </w:r>
      <w:r>
        <w:rPr>
          <w:color w:val="202020"/>
          <w:sz w:val="28"/>
        </w:rPr>
        <w:t>Р</w:t>
      </w:r>
      <w:r>
        <w:rPr>
          <w:color w:val="202020"/>
          <w:sz w:val="28"/>
          <w:lang w:val="en-US"/>
        </w:rPr>
        <w:t>.334-340.</w:t>
      </w:r>
    </w:p>
    <w:p w14:paraId="0503EFBF">
      <w:pPr>
        <w:pStyle w:val="10"/>
        <w:numPr>
          <w:ilvl w:val="0"/>
          <w:numId w:val="29"/>
        </w:numPr>
        <w:tabs>
          <w:tab w:val="left" w:pos="1128"/>
        </w:tabs>
        <w:spacing w:before="67"/>
        <w:ind w:left="0" w:right="3" w:firstLine="709"/>
        <w:rPr>
          <w:sz w:val="28"/>
        </w:rPr>
      </w:pPr>
      <w:r>
        <w:rPr>
          <w:color w:val="1B1B1B"/>
          <w:sz w:val="28"/>
          <w:lang w:val="en-US"/>
        </w:rPr>
        <w:t xml:space="preserve">Schuh F. </w:t>
      </w:r>
      <w:r>
        <w:rPr>
          <w:sz w:val="28"/>
          <w:lang w:val="en-US"/>
        </w:rPr>
        <w:t xml:space="preserve">et al. </w:t>
      </w:r>
      <w:r>
        <w:rPr>
          <w:color w:val="1B1B1B"/>
          <w:sz w:val="28"/>
          <w:lang w:val="en-US"/>
        </w:rPr>
        <w:t xml:space="preserve">A Simple Classification of Pancreatic Duct Size and Texture Predicts Postoperative Pancreatic Fistula: A classification of the International Study Group of Pancreatic Surgery. </w:t>
      </w:r>
      <w:r>
        <w:rPr>
          <w:color w:val="1B1B1B"/>
          <w:sz w:val="28"/>
        </w:rPr>
        <w:t>Ann Surg. -2023.- №277(3).-Р.597-608.</w:t>
      </w:r>
    </w:p>
    <w:p w14:paraId="031112C3">
      <w:pPr>
        <w:pStyle w:val="10"/>
        <w:numPr>
          <w:ilvl w:val="0"/>
          <w:numId w:val="29"/>
        </w:numPr>
        <w:tabs>
          <w:tab w:val="left" w:pos="1128"/>
        </w:tabs>
        <w:spacing w:line="244" w:lineRule="auto"/>
        <w:ind w:left="0" w:right="3" w:firstLine="709"/>
        <w:rPr>
          <w:sz w:val="28"/>
          <w:lang w:val="en-US"/>
        </w:rPr>
      </w:pPr>
      <w:r>
        <w:rPr>
          <w:color w:val="1B1B1B"/>
          <w:sz w:val="28"/>
          <w:lang w:val="en-US"/>
        </w:rPr>
        <w:t xml:space="preserve">Villafane-Ferriol N. </w:t>
      </w:r>
      <w:r>
        <w:rPr>
          <w:sz w:val="28"/>
          <w:lang w:val="en-US"/>
        </w:rPr>
        <w:t xml:space="preserve">et al. </w:t>
      </w:r>
      <w:r>
        <w:rPr>
          <w:color w:val="1B1B1B"/>
          <w:sz w:val="28"/>
          <w:lang w:val="en-US"/>
        </w:rPr>
        <w:t>Sequential drain amylase to guide drain removal following pancreatectomy. HPB (Oxford). -2018.- №20(6).-</w:t>
      </w:r>
      <w:r>
        <w:rPr>
          <w:color w:val="1B1B1B"/>
          <w:sz w:val="28"/>
        </w:rPr>
        <w:t>Р</w:t>
      </w:r>
      <w:r>
        <w:rPr>
          <w:color w:val="1B1B1B"/>
          <w:sz w:val="28"/>
          <w:lang w:val="en-US"/>
        </w:rPr>
        <w:t>.514-520.</w:t>
      </w:r>
    </w:p>
    <w:p w14:paraId="410961EF">
      <w:pPr>
        <w:pStyle w:val="10"/>
        <w:numPr>
          <w:ilvl w:val="0"/>
          <w:numId w:val="29"/>
        </w:numPr>
        <w:tabs>
          <w:tab w:val="left" w:pos="1128"/>
        </w:tabs>
        <w:ind w:left="0" w:right="3" w:firstLine="709"/>
        <w:rPr>
          <w:sz w:val="28"/>
          <w:lang w:val="en-US"/>
        </w:rPr>
      </w:pPr>
      <w:r>
        <w:rPr>
          <w:color w:val="1B1B1B"/>
          <w:sz w:val="28"/>
          <w:lang w:val="en-US"/>
        </w:rPr>
        <w:t xml:space="preserve">Büyükkasap AÇ. </w:t>
      </w:r>
      <w:r>
        <w:rPr>
          <w:sz w:val="28"/>
          <w:lang w:val="en-US"/>
        </w:rPr>
        <w:t xml:space="preserve">et al. </w:t>
      </w:r>
      <w:r>
        <w:rPr>
          <w:color w:val="1B1B1B"/>
          <w:sz w:val="28"/>
          <w:lang w:val="en-US"/>
        </w:rPr>
        <w:t>Predictive value of drain fluid amylase level on postoperative</w:t>
      </w:r>
      <w:r>
        <w:rPr>
          <w:color w:val="1B1B1B"/>
          <w:spacing w:val="-16"/>
          <w:sz w:val="28"/>
          <w:lang w:val="en-US"/>
        </w:rPr>
        <w:t xml:space="preserve"> </w:t>
      </w:r>
      <w:r>
        <w:rPr>
          <w:color w:val="1B1B1B"/>
          <w:sz w:val="28"/>
          <w:lang w:val="en-US"/>
        </w:rPr>
        <w:t>day</w:t>
      </w:r>
      <w:r>
        <w:rPr>
          <w:color w:val="1B1B1B"/>
          <w:spacing w:val="-17"/>
          <w:sz w:val="28"/>
          <w:lang w:val="en-US"/>
        </w:rPr>
        <w:t xml:space="preserve"> </w:t>
      </w:r>
      <w:r>
        <w:rPr>
          <w:color w:val="1B1B1B"/>
          <w:sz w:val="28"/>
          <w:lang w:val="en-US"/>
        </w:rPr>
        <w:t>one</w:t>
      </w:r>
      <w:r>
        <w:rPr>
          <w:color w:val="1B1B1B"/>
          <w:spacing w:val="-13"/>
          <w:sz w:val="28"/>
          <w:lang w:val="en-US"/>
        </w:rPr>
        <w:t xml:space="preserve"> </w:t>
      </w:r>
      <w:r>
        <w:rPr>
          <w:color w:val="1B1B1B"/>
          <w:sz w:val="28"/>
          <w:lang w:val="en-US"/>
        </w:rPr>
        <w:t>after</w:t>
      </w:r>
      <w:r>
        <w:rPr>
          <w:color w:val="1B1B1B"/>
          <w:spacing w:val="-15"/>
          <w:sz w:val="28"/>
          <w:lang w:val="en-US"/>
        </w:rPr>
        <w:t xml:space="preserve"> </w:t>
      </w:r>
      <w:r>
        <w:rPr>
          <w:color w:val="1B1B1B"/>
          <w:sz w:val="28"/>
          <w:lang w:val="en-US"/>
        </w:rPr>
        <w:t>pancreatic</w:t>
      </w:r>
      <w:r>
        <w:rPr>
          <w:color w:val="1B1B1B"/>
          <w:spacing w:val="-13"/>
          <w:sz w:val="28"/>
          <w:lang w:val="en-US"/>
        </w:rPr>
        <w:t xml:space="preserve"> </w:t>
      </w:r>
      <w:r>
        <w:rPr>
          <w:color w:val="1B1B1B"/>
          <w:sz w:val="28"/>
          <w:lang w:val="en-US"/>
        </w:rPr>
        <w:t>resection</w:t>
      </w:r>
      <w:r>
        <w:rPr>
          <w:color w:val="1B1B1B"/>
          <w:spacing w:val="-18"/>
          <w:sz w:val="28"/>
          <w:lang w:val="en-US"/>
        </w:rPr>
        <w:t xml:space="preserve"> </w:t>
      </w:r>
      <w:r>
        <w:rPr>
          <w:color w:val="1B1B1B"/>
          <w:sz w:val="28"/>
          <w:lang w:val="en-US"/>
        </w:rPr>
        <w:t>for</w:t>
      </w:r>
      <w:r>
        <w:rPr>
          <w:color w:val="1B1B1B"/>
          <w:spacing w:val="-16"/>
          <w:sz w:val="28"/>
          <w:lang w:val="en-US"/>
        </w:rPr>
        <w:t xml:space="preserve"> </w:t>
      </w:r>
      <w:r>
        <w:rPr>
          <w:color w:val="1B1B1B"/>
          <w:sz w:val="28"/>
          <w:lang w:val="en-US"/>
        </w:rPr>
        <w:t>predicting</w:t>
      </w:r>
      <w:r>
        <w:rPr>
          <w:color w:val="1B1B1B"/>
          <w:spacing w:val="-18"/>
          <w:sz w:val="28"/>
          <w:lang w:val="en-US"/>
        </w:rPr>
        <w:t xml:space="preserve"> </w:t>
      </w:r>
      <w:r>
        <w:rPr>
          <w:color w:val="1B1B1B"/>
          <w:sz w:val="28"/>
          <w:lang w:val="en-US"/>
        </w:rPr>
        <w:t>postoperative</w:t>
      </w:r>
      <w:r>
        <w:rPr>
          <w:color w:val="1B1B1B"/>
          <w:spacing w:val="-13"/>
          <w:sz w:val="28"/>
          <w:lang w:val="en-US"/>
        </w:rPr>
        <w:t xml:space="preserve"> </w:t>
      </w:r>
      <w:r>
        <w:rPr>
          <w:color w:val="1B1B1B"/>
          <w:sz w:val="28"/>
          <w:lang w:val="en-US"/>
        </w:rPr>
        <w:t>pancreatic fistula. Turk J Surg. -2024.- №40(1).-</w:t>
      </w:r>
      <w:r>
        <w:rPr>
          <w:color w:val="1B1B1B"/>
          <w:sz w:val="28"/>
        </w:rPr>
        <w:t>Р</w:t>
      </w:r>
      <w:r>
        <w:rPr>
          <w:color w:val="1B1B1B"/>
          <w:sz w:val="28"/>
          <w:lang w:val="en-US"/>
        </w:rPr>
        <w:t>.19-27.</w:t>
      </w:r>
    </w:p>
    <w:p w14:paraId="1FFEF647">
      <w:pPr>
        <w:pStyle w:val="10"/>
        <w:numPr>
          <w:ilvl w:val="0"/>
          <w:numId w:val="29"/>
        </w:numPr>
        <w:tabs>
          <w:tab w:val="left" w:pos="1128"/>
        </w:tabs>
        <w:ind w:left="0" w:right="3" w:firstLine="709"/>
        <w:rPr>
          <w:sz w:val="28"/>
          <w:lang w:val="en-US"/>
        </w:rPr>
      </w:pPr>
      <w:r>
        <w:rPr>
          <w:color w:val="202020"/>
          <w:sz w:val="28"/>
          <w:lang w:val="en-US"/>
        </w:rPr>
        <w:t>Giglio</w:t>
      </w:r>
      <w:r>
        <w:rPr>
          <w:color w:val="202020"/>
          <w:spacing w:val="-18"/>
          <w:sz w:val="28"/>
          <w:lang w:val="en-US"/>
        </w:rPr>
        <w:t xml:space="preserve"> </w:t>
      </w:r>
      <w:r>
        <w:rPr>
          <w:color w:val="202020"/>
          <w:sz w:val="28"/>
          <w:lang w:val="en-US"/>
        </w:rPr>
        <w:t>MC.</w:t>
      </w:r>
      <w:r>
        <w:rPr>
          <w:color w:val="202020"/>
          <w:spacing w:val="-13"/>
          <w:sz w:val="28"/>
          <w:lang w:val="en-US"/>
        </w:rPr>
        <w:t xml:space="preserve"> </w:t>
      </w:r>
      <w:r>
        <w:rPr>
          <w:sz w:val="28"/>
          <w:lang w:val="en-US"/>
        </w:rPr>
        <w:t>et</w:t>
      </w:r>
      <w:r>
        <w:rPr>
          <w:spacing w:val="-18"/>
          <w:sz w:val="28"/>
          <w:lang w:val="en-US"/>
        </w:rPr>
        <w:t xml:space="preserve"> </w:t>
      </w:r>
      <w:r>
        <w:rPr>
          <w:sz w:val="28"/>
          <w:lang w:val="en-US"/>
        </w:rPr>
        <w:t>al.</w:t>
      </w:r>
      <w:r>
        <w:rPr>
          <w:spacing w:val="-10"/>
          <w:sz w:val="28"/>
          <w:lang w:val="en-US"/>
        </w:rPr>
        <w:t xml:space="preserve"> </w:t>
      </w:r>
      <w:r>
        <w:rPr>
          <w:color w:val="202020"/>
          <w:sz w:val="28"/>
          <w:lang w:val="en-US"/>
        </w:rPr>
        <w:t>Meta-analysis</w:t>
      </w:r>
      <w:r>
        <w:rPr>
          <w:color w:val="202020"/>
          <w:spacing w:val="-13"/>
          <w:sz w:val="28"/>
          <w:lang w:val="en-US"/>
        </w:rPr>
        <w:t xml:space="preserve"> </w:t>
      </w:r>
      <w:r>
        <w:rPr>
          <w:color w:val="202020"/>
          <w:sz w:val="28"/>
          <w:lang w:val="en-US"/>
        </w:rPr>
        <w:t>of</w:t>
      </w:r>
      <w:r>
        <w:rPr>
          <w:color w:val="202020"/>
          <w:spacing w:val="-18"/>
          <w:sz w:val="28"/>
          <w:lang w:val="en-US"/>
        </w:rPr>
        <w:t xml:space="preserve"> </w:t>
      </w:r>
      <w:r>
        <w:rPr>
          <w:color w:val="202020"/>
          <w:sz w:val="28"/>
          <w:lang w:val="en-US"/>
        </w:rPr>
        <w:t>drain</w:t>
      </w:r>
      <w:r>
        <w:rPr>
          <w:color w:val="202020"/>
          <w:spacing w:val="-17"/>
          <w:sz w:val="28"/>
          <w:lang w:val="en-US"/>
        </w:rPr>
        <w:t xml:space="preserve"> </w:t>
      </w:r>
      <w:r>
        <w:rPr>
          <w:color w:val="202020"/>
          <w:sz w:val="28"/>
          <w:lang w:val="en-US"/>
        </w:rPr>
        <w:t>amylase</w:t>
      </w:r>
      <w:r>
        <w:rPr>
          <w:color w:val="202020"/>
          <w:spacing w:val="-13"/>
          <w:sz w:val="28"/>
          <w:lang w:val="en-US"/>
        </w:rPr>
        <w:t xml:space="preserve"> </w:t>
      </w:r>
      <w:r>
        <w:rPr>
          <w:color w:val="202020"/>
          <w:sz w:val="28"/>
          <w:lang w:val="en-US"/>
        </w:rPr>
        <w:t>content</w:t>
      </w:r>
      <w:r>
        <w:rPr>
          <w:color w:val="202020"/>
          <w:spacing w:val="-15"/>
          <w:sz w:val="28"/>
          <w:lang w:val="en-US"/>
        </w:rPr>
        <w:t xml:space="preserve"> </w:t>
      </w:r>
      <w:r>
        <w:rPr>
          <w:color w:val="202020"/>
          <w:sz w:val="28"/>
          <w:lang w:val="en-US"/>
        </w:rPr>
        <w:t>on</w:t>
      </w:r>
      <w:r>
        <w:rPr>
          <w:color w:val="202020"/>
          <w:spacing w:val="-18"/>
          <w:sz w:val="28"/>
          <w:lang w:val="en-US"/>
        </w:rPr>
        <w:t xml:space="preserve"> </w:t>
      </w:r>
      <w:r>
        <w:rPr>
          <w:color w:val="202020"/>
          <w:sz w:val="28"/>
          <w:lang w:val="en-US"/>
        </w:rPr>
        <w:t>postoperative</w:t>
      </w:r>
      <w:r>
        <w:rPr>
          <w:color w:val="202020"/>
          <w:spacing w:val="-13"/>
          <w:sz w:val="28"/>
          <w:lang w:val="en-US"/>
        </w:rPr>
        <w:t xml:space="preserve"> </w:t>
      </w:r>
      <w:r>
        <w:rPr>
          <w:color w:val="202020"/>
          <w:sz w:val="28"/>
          <w:lang w:val="en-US"/>
        </w:rPr>
        <w:t>day 1 as a predictor of pancreatic fistula following pancreatic resection. Br J Surg. -2016.-</w:t>
      </w:r>
      <w:r>
        <w:rPr>
          <w:color w:val="202020"/>
          <w:sz w:val="28"/>
        </w:rPr>
        <w:t>Р</w:t>
      </w:r>
      <w:r>
        <w:rPr>
          <w:color w:val="202020"/>
          <w:sz w:val="28"/>
          <w:lang w:val="en-US"/>
        </w:rPr>
        <w:t>.</w:t>
      </w:r>
      <w:r>
        <w:rPr>
          <w:color w:val="202020"/>
          <w:spacing w:val="-2"/>
          <w:sz w:val="28"/>
          <w:lang w:val="en-US"/>
        </w:rPr>
        <w:t>103(4).-</w:t>
      </w:r>
      <w:r>
        <w:rPr>
          <w:color w:val="202020"/>
          <w:spacing w:val="-2"/>
          <w:sz w:val="28"/>
        </w:rPr>
        <w:t>Р</w:t>
      </w:r>
      <w:r>
        <w:rPr>
          <w:color w:val="202020"/>
          <w:spacing w:val="-2"/>
          <w:sz w:val="28"/>
          <w:lang w:val="en-US"/>
        </w:rPr>
        <w:t>.32-36.</w:t>
      </w:r>
    </w:p>
    <w:p w14:paraId="133AD438">
      <w:pPr>
        <w:pStyle w:val="10"/>
        <w:numPr>
          <w:ilvl w:val="0"/>
          <w:numId w:val="29"/>
        </w:numPr>
        <w:tabs>
          <w:tab w:val="left" w:pos="1128"/>
        </w:tabs>
        <w:ind w:left="0" w:right="3" w:firstLine="709"/>
        <w:rPr>
          <w:sz w:val="28"/>
          <w:lang w:val="en-US"/>
        </w:rPr>
      </w:pPr>
      <w:r>
        <w:rPr>
          <w:sz w:val="28"/>
          <w:lang w:val="en-US"/>
        </w:rPr>
        <w:t>Coppola</w:t>
      </w:r>
      <w:r>
        <w:rPr>
          <w:spacing w:val="-7"/>
          <w:sz w:val="28"/>
          <w:lang w:val="en-US"/>
        </w:rPr>
        <w:t xml:space="preserve"> </w:t>
      </w:r>
      <w:r>
        <w:rPr>
          <w:sz w:val="28"/>
          <w:lang w:val="en-US"/>
        </w:rPr>
        <w:t>A.</w:t>
      </w:r>
      <w:r>
        <w:rPr>
          <w:spacing w:val="-5"/>
          <w:sz w:val="28"/>
          <w:lang w:val="en-US"/>
        </w:rPr>
        <w:t xml:space="preserve"> </w:t>
      </w:r>
      <w:r>
        <w:rPr>
          <w:sz w:val="28"/>
          <w:lang w:val="en-US"/>
        </w:rPr>
        <w:t>et</w:t>
      </w:r>
      <w:r>
        <w:rPr>
          <w:spacing w:val="-8"/>
          <w:sz w:val="28"/>
          <w:lang w:val="en-US"/>
        </w:rPr>
        <w:t xml:space="preserve"> </w:t>
      </w:r>
      <w:r>
        <w:rPr>
          <w:sz w:val="28"/>
          <w:lang w:val="en-US"/>
        </w:rPr>
        <w:t>al.</w:t>
      </w:r>
      <w:r>
        <w:rPr>
          <w:spacing w:val="-5"/>
          <w:sz w:val="28"/>
          <w:lang w:val="en-US"/>
        </w:rPr>
        <w:t xml:space="preserve"> </w:t>
      </w:r>
      <w:r>
        <w:rPr>
          <w:sz w:val="28"/>
          <w:lang w:val="en-US"/>
        </w:rPr>
        <w:t>New</w:t>
      </w:r>
      <w:r>
        <w:rPr>
          <w:spacing w:val="-7"/>
          <w:sz w:val="28"/>
          <w:lang w:val="en-US"/>
        </w:rPr>
        <w:t xml:space="preserve"> </w:t>
      </w:r>
      <w:r>
        <w:rPr>
          <w:sz w:val="28"/>
          <w:lang w:val="en-US"/>
        </w:rPr>
        <w:t>Frontiers</w:t>
      </w:r>
      <w:r>
        <w:rPr>
          <w:spacing w:val="-5"/>
          <w:sz w:val="28"/>
          <w:lang w:val="en-US"/>
        </w:rPr>
        <w:t xml:space="preserve"> </w:t>
      </w:r>
      <w:r>
        <w:rPr>
          <w:sz w:val="28"/>
          <w:lang w:val="en-US"/>
        </w:rPr>
        <w:t>of</w:t>
      </w:r>
      <w:r>
        <w:rPr>
          <w:spacing w:val="-14"/>
          <w:sz w:val="28"/>
          <w:lang w:val="en-US"/>
        </w:rPr>
        <w:t xml:space="preserve"> </w:t>
      </w:r>
      <w:r>
        <w:rPr>
          <w:sz w:val="28"/>
          <w:lang w:val="en-US"/>
        </w:rPr>
        <w:t>Early</w:t>
      </w:r>
      <w:r>
        <w:rPr>
          <w:spacing w:val="-13"/>
          <w:sz w:val="28"/>
          <w:lang w:val="en-US"/>
        </w:rPr>
        <w:t xml:space="preserve"> </w:t>
      </w:r>
      <w:r>
        <w:rPr>
          <w:sz w:val="28"/>
          <w:lang w:val="en-US"/>
        </w:rPr>
        <w:t>Diagnosis</w:t>
      </w:r>
      <w:r>
        <w:rPr>
          <w:spacing w:val="-5"/>
          <w:sz w:val="28"/>
          <w:lang w:val="en-US"/>
        </w:rPr>
        <w:t xml:space="preserve"> </w:t>
      </w:r>
      <w:r>
        <w:rPr>
          <w:sz w:val="28"/>
          <w:lang w:val="en-US"/>
        </w:rPr>
        <w:t>of</w:t>
      </w:r>
      <w:r>
        <w:rPr>
          <w:spacing w:val="-14"/>
          <w:sz w:val="28"/>
          <w:lang w:val="en-US"/>
        </w:rPr>
        <w:t xml:space="preserve"> </w:t>
      </w:r>
      <w:r>
        <w:rPr>
          <w:sz w:val="28"/>
          <w:lang w:val="en-US"/>
        </w:rPr>
        <w:t>Pancreatic</w:t>
      </w:r>
      <w:r>
        <w:rPr>
          <w:spacing w:val="-7"/>
          <w:sz w:val="28"/>
          <w:lang w:val="en-US"/>
        </w:rPr>
        <w:t xml:space="preserve"> </w:t>
      </w:r>
      <w:r>
        <w:rPr>
          <w:sz w:val="28"/>
          <w:lang w:val="en-US"/>
        </w:rPr>
        <w:t>Fistula</w:t>
      </w:r>
      <w:r>
        <w:rPr>
          <w:spacing w:val="-7"/>
          <w:sz w:val="28"/>
          <w:lang w:val="en-US"/>
        </w:rPr>
        <w:t xml:space="preserve"> </w:t>
      </w:r>
      <w:r>
        <w:rPr>
          <w:sz w:val="28"/>
          <w:lang w:val="en-US"/>
        </w:rPr>
        <w:t>after Pancreaticoduodenectomy</w:t>
      </w:r>
      <w:r>
        <w:rPr>
          <w:spacing w:val="17"/>
          <w:sz w:val="28"/>
          <w:lang w:val="en-US"/>
        </w:rPr>
        <w:t xml:space="preserve"> </w:t>
      </w:r>
      <w:r>
        <w:rPr>
          <w:sz w:val="28"/>
          <w:lang w:val="en-US"/>
        </w:rPr>
        <w:t>//</w:t>
      </w:r>
      <w:r>
        <w:rPr>
          <w:spacing w:val="21"/>
          <w:sz w:val="28"/>
          <w:lang w:val="en-US"/>
        </w:rPr>
        <w:t xml:space="preserve"> </w:t>
      </w:r>
      <w:r>
        <w:rPr>
          <w:sz w:val="28"/>
          <w:lang w:val="en-US"/>
        </w:rPr>
        <w:t>Journal</w:t>
      </w:r>
      <w:r>
        <w:rPr>
          <w:spacing w:val="13"/>
          <w:sz w:val="28"/>
          <w:lang w:val="en-US"/>
        </w:rPr>
        <w:t xml:space="preserve"> </w:t>
      </w:r>
      <w:r>
        <w:rPr>
          <w:sz w:val="28"/>
          <w:lang w:val="en-US"/>
        </w:rPr>
        <w:t>of</w:t>
      </w:r>
      <w:r>
        <w:rPr>
          <w:spacing w:val="11"/>
          <w:sz w:val="28"/>
          <w:lang w:val="en-US"/>
        </w:rPr>
        <w:t xml:space="preserve"> </w:t>
      </w:r>
      <w:r>
        <w:rPr>
          <w:sz w:val="28"/>
          <w:lang w:val="en-US"/>
        </w:rPr>
        <w:t>Clinical</w:t>
      </w:r>
      <w:r>
        <w:rPr>
          <w:spacing w:val="13"/>
          <w:sz w:val="28"/>
          <w:lang w:val="en-US"/>
        </w:rPr>
        <w:t xml:space="preserve"> </w:t>
      </w:r>
      <w:r>
        <w:rPr>
          <w:sz w:val="28"/>
          <w:lang w:val="en-US"/>
        </w:rPr>
        <w:t>Medicine.</w:t>
      </w:r>
      <w:r>
        <w:rPr>
          <w:spacing w:val="20"/>
          <w:sz w:val="28"/>
          <w:lang w:val="en-US"/>
        </w:rPr>
        <w:t xml:space="preserve"> </w:t>
      </w:r>
      <w:r>
        <w:rPr>
          <w:sz w:val="28"/>
          <w:lang w:val="en-US"/>
        </w:rPr>
        <w:t>-</w:t>
      </w:r>
      <w:r>
        <w:rPr>
          <w:spacing w:val="18"/>
          <w:sz w:val="28"/>
          <w:lang w:val="en-US"/>
        </w:rPr>
        <w:t xml:space="preserve"> </w:t>
      </w:r>
      <w:r>
        <w:rPr>
          <w:sz w:val="28"/>
          <w:lang w:val="en-US"/>
        </w:rPr>
        <w:t>2022.</w:t>
      </w:r>
      <w:r>
        <w:rPr>
          <w:spacing w:val="21"/>
          <w:sz w:val="28"/>
          <w:lang w:val="en-US"/>
        </w:rPr>
        <w:t xml:space="preserve"> </w:t>
      </w:r>
      <w:r>
        <w:rPr>
          <w:sz w:val="28"/>
          <w:lang w:val="en-US"/>
        </w:rPr>
        <w:t>-</w:t>
      </w:r>
      <w:r>
        <w:rPr>
          <w:spacing w:val="13"/>
          <w:sz w:val="28"/>
          <w:lang w:val="en-US"/>
        </w:rPr>
        <w:t xml:space="preserve"> </w:t>
      </w:r>
      <w:r>
        <w:rPr>
          <w:sz w:val="28"/>
          <w:lang w:val="en-US"/>
        </w:rPr>
        <w:t>Vol.</w:t>
      </w:r>
      <w:r>
        <w:rPr>
          <w:spacing w:val="20"/>
          <w:sz w:val="28"/>
          <w:lang w:val="en-US"/>
        </w:rPr>
        <w:t xml:space="preserve"> </w:t>
      </w:r>
      <w:r>
        <w:rPr>
          <w:sz w:val="28"/>
          <w:lang w:val="en-US"/>
        </w:rPr>
        <w:t>11,</w:t>
      </w:r>
      <w:r>
        <w:rPr>
          <w:spacing w:val="20"/>
          <w:sz w:val="28"/>
          <w:lang w:val="en-US"/>
        </w:rPr>
        <w:t xml:space="preserve"> </w:t>
      </w:r>
      <w:r>
        <w:rPr>
          <w:spacing w:val="-5"/>
          <w:sz w:val="28"/>
          <w:lang w:val="en-US"/>
        </w:rPr>
        <w:t>№21. - P. 23-64</w:t>
      </w:r>
      <w:r>
        <w:rPr>
          <w:spacing w:val="-2"/>
          <w:lang w:val="en-US"/>
        </w:rPr>
        <w:t>.</w:t>
      </w:r>
    </w:p>
    <w:p w14:paraId="52EC1453">
      <w:pPr>
        <w:pStyle w:val="10"/>
        <w:numPr>
          <w:ilvl w:val="0"/>
          <w:numId w:val="29"/>
        </w:numPr>
        <w:tabs>
          <w:tab w:val="left" w:pos="1128"/>
        </w:tabs>
        <w:ind w:left="0" w:right="3" w:firstLine="706"/>
        <w:rPr>
          <w:sz w:val="28"/>
        </w:rPr>
      </w:pPr>
      <w:r>
        <w:rPr>
          <w:sz w:val="28"/>
        </w:rPr>
        <w:t>Егоров В.И., Ахметзянов Ф.Ш. Возможности прогнозирования, профилактики</w:t>
      </w:r>
      <w:r>
        <w:rPr>
          <w:spacing w:val="-18"/>
          <w:sz w:val="28"/>
        </w:rPr>
        <w:t xml:space="preserve"> </w:t>
      </w:r>
      <w:r>
        <w:rPr>
          <w:sz w:val="28"/>
        </w:rPr>
        <w:t>и</w:t>
      </w:r>
      <w:r>
        <w:rPr>
          <w:spacing w:val="-17"/>
          <w:sz w:val="28"/>
        </w:rPr>
        <w:t xml:space="preserve"> </w:t>
      </w:r>
      <w:r>
        <w:rPr>
          <w:sz w:val="28"/>
        </w:rPr>
        <w:t>лечения</w:t>
      </w:r>
      <w:r>
        <w:rPr>
          <w:spacing w:val="-18"/>
          <w:sz w:val="28"/>
        </w:rPr>
        <w:t xml:space="preserve"> </w:t>
      </w:r>
      <w:r>
        <w:rPr>
          <w:sz w:val="28"/>
        </w:rPr>
        <w:t>панкреатического</w:t>
      </w:r>
      <w:r>
        <w:rPr>
          <w:spacing w:val="-17"/>
          <w:sz w:val="28"/>
        </w:rPr>
        <w:t xml:space="preserve"> </w:t>
      </w:r>
      <w:r>
        <w:rPr>
          <w:sz w:val="28"/>
        </w:rPr>
        <w:t>свища</w:t>
      </w:r>
      <w:r>
        <w:rPr>
          <w:spacing w:val="-18"/>
          <w:sz w:val="28"/>
        </w:rPr>
        <w:t xml:space="preserve"> </w:t>
      </w:r>
      <w:r>
        <w:rPr>
          <w:sz w:val="28"/>
        </w:rPr>
        <w:t>после</w:t>
      </w:r>
      <w:r>
        <w:rPr>
          <w:spacing w:val="-17"/>
          <w:sz w:val="28"/>
        </w:rPr>
        <w:t xml:space="preserve"> </w:t>
      </w:r>
      <w:r>
        <w:rPr>
          <w:sz w:val="28"/>
        </w:rPr>
        <w:t>панкреатодоуденальных резекций. //Вопросы онкологии. -2024.- №70(5).-Р. 835-842.</w:t>
      </w:r>
    </w:p>
    <w:p w14:paraId="45D4A5E5">
      <w:pPr>
        <w:pStyle w:val="10"/>
        <w:numPr>
          <w:ilvl w:val="0"/>
          <w:numId w:val="29"/>
        </w:numPr>
        <w:tabs>
          <w:tab w:val="left" w:pos="1418"/>
        </w:tabs>
        <w:ind w:left="0" w:right="3" w:firstLine="706"/>
        <w:rPr>
          <w:sz w:val="28"/>
        </w:rPr>
      </w:pPr>
      <w:r>
        <w:rPr>
          <w:sz w:val="28"/>
        </w:rPr>
        <w:t>Атаева А.Н. et al. Факторы риска развития панкреатической фистулы после панкреатодуоденальной резекции. Анналы хирургической гепатологии. -2024.- № 29 (4).-Р. 144–150.</w:t>
      </w:r>
    </w:p>
    <w:p w14:paraId="09ED11B2">
      <w:pPr>
        <w:pStyle w:val="10"/>
        <w:numPr>
          <w:ilvl w:val="0"/>
          <w:numId w:val="29"/>
        </w:numPr>
        <w:ind w:left="0" w:right="3" w:firstLine="706"/>
        <w:rPr>
          <w:sz w:val="28"/>
        </w:rPr>
      </w:pPr>
      <w:r>
        <w:rPr>
          <w:sz w:val="28"/>
        </w:rPr>
        <w:t>Навматуля А.Ю. et al. Основные факторы риска развития панкреатической фистулы после панкреатодуоденальной резекции // Вестник НМХЦ им. Н.И. Пирогова. – 2022. – Т. 17, № 1. – С. 49–53.</w:t>
      </w:r>
    </w:p>
    <w:p w14:paraId="66CC826C">
      <w:pPr>
        <w:pStyle w:val="10"/>
        <w:numPr>
          <w:ilvl w:val="0"/>
          <w:numId w:val="29"/>
        </w:numPr>
        <w:ind w:left="0" w:right="3" w:firstLine="706"/>
        <w:rPr>
          <w:sz w:val="28"/>
          <w:lang w:val="en-US"/>
        </w:rPr>
      </w:pPr>
      <w:r>
        <w:rPr>
          <w:sz w:val="28"/>
          <w:lang w:val="en-US"/>
        </w:rPr>
        <w:t>Zunxiang Ke. et al. Risk factors for postoperative pancreatic fistula Analysis of</w:t>
      </w:r>
      <w:r>
        <w:rPr>
          <w:spacing w:val="-1"/>
          <w:sz w:val="28"/>
          <w:lang w:val="en-US"/>
        </w:rPr>
        <w:t xml:space="preserve"> </w:t>
      </w:r>
      <w:r>
        <w:rPr>
          <w:sz w:val="28"/>
          <w:lang w:val="en-US"/>
        </w:rPr>
        <w:t>170 consecutive cases of</w:t>
      </w:r>
      <w:r>
        <w:rPr>
          <w:spacing w:val="-1"/>
          <w:sz w:val="28"/>
          <w:lang w:val="en-US"/>
        </w:rPr>
        <w:t xml:space="preserve"> </w:t>
      </w:r>
      <w:r>
        <w:rPr>
          <w:sz w:val="28"/>
          <w:lang w:val="en-US"/>
        </w:rPr>
        <w:t xml:space="preserve">pancreaticoduodenectomy based on the updated ISGPS classification and grading system // Medicine.-2018.- №97.-35 </w:t>
      </w:r>
      <w:r>
        <w:rPr>
          <w:sz w:val="28"/>
        </w:rPr>
        <w:t>р</w:t>
      </w:r>
      <w:r>
        <w:rPr>
          <w:sz w:val="28"/>
          <w:lang w:val="en-US"/>
        </w:rPr>
        <w:t>.</w:t>
      </w:r>
    </w:p>
    <w:p w14:paraId="4EB4623E">
      <w:pPr>
        <w:pStyle w:val="10"/>
        <w:numPr>
          <w:ilvl w:val="0"/>
          <w:numId w:val="29"/>
        </w:numPr>
        <w:tabs>
          <w:tab w:val="left" w:pos="1560"/>
        </w:tabs>
        <w:ind w:left="0" w:right="3" w:firstLine="706"/>
        <w:rPr>
          <w:sz w:val="28"/>
          <w:lang w:val="en-US"/>
        </w:rPr>
      </w:pPr>
      <w:r>
        <w:rPr>
          <w:sz w:val="28"/>
          <w:lang w:val="en-US"/>
        </w:rPr>
        <w:t>Ramy A. Hassan. et al. Risk factors predicting the development of a pancreatic</w:t>
      </w:r>
      <w:r>
        <w:rPr>
          <w:spacing w:val="-9"/>
          <w:sz w:val="28"/>
          <w:lang w:val="en-US"/>
        </w:rPr>
        <w:t xml:space="preserve"> </w:t>
      </w:r>
      <w:r>
        <w:rPr>
          <w:sz w:val="28"/>
          <w:lang w:val="en-US"/>
        </w:rPr>
        <w:t>fistula</w:t>
      </w:r>
      <w:r>
        <w:rPr>
          <w:spacing w:val="-9"/>
          <w:sz w:val="28"/>
          <w:lang w:val="en-US"/>
        </w:rPr>
        <w:t xml:space="preserve"> </w:t>
      </w:r>
      <w:r>
        <w:rPr>
          <w:sz w:val="28"/>
          <w:lang w:val="en-US"/>
        </w:rPr>
        <w:t>following</w:t>
      </w:r>
      <w:r>
        <w:rPr>
          <w:spacing w:val="-15"/>
          <w:sz w:val="28"/>
          <w:lang w:val="en-US"/>
        </w:rPr>
        <w:t xml:space="preserve"> </w:t>
      </w:r>
      <w:r>
        <w:rPr>
          <w:sz w:val="28"/>
          <w:lang w:val="en-US"/>
        </w:rPr>
        <w:t>pancreaticoduodenectomy:</w:t>
      </w:r>
      <w:r>
        <w:rPr>
          <w:spacing w:val="-10"/>
          <w:sz w:val="28"/>
          <w:lang w:val="en-US"/>
        </w:rPr>
        <w:t xml:space="preserve"> </w:t>
      </w:r>
      <w:r>
        <w:rPr>
          <w:sz w:val="28"/>
          <w:lang w:val="en-US"/>
        </w:rPr>
        <w:t>A</w:t>
      </w:r>
      <w:r>
        <w:rPr>
          <w:spacing w:val="-17"/>
          <w:sz w:val="28"/>
          <w:lang w:val="en-US"/>
        </w:rPr>
        <w:t xml:space="preserve"> </w:t>
      </w:r>
      <w:r>
        <w:rPr>
          <w:sz w:val="28"/>
          <w:lang w:val="en-US"/>
        </w:rPr>
        <w:t>retrospective</w:t>
      </w:r>
      <w:r>
        <w:rPr>
          <w:spacing w:val="-13"/>
          <w:sz w:val="28"/>
          <w:lang w:val="en-US"/>
        </w:rPr>
        <w:t xml:space="preserve"> </w:t>
      </w:r>
      <w:r>
        <w:rPr>
          <w:sz w:val="28"/>
          <w:lang w:val="en-US"/>
        </w:rPr>
        <w:t>cohort</w:t>
      </w:r>
      <w:r>
        <w:rPr>
          <w:spacing w:val="-15"/>
          <w:sz w:val="28"/>
          <w:lang w:val="en-US"/>
        </w:rPr>
        <w:t xml:space="preserve"> </w:t>
      </w:r>
      <w:r>
        <w:rPr>
          <w:sz w:val="28"/>
          <w:lang w:val="en-US"/>
        </w:rPr>
        <w:t>study</w:t>
      </w:r>
      <w:r>
        <w:rPr>
          <w:spacing w:val="39"/>
          <w:sz w:val="28"/>
          <w:lang w:val="en-US"/>
        </w:rPr>
        <w:t xml:space="preserve"> </w:t>
      </w:r>
      <w:r>
        <w:rPr>
          <w:sz w:val="28"/>
          <w:lang w:val="en-US"/>
        </w:rPr>
        <w:t>// International Journal of Surgery Open .-2022.- №45.-</w:t>
      </w:r>
      <w:r>
        <w:rPr>
          <w:sz w:val="28"/>
        </w:rPr>
        <w:t>Р</w:t>
      </w:r>
      <w:r>
        <w:rPr>
          <w:sz w:val="28"/>
          <w:lang w:val="en-US"/>
        </w:rPr>
        <w:t>. 100</w:t>
      </w:r>
      <w:r>
        <w:rPr>
          <w:sz w:val="28"/>
        </w:rPr>
        <w:t>-</w:t>
      </w:r>
      <w:r>
        <w:rPr>
          <w:sz w:val="28"/>
          <w:lang w:val="en-US"/>
        </w:rPr>
        <w:t>509</w:t>
      </w:r>
      <w:r>
        <w:rPr>
          <w:sz w:val="28"/>
        </w:rPr>
        <w:t>.</w:t>
      </w:r>
    </w:p>
    <w:p w14:paraId="7929CBC5">
      <w:pPr>
        <w:pStyle w:val="10"/>
        <w:numPr>
          <w:ilvl w:val="0"/>
          <w:numId w:val="29"/>
        </w:numPr>
        <w:tabs>
          <w:tab w:val="left" w:pos="1418"/>
        </w:tabs>
        <w:ind w:left="0" w:right="3" w:firstLine="706"/>
        <w:rPr>
          <w:sz w:val="28"/>
          <w:lang w:val="en-US"/>
        </w:rPr>
      </w:pPr>
      <w:r>
        <w:rPr>
          <w:color w:val="1B1B1B"/>
          <w:sz w:val="28"/>
          <w:lang w:val="en-US"/>
        </w:rPr>
        <w:t xml:space="preserve">Rungsakulkij N. </w:t>
      </w:r>
      <w:r>
        <w:rPr>
          <w:sz w:val="28"/>
          <w:lang w:val="en-US"/>
        </w:rPr>
        <w:t xml:space="preserve">et al. </w:t>
      </w:r>
      <w:r>
        <w:rPr>
          <w:color w:val="1B1B1B"/>
          <w:sz w:val="28"/>
          <w:lang w:val="en-US"/>
        </w:rPr>
        <w:t>Risk factors for pancreatic fistula following pancreaticoduodenectomy: A retrospective study in a Thai tertiary center. World J Gastrointest Surg. -2017.- №9(12).-</w:t>
      </w:r>
      <w:r>
        <w:rPr>
          <w:color w:val="1B1B1B"/>
          <w:sz w:val="28"/>
        </w:rPr>
        <w:t>Р</w:t>
      </w:r>
      <w:r>
        <w:rPr>
          <w:color w:val="1B1B1B"/>
          <w:sz w:val="28"/>
          <w:lang w:val="en-US"/>
        </w:rPr>
        <w:t>.270-280.</w:t>
      </w:r>
    </w:p>
    <w:p w14:paraId="537B504F">
      <w:pPr>
        <w:pStyle w:val="10"/>
        <w:numPr>
          <w:ilvl w:val="0"/>
          <w:numId w:val="29"/>
        </w:numPr>
        <w:tabs>
          <w:tab w:val="left" w:pos="1134"/>
        </w:tabs>
        <w:ind w:left="0" w:right="3" w:firstLine="566"/>
        <w:rPr>
          <w:sz w:val="28"/>
        </w:rPr>
      </w:pPr>
      <w:r>
        <w:rPr>
          <w:color w:val="1B1B1B"/>
          <w:sz w:val="28"/>
          <w:lang w:val="en-US"/>
        </w:rPr>
        <w:t>Hu</w:t>
      </w:r>
      <w:r>
        <w:rPr>
          <w:color w:val="1B1B1B"/>
          <w:spacing w:val="-18"/>
          <w:sz w:val="28"/>
          <w:lang w:val="en-US"/>
        </w:rPr>
        <w:t xml:space="preserve"> </w:t>
      </w:r>
      <w:r>
        <w:rPr>
          <w:color w:val="1B1B1B"/>
          <w:sz w:val="28"/>
          <w:lang w:val="en-US"/>
        </w:rPr>
        <w:t>B.Y.</w:t>
      </w:r>
      <w:r>
        <w:rPr>
          <w:color w:val="1B1B1B"/>
          <w:spacing w:val="-17"/>
          <w:sz w:val="28"/>
          <w:lang w:val="en-US"/>
        </w:rPr>
        <w:t xml:space="preserve"> </w:t>
      </w:r>
      <w:r>
        <w:rPr>
          <w:sz w:val="28"/>
          <w:lang w:val="en-US"/>
        </w:rPr>
        <w:t>et</w:t>
      </w:r>
      <w:r>
        <w:rPr>
          <w:spacing w:val="-18"/>
          <w:sz w:val="28"/>
          <w:lang w:val="en-US"/>
        </w:rPr>
        <w:t xml:space="preserve"> </w:t>
      </w:r>
      <w:r>
        <w:rPr>
          <w:sz w:val="28"/>
          <w:lang w:val="en-US"/>
        </w:rPr>
        <w:t>al.</w:t>
      </w:r>
      <w:r>
        <w:rPr>
          <w:spacing w:val="-17"/>
          <w:sz w:val="28"/>
          <w:lang w:val="en-US"/>
        </w:rPr>
        <w:t xml:space="preserve"> </w:t>
      </w:r>
      <w:r>
        <w:rPr>
          <w:color w:val="1B1B1B"/>
          <w:sz w:val="28"/>
          <w:lang w:val="en-US"/>
        </w:rPr>
        <w:t>Risk</w:t>
      </w:r>
      <w:r>
        <w:rPr>
          <w:color w:val="1B1B1B"/>
          <w:spacing w:val="-18"/>
          <w:sz w:val="28"/>
          <w:lang w:val="en-US"/>
        </w:rPr>
        <w:t xml:space="preserve"> </w:t>
      </w:r>
      <w:r>
        <w:rPr>
          <w:color w:val="1B1B1B"/>
          <w:sz w:val="28"/>
          <w:lang w:val="en-US"/>
        </w:rPr>
        <w:t>factors</w:t>
      </w:r>
      <w:r>
        <w:rPr>
          <w:color w:val="1B1B1B"/>
          <w:spacing w:val="-16"/>
          <w:sz w:val="28"/>
          <w:lang w:val="en-US"/>
        </w:rPr>
        <w:t xml:space="preserve"> </w:t>
      </w:r>
      <w:r>
        <w:rPr>
          <w:color w:val="1B1B1B"/>
          <w:sz w:val="28"/>
          <w:lang w:val="en-US"/>
        </w:rPr>
        <w:t>for</w:t>
      </w:r>
      <w:r>
        <w:rPr>
          <w:color w:val="1B1B1B"/>
          <w:spacing w:val="-17"/>
          <w:sz w:val="28"/>
          <w:lang w:val="en-US"/>
        </w:rPr>
        <w:t xml:space="preserve"> </w:t>
      </w:r>
      <w:r>
        <w:rPr>
          <w:color w:val="1B1B1B"/>
          <w:sz w:val="28"/>
          <w:lang w:val="en-US"/>
        </w:rPr>
        <w:t>postoperative</w:t>
      </w:r>
      <w:r>
        <w:rPr>
          <w:color w:val="1B1B1B"/>
          <w:spacing w:val="-15"/>
          <w:sz w:val="28"/>
          <w:lang w:val="en-US"/>
        </w:rPr>
        <w:t xml:space="preserve"> </w:t>
      </w:r>
      <w:r>
        <w:rPr>
          <w:color w:val="1B1B1B"/>
          <w:sz w:val="28"/>
          <w:lang w:val="en-US"/>
        </w:rPr>
        <w:t>pancreatic</w:t>
      </w:r>
      <w:r>
        <w:rPr>
          <w:color w:val="1B1B1B"/>
          <w:spacing w:val="-15"/>
          <w:sz w:val="28"/>
          <w:lang w:val="en-US"/>
        </w:rPr>
        <w:t xml:space="preserve"> </w:t>
      </w:r>
      <w:r>
        <w:rPr>
          <w:color w:val="1B1B1B"/>
          <w:sz w:val="28"/>
          <w:lang w:val="en-US"/>
        </w:rPr>
        <w:t>fistula:</w:t>
      </w:r>
      <w:r>
        <w:rPr>
          <w:color w:val="1B1B1B"/>
          <w:spacing w:val="-17"/>
          <w:sz w:val="28"/>
          <w:lang w:val="en-US"/>
        </w:rPr>
        <w:t xml:space="preserve"> </w:t>
      </w:r>
      <w:r>
        <w:rPr>
          <w:color w:val="1B1B1B"/>
          <w:sz w:val="28"/>
          <w:lang w:val="en-US"/>
        </w:rPr>
        <w:t>Analysis of</w:t>
      </w:r>
      <w:r>
        <w:rPr>
          <w:color w:val="1B1B1B"/>
          <w:spacing w:val="-18"/>
          <w:sz w:val="28"/>
          <w:lang w:val="en-US"/>
        </w:rPr>
        <w:t xml:space="preserve"> </w:t>
      </w:r>
      <w:r>
        <w:rPr>
          <w:color w:val="1B1B1B"/>
          <w:sz w:val="28"/>
          <w:lang w:val="en-US"/>
        </w:rPr>
        <w:t>539</w:t>
      </w:r>
      <w:r>
        <w:rPr>
          <w:color w:val="1B1B1B"/>
          <w:spacing w:val="-17"/>
          <w:sz w:val="28"/>
          <w:lang w:val="en-US"/>
        </w:rPr>
        <w:t xml:space="preserve"> </w:t>
      </w:r>
      <w:r>
        <w:rPr>
          <w:color w:val="1B1B1B"/>
          <w:sz w:val="28"/>
          <w:lang w:val="en-US"/>
        </w:rPr>
        <w:t>successive</w:t>
      </w:r>
      <w:r>
        <w:rPr>
          <w:color w:val="1B1B1B"/>
          <w:spacing w:val="-18"/>
          <w:sz w:val="28"/>
          <w:lang w:val="en-US"/>
        </w:rPr>
        <w:t xml:space="preserve"> </w:t>
      </w:r>
      <w:r>
        <w:rPr>
          <w:color w:val="1B1B1B"/>
          <w:sz w:val="28"/>
          <w:lang w:val="en-US"/>
        </w:rPr>
        <w:t>cases</w:t>
      </w:r>
      <w:r>
        <w:rPr>
          <w:color w:val="1B1B1B"/>
          <w:spacing w:val="-17"/>
          <w:sz w:val="28"/>
          <w:lang w:val="en-US"/>
        </w:rPr>
        <w:t xml:space="preserve"> </w:t>
      </w:r>
      <w:r>
        <w:rPr>
          <w:color w:val="1B1B1B"/>
          <w:sz w:val="28"/>
          <w:lang w:val="en-US"/>
        </w:rPr>
        <w:t>of</w:t>
      </w:r>
      <w:r>
        <w:rPr>
          <w:color w:val="1B1B1B"/>
          <w:spacing w:val="-18"/>
          <w:sz w:val="28"/>
          <w:lang w:val="en-US"/>
        </w:rPr>
        <w:t xml:space="preserve"> </w:t>
      </w:r>
      <w:r>
        <w:rPr>
          <w:color w:val="1B1B1B"/>
          <w:sz w:val="28"/>
          <w:lang w:val="en-US"/>
        </w:rPr>
        <w:t>pancreaticoduodenectomy.</w:t>
      </w:r>
      <w:r>
        <w:rPr>
          <w:color w:val="1B1B1B"/>
          <w:spacing w:val="-17"/>
          <w:sz w:val="28"/>
          <w:lang w:val="en-US"/>
        </w:rPr>
        <w:t xml:space="preserve"> //</w:t>
      </w:r>
      <w:r>
        <w:rPr>
          <w:color w:val="1B1B1B"/>
          <w:sz w:val="28"/>
          <w:lang w:val="en-US"/>
        </w:rPr>
        <w:t>World</w:t>
      </w:r>
      <w:r>
        <w:rPr>
          <w:color w:val="1B1B1B"/>
          <w:spacing w:val="-18"/>
          <w:sz w:val="28"/>
          <w:lang w:val="en-US"/>
        </w:rPr>
        <w:t xml:space="preserve"> </w:t>
      </w:r>
      <w:r>
        <w:rPr>
          <w:color w:val="1B1B1B"/>
          <w:sz w:val="28"/>
          <w:lang w:val="en-US"/>
        </w:rPr>
        <w:t>J</w:t>
      </w:r>
      <w:r>
        <w:rPr>
          <w:color w:val="1B1B1B"/>
          <w:spacing w:val="-17"/>
          <w:sz w:val="28"/>
          <w:lang w:val="en-US"/>
        </w:rPr>
        <w:t xml:space="preserve"> </w:t>
      </w:r>
      <w:r>
        <w:rPr>
          <w:color w:val="1B1B1B"/>
          <w:sz w:val="28"/>
          <w:lang w:val="en-US"/>
        </w:rPr>
        <w:t>Gastroenterol.-</w:t>
      </w:r>
      <w:r>
        <w:rPr>
          <w:color w:val="1B1B1B"/>
          <w:spacing w:val="-17"/>
          <w:sz w:val="28"/>
          <w:lang w:val="en-US"/>
        </w:rPr>
        <w:t xml:space="preserve"> </w:t>
      </w:r>
      <w:r>
        <w:rPr>
          <w:color w:val="1B1B1B"/>
          <w:sz w:val="28"/>
        </w:rPr>
        <w:t>2016</w:t>
      </w:r>
      <w:r>
        <w:rPr>
          <w:color w:val="1B1B1B"/>
          <w:spacing w:val="-13"/>
          <w:sz w:val="28"/>
        </w:rPr>
        <w:t>.- №</w:t>
      </w:r>
      <w:r>
        <w:rPr>
          <w:color w:val="1B1B1B"/>
          <w:spacing w:val="-2"/>
          <w:sz w:val="28"/>
        </w:rPr>
        <w:t>22(34).-Р.7797-805.</w:t>
      </w:r>
    </w:p>
    <w:p w14:paraId="3CC4B766">
      <w:pPr>
        <w:pStyle w:val="10"/>
        <w:numPr>
          <w:ilvl w:val="0"/>
          <w:numId w:val="29"/>
        </w:numPr>
        <w:tabs>
          <w:tab w:val="left" w:pos="1134"/>
        </w:tabs>
        <w:ind w:left="0" w:right="3" w:firstLine="566"/>
        <w:rPr>
          <w:sz w:val="28"/>
          <w:lang w:val="en-US"/>
        </w:rPr>
      </w:pPr>
      <w:r>
        <w:rPr>
          <w:sz w:val="28"/>
          <w:lang w:val="en-US"/>
        </w:rPr>
        <w:t>Patel A.C. et al. Evaluation</w:t>
      </w:r>
      <w:r>
        <w:rPr>
          <w:spacing w:val="-4"/>
          <w:sz w:val="28"/>
          <w:lang w:val="en-US"/>
        </w:rPr>
        <w:t xml:space="preserve"> </w:t>
      </w:r>
      <w:r>
        <w:rPr>
          <w:sz w:val="28"/>
          <w:lang w:val="en-US"/>
        </w:rPr>
        <w:t>of</w:t>
      </w:r>
      <w:r>
        <w:rPr>
          <w:spacing w:val="-1"/>
          <w:sz w:val="28"/>
          <w:lang w:val="en-US"/>
        </w:rPr>
        <w:t xml:space="preserve"> </w:t>
      </w:r>
      <w:r>
        <w:rPr>
          <w:sz w:val="28"/>
          <w:lang w:val="en-US"/>
        </w:rPr>
        <w:t>risk factors for postoperative pancreatic fistula following pancreaticoduodenectomy. Formos J Surg.- 2019.- №52.-</w:t>
      </w:r>
      <w:r>
        <w:rPr>
          <w:sz w:val="28"/>
        </w:rPr>
        <w:t>Р</w:t>
      </w:r>
      <w:r>
        <w:rPr>
          <w:sz w:val="28"/>
          <w:lang w:val="en-US"/>
        </w:rPr>
        <w:t>.76-83.</w:t>
      </w:r>
    </w:p>
    <w:p w14:paraId="61BC8F95">
      <w:pPr>
        <w:pStyle w:val="10"/>
        <w:numPr>
          <w:ilvl w:val="0"/>
          <w:numId w:val="29"/>
        </w:numPr>
        <w:ind w:left="0" w:right="3" w:firstLine="566"/>
        <w:rPr>
          <w:sz w:val="28"/>
        </w:rPr>
      </w:pPr>
      <w:r>
        <w:rPr>
          <w:sz w:val="28"/>
          <w:lang w:val="en-US"/>
        </w:rPr>
        <w:t>Juanita</w:t>
      </w:r>
      <w:r>
        <w:rPr>
          <w:spacing w:val="-18"/>
          <w:sz w:val="28"/>
          <w:lang w:val="en-US"/>
        </w:rPr>
        <w:t xml:space="preserve"> </w:t>
      </w:r>
      <w:r>
        <w:rPr>
          <w:sz w:val="28"/>
          <w:lang w:val="en-US"/>
        </w:rPr>
        <w:t>N.</w:t>
      </w:r>
      <w:r>
        <w:rPr>
          <w:spacing w:val="-17"/>
          <w:sz w:val="28"/>
          <w:lang w:val="en-US"/>
        </w:rPr>
        <w:t xml:space="preserve"> </w:t>
      </w:r>
      <w:r>
        <w:rPr>
          <w:sz w:val="28"/>
          <w:lang w:val="en-US"/>
        </w:rPr>
        <w:t>Chui.</w:t>
      </w:r>
      <w:r>
        <w:rPr>
          <w:spacing w:val="-18"/>
          <w:sz w:val="28"/>
          <w:lang w:val="en-US"/>
        </w:rPr>
        <w:t xml:space="preserve"> </w:t>
      </w:r>
      <w:r>
        <w:rPr>
          <w:sz w:val="28"/>
          <w:lang w:val="en-US"/>
        </w:rPr>
        <w:t>et</w:t>
      </w:r>
      <w:r>
        <w:rPr>
          <w:spacing w:val="-17"/>
          <w:sz w:val="28"/>
          <w:lang w:val="en-US"/>
        </w:rPr>
        <w:t xml:space="preserve"> </w:t>
      </w:r>
      <w:r>
        <w:rPr>
          <w:sz w:val="28"/>
          <w:lang w:val="en-US"/>
        </w:rPr>
        <w:t>al.</w:t>
      </w:r>
      <w:r>
        <w:rPr>
          <w:spacing w:val="-18"/>
          <w:sz w:val="28"/>
          <w:lang w:val="en-US"/>
        </w:rPr>
        <w:t xml:space="preserve"> </w:t>
      </w:r>
      <w:r>
        <w:rPr>
          <w:sz w:val="28"/>
          <w:lang w:val="en-US"/>
        </w:rPr>
        <w:t>Postoperative</w:t>
      </w:r>
      <w:r>
        <w:rPr>
          <w:spacing w:val="-17"/>
          <w:sz w:val="28"/>
          <w:lang w:val="en-US"/>
        </w:rPr>
        <w:t xml:space="preserve"> </w:t>
      </w:r>
      <w:r>
        <w:rPr>
          <w:sz w:val="28"/>
          <w:lang w:val="en-US"/>
        </w:rPr>
        <w:t>pancreatitis</w:t>
      </w:r>
      <w:r>
        <w:rPr>
          <w:spacing w:val="-17"/>
          <w:sz w:val="28"/>
          <w:lang w:val="en-US"/>
        </w:rPr>
        <w:t xml:space="preserve"> </w:t>
      </w:r>
      <w:r>
        <w:rPr>
          <w:sz w:val="28"/>
          <w:lang w:val="en-US"/>
        </w:rPr>
        <w:t>and</w:t>
      </w:r>
      <w:r>
        <w:rPr>
          <w:spacing w:val="-18"/>
          <w:sz w:val="28"/>
          <w:lang w:val="en-US"/>
        </w:rPr>
        <w:t xml:space="preserve"> </w:t>
      </w:r>
      <w:r>
        <w:rPr>
          <w:sz w:val="28"/>
          <w:lang w:val="en-US"/>
        </w:rPr>
        <w:t>pancreatic</w:t>
      </w:r>
      <w:r>
        <w:rPr>
          <w:spacing w:val="-13"/>
          <w:sz w:val="28"/>
          <w:lang w:val="en-US"/>
        </w:rPr>
        <w:t xml:space="preserve"> </w:t>
      </w:r>
      <w:r>
        <w:rPr>
          <w:sz w:val="28"/>
          <w:lang w:val="en-US"/>
        </w:rPr>
        <w:t xml:space="preserve">fistulae: a review of current evidence. HPB.-2023.- № </w:t>
      </w:r>
      <w:r>
        <w:rPr>
          <w:sz w:val="28"/>
        </w:rPr>
        <w:t>25.-Р. 1011–1021.</w:t>
      </w:r>
    </w:p>
    <w:p w14:paraId="19DD2491">
      <w:pPr>
        <w:pStyle w:val="10"/>
        <w:numPr>
          <w:ilvl w:val="0"/>
          <w:numId w:val="29"/>
        </w:numPr>
        <w:ind w:left="0" w:right="3" w:firstLine="566"/>
        <w:rPr>
          <w:sz w:val="28"/>
        </w:rPr>
      </w:pPr>
      <w:r>
        <w:rPr>
          <w:sz w:val="28"/>
          <w:lang w:val="en-US"/>
        </w:rPr>
        <w:t xml:space="preserve">Camilo Ramírez-Giraldo et al. Evaluation of postoperative pancreatic fistula prediction scales following pancreatoduodenectomies based on magnetic resonance imaging: A diagnostic test study. //Pancreatology.-2024.- № </w:t>
      </w:r>
      <w:r>
        <w:rPr>
          <w:sz w:val="28"/>
        </w:rPr>
        <w:t>24.-Р. 796-804.</w:t>
      </w:r>
    </w:p>
    <w:p w14:paraId="53D0958F">
      <w:pPr>
        <w:pStyle w:val="10"/>
        <w:numPr>
          <w:ilvl w:val="0"/>
          <w:numId w:val="29"/>
        </w:numPr>
        <w:ind w:left="0" w:right="3" w:firstLine="566"/>
        <w:rPr>
          <w:sz w:val="28"/>
        </w:rPr>
      </w:pPr>
      <w:r>
        <w:rPr>
          <w:sz w:val="28"/>
          <w:lang w:val="en-US"/>
        </w:rPr>
        <w:t xml:space="preserve">Martin A.N. et al. (2018) Pancreatic duct size and gland texture are associated with pancreatic fistula after pancreaticoduodenectomy but not after distal pancreatectomy. PLoS ONE.-2018.- № </w:t>
      </w:r>
      <w:r>
        <w:rPr>
          <w:sz w:val="28"/>
        </w:rPr>
        <w:t>13(9).-Р.203-841.</w:t>
      </w:r>
    </w:p>
    <w:p w14:paraId="04066259">
      <w:pPr>
        <w:pStyle w:val="10"/>
        <w:numPr>
          <w:ilvl w:val="0"/>
          <w:numId w:val="29"/>
        </w:numPr>
        <w:spacing w:before="67"/>
        <w:ind w:left="0" w:right="3" w:firstLine="709"/>
        <w:rPr>
          <w:sz w:val="28"/>
          <w:lang w:val="en-US"/>
        </w:rPr>
      </w:pPr>
      <w:r>
        <w:rPr>
          <w:color w:val="202020"/>
          <w:sz w:val="28"/>
          <w:lang w:val="en-US"/>
        </w:rPr>
        <w:t xml:space="preserve">Hayashi H. </w:t>
      </w:r>
      <w:r>
        <w:rPr>
          <w:sz w:val="28"/>
          <w:lang w:val="en-US"/>
        </w:rPr>
        <w:t xml:space="preserve">et al. </w:t>
      </w:r>
      <w:r>
        <w:rPr>
          <w:color w:val="202020"/>
          <w:sz w:val="28"/>
          <w:lang w:val="en-US"/>
        </w:rPr>
        <w:t>Comparison of three fistula risk scores after pancreatoduodenectomy: A single-institution retrospective study. Asian J Surg. -2021.- №</w:t>
      </w:r>
      <w:r>
        <w:rPr>
          <w:color w:val="202020"/>
          <w:spacing w:val="-2"/>
          <w:sz w:val="28"/>
          <w:lang w:val="en-US"/>
        </w:rPr>
        <w:t>44(1).-</w:t>
      </w:r>
      <w:r>
        <w:rPr>
          <w:color w:val="202020"/>
          <w:spacing w:val="-2"/>
          <w:sz w:val="28"/>
        </w:rPr>
        <w:t>Р</w:t>
      </w:r>
      <w:r>
        <w:rPr>
          <w:color w:val="202020"/>
          <w:spacing w:val="-2"/>
          <w:sz w:val="28"/>
          <w:lang w:val="en-US"/>
        </w:rPr>
        <w:t>.143-146.</w:t>
      </w:r>
    </w:p>
    <w:p w14:paraId="03F7AA2E">
      <w:pPr>
        <w:pStyle w:val="10"/>
        <w:numPr>
          <w:ilvl w:val="0"/>
          <w:numId w:val="29"/>
        </w:numPr>
        <w:tabs>
          <w:tab w:val="left" w:pos="1134"/>
        </w:tabs>
        <w:spacing w:line="242" w:lineRule="auto"/>
        <w:ind w:left="0" w:right="3" w:firstLine="709"/>
        <w:rPr>
          <w:sz w:val="28"/>
          <w:lang w:val="en-US"/>
        </w:rPr>
      </w:pPr>
      <w:r>
        <w:rPr>
          <w:sz w:val="28"/>
          <w:lang w:val="en-US"/>
        </w:rPr>
        <w:t>Mungroop T.H. et al. Alternative Fistula Risk Score for Pancreatoduodenectomy (a-FRS): Design and International External Validation // Annals of Surgery. - 2019. - Vol. 269, № 5. - P. 937–943.</w:t>
      </w:r>
    </w:p>
    <w:p w14:paraId="4F4862E1">
      <w:pPr>
        <w:pStyle w:val="10"/>
        <w:numPr>
          <w:ilvl w:val="0"/>
          <w:numId w:val="29"/>
        </w:numPr>
        <w:tabs>
          <w:tab w:val="left" w:pos="1276"/>
        </w:tabs>
        <w:ind w:left="0" w:right="3" w:firstLine="709"/>
        <w:rPr>
          <w:sz w:val="28"/>
          <w:lang w:val="en-US"/>
        </w:rPr>
      </w:pPr>
      <w:r>
        <w:rPr>
          <w:sz w:val="28"/>
          <w:lang w:val="en-US"/>
        </w:rPr>
        <w:t>Pande R. et al. External validation of postoperative pancreatic fistula prediction</w:t>
      </w:r>
      <w:r>
        <w:rPr>
          <w:spacing w:val="-12"/>
          <w:sz w:val="28"/>
          <w:lang w:val="en-US"/>
        </w:rPr>
        <w:t xml:space="preserve"> </w:t>
      </w:r>
      <w:r>
        <w:rPr>
          <w:sz w:val="28"/>
          <w:lang w:val="en-US"/>
        </w:rPr>
        <w:t>scores</w:t>
      </w:r>
      <w:r>
        <w:rPr>
          <w:spacing w:val="-6"/>
          <w:sz w:val="28"/>
          <w:lang w:val="en-US"/>
        </w:rPr>
        <w:t xml:space="preserve"> </w:t>
      </w:r>
      <w:r>
        <w:rPr>
          <w:sz w:val="28"/>
          <w:lang w:val="en-US"/>
        </w:rPr>
        <w:t>in</w:t>
      </w:r>
      <w:r>
        <w:rPr>
          <w:spacing w:val="-8"/>
          <w:sz w:val="28"/>
          <w:lang w:val="en-US"/>
        </w:rPr>
        <w:t xml:space="preserve"> </w:t>
      </w:r>
      <w:r>
        <w:rPr>
          <w:sz w:val="28"/>
          <w:lang w:val="en-US"/>
        </w:rPr>
        <w:t>pancreatoduodenectomy:</w:t>
      </w:r>
      <w:r>
        <w:rPr>
          <w:spacing w:val="-14"/>
          <w:sz w:val="28"/>
          <w:lang w:val="en-US"/>
        </w:rPr>
        <w:t xml:space="preserve"> </w:t>
      </w:r>
      <w:r>
        <w:rPr>
          <w:sz w:val="28"/>
          <w:lang w:val="en-US"/>
        </w:rPr>
        <w:t>a</w:t>
      </w:r>
      <w:r>
        <w:rPr>
          <w:spacing w:val="-8"/>
          <w:sz w:val="28"/>
          <w:lang w:val="en-US"/>
        </w:rPr>
        <w:t xml:space="preserve"> </w:t>
      </w:r>
      <w:r>
        <w:rPr>
          <w:sz w:val="28"/>
          <w:lang w:val="en-US"/>
        </w:rPr>
        <w:t>systematic</w:t>
      </w:r>
      <w:r>
        <w:rPr>
          <w:spacing w:val="-3"/>
          <w:sz w:val="28"/>
          <w:lang w:val="en-US"/>
        </w:rPr>
        <w:t xml:space="preserve"> </w:t>
      </w:r>
      <w:r>
        <w:rPr>
          <w:sz w:val="28"/>
          <w:lang w:val="en-US"/>
        </w:rPr>
        <w:t>review</w:t>
      </w:r>
      <w:r>
        <w:rPr>
          <w:spacing w:val="-8"/>
          <w:sz w:val="28"/>
          <w:lang w:val="en-US"/>
        </w:rPr>
        <w:t xml:space="preserve"> </w:t>
      </w:r>
      <w:r>
        <w:rPr>
          <w:sz w:val="28"/>
          <w:lang w:val="en-US"/>
        </w:rPr>
        <w:t>and meta-analysis</w:t>
      </w:r>
      <w:r>
        <w:rPr>
          <w:spacing w:val="-6"/>
          <w:sz w:val="28"/>
          <w:lang w:val="en-US"/>
        </w:rPr>
        <w:t xml:space="preserve"> </w:t>
      </w:r>
      <w:r>
        <w:rPr>
          <w:sz w:val="28"/>
          <w:lang w:val="en-US"/>
        </w:rPr>
        <w:t>// HPB. - 2022. - Vol. 24, № 3. - P. 287–298.</w:t>
      </w:r>
    </w:p>
    <w:p w14:paraId="2706261C">
      <w:pPr>
        <w:pStyle w:val="10"/>
        <w:numPr>
          <w:ilvl w:val="0"/>
          <w:numId w:val="29"/>
        </w:numPr>
        <w:tabs>
          <w:tab w:val="left" w:pos="1276"/>
        </w:tabs>
        <w:ind w:left="0" w:right="3" w:firstLine="709"/>
        <w:rPr>
          <w:sz w:val="28"/>
          <w:lang w:val="en-US"/>
        </w:rPr>
      </w:pPr>
      <w:r>
        <w:rPr>
          <w:sz w:val="28"/>
          <w:lang w:val="en-US"/>
        </w:rPr>
        <w:t>Elmelegy, Mohamed H et al. Risk factors for pancreatic fistula after pancreaticoduodenectomy. //The Egyptian Journal of Surgery.-2021.- № 40(4).-</w:t>
      </w:r>
      <w:r>
        <w:rPr>
          <w:sz w:val="28"/>
        </w:rPr>
        <w:t>Р</w:t>
      </w:r>
      <w:r>
        <w:rPr>
          <w:sz w:val="28"/>
          <w:lang w:val="en-US"/>
        </w:rPr>
        <w:t>. 1412-1422.</w:t>
      </w:r>
    </w:p>
    <w:p w14:paraId="31F0C7E1">
      <w:pPr>
        <w:pStyle w:val="10"/>
        <w:numPr>
          <w:ilvl w:val="0"/>
          <w:numId w:val="29"/>
        </w:numPr>
        <w:ind w:left="0" w:right="3" w:firstLine="709"/>
        <w:rPr>
          <w:sz w:val="28"/>
        </w:rPr>
      </w:pPr>
      <w:r>
        <w:rPr>
          <w:color w:val="1B1B1B"/>
          <w:sz w:val="28"/>
          <w:lang w:val="en-US"/>
        </w:rPr>
        <w:t xml:space="preserve">Perri G. </w:t>
      </w:r>
      <w:r>
        <w:rPr>
          <w:sz w:val="28"/>
          <w:lang w:val="en-US"/>
        </w:rPr>
        <w:t xml:space="preserve">et al. </w:t>
      </w:r>
      <w:r>
        <w:rPr>
          <w:color w:val="1B1B1B"/>
          <w:sz w:val="28"/>
          <w:lang w:val="en-US"/>
        </w:rPr>
        <w:t>Clinical relevance of intraoperative blood loss in pancreatic</w:t>
      </w:r>
      <w:r>
        <w:rPr>
          <w:color w:val="1B1B1B"/>
          <w:spacing w:val="-1"/>
          <w:sz w:val="28"/>
          <w:lang w:val="en-US"/>
        </w:rPr>
        <w:t xml:space="preserve"> </w:t>
      </w:r>
      <w:r>
        <w:rPr>
          <w:color w:val="1B1B1B"/>
          <w:sz w:val="28"/>
          <w:lang w:val="en-US"/>
        </w:rPr>
        <w:t>surgery:</w:t>
      </w:r>
      <w:r>
        <w:rPr>
          <w:color w:val="1B1B1B"/>
          <w:spacing w:val="-6"/>
          <w:sz w:val="28"/>
          <w:lang w:val="en-US"/>
        </w:rPr>
        <w:t xml:space="preserve"> </w:t>
      </w:r>
      <w:r>
        <w:rPr>
          <w:color w:val="1B1B1B"/>
          <w:sz w:val="28"/>
          <w:lang w:val="en-US"/>
        </w:rPr>
        <w:t>a</w:t>
      </w:r>
      <w:r>
        <w:rPr>
          <w:color w:val="1B1B1B"/>
          <w:spacing w:val="-1"/>
          <w:sz w:val="28"/>
          <w:lang w:val="en-US"/>
        </w:rPr>
        <w:t xml:space="preserve"> </w:t>
      </w:r>
      <w:r>
        <w:rPr>
          <w:color w:val="1B1B1B"/>
          <w:sz w:val="28"/>
          <w:lang w:val="en-US"/>
        </w:rPr>
        <w:t>systematic</w:t>
      </w:r>
      <w:r>
        <w:rPr>
          <w:color w:val="1B1B1B"/>
          <w:spacing w:val="-1"/>
          <w:sz w:val="28"/>
          <w:lang w:val="en-US"/>
        </w:rPr>
        <w:t xml:space="preserve"> </w:t>
      </w:r>
      <w:r>
        <w:rPr>
          <w:color w:val="1B1B1B"/>
          <w:sz w:val="28"/>
          <w:lang w:val="en-US"/>
        </w:rPr>
        <w:t>review</w:t>
      </w:r>
      <w:r>
        <w:rPr>
          <w:color w:val="1B1B1B"/>
          <w:spacing w:val="-1"/>
          <w:sz w:val="28"/>
          <w:lang w:val="en-US"/>
        </w:rPr>
        <w:t xml:space="preserve"> </w:t>
      </w:r>
      <w:r>
        <w:rPr>
          <w:color w:val="1B1B1B"/>
          <w:sz w:val="28"/>
          <w:lang w:val="en-US"/>
        </w:rPr>
        <w:t>and meta-analysis to</w:t>
      </w:r>
      <w:r>
        <w:rPr>
          <w:color w:val="1B1B1B"/>
          <w:spacing w:val="-1"/>
          <w:sz w:val="28"/>
          <w:lang w:val="en-US"/>
        </w:rPr>
        <w:t xml:space="preserve"> </w:t>
      </w:r>
      <w:r>
        <w:rPr>
          <w:color w:val="1B1B1B"/>
          <w:sz w:val="28"/>
          <w:lang w:val="en-US"/>
        </w:rPr>
        <w:t>reappraise</w:t>
      </w:r>
      <w:r>
        <w:rPr>
          <w:color w:val="1B1B1B"/>
          <w:spacing w:val="-1"/>
          <w:sz w:val="28"/>
          <w:lang w:val="en-US"/>
        </w:rPr>
        <w:t xml:space="preserve"> </w:t>
      </w:r>
      <w:r>
        <w:rPr>
          <w:color w:val="1B1B1B"/>
          <w:sz w:val="28"/>
          <w:lang w:val="en-US"/>
        </w:rPr>
        <w:t>the impact</w:t>
      </w:r>
      <w:r>
        <w:rPr>
          <w:color w:val="1B1B1B"/>
          <w:spacing w:val="-1"/>
          <w:sz w:val="28"/>
          <w:lang w:val="en-US"/>
        </w:rPr>
        <w:t xml:space="preserve"> </w:t>
      </w:r>
      <w:r>
        <w:rPr>
          <w:color w:val="1B1B1B"/>
          <w:sz w:val="28"/>
          <w:lang w:val="en-US"/>
        </w:rPr>
        <w:t>on post operative pancreatic fistula. Langenbecks Arch Surg.- 2025.-</w:t>
      </w:r>
      <w:r>
        <w:rPr>
          <w:sz w:val="28"/>
          <w:lang w:val="en-US"/>
        </w:rPr>
        <w:t xml:space="preserve"> Vol. </w:t>
      </w:r>
      <w:r>
        <w:rPr>
          <w:color w:val="1B1B1B"/>
          <w:sz w:val="28"/>
        </w:rPr>
        <w:t>10, №411(1).-9 р.</w:t>
      </w:r>
    </w:p>
    <w:p w14:paraId="7D30D60E">
      <w:pPr>
        <w:pStyle w:val="10"/>
        <w:numPr>
          <w:ilvl w:val="0"/>
          <w:numId w:val="29"/>
        </w:numPr>
        <w:tabs>
          <w:tab w:val="left" w:pos="1418"/>
        </w:tabs>
        <w:spacing w:line="242" w:lineRule="auto"/>
        <w:ind w:left="0" w:right="3" w:firstLine="709"/>
        <w:rPr>
          <w:sz w:val="28"/>
          <w:lang w:val="en-US"/>
        </w:rPr>
      </w:pPr>
      <w:r>
        <w:rPr>
          <w:sz w:val="28"/>
          <w:lang w:val="en-US"/>
        </w:rPr>
        <w:t>Ye L. et al. Novel modified Blumgart anastomosis reduces clinically relevant</w:t>
      </w:r>
      <w:r>
        <w:rPr>
          <w:spacing w:val="-3"/>
          <w:sz w:val="28"/>
          <w:lang w:val="en-US"/>
        </w:rPr>
        <w:t xml:space="preserve"> </w:t>
      </w:r>
      <w:r>
        <w:rPr>
          <w:sz w:val="28"/>
          <w:lang w:val="en-US"/>
        </w:rPr>
        <w:t>pancreatic fistula</w:t>
      </w:r>
      <w:r>
        <w:rPr>
          <w:spacing w:val="-2"/>
          <w:sz w:val="28"/>
          <w:lang w:val="en-US"/>
        </w:rPr>
        <w:t xml:space="preserve"> </w:t>
      </w:r>
      <w:r>
        <w:rPr>
          <w:sz w:val="28"/>
          <w:lang w:val="en-US"/>
        </w:rPr>
        <w:t>after</w:t>
      </w:r>
      <w:r>
        <w:rPr>
          <w:spacing w:val="-3"/>
          <w:sz w:val="28"/>
          <w:lang w:val="en-US"/>
        </w:rPr>
        <w:t xml:space="preserve"> </w:t>
      </w:r>
      <w:r>
        <w:rPr>
          <w:sz w:val="28"/>
          <w:lang w:val="en-US"/>
        </w:rPr>
        <w:t>pancreaticoduodenectomy:</w:t>
      </w:r>
      <w:r>
        <w:rPr>
          <w:spacing w:val="-3"/>
          <w:sz w:val="28"/>
          <w:lang w:val="en-US"/>
        </w:rPr>
        <w:t xml:space="preserve"> </w:t>
      </w:r>
      <w:r>
        <w:rPr>
          <w:sz w:val="28"/>
          <w:lang w:val="en-US"/>
        </w:rPr>
        <w:t>a</w:t>
      </w:r>
      <w:r>
        <w:rPr>
          <w:spacing w:val="-2"/>
          <w:sz w:val="28"/>
          <w:lang w:val="en-US"/>
        </w:rPr>
        <w:t xml:space="preserve"> </w:t>
      </w:r>
      <w:r>
        <w:rPr>
          <w:sz w:val="28"/>
          <w:lang w:val="en-US"/>
        </w:rPr>
        <w:t>retrospective</w:t>
      </w:r>
      <w:r>
        <w:rPr>
          <w:spacing w:val="-2"/>
          <w:sz w:val="28"/>
          <w:lang w:val="en-US"/>
        </w:rPr>
        <w:t xml:space="preserve"> </w:t>
      </w:r>
      <w:r>
        <w:rPr>
          <w:sz w:val="28"/>
          <w:lang w:val="en-US"/>
        </w:rPr>
        <w:t>study</w:t>
      </w:r>
      <w:r>
        <w:rPr>
          <w:spacing w:val="-3"/>
          <w:sz w:val="28"/>
          <w:lang w:val="en-US"/>
        </w:rPr>
        <w:t xml:space="preserve"> </w:t>
      </w:r>
      <w:r>
        <w:rPr>
          <w:sz w:val="28"/>
          <w:lang w:val="en-US"/>
        </w:rPr>
        <w:t>using inverse</w:t>
      </w:r>
      <w:r>
        <w:rPr>
          <w:spacing w:val="-8"/>
          <w:sz w:val="28"/>
          <w:lang w:val="en-US"/>
        </w:rPr>
        <w:t xml:space="preserve"> </w:t>
      </w:r>
      <w:r>
        <w:rPr>
          <w:sz w:val="28"/>
          <w:lang w:val="en-US"/>
        </w:rPr>
        <w:t>probability</w:t>
      </w:r>
      <w:r>
        <w:rPr>
          <w:spacing w:val="-13"/>
          <w:sz w:val="28"/>
          <w:lang w:val="en-US"/>
        </w:rPr>
        <w:t xml:space="preserve"> </w:t>
      </w:r>
      <w:r>
        <w:rPr>
          <w:sz w:val="28"/>
          <w:lang w:val="en-US"/>
        </w:rPr>
        <w:t>of</w:t>
      </w:r>
      <w:r>
        <w:rPr>
          <w:spacing w:val="-15"/>
          <w:sz w:val="28"/>
          <w:lang w:val="en-US"/>
        </w:rPr>
        <w:t xml:space="preserve"> </w:t>
      </w:r>
      <w:r>
        <w:rPr>
          <w:sz w:val="28"/>
          <w:lang w:val="en-US"/>
        </w:rPr>
        <w:t>treatment</w:t>
      </w:r>
      <w:r>
        <w:rPr>
          <w:spacing w:val="-9"/>
          <w:sz w:val="28"/>
          <w:lang w:val="en-US"/>
        </w:rPr>
        <w:t xml:space="preserve"> </w:t>
      </w:r>
      <w:r>
        <w:rPr>
          <w:sz w:val="28"/>
          <w:lang w:val="en-US"/>
        </w:rPr>
        <w:t>weighting</w:t>
      </w:r>
      <w:r>
        <w:rPr>
          <w:spacing w:val="-14"/>
          <w:sz w:val="28"/>
          <w:lang w:val="en-US"/>
        </w:rPr>
        <w:t xml:space="preserve"> </w:t>
      </w:r>
      <w:r>
        <w:rPr>
          <w:sz w:val="28"/>
          <w:lang w:val="en-US"/>
        </w:rPr>
        <w:t>//</w:t>
      </w:r>
      <w:r>
        <w:rPr>
          <w:spacing w:val="-3"/>
          <w:sz w:val="28"/>
          <w:lang w:val="en-US"/>
        </w:rPr>
        <w:t xml:space="preserve"> </w:t>
      </w:r>
      <w:r>
        <w:rPr>
          <w:sz w:val="28"/>
          <w:lang w:val="en-US"/>
        </w:rPr>
        <w:t>Frontiers</w:t>
      </w:r>
      <w:r>
        <w:rPr>
          <w:spacing w:val="-7"/>
          <w:sz w:val="28"/>
          <w:lang w:val="en-US"/>
        </w:rPr>
        <w:t xml:space="preserve"> </w:t>
      </w:r>
      <w:r>
        <w:rPr>
          <w:sz w:val="28"/>
          <w:lang w:val="en-US"/>
        </w:rPr>
        <w:t>in</w:t>
      </w:r>
      <w:r>
        <w:rPr>
          <w:spacing w:val="-14"/>
          <w:sz w:val="28"/>
          <w:lang w:val="en-US"/>
        </w:rPr>
        <w:t xml:space="preserve"> </w:t>
      </w:r>
      <w:r>
        <w:rPr>
          <w:sz w:val="28"/>
          <w:lang w:val="en-US"/>
        </w:rPr>
        <w:t>Surgery.</w:t>
      </w:r>
      <w:r>
        <w:rPr>
          <w:spacing w:val="-7"/>
          <w:sz w:val="28"/>
          <w:lang w:val="en-US"/>
        </w:rPr>
        <w:t xml:space="preserve"> </w:t>
      </w:r>
      <w:r>
        <w:rPr>
          <w:sz w:val="28"/>
          <w:lang w:val="en-US"/>
        </w:rPr>
        <w:t>-</w:t>
      </w:r>
      <w:r>
        <w:rPr>
          <w:spacing w:val="-8"/>
          <w:sz w:val="28"/>
          <w:lang w:val="en-US"/>
        </w:rPr>
        <w:t xml:space="preserve"> </w:t>
      </w:r>
      <w:r>
        <w:rPr>
          <w:sz w:val="28"/>
          <w:lang w:val="en-US"/>
        </w:rPr>
        <w:t>2025.</w:t>
      </w:r>
      <w:r>
        <w:rPr>
          <w:spacing w:val="-6"/>
          <w:sz w:val="28"/>
          <w:lang w:val="en-US"/>
        </w:rPr>
        <w:t xml:space="preserve"> </w:t>
      </w:r>
      <w:r>
        <w:rPr>
          <w:sz w:val="28"/>
          <w:lang w:val="en-US"/>
        </w:rPr>
        <w:t>-</w:t>
      </w:r>
      <w:r>
        <w:rPr>
          <w:spacing w:val="-13"/>
          <w:sz w:val="28"/>
          <w:lang w:val="en-US"/>
        </w:rPr>
        <w:t xml:space="preserve"> </w:t>
      </w:r>
      <w:r>
        <w:rPr>
          <w:sz w:val="28"/>
          <w:lang w:val="en-US"/>
        </w:rPr>
        <w:t>Vol.</w:t>
      </w:r>
      <w:r>
        <w:rPr>
          <w:spacing w:val="-7"/>
          <w:sz w:val="28"/>
          <w:lang w:val="en-US"/>
        </w:rPr>
        <w:t xml:space="preserve"> </w:t>
      </w:r>
      <w:r>
        <w:rPr>
          <w:sz w:val="28"/>
          <w:lang w:val="en-US"/>
        </w:rPr>
        <w:t>12.</w:t>
      </w:r>
    </w:p>
    <w:p w14:paraId="5590D6B0">
      <w:pPr>
        <w:pStyle w:val="7"/>
        <w:spacing w:line="316" w:lineRule="exact"/>
        <w:ind w:left="0" w:right="3" w:firstLine="0"/>
      </w:pPr>
      <w:r>
        <w:t>-</w:t>
      </w:r>
      <w:r>
        <w:rPr>
          <w:spacing w:val="-7"/>
        </w:rPr>
        <w:t xml:space="preserve"> </w:t>
      </w:r>
      <w:r>
        <w:t>Р.</w:t>
      </w:r>
      <w:r>
        <w:rPr>
          <w:spacing w:val="-6"/>
        </w:rPr>
        <w:t xml:space="preserve"> </w:t>
      </w:r>
      <w:r>
        <w:rPr>
          <w:spacing w:val="-2"/>
        </w:rPr>
        <w:t>161-561.</w:t>
      </w:r>
    </w:p>
    <w:p w14:paraId="308904AA">
      <w:pPr>
        <w:pStyle w:val="10"/>
        <w:numPr>
          <w:ilvl w:val="0"/>
          <w:numId w:val="29"/>
        </w:numPr>
        <w:ind w:left="0" w:right="3" w:firstLine="566"/>
        <w:rPr>
          <w:sz w:val="28"/>
          <w:lang w:val="en-US"/>
        </w:rPr>
      </w:pPr>
      <w:r>
        <w:rPr>
          <w:sz w:val="28"/>
          <w:lang w:val="en-US"/>
        </w:rPr>
        <w:t>Satoi S. et al. Does modified Blumgart anastomosis without intra- pancreatic ductal stenting reduce postoperative pancreatic fistula after pancreaticojejunostomy?</w:t>
      </w:r>
      <w:r>
        <w:rPr>
          <w:spacing w:val="-1"/>
          <w:sz w:val="28"/>
          <w:lang w:val="en-US"/>
        </w:rPr>
        <w:t xml:space="preserve"> </w:t>
      </w:r>
      <w:r>
        <w:rPr>
          <w:sz w:val="28"/>
          <w:lang w:val="en-US"/>
        </w:rPr>
        <w:t>// Asian</w:t>
      </w:r>
      <w:r>
        <w:rPr>
          <w:spacing w:val="-6"/>
          <w:sz w:val="28"/>
          <w:lang w:val="en-US"/>
        </w:rPr>
        <w:t xml:space="preserve"> </w:t>
      </w:r>
      <w:r>
        <w:rPr>
          <w:sz w:val="28"/>
          <w:lang w:val="en-US"/>
        </w:rPr>
        <w:t>Journal</w:t>
      </w:r>
      <w:r>
        <w:rPr>
          <w:spacing w:val="-7"/>
          <w:sz w:val="28"/>
          <w:lang w:val="en-US"/>
        </w:rPr>
        <w:t xml:space="preserve"> </w:t>
      </w:r>
      <w:r>
        <w:rPr>
          <w:sz w:val="28"/>
          <w:lang w:val="en-US"/>
        </w:rPr>
        <w:t>of</w:t>
      </w:r>
      <w:r>
        <w:rPr>
          <w:spacing w:val="-3"/>
          <w:sz w:val="28"/>
          <w:lang w:val="en-US"/>
        </w:rPr>
        <w:t xml:space="preserve"> </w:t>
      </w:r>
      <w:r>
        <w:rPr>
          <w:sz w:val="28"/>
          <w:lang w:val="en-US"/>
        </w:rPr>
        <w:t>Surgery. -</w:t>
      </w:r>
      <w:r>
        <w:rPr>
          <w:spacing w:val="-1"/>
          <w:sz w:val="28"/>
          <w:lang w:val="en-US"/>
        </w:rPr>
        <w:t xml:space="preserve"> </w:t>
      </w:r>
      <w:r>
        <w:rPr>
          <w:sz w:val="28"/>
          <w:lang w:val="en-US"/>
        </w:rPr>
        <w:t>2019. -</w:t>
      </w:r>
      <w:r>
        <w:rPr>
          <w:spacing w:val="-1"/>
          <w:sz w:val="28"/>
          <w:lang w:val="en-US"/>
        </w:rPr>
        <w:t xml:space="preserve"> </w:t>
      </w:r>
      <w:r>
        <w:rPr>
          <w:sz w:val="28"/>
          <w:lang w:val="en-US"/>
        </w:rPr>
        <w:t>Vol. 42, №</w:t>
      </w:r>
      <w:r>
        <w:rPr>
          <w:spacing w:val="-3"/>
          <w:sz w:val="28"/>
          <w:lang w:val="en-US"/>
        </w:rPr>
        <w:t xml:space="preserve"> </w:t>
      </w:r>
      <w:r>
        <w:rPr>
          <w:sz w:val="28"/>
          <w:lang w:val="en-US"/>
        </w:rPr>
        <w:t>1. -</w:t>
      </w:r>
      <w:r>
        <w:rPr>
          <w:spacing w:val="-1"/>
          <w:sz w:val="28"/>
          <w:lang w:val="en-US"/>
        </w:rPr>
        <w:t xml:space="preserve"> </w:t>
      </w:r>
      <w:r>
        <w:rPr>
          <w:sz w:val="28"/>
          <w:lang w:val="en-US"/>
        </w:rPr>
        <w:t xml:space="preserve">P. </w:t>
      </w:r>
      <w:r>
        <w:rPr>
          <w:spacing w:val="-2"/>
          <w:sz w:val="28"/>
          <w:lang w:val="en-US"/>
        </w:rPr>
        <w:t>343–349.</w:t>
      </w:r>
    </w:p>
    <w:p w14:paraId="1384C8B9">
      <w:pPr>
        <w:pStyle w:val="10"/>
        <w:numPr>
          <w:ilvl w:val="0"/>
          <w:numId w:val="29"/>
        </w:numPr>
        <w:tabs>
          <w:tab w:val="left" w:pos="1418"/>
        </w:tabs>
        <w:ind w:left="0" w:right="3" w:firstLine="706"/>
        <w:rPr>
          <w:sz w:val="28"/>
          <w:lang w:val="en-US"/>
        </w:rPr>
      </w:pPr>
      <w:r>
        <w:rPr>
          <w:sz w:val="28"/>
          <w:lang w:val="en-US"/>
        </w:rPr>
        <w:t>Fujii T. et al. Modified Blumgart Anastomosis for Pancreaticojejunostomy:</w:t>
      </w:r>
      <w:r>
        <w:rPr>
          <w:spacing w:val="-10"/>
          <w:sz w:val="28"/>
          <w:lang w:val="en-US"/>
        </w:rPr>
        <w:t xml:space="preserve"> </w:t>
      </w:r>
      <w:r>
        <w:rPr>
          <w:sz w:val="28"/>
          <w:lang w:val="en-US"/>
        </w:rPr>
        <w:t>Technical</w:t>
      </w:r>
      <w:r>
        <w:rPr>
          <w:spacing w:val="-14"/>
          <w:sz w:val="28"/>
          <w:lang w:val="en-US"/>
        </w:rPr>
        <w:t xml:space="preserve"> </w:t>
      </w:r>
      <w:r>
        <w:rPr>
          <w:sz w:val="28"/>
          <w:lang w:val="en-US"/>
        </w:rPr>
        <w:t>Improvement</w:t>
      </w:r>
      <w:r>
        <w:rPr>
          <w:spacing w:val="-10"/>
          <w:sz w:val="28"/>
          <w:lang w:val="en-US"/>
        </w:rPr>
        <w:t xml:space="preserve"> </w:t>
      </w:r>
      <w:r>
        <w:rPr>
          <w:sz w:val="28"/>
          <w:lang w:val="en-US"/>
        </w:rPr>
        <w:t>in</w:t>
      </w:r>
      <w:r>
        <w:rPr>
          <w:spacing w:val="-14"/>
          <w:sz w:val="28"/>
          <w:lang w:val="en-US"/>
        </w:rPr>
        <w:t xml:space="preserve"> </w:t>
      </w:r>
      <w:r>
        <w:rPr>
          <w:sz w:val="28"/>
          <w:lang w:val="en-US"/>
        </w:rPr>
        <w:t>Matched</w:t>
      </w:r>
      <w:r>
        <w:rPr>
          <w:spacing w:val="-9"/>
          <w:sz w:val="28"/>
          <w:lang w:val="en-US"/>
        </w:rPr>
        <w:t xml:space="preserve"> </w:t>
      </w:r>
      <w:r>
        <w:rPr>
          <w:sz w:val="28"/>
          <w:lang w:val="en-US"/>
        </w:rPr>
        <w:t>Historical</w:t>
      </w:r>
      <w:r>
        <w:rPr>
          <w:spacing w:val="-14"/>
          <w:sz w:val="28"/>
          <w:lang w:val="en-US"/>
        </w:rPr>
        <w:t xml:space="preserve"> </w:t>
      </w:r>
      <w:r>
        <w:rPr>
          <w:sz w:val="28"/>
          <w:lang w:val="en-US"/>
        </w:rPr>
        <w:t>Control</w:t>
      </w:r>
      <w:r>
        <w:rPr>
          <w:spacing w:val="-14"/>
          <w:sz w:val="28"/>
          <w:lang w:val="en-US"/>
        </w:rPr>
        <w:t xml:space="preserve"> </w:t>
      </w:r>
      <w:r>
        <w:rPr>
          <w:sz w:val="28"/>
          <w:lang w:val="en-US"/>
        </w:rPr>
        <w:t>Study</w:t>
      </w:r>
    </w:p>
    <w:p w14:paraId="68152850">
      <w:pPr>
        <w:pStyle w:val="7"/>
        <w:spacing w:line="321" w:lineRule="exact"/>
        <w:ind w:left="0" w:right="3" w:firstLine="0"/>
        <w:rPr>
          <w:lang w:val="en-US"/>
        </w:rPr>
      </w:pPr>
      <w:r>
        <w:rPr>
          <w:lang w:val="en-US"/>
        </w:rPr>
        <w:t>//</w:t>
      </w:r>
      <w:r>
        <w:rPr>
          <w:spacing w:val="-4"/>
          <w:lang w:val="en-US"/>
        </w:rPr>
        <w:t xml:space="preserve"> </w:t>
      </w:r>
      <w:r>
        <w:rPr>
          <w:lang w:val="en-US"/>
        </w:rPr>
        <w:t>Journal</w:t>
      </w:r>
      <w:r>
        <w:rPr>
          <w:spacing w:val="-8"/>
          <w:lang w:val="en-US"/>
        </w:rPr>
        <w:t xml:space="preserve"> </w:t>
      </w:r>
      <w:r>
        <w:rPr>
          <w:lang w:val="en-US"/>
        </w:rPr>
        <w:t>of</w:t>
      </w:r>
      <w:r>
        <w:rPr>
          <w:spacing w:val="-5"/>
          <w:lang w:val="en-US"/>
        </w:rPr>
        <w:t xml:space="preserve"> </w:t>
      </w:r>
      <w:r>
        <w:rPr>
          <w:lang w:val="en-US"/>
        </w:rPr>
        <w:t>Gastrointestinal</w:t>
      </w:r>
      <w:r>
        <w:rPr>
          <w:spacing w:val="-8"/>
          <w:lang w:val="en-US"/>
        </w:rPr>
        <w:t xml:space="preserve"> </w:t>
      </w:r>
      <w:r>
        <w:rPr>
          <w:lang w:val="en-US"/>
        </w:rPr>
        <w:t>Surgery. -</w:t>
      </w:r>
      <w:r>
        <w:rPr>
          <w:spacing w:val="-3"/>
          <w:lang w:val="en-US"/>
        </w:rPr>
        <w:t xml:space="preserve"> </w:t>
      </w:r>
      <w:r>
        <w:rPr>
          <w:lang w:val="en-US"/>
        </w:rPr>
        <w:t>2014.</w:t>
      </w:r>
      <w:r>
        <w:rPr>
          <w:spacing w:val="-1"/>
          <w:lang w:val="en-US"/>
        </w:rPr>
        <w:t xml:space="preserve"> </w:t>
      </w:r>
      <w:r>
        <w:rPr>
          <w:lang w:val="en-US"/>
        </w:rPr>
        <w:t>-</w:t>
      </w:r>
      <w:r>
        <w:rPr>
          <w:spacing w:val="-2"/>
          <w:lang w:val="en-US"/>
        </w:rPr>
        <w:t xml:space="preserve"> </w:t>
      </w:r>
      <w:r>
        <w:rPr>
          <w:lang w:val="en-US"/>
        </w:rPr>
        <w:t>Vol.</w:t>
      </w:r>
      <w:r>
        <w:rPr>
          <w:spacing w:val="-1"/>
          <w:lang w:val="en-US"/>
        </w:rPr>
        <w:t xml:space="preserve"> </w:t>
      </w:r>
      <w:r>
        <w:rPr>
          <w:lang w:val="en-US"/>
        </w:rPr>
        <w:t>18,</w:t>
      </w:r>
      <w:r>
        <w:rPr>
          <w:spacing w:val="-1"/>
          <w:lang w:val="en-US"/>
        </w:rPr>
        <w:t xml:space="preserve"> </w:t>
      </w:r>
      <w:r>
        <w:rPr>
          <w:lang w:val="en-US"/>
        </w:rPr>
        <w:t>№</w:t>
      </w:r>
      <w:r>
        <w:rPr>
          <w:spacing w:val="-4"/>
          <w:lang w:val="en-US"/>
        </w:rPr>
        <w:t xml:space="preserve"> </w:t>
      </w:r>
      <w:r>
        <w:rPr>
          <w:lang w:val="en-US"/>
        </w:rPr>
        <w:t>6. -</w:t>
      </w:r>
      <w:r>
        <w:rPr>
          <w:spacing w:val="-2"/>
          <w:lang w:val="en-US"/>
        </w:rPr>
        <w:t xml:space="preserve"> </w:t>
      </w:r>
      <w:r>
        <w:rPr>
          <w:lang w:val="en-US"/>
        </w:rPr>
        <w:t>P.</w:t>
      </w:r>
      <w:r>
        <w:rPr>
          <w:spacing w:val="-1"/>
          <w:lang w:val="en-US"/>
        </w:rPr>
        <w:t xml:space="preserve"> </w:t>
      </w:r>
      <w:r>
        <w:rPr>
          <w:spacing w:val="-2"/>
          <w:lang w:val="en-US"/>
        </w:rPr>
        <w:t>1108–1115.</w:t>
      </w:r>
    </w:p>
    <w:p w14:paraId="0EB86D5E">
      <w:pPr>
        <w:pStyle w:val="10"/>
        <w:numPr>
          <w:ilvl w:val="0"/>
          <w:numId w:val="29"/>
        </w:numPr>
        <w:tabs>
          <w:tab w:val="left" w:pos="1418"/>
        </w:tabs>
        <w:ind w:left="0" w:right="3" w:firstLine="706"/>
        <w:rPr>
          <w:sz w:val="28"/>
          <w:lang w:val="en-US"/>
        </w:rPr>
      </w:pPr>
      <w:r>
        <w:rPr>
          <w:color w:val="202020"/>
          <w:sz w:val="28"/>
          <w:lang w:val="en-US"/>
        </w:rPr>
        <w:t xml:space="preserve">Chang J.H. </w:t>
      </w:r>
      <w:r>
        <w:rPr>
          <w:sz w:val="28"/>
          <w:lang w:val="en-US"/>
        </w:rPr>
        <w:t xml:space="preserve">et al. </w:t>
      </w:r>
      <w:r>
        <w:rPr>
          <w:color w:val="202020"/>
          <w:sz w:val="28"/>
          <w:lang w:val="en-US"/>
        </w:rPr>
        <w:t>Postoperative Day 1 Drain Amylase After Pancreatoduodenectomy: Optimal Level to Predict Pancreatic Fistula. J Gastrointest Surg. 2023 Nov;27(11):2676-2683.</w:t>
      </w:r>
    </w:p>
    <w:p w14:paraId="54485CA1">
      <w:pPr>
        <w:pStyle w:val="10"/>
        <w:numPr>
          <w:ilvl w:val="0"/>
          <w:numId w:val="29"/>
        </w:numPr>
        <w:ind w:left="0" w:right="3" w:firstLine="706"/>
        <w:rPr>
          <w:sz w:val="28"/>
          <w:lang w:val="en-US"/>
        </w:rPr>
      </w:pPr>
      <w:r>
        <w:rPr>
          <w:color w:val="202020"/>
          <w:sz w:val="28"/>
          <w:lang w:val="en-US"/>
        </w:rPr>
        <w:t xml:space="preserve">AlMasri S. </w:t>
      </w:r>
      <w:r>
        <w:rPr>
          <w:sz w:val="28"/>
          <w:lang w:val="en-US"/>
        </w:rPr>
        <w:t xml:space="preserve">et al. </w:t>
      </w:r>
      <w:r>
        <w:rPr>
          <w:color w:val="202020"/>
          <w:sz w:val="28"/>
          <w:lang w:val="en-US"/>
        </w:rPr>
        <w:t>Dynamic Assessment of Drain Fluid Amylase Estimates the Risk of</w:t>
      </w:r>
      <w:r>
        <w:rPr>
          <w:color w:val="202020"/>
          <w:spacing w:val="-2"/>
          <w:sz w:val="28"/>
          <w:lang w:val="en-US"/>
        </w:rPr>
        <w:t xml:space="preserve"> </w:t>
      </w:r>
      <w:r>
        <w:rPr>
          <w:color w:val="202020"/>
          <w:sz w:val="28"/>
          <w:lang w:val="en-US"/>
        </w:rPr>
        <w:t xml:space="preserve">CR-POPF Following Pancreatoduodenectomy. Ann Surg. -2024. 26 </w:t>
      </w:r>
      <w:r>
        <w:rPr>
          <w:color w:val="202020"/>
          <w:sz w:val="28"/>
        </w:rPr>
        <w:t>р</w:t>
      </w:r>
      <w:r>
        <w:rPr>
          <w:color w:val="202020"/>
          <w:sz w:val="28"/>
          <w:lang w:val="en-US"/>
        </w:rPr>
        <w:t>.</w:t>
      </w:r>
    </w:p>
    <w:p w14:paraId="77167024">
      <w:pPr>
        <w:pStyle w:val="10"/>
        <w:numPr>
          <w:ilvl w:val="0"/>
          <w:numId w:val="29"/>
        </w:numPr>
        <w:tabs>
          <w:tab w:val="left" w:pos="1418"/>
        </w:tabs>
        <w:ind w:left="0" w:right="3" w:firstLine="706"/>
        <w:rPr>
          <w:sz w:val="28"/>
        </w:rPr>
      </w:pPr>
      <w:r>
        <w:rPr>
          <w:sz w:val="28"/>
          <w:lang w:val="en-US"/>
        </w:rPr>
        <w:t>Sumita Pradhan et al. Day One Drain Amylase as a Predictor of Postoperative</w:t>
      </w:r>
      <w:r>
        <w:rPr>
          <w:spacing w:val="-7"/>
          <w:sz w:val="28"/>
          <w:lang w:val="en-US"/>
        </w:rPr>
        <w:t xml:space="preserve"> </w:t>
      </w:r>
      <w:r>
        <w:rPr>
          <w:sz w:val="28"/>
          <w:lang w:val="en-US"/>
        </w:rPr>
        <w:t>Pancreatic</w:t>
      </w:r>
      <w:r>
        <w:rPr>
          <w:spacing w:val="-2"/>
          <w:sz w:val="28"/>
          <w:lang w:val="en-US"/>
        </w:rPr>
        <w:t xml:space="preserve"> </w:t>
      </w:r>
      <w:r>
        <w:rPr>
          <w:sz w:val="28"/>
          <w:lang w:val="en-US"/>
        </w:rPr>
        <w:t>Fistula</w:t>
      </w:r>
      <w:r>
        <w:rPr>
          <w:spacing w:val="-2"/>
          <w:sz w:val="28"/>
          <w:lang w:val="en-US"/>
        </w:rPr>
        <w:t xml:space="preserve"> </w:t>
      </w:r>
      <w:r>
        <w:rPr>
          <w:sz w:val="28"/>
          <w:lang w:val="en-US"/>
        </w:rPr>
        <w:t>Following</w:t>
      </w:r>
      <w:r>
        <w:rPr>
          <w:spacing w:val="-8"/>
          <w:sz w:val="28"/>
          <w:lang w:val="en-US"/>
        </w:rPr>
        <w:t xml:space="preserve"> </w:t>
      </w:r>
      <w:r>
        <w:rPr>
          <w:sz w:val="28"/>
          <w:lang w:val="en-US"/>
        </w:rPr>
        <w:t>Pancreaticoduodenectomy</w:t>
      </w:r>
      <w:r>
        <w:rPr>
          <w:color w:val="202020"/>
          <w:sz w:val="28"/>
          <w:lang w:val="en-US"/>
        </w:rPr>
        <w:t>.</w:t>
      </w:r>
      <w:r>
        <w:rPr>
          <w:color w:val="202020"/>
          <w:spacing w:val="-5"/>
          <w:sz w:val="28"/>
          <w:lang w:val="en-US"/>
        </w:rPr>
        <w:t xml:space="preserve"> </w:t>
      </w:r>
      <w:r>
        <w:rPr>
          <w:color w:val="202020"/>
          <w:sz w:val="28"/>
          <w:lang w:val="en-US"/>
        </w:rPr>
        <w:t>J</w:t>
      </w:r>
      <w:r>
        <w:rPr>
          <w:color w:val="202020"/>
          <w:spacing w:val="-5"/>
          <w:sz w:val="28"/>
          <w:lang w:val="en-US"/>
        </w:rPr>
        <w:t xml:space="preserve"> </w:t>
      </w:r>
      <w:r>
        <w:rPr>
          <w:sz w:val="28"/>
          <w:lang w:val="en-US"/>
        </w:rPr>
        <w:t>Nepal</w:t>
      </w:r>
      <w:r>
        <w:rPr>
          <w:spacing w:val="-8"/>
          <w:sz w:val="28"/>
          <w:lang w:val="en-US"/>
        </w:rPr>
        <w:t xml:space="preserve"> </w:t>
      </w:r>
      <w:r>
        <w:rPr>
          <w:sz w:val="28"/>
          <w:lang w:val="en-US"/>
        </w:rPr>
        <w:t xml:space="preserve">Health Res Counc.- </w:t>
      </w:r>
      <w:r>
        <w:rPr>
          <w:sz w:val="28"/>
        </w:rPr>
        <w:t>2022.- №20(57).- 820 р.</w:t>
      </w:r>
    </w:p>
    <w:p w14:paraId="32D9053F">
      <w:pPr>
        <w:pStyle w:val="10"/>
        <w:numPr>
          <w:ilvl w:val="0"/>
          <w:numId w:val="29"/>
        </w:numPr>
        <w:tabs>
          <w:tab w:val="left" w:pos="1418"/>
        </w:tabs>
        <w:ind w:left="0" w:right="3" w:firstLine="706"/>
        <w:rPr>
          <w:sz w:val="28"/>
          <w:lang w:val="en-US"/>
        </w:rPr>
      </w:pPr>
      <w:r>
        <w:rPr>
          <w:sz w:val="28"/>
          <w:lang w:val="en-US"/>
        </w:rPr>
        <w:t>Wroński</w:t>
      </w:r>
      <w:r>
        <w:rPr>
          <w:spacing w:val="-18"/>
          <w:sz w:val="28"/>
          <w:lang w:val="en-US"/>
        </w:rPr>
        <w:t xml:space="preserve"> </w:t>
      </w:r>
      <w:r>
        <w:rPr>
          <w:sz w:val="28"/>
          <w:lang w:val="en-US"/>
        </w:rPr>
        <w:t>M.</w:t>
      </w:r>
      <w:r>
        <w:rPr>
          <w:spacing w:val="-17"/>
          <w:sz w:val="28"/>
          <w:lang w:val="en-US"/>
        </w:rPr>
        <w:t xml:space="preserve"> </w:t>
      </w:r>
      <w:r>
        <w:rPr>
          <w:sz w:val="28"/>
          <w:lang w:val="en-US"/>
        </w:rPr>
        <w:t>et</w:t>
      </w:r>
      <w:r>
        <w:rPr>
          <w:spacing w:val="-18"/>
          <w:sz w:val="28"/>
          <w:lang w:val="en-US"/>
        </w:rPr>
        <w:t xml:space="preserve"> </w:t>
      </w:r>
      <w:r>
        <w:rPr>
          <w:sz w:val="28"/>
          <w:lang w:val="en-US"/>
        </w:rPr>
        <w:t>al.</w:t>
      </w:r>
      <w:r>
        <w:rPr>
          <w:spacing w:val="-17"/>
          <w:sz w:val="28"/>
          <w:lang w:val="en-US"/>
        </w:rPr>
        <w:t xml:space="preserve"> </w:t>
      </w:r>
      <w:r>
        <w:rPr>
          <w:sz w:val="28"/>
          <w:lang w:val="en-US"/>
        </w:rPr>
        <w:t>Surgical</w:t>
      </w:r>
      <w:r>
        <w:rPr>
          <w:spacing w:val="-18"/>
          <w:sz w:val="28"/>
          <w:lang w:val="en-US"/>
        </w:rPr>
        <w:t xml:space="preserve"> </w:t>
      </w:r>
      <w:r>
        <w:rPr>
          <w:sz w:val="28"/>
          <w:lang w:val="en-US"/>
        </w:rPr>
        <w:t>management</w:t>
      </w:r>
      <w:r>
        <w:rPr>
          <w:spacing w:val="-17"/>
          <w:sz w:val="28"/>
          <w:lang w:val="en-US"/>
        </w:rPr>
        <w:t xml:space="preserve"> </w:t>
      </w:r>
      <w:r>
        <w:rPr>
          <w:sz w:val="28"/>
          <w:lang w:val="en-US"/>
        </w:rPr>
        <w:t>of</w:t>
      </w:r>
      <w:r>
        <w:rPr>
          <w:spacing w:val="-18"/>
          <w:sz w:val="28"/>
          <w:lang w:val="en-US"/>
        </w:rPr>
        <w:t xml:space="preserve"> </w:t>
      </w:r>
      <w:r>
        <w:rPr>
          <w:sz w:val="28"/>
          <w:lang w:val="en-US"/>
        </w:rPr>
        <w:t>the</w:t>
      </w:r>
      <w:r>
        <w:rPr>
          <w:spacing w:val="-17"/>
          <w:sz w:val="28"/>
          <w:lang w:val="en-US"/>
        </w:rPr>
        <w:t xml:space="preserve"> </w:t>
      </w:r>
      <w:r>
        <w:rPr>
          <w:sz w:val="28"/>
          <w:lang w:val="en-US"/>
        </w:rPr>
        <w:t>grade</w:t>
      </w:r>
      <w:r>
        <w:rPr>
          <w:spacing w:val="-18"/>
          <w:sz w:val="28"/>
          <w:lang w:val="en-US"/>
        </w:rPr>
        <w:t xml:space="preserve"> </w:t>
      </w:r>
      <w:r>
        <w:rPr>
          <w:sz w:val="28"/>
          <w:lang w:val="en-US"/>
        </w:rPr>
        <w:t>C</w:t>
      </w:r>
      <w:r>
        <w:rPr>
          <w:spacing w:val="-17"/>
          <w:sz w:val="28"/>
          <w:lang w:val="en-US"/>
        </w:rPr>
        <w:t xml:space="preserve"> </w:t>
      </w:r>
      <w:r>
        <w:rPr>
          <w:sz w:val="28"/>
          <w:lang w:val="en-US"/>
        </w:rPr>
        <w:t>pancreatic</w:t>
      </w:r>
      <w:r>
        <w:rPr>
          <w:spacing w:val="-18"/>
          <w:sz w:val="28"/>
          <w:lang w:val="en-US"/>
        </w:rPr>
        <w:t xml:space="preserve"> </w:t>
      </w:r>
      <w:r>
        <w:rPr>
          <w:sz w:val="28"/>
          <w:lang w:val="en-US"/>
        </w:rPr>
        <w:t>fistula after</w:t>
      </w:r>
      <w:r>
        <w:rPr>
          <w:spacing w:val="-9"/>
          <w:sz w:val="28"/>
          <w:lang w:val="en-US"/>
        </w:rPr>
        <w:t xml:space="preserve"> </w:t>
      </w:r>
      <w:r>
        <w:rPr>
          <w:sz w:val="28"/>
          <w:lang w:val="en-US"/>
        </w:rPr>
        <w:t>pancreatoduodenectomy</w:t>
      </w:r>
      <w:r>
        <w:rPr>
          <w:spacing w:val="-8"/>
          <w:sz w:val="28"/>
          <w:lang w:val="en-US"/>
        </w:rPr>
        <w:t xml:space="preserve"> </w:t>
      </w:r>
      <w:r>
        <w:rPr>
          <w:sz w:val="28"/>
          <w:lang w:val="en-US"/>
        </w:rPr>
        <w:t>//</w:t>
      </w:r>
      <w:r>
        <w:rPr>
          <w:spacing w:val="-1"/>
          <w:sz w:val="28"/>
          <w:lang w:val="en-US"/>
        </w:rPr>
        <w:t xml:space="preserve"> </w:t>
      </w:r>
      <w:r>
        <w:rPr>
          <w:sz w:val="28"/>
          <w:lang w:val="en-US"/>
        </w:rPr>
        <w:t>HPB</w:t>
      </w:r>
      <w:r>
        <w:rPr>
          <w:spacing w:val="-12"/>
          <w:sz w:val="28"/>
          <w:lang w:val="en-US"/>
        </w:rPr>
        <w:t xml:space="preserve"> </w:t>
      </w:r>
      <w:r>
        <w:rPr>
          <w:sz w:val="28"/>
          <w:lang w:val="en-US"/>
        </w:rPr>
        <w:t>(Oxford).</w:t>
      </w:r>
      <w:r>
        <w:rPr>
          <w:spacing w:val="-6"/>
          <w:sz w:val="28"/>
          <w:lang w:val="en-US"/>
        </w:rPr>
        <w:t xml:space="preserve"> </w:t>
      </w:r>
      <w:r>
        <w:rPr>
          <w:sz w:val="28"/>
          <w:lang w:val="en-US"/>
        </w:rPr>
        <w:t>-</w:t>
      </w:r>
      <w:r>
        <w:rPr>
          <w:spacing w:val="-8"/>
          <w:sz w:val="28"/>
          <w:lang w:val="en-US"/>
        </w:rPr>
        <w:t xml:space="preserve"> </w:t>
      </w:r>
      <w:r>
        <w:rPr>
          <w:sz w:val="28"/>
          <w:lang w:val="en-US"/>
        </w:rPr>
        <w:t>2019.</w:t>
      </w:r>
      <w:r>
        <w:rPr>
          <w:spacing w:val="-7"/>
          <w:sz w:val="28"/>
          <w:lang w:val="en-US"/>
        </w:rPr>
        <w:t xml:space="preserve"> </w:t>
      </w:r>
      <w:r>
        <w:rPr>
          <w:sz w:val="28"/>
          <w:lang w:val="en-US"/>
        </w:rPr>
        <w:t>-</w:t>
      </w:r>
      <w:r>
        <w:rPr>
          <w:spacing w:val="-8"/>
          <w:sz w:val="28"/>
          <w:lang w:val="en-US"/>
        </w:rPr>
        <w:t xml:space="preserve"> </w:t>
      </w:r>
      <w:r>
        <w:rPr>
          <w:sz w:val="28"/>
          <w:lang w:val="en-US"/>
        </w:rPr>
        <w:t>Vol.</w:t>
      </w:r>
      <w:r>
        <w:rPr>
          <w:spacing w:val="-7"/>
          <w:sz w:val="28"/>
          <w:lang w:val="en-US"/>
        </w:rPr>
        <w:t xml:space="preserve"> </w:t>
      </w:r>
      <w:r>
        <w:rPr>
          <w:sz w:val="28"/>
          <w:lang w:val="en-US"/>
        </w:rPr>
        <w:t>21,</w:t>
      </w:r>
      <w:r>
        <w:rPr>
          <w:spacing w:val="-7"/>
          <w:sz w:val="28"/>
          <w:lang w:val="en-US"/>
        </w:rPr>
        <w:t xml:space="preserve"> </w:t>
      </w:r>
      <w:r>
        <w:rPr>
          <w:sz w:val="28"/>
          <w:lang w:val="en-US"/>
        </w:rPr>
        <w:t>№</w:t>
      </w:r>
      <w:r>
        <w:rPr>
          <w:spacing w:val="-10"/>
          <w:sz w:val="28"/>
          <w:lang w:val="en-US"/>
        </w:rPr>
        <w:t xml:space="preserve"> </w:t>
      </w:r>
      <w:r>
        <w:rPr>
          <w:sz w:val="28"/>
          <w:lang w:val="en-US"/>
        </w:rPr>
        <w:t>9.</w:t>
      </w:r>
      <w:r>
        <w:rPr>
          <w:spacing w:val="-6"/>
          <w:sz w:val="28"/>
          <w:lang w:val="en-US"/>
        </w:rPr>
        <w:t xml:space="preserve"> </w:t>
      </w:r>
      <w:r>
        <w:rPr>
          <w:sz w:val="28"/>
          <w:lang w:val="en-US"/>
        </w:rPr>
        <w:t>-</w:t>
      </w:r>
      <w:r>
        <w:rPr>
          <w:spacing w:val="-8"/>
          <w:sz w:val="28"/>
          <w:lang w:val="en-US"/>
        </w:rPr>
        <w:t xml:space="preserve"> </w:t>
      </w:r>
      <w:r>
        <w:rPr>
          <w:sz w:val="28"/>
          <w:lang w:val="en-US"/>
        </w:rPr>
        <w:t>P.</w:t>
      </w:r>
      <w:r>
        <w:rPr>
          <w:spacing w:val="-7"/>
          <w:sz w:val="28"/>
          <w:lang w:val="en-US"/>
        </w:rPr>
        <w:t xml:space="preserve"> </w:t>
      </w:r>
      <w:r>
        <w:rPr>
          <w:sz w:val="28"/>
          <w:lang w:val="en-US"/>
        </w:rPr>
        <w:t xml:space="preserve">1166– </w:t>
      </w:r>
      <w:r>
        <w:rPr>
          <w:spacing w:val="-2"/>
          <w:sz w:val="28"/>
          <w:lang w:val="en-US"/>
        </w:rPr>
        <w:t>1174.</w:t>
      </w:r>
    </w:p>
    <w:p w14:paraId="4AAB1894">
      <w:pPr>
        <w:pStyle w:val="10"/>
        <w:numPr>
          <w:ilvl w:val="0"/>
          <w:numId w:val="29"/>
        </w:numPr>
        <w:tabs>
          <w:tab w:val="left" w:pos="1418"/>
        </w:tabs>
        <w:ind w:left="0" w:right="3" w:firstLine="706"/>
        <w:rPr>
          <w:sz w:val="28"/>
          <w:lang w:val="en-US"/>
        </w:rPr>
      </w:pPr>
      <w:r>
        <w:rPr>
          <w:color w:val="202020"/>
          <w:sz w:val="28"/>
          <w:lang w:val="en-US"/>
        </w:rPr>
        <w:t xml:space="preserve">Williamsson C. </w:t>
      </w:r>
      <w:r>
        <w:rPr>
          <w:sz w:val="28"/>
          <w:lang w:val="en-US"/>
        </w:rPr>
        <w:t xml:space="preserve">et al. </w:t>
      </w:r>
      <w:r>
        <w:rPr>
          <w:color w:val="202020"/>
          <w:sz w:val="28"/>
          <w:lang w:val="en-US"/>
        </w:rPr>
        <w:t>Postoperative pancreatic fistula-impact on outcome, hospital cost and effects of centralization. HPB (Oxford). -2017.- №</w:t>
      </w:r>
      <w:r>
        <w:rPr>
          <w:color w:val="202020"/>
          <w:spacing w:val="-2"/>
          <w:sz w:val="28"/>
          <w:lang w:val="en-US"/>
        </w:rPr>
        <w:t>19(5).-</w:t>
      </w:r>
      <w:r>
        <w:rPr>
          <w:color w:val="202020"/>
          <w:spacing w:val="-2"/>
          <w:sz w:val="28"/>
        </w:rPr>
        <w:t>Р</w:t>
      </w:r>
      <w:r>
        <w:rPr>
          <w:color w:val="202020"/>
          <w:spacing w:val="-2"/>
          <w:sz w:val="28"/>
          <w:lang w:val="en-US"/>
        </w:rPr>
        <w:t>.436-442.</w:t>
      </w:r>
    </w:p>
    <w:p w14:paraId="20DAC5AD">
      <w:pPr>
        <w:pStyle w:val="10"/>
        <w:numPr>
          <w:ilvl w:val="0"/>
          <w:numId w:val="29"/>
        </w:numPr>
        <w:tabs>
          <w:tab w:val="left" w:pos="1418"/>
        </w:tabs>
        <w:spacing w:line="242" w:lineRule="auto"/>
        <w:ind w:left="0" w:right="3" w:firstLine="706"/>
        <w:rPr>
          <w:sz w:val="28"/>
        </w:rPr>
      </w:pPr>
      <w:r>
        <w:rPr>
          <w:color w:val="1B1B1B"/>
          <w:sz w:val="28"/>
          <w:lang w:val="en-US"/>
        </w:rPr>
        <w:t xml:space="preserve">Alvikas J. </w:t>
      </w:r>
      <w:r>
        <w:rPr>
          <w:sz w:val="28"/>
          <w:lang w:val="en-US"/>
        </w:rPr>
        <w:t xml:space="preserve">et al. </w:t>
      </w:r>
      <w:r>
        <w:rPr>
          <w:color w:val="1B1B1B"/>
          <w:sz w:val="28"/>
          <w:lang w:val="en-US"/>
        </w:rPr>
        <w:t xml:space="preserve">A Review of Post-Operative Pancreatic Fistula Following Distal Pancreatectomy: Risk Factors, Consequences, and Mitigation Strategies. </w:t>
      </w:r>
      <w:r>
        <w:rPr>
          <w:color w:val="1B1B1B"/>
          <w:sz w:val="28"/>
        </w:rPr>
        <w:t>Cancers (Basel). -2025.- №17(17).-Р. 27-41.</w:t>
      </w:r>
    </w:p>
    <w:p w14:paraId="03DE4482">
      <w:pPr>
        <w:pStyle w:val="10"/>
        <w:numPr>
          <w:ilvl w:val="0"/>
          <w:numId w:val="29"/>
        </w:numPr>
        <w:spacing w:before="67"/>
        <w:ind w:left="0" w:right="3" w:firstLine="706"/>
        <w:rPr>
          <w:sz w:val="28"/>
          <w:lang w:val="en-US"/>
        </w:rPr>
      </w:pPr>
      <w:r>
        <w:rPr>
          <w:color w:val="202020"/>
          <w:sz w:val="28"/>
          <w:lang w:val="en-US"/>
        </w:rPr>
        <w:t xml:space="preserve">Lopez P. </w:t>
      </w:r>
      <w:r>
        <w:rPr>
          <w:sz w:val="28"/>
          <w:lang w:val="en-US"/>
        </w:rPr>
        <w:t xml:space="preserve">et al. </w:t>
      </w:r>
      <w:r>
        <w:rPr>
          <w:color w:val="202020"/>
          <w:sz w:val="28"/>
          <w:lang w:val="en-US"/>
        </w:rPr>
        <w:t xml:space="preserve">The role of clinically relevant intra-abdominal collections after pancreaticoduodenectomy: Clinical impact and predictors. A retrospective analysis from a European tertiary centre. Langenbecks Arch Surg. -2023.- №409(1).-21 </w:t>
      </w:r>
      <w:r>
        <w:rPr>
          <w:color w:val="202020"/>
          <w:sz w:val="28"/>
        </w:rPr>
        <w:t>р</w:t>
      </w:r>
      <w:r>
        <w:rPr>
          <w:color w:val="202020"/>
          <w:sz w:val="28"/>
          <w:lang w:val="en-US"/>
        </w:rPr>
        <w:t>.</w:t>
      </w:r>
    </w:p>
    <w:p w14:paraId="00F6EDB9">
      <w:pPr>
        <w:pStyle w:val="10"/>
        <w:numPr>
          <w:ilvl w:val="0"/>
          <w:numId w:val="29"/>
        </w:numPr>
        <w:tabs>
          <w:tab w:val="left" w:pos="1276"/>
        </w:tabs>
        <w:spacing w:before="4"/>
        <w:ind w:left="0" w:right="3" w:firstLine="706"/>
        <w:rPr>
          <w:sz w:val="28"/>
          <w:lang w:val="en-US"/>
        </w:rPr>
      </w:pPr>
      <w:r>
        <w:rPr>
          <w:sz w:val="28"/>
          <w:lang w:val="en-US"/>
        </w:rPr>
        <w:t>Alessio</w:t>
      </w:r>
      <w:r>
        <w:rPr>
          <w:spacing w:val="-7"/>
          <w:sz w:val="28"/>
          <w:lang w:val="en-US"/>
        </w:rPr>
        <w:t xml:space="preserve"> </w:t>
      </w:r>
      <w:r>
        <w:rPr>
          <w:sz w:val="28"/>
          <w:lang w:val="en-US"/>
        </w:rPr>
        <w:t>Marchetti</w:t>
      </w:r>
      <w:r>
        <w:rPr>
          <w:spacing w:val="-9"/>
          <w:sz w:val="28"/>
          <w:lang w:val="en-US"/>
        </w:rPr>
        <w:t xml:space="preserve"> </w:t>
      </w:r>
      <w:r>
        <w:rPr>
          <w:sz w:val="28"/>
          <w:lang w:val="en-US"/>
        </w:rPr>
        <w:t>et</w:t>
      </w:r>
      <w:r>
        <w:rPr>
          <w:spacing w:val="-7"/>
          <w:sz w:val="28"/>
          <w:lang w:val="en-US"/>
        </w:rPr>
        <w:t xml:space="preserve"> </w:t>
      </w:r>
      <w:r>
        <w:rPr>
          <w:sz w:val="28"/>
          <w:lang w:val="en-US"/>
        </w:rPr>
        <w:t>al.</w:t>
      </w:r>
      <w:r>
        <w:rPr>
          <w:spacing w:val="-3"/>
          <w:sz w:val="28"/>
          <w:lang w:val="en-US"/>
        </w:rPr>
        <w:t xml:space="preserve"> </w:t>
      </w:r>
      <w:r>
        <w:rPr>
          <w:sz w:val="28"/>
          <w:lang w:val="en-US"/>
        </w:rPr>
        <w:t>Reoperation</w:t>
      </w:r>
      <w:r>
        <w:rPr>
          <w:spacing w:val="-11"/>
          <w:sz w:val="28"/>
          <w:lang w:val="en-US"/>
        </w:rPr>
        <w:t xml:space="preserve"> </w:t>
      </w:r>
      <w:r>
        <w:rPr>
          <w:sz w:val="28"/>
          <w:lang w:val="en-US"/>
        </w:rPr>
        <w:t>for</w:t>
      </w:r>
      <w:r>
        <w:rPr>
          <w:spacing w:val="-8"/>
          <w:sz w:val="28"/>
          <w:lang w:val="en-US"/>
        </w:rPr>
        <w:t xml:space="preserve"> </w:t>
      </w:r>
      <w:r>
        <w:rPr>
          <w:sz w:val="28"/>
          <w:lang w:val="en-US"/>
        </w:rPr>
        <w:t>pancreatic</w:t>
      </w:r>
      <w:r>
        <w:rPr>
          <w:spacing w:val="-2"/>
          <w:sz w:val="28"/>
          <w:lang w:val="en-US"/>
        </w:rPr>
        <w:t xml:space="preserve"> </w:t>
      </w:r>
      <w:r>
        <w:rPr>
          <w:sz w:val="28"/>
          <w:lang w:val="en-US"/>
        </w:rPr>
        <w:t>fistula:</w:t>
      </w:r>
      <w:r>
        <w:rPr>
          <w:spacing w:val="-11"/>
          <w:sz w:val="28"/>
          <w:lang w:val="en-US"/>
        </w:rPr>
        <w:t xml:space="preserve"> </w:t>
      </w:r>
      <w:r>
        <w:rPr>
          <w:sz w:val="28"/>
          <w:lang w:val="en-US"/>
        </w:rPr>
        <w:t>a</w:t>
      </w:r>
      <w:r>
        <w:rPr>
          <w:spacing w:val="-6"/>
          <w:sz w:val="28"/>
          <w:lang w:val="en-US"/>
        </w:rPr>
        <w:t xml:space="preserve"> </w:t>
      </w:r>
      <w:r>
        <w:rPr>
          <w:sz w:val="28"/>
          <w:lang w:val="en-US"/>
        </w:rPr>
        <w:t>systematic review of completion pancreatectomy vs. pancreas-preserving procedures and outcomes. //HPB .-2025.- № 27</w:t>
      </w:r>
      <w:r>
        <w:rPr>
          <w:sz w:val="28"/>
        </w:rPr>
        <w:t>.-Р.</w:t>
      </w:r>
      <w:r>
        <w:rPr>
          <w:sz w:val="28"/>
          <w:lang w:val="en-US"/>
        </w:rPr>
        <w:t xml:space="preserve"> 240–249</w:t>
      </w:r>
    </w:p>
    <w:p w14:paraId="1C0A720E">
      <w:pPr>
        <w:pStyle w:val="10"/>
        <w:numPr>
          <w:ilvl w:val="0"/>
          <w:numId w:val="29"/>
        </w:numPr>
        <w:tabs>
          <w:tab w:val="left" w:pos="1276"/>
        </w:tabs>
        <w:ind w:left="0" w:right="3" w:firstLine="706"/>
        <w:rPr>
          <w:sz w:val="28"/>
        </w:rPr>
      </w:pPr>
      <w:r>
        <w:rPr>
          <w:color w:val="1B1B1B"/>
          <w:sz w:val="28"/>
          <w:lang w:val="en-US"/>
        </w:rPr>
        <w:t xml:space="preserve">Khuri S. </w:t>
      </w:r>
      <w:r>
        <w:rPr>
          <w:sz w:val="28"/>
          <w:lang w:val="en-US"/>
        </w:rPr>
        <w:t xml:space="preserve">et al. </w:t>
      </w:r>
      <w:r>
        <w:rPr>
          <w:color w:val="1B1B1B"/>
          <w:sz w:val="28"/>
          <w:lang w:val="en-US"/>
        </w:rPr>
        <w:t>Postpancreatoduodenectomy Hemorrhage: Association between</w:t>
      </w:r>
      <w:r>
        <w:rPr>
          <w:color w:val="1B1B1B"/>
          <w:spacing w:val="-2"/>
          <w:sz w:val="28"/>
          <w:lang w:val="en-US"/>
        </w:rPr>
        <w:t xml:space="preserve"> </w:t>
      </w:r>
      <w:r>
        <w:rPr>
          <w:color w:val="1B1B1B"/>
          <w:sz w:val="28"/>
          <w:lang w:val="en-US"/>
        </w:rPr>
        <w:t>the Causes and the Severity</w:t>
      </w:r>
      <w:r>
        <w:rPr>
          <w:color w:val="1B1B1B"/>
          <w:spacing w:val="-2"/>
          <w:sz w:val="28"/>
          <w:lang w:val="en-US"/>
        </w:rPr>
        <w:t xml:space="preserve"> </w:t>
      </w:r>
      <w:r>
        <w:rPr>
          <w:color w:val="1B1B1B"/>
          <w:sz w:val="28"/>
          <w:lang w:val="en-US"/>
        </w:rPr>
        <w:t>of the Bleeding. Visc Med. -2021.- №37(3).-</w:t>
      </w:r>
      <w:r>
        <w:rPr>
          <w:color w:val="1B1B1B"/>
          <w:sz w:val="28"/>
        </w:rPr>
        <w:t>Р</w:t>
      </w:r>
      <w:r>
        <w:rPr>
          <w:color w:val="1B1B1B"/>
          <w:sz w:val="28"/>
          <w:lang w:val="en-US"/>
        </w:rPr>
        <w:t xml:space="preserve">. </w:t>
      </w:r>
      <w:r>
        <w:rPr>
          <w:color w:val="1B1B1B"/>
          <w:sz w:val="28"/>
        </w:rPr>
        <w:t xml:space="preserve">171- </w:t>
      </w:r>
      <w:r>
        <w:rPr>
          <w:color w:val="1B1B1B"/>
          <w:spacing w:val="-4"/>
          <w:sz w:val="28"/>
        </w:rPr>
        <w:t>179.</w:t>
      </w:r>
    </w:p>
    <w:p w14:paraId="57C63E21">
      <w:pPr>
        <w:pStyle w:val="10"/>
        <w:numPr>
          <w:ilvl w:val="0"/>
          <w:numId w:val="29"/>
        </w:numPr>
        <w:tabs>
          <w:tab w:val="left" w:pos="1418"/>
        </w:tabs>
        <w:ind w:left="0" w:right="3" w:firstLine="706"/>
        <w:rPr>
          <w:sz w:val="28"/>
          <w:lang w:val="en-US"/>
        </w:rPr>
      </w:pPr>
      <w:r>
        <w:rPr>
          <w:sz w:val="28"/>
          <w:lang w:val="en-US"/>
        </w:rPr>
        <w:t>Emrullah Birgin et al. Development and Validation of a Model for Postpancreatectomy Hemorrhage Risk</w:t>
      </w:r>
      <w:r>
        <w:rPr>
          <w:color w:val="1B1B1B"/>
          <w:sz w:val="28"/>
          <w:lang w:val="en-US"/>
        </w:rPr>
        <w:t xml:space="preserve">. </w:t>
      </w:r>
      <w:r>
        <w:rPr>
          <w:sz w:val="28"/>
          <w:lang w:val="en-US"/>
        </w:rPr>
        <w:t>JAMA Network Open.-2023.- №6(12).-</w:t>
      </w:r>
      <w:r>
        <w:rPr>
          <w:sz w:val="28"/>
        </w:rPr>
        <w:t>Р</w:t>
      </w:r>
      <w:r>
        <w:rPr>
          <w:sz w:val="28"/>
          <w:lang w:val="en-US"/>
        </w:rPr>
        <w:t>.234-613.</w:t>
      </w:r>
    </w:p>
    <w:p w14:paraId="6B4A626C">
      <w:pPr>
        <w:pStyle w:val="10"/>
        <w:numPr>
          <w:ilvl w:val="0"/>
          <w:numId w:val="29"/>
        </w:numPr>
        <w:tabs>
          <w:tab w:val="left" w:pos="1418"/>
        </w:tabs>
        <w:ind w:left="0" w:right="3" w:firstLine="706"/>
        <w:rPr>
          <w:sz w:val="28"/>
        </w:rPr>
      </w:pPr>
      <w:r>
        <w:rPr>
          <w:sz w:val="28"/>
          <w:lang w:val="en-US"/>
        </w:rPr>
        <w:t>L. Marique et al. Retromesenteric omental flap as arterial coverage in pancreaticoduodenectomy: A novel technique to prevent postpancreatectomy hemorrhage. Surgery .-2024.- №176.-</w:t>
      </w:r>
      <w:r>
        <w:rPr>
          <w:sz w:val="28"/>
        </w:rPr>
        <w:t>Р</w:t>
      </w:r>
      <w:r>
        <w:rPr>
          <w:sz w:val="28"/>
          <w:lang w:val="en-US"/>
        </w:rPr>
        <w:t xml:space="preserve">. </w:t>
      </w:r>
      <w:r>
        <w:rPr>
          <w:sz w:val="28"/>
        </w:rPr>
        <w:t>440-446</w:t>
      </w:r>
    </w:p>
    <w:p w14:paraId="1FAEB715">
      <w:pPr>
        <w:pStyle w:val="10"/>
        <w:numPr>
          <w:ilvl w:val="0"/>
          <w:numId w:val="29"/>
        </w:numPr>
        <w:tabs>
          <w:tab w:val="left" w:pos="1560"/>
        </w:tabs>
        <w:ind w:left="0" w:right="3" w:firstLine="706"/>
        <w:rPr>
          <w:sz w:val="28"/>
          <w:lang w:val="en-US"/>
        </w:rPr>
      </w:pPr>
      <w:r>
        <w:rPr>
          <w:sz w:val="28"/>
          <w:lang w:val="en-US"/>
        </w:rPr>
        <w:t>Thobie A. et al. Influence of Hemorrhagic Complications of Pancreatoduodenectomy in Patients with</w:t>
      </w:r>
      <w:r>
        <w:rPr>
          <w:spacing w:val="-3"/>
          <w:sz w:val="28"/>
          <w:lang w:val="en-US"/>
        </w:rPr>
        <w:t xml:space="preserve"> </w:t>
      </w:r>
      <w:r>
        <w:rPr>
          <w:sz w:val="28"/>
          <w:lang w:val="en-US"/>
        </w:rPr>
        <w:t>Cancer on Short- and Long-Term</w:t>
      </w:r>
      <w:r>
        <w:rPr>
          <w:spacing w:val="-3"/>
          <w:sz w:val="28"/>
          <w:lang w:val="en-US"/>
        </w:rPr>
        <w:t xml:space="preserve"> </w:t>
      </w:r>
      <w:r>
        <w:rPr>
          <w:sz w:val="28"/>
          <w:lang w:val="en-US"/>
        </w:rPr>
        <w:t>Mortality.</w:t>
      </w:r>
    </w:p>
    <w:p w14:paraId="0CB25F33">
      <w:pPr>
        <w:pStyle w:val="7"/>
        <w:spacing w:before="1" w:line="322" w:lineRule="exact"/>
        <w:ind w:left="0" w:right="3" w:firstLine="0"/>
      </w:pPr>
      <w:r>
        <w:t>J.</w:t>
      </w:r>
      <w:r>
        <w:rPr>
          <w:spacing w:val="-3"/>
        </w:rPr>
        <w:t xml:space="preserve"> </w:t>
      </w:r>
      <w:r>
        <w:t>Clin.</w:t>
      </w:r>
      <w:r>
        <w:rPr>
          <w:spacing w:val="-2"/>
        </w:rPr>
        <w:t xml:space="preserve"> </w:t>
      </w:r>
      <w:r>
        <w:t>Med.-</w:t>
      </w:r>
      <w:r>
        <w:rPr>
          <w:spacing w:val="-3"/>
        </w:rPr>
        <w:t xml:space="preserve"> </w:t>
      </w:r>
      <w:r>
        <w:t>2023.- №12.-Р.</w:t>
      </w:r>
      <w:r>
        <w:rPr>
          <w:spacing w:val="-2"/>
        </w:rPr>
        <w:t>28-52.</w:t>
      </w:r>
    </w:p>
    <w:p w14:paraId="31FACE57">
      <w:pPr>
        <w:pStyle w:val="10"/>
        <w:numPr>
          <w:ilvl w:val="0"/>
          <w:numId w:val="29"/>
        </w:numPr>
        <w:tabs>
          <w:tab w:val="left" w:pos="1418"/>
        </w:tabs>
        <w:ind w:left="0" w:right="3" w:firstLine="706"/>
        <w:rPr>
          <w:sz w:val="28"/>
        </w:rPr>
      </w:pPr>
      <w:r>
        <w:rPr>
          <w:color w:val="1B1B1B"/>
          <w:sz w:val="28"/>
          <w:lang w:val="en-US"/>
        </w:rPr>
        <w:t xml:space="preserve">Wang G.Q. </w:t>
      </w:r>
      <w:r>
        <w:rPr>
          <w:sz w:val="28"/>
          <w:lang w:val="en-US"/>
        </w:rPr>
        <w:t xml:space="preserve">et al. </w:t>
      </w:r>
      <w:r>
        <w:rPr>
          <w:color w:val="1B1B1B"/>
          <w:sz w:val="28"/>
          <w:lang w:val="en-US"/>
        </w:rPr>
        <w:t>Risk Factors for Clinically Relevant Postoperative Pancreatic Fistula (CR-POPF) after Distal Pancreatectomy: A Single Center Retrospective Study. Can J Gastroenterol Hepatol. -2021.-</w:t>
      </w:r>
      <w:r>
        <w:rPr>
          <w:color w:val="1B1B1B"/>
          <w:sz w:val="28"/>
        </w:rPr>
        <w:t>Р</w:t>
      </w:r>
      <w:r>
        <w:rPr>
          <w:color w:val="1B1B1B"/>
          <w:sz w:val="28"/>
          <w:lang w:val="en-US"/>
        </w:rPr>
        <w:t xml:space="preserve">. </w:t>
      </w:r>
      <w:r>
        <w:rPr>
          <w:color w:val="1B1B1B"/>
          <w:sz w:val="28"/>
        </w:rPr>
        <w:t>74-88.</w:t>
      </w:r>
    </w:p>
    <w:p w14:paraId="7DCABCE3">
      <w:pPr>
        <w:pStyle w:val="10"/>
        <w:numPr>
          <w:ilvl w:val="0"/>
          <w:numId w:val="29"/>
        </w:numPr>
        <w:tabs>
          <w:tab w:val="left" w:pos="1418"/>
        </w:tabs>
        <w:ind w:left="0" w:right="3" w:firstLine="706"/>
        <w:rPr>
          <w:sz w:val="28"/>
          <w:lang w:val="en-US"/>
        </w:rPr>
      </w:pPr>
      <w:r>
        <w:rPr>
          <w:color w:val="202020"/>
          <w:sz w:val="28"/>
          <w:lang w:val="en-US"/>
        </w:rPr>
        <w:t xml:space="preserve">Merkow R.P. </w:t>
      </w:r>
      <w:r>
        <w:rPr>
          <w:sz w:val="28"/>
          <w:lang w:val="en-US"/>
        </w:rPr>
        <w:t xml:space="preserve">et al. </w:t>
      </w:r>
      <w:r>
        <w:rPr>
          <w:color w:val="202020"/>
          <w:sz w:val="28"/>
          <w:lang w:val="en-US"/>
        </w:rPr>
        <w:t>Postoperative complications reduce adjuvant chemotherapy</w:t>
      </w:r>
      <w:r>
        <w:rPr>
          <w:color w:val="202020"/>
          <w:spacing w:val="-5"/>
          <w:sz w:val="28"/>
          <w:lang w:val="en-US"/>
        </w:rPr>
        <w:t xml:space="preserve"> </w:t>
      </w:r>
      <w:r>
        <w:rPr>
          <w:color w:val="202020"/>
          <w:sz w:val="28"/>
          <w:lang w:val="en-US"/>
        </w:rPr>
        <w:t>use</w:t>
      </w:r>
      <w:r>
        <w:rPr>
          <w:color w:val="202020"/>
          <w:spacing w:val="-4"/>
          <w:sz w:val="28"/>
          <w:lang w:val="en-US"/>
        </w:rPr>
        <w:t xml:space="preserve"> </w:t>
      </w:r>
      <w:r>
        <w:rPr>
          <w:color w:val="202020"/>
          <w:sz w:val="28"/>
          <w:lang w:val="en-US"/>
        </w:rPr>
        <w:t>in</w:t>
      </w:r>
      <w:r>
        <w:rPr>
          <w:color w:val="202020"/>
          <w:spacing w:val="-5"/>
          <w:sz w:val="28"/>
          <w:lang w:val="en-US"/>
        </w:rPr>
        <w:t xml:space="preserve"> </w:t>
      </w:r>
      <w:r>
        <w:rPr>
          <w:color w:val="202020"/>
          <w:sz w:val="28"/>
          <w:lang w:val="en-US"/>
        </w:rPr>
        <w:t>resectable</w:t>
      </w:r>
      <w:r>
        <w:rPr>
          <w:color w:val="202020"/>
          <w:spacing w:val="-4"/>
          <w:sz w:val="28"/>
          <w:lang w:val="en-US"/>
        </w:rPr>
        <w:t xml:space="preserve"> </w:t>
      </w:r>
      <w:r>
        <w:rPr>
          <w:color w:val="202020"/>
          <w:sz w:val="28"/>
          <w:lang w:val="en-US"/>
        </w:rPr>
        <w:t>pancreatic</w:t>
      </w:r>
      <w:r>
        <w:rPr>
          <w:color w:val="202020"/>
          <w:spacing w:val="-4"/>
          <w:sz w:val="28"/>
          <w:lang w:val="en-US"/>
        </w:rPr>
        <w:t xml:space="preserve"> </w:t>
      </w:r>
      <w:r>
        <w:rPr>
          <w:color w:val="202020"/>
          <w:sz w:val="28"/>
          <w:lang w:val="en-US"/>
        </w:rPr>
        <w:t>cancer.</w:t>
      </w:r>
      <w:r>
        <w:rPr>
          <w:color w:val="202020"/>
          <w:spacing w:val="-2"/>
          <w:sz w:val="28"/>
          <w:lang w:val="en-US"/>
        </w:rPr>
        <w:t xml:space="preserve"> </w:t>
      </w:r>
      <w:r>
        <w:rPr>
          <w:color w:val="202020"/>
          <w:sz w:val="28"/>
          <w:lang w:val="en-US"/>
        </w:rPr>
        <w:t>Ann</w:t>
      </w:r>
      <w:r>
        <w:rPr>
          <w:color w:val="202020"/>
          <w:spacing w:val="-4"/>
          <w:sz w:val="28"/>
          <w:lang w:val="en-US"/>
        </w:rPr>
        <w:t xml:space="preserve"> </w:t>
      </w:r>
      <w:r>
        <w:rPr>
          <w:color w:val="202020"/>
          <w:sz w:val="28"/>
          <w:lang w:val="en-US"/>
        </w:rPr>
        <w:t>Surg.</w:t>
      </w:r>
      <w:r>
        <w:rPr>
          <w:color w:val="202020"/>
          <w:spacing w:val="-2"/>
          <w:sz w:val="28"/>
          <w:lang w:val="en-US"/>
        </w:rPr>
        <w:t xml:space="preserve"> -</w:t>
      </w:r>
      <w:r>
        <w:rPr>
          <w:color w:val="202020"/>
          <w:sz w:val="28"/>
          <w:lang w:val="en-US"/>
        </w:rPr>
        <w:t xml:space="preserve">2014.- №260(2).-372 </w:t>
      </w:r>
      <w:r>
        <w:rPr>
          <w:color w:val="202020"/>
          <w:sz w:val="28"/>
        </w:rPr>
        <w:t>р</w:t>
      </w:r>
      <w:r>
        <w:rPr>
          <w:color w:val="202020"/>
          <w:sz w:val="28"/>
          <w:lang w:val="en-US"/>
        </w:rPr>
        <w:t>.</w:t>
      </w:r>
    </w:p>
    <w:p w14:paraId="65BD5623">
      <w:pPr>
        <w:pStyle w:val="10"/>
        <w:numPr>
          <w:ilvl w:val="0"/>
          <w:numId w:val="29"/>
        </w:numPr>
        <w:tabs>
          <w:tab w:val="left" w:pos="1560"/>
        </w:tabs>
        <w:ind w:left="0" w:right="3" w:firstLine="706"/>
        <w:rPr>
          <w:sz w:val="28"/>
          <w:lang w:val="en-US"/>
        </w:rPr>
      </w:pPr>
      <w:r>
        <w:rPr>
          <w:sz w:val="28"/>
          <w:lang w:val="en-US"/>
        </w:rPr>
        <w:t>Wu</w:t>
      </w:r>
      <w:r>
        <w:rPr>
          <w:spacing w:val="-8"/>
          <w:sz w:val="28"/>
          <w:lang w:val="en-US"/>
        </w:rPr>
        <w:t xml:space="preserve"> </w:t>
      </w:r>
      <w:r>
        <w:rPr>
          <w:sz w:val="28"/>
          <w:lang w:val="en-US"/>
        </w:rPr>
        <w:t>W. et</w:t>
      </w:r>
      <w:r>
        <w:rPr>
          <w:spacing w:val="-4"/>
          <w:sz w:val="28"/>
          <w:lang w:val="en-US"/>
        </w:rPr>
        <w:t xml:space="preserve"> </w:t>
      </w:r>
      <w:r>
        <w:rPr>
          <w:sz w:val="28"/>
          <w:lang w:val="en-US"/>
        </w:rPr>
        <w:t xml:space="preserve">al. </w:t>
      </w:r>
      <w:r>
        <w:rPr>
          <w:spacing w:val="-1"/>
          <w:sz w:val="28"/>
          <w:lang w:val="en-US"/>
        </w:rPr>
        <w:t xml:space="preserve"> </w:t>
      </w:r>
      <w:r>
        <w:rPr>
          <w:sz w:val="28"/>
          <w:lang w:val="en-US"/>
        </w:rPr>
        <w:t>The impact</w:t>
      </w:r>
      <w:r>
        <w:rPr>
          <w:spacing w:val="-4"/>
          <w:sz w:val="28"/>
          <w:lang w:val="en-US"/>
        </w:rPr>
        <w:t xml:space="preserve"> </w:t>
      </w:r>
      <w:r>
        <w:rPr>
          <w:sz w:val="28"/>
          <w:lang w:val="en-US"/>
        </w:rPr>
        <w:t>of</w:t>
      </w:r>
      <w:r>
        <w:rPr>
          <w:spacing w:val="-10"/>
          <w:sz w:val="28"/>
          <w:lang w:val="en-US"/>
        </w:rPr>
        <w:t xml:space="preserve"> </w:t>
      </w:r>
      <w:r>
        <w:rPr>
          <w:sz w:val="28"/>
          <w:lang w:val="en-US"/>
        </w:rPr>
        <w:t>postoperative</w:t>
      </w:r>
      <w:r>
        <w:rPr>
          <w:spacing w:val="-3"/>
          <w:sz w:val="28"/>
          <w:lang w:val="en-US"/>
        </w:rPr>
        <w:t xml:space="preserve"> </w:t>
      </w:r>
      <w:r>
        <w:rPr>
          <w:sz w:val="28"/>
          <w:lang w:val="en-US"/>
        </w:rPr>
        <w:t>complications</w:t>
      </w:r>
      <w:r>
        <w:rPr>
          <w:spacing w:val="-2"/>
          <w:sz w:val="28"/>
          <w:lang w:val="en-US"/>
        </w:rPr>
        <w:t xml:space="preserve"> </w:t>
      </w:r>
      <w:r>
        <w:rPr>
          <w:sz w:val="28"/>
          <w:lang w:val="en-US"/>
        </w:rPr>
        <w:t>on</w:t>
      </w:r>
      <w:r>
        <w:rPr>
          <w:spacing w:val="-8"/>
          <w:sz w:val="28"/>
          <w:lang w:val="en-US"/>
        </w:rPr>
        <w:t xml:space="preserve"> </w:t>
      </w:r>
      <w:r>
        <w:rPr>
          <w:sz w:val="28"/>
          <w:lang w:val="en-US"/>
        </w:rPr>
        <w:t>the administration of adjuvant therapy following pancreaticoduodenectomy for adenocarcinoma. Annals of surgical oncology.-2014.- № 21(9).-</w:t>
      </w:r>
      <w:r>
        <w:rPr>
          <w:sz w:val="28"/>
        </w:rPr>
        <w:t>Р</w:t>
      </w:r>
      <w:r>
        <w:rPr>
          <w:sz w:val="28"/>
          <w:lang w:val="en-US"/>
        </w:rPr>
        <w:t>. 2873-2881.</w:t>
      </w:r>
    </w:p>
    <w:p w14:paraId="2B9E585B">
      <w:pPr>
        <w:pStyle w:val="10"/>
        <w:numPr>
          <w:ilvl w:val="0"/>
          <w:numId w:val="29"/>
        </w:numPr>
        <w:tabs>
          <w:tab w:val="left" w:pos="1418"/>
        </w:tabs>
        <w:ind w:left="0" w:right="3" w:firstLine="706"/>
        <w:rPr>
          <w:sz w:val="28"/>
          <w:lang w:val="en-US"/>
        </w:rPr>
      </w:pPr>
      <w:r>
        <w:rPr>
          <w:sz w:val="28"/>
          <w:lang w:eastAsia="ru-RU"/>
        </w:rPr>
        <w:drawing>
          <wp:anchor distT="0" distB="0" distL="0" distR="0" simplePos="0" relativeHeight="251677696" behindDoc="1" locked="0" layoutInCell="1" allowOverlap="1">
            <wp:simplePos x="0" y="0"/>
            <wp:positionH relativeFrom="page">
              <wp:posOffset>2454275</wp:posOffset>
            </wp:positionH>
            <wp:positionV relativeFrom="paragraph">
              <wp:posOffset>3175</wp:posOffset>
            </wp:positionV>
            <wp:extent cx="274320" cy="194945"/>
            <wp:effectExtent l="0" t="0" r="0" b="0"/>
            <wp:wrapNone/>
            <wp:docPr id="212" name="Image 212"/>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75" cstate="print"/>
                    <a:stretch>
                      <a:fillRect/>
                    </a:stretch>
                  </pic:blipFill>
                  <pic:spPr>
                    <a:xfrm>
                      <a:off x="0" y="0"/>
                      <a:ext cx="274319" cy="195072"/>
                    </a:xfrm>
                    <a:prstGeom prst="rect">
                      <a:avLst/>
                    </a:prstGeom>
                  </pic:spPr>
                </pic:pic>
              </a:graphicData>
            </a:graphic>
          </wp:anchor>
        </w:drawing>
      </w:r>
      <w:r>
        <w:rPr>
          <w:sz w:val="28"/>
          <w:lang w:val="en-US"/>
        </w:rPr>
        <w:t>Ryo Saito. et al.  Clinical significance of postoperative complications after pancreatic surgery in time-to-complication and length of postoperative hospital stay: a retrospective study.</w:t>
      </w:r>
      <w:r>
        <w:rPr>
          <w:spacing w:val="-1"/>
          <w:sz w:val="28"/>
          <w:lang w:val="en-US"/>
        </w:rPr>
        <w:t xml:space="preserve"> </w:t>
      </w:r>
      <w:r>
        <w:rPr>
          <w:sz w:val="28"/>
          <w:lang w:val="en-US"/>
        </w:rPr>
        <w:t xml:space="preserve">Langenbeck's Archives of Surgery .2024.- №409.-173 </w:t>
      </w:r>
      <w:r>
        <w:rPr>
          <w:sz w:val="28"/>
        </w:rPr>
        <w:t>р</w:t>
      </w:r>
      <w:r>
        <w:rPr>
          <w:sz w:val="28"/>
          <w:lang w:val="en-US"/>
        </w:rPr>
        <w:t>.</w:t>
      </w:r>
    </w:p>
    <w:p w14:paraId="74B05427">
      <w:pPr>
        <w:pStyle w:val="10"/>
        <w:numPr>
          <w:ilvl w:val="0"/>
          <w:numId w:val="29"/>
        </w:numPr>
        <w:tabs>
          <w:tab w:val="left" w:pos="1276"/>
        </w:tabs>
        <w:spacing w:before="2"/>
        <w:ind w:left="0" w:right="3" w:firstLine="706"/>
        <w:rPr>
          <w:lang w:val="en-US"/>
        </w:rPr>
      </w:pPr>
      <w:r>
        <w:rPr>
          <w:sz w:val="28"/>
          <w:lang w:val="en-US"/>
        </w:rPr>
        <w:t>Smits F.J. et al. Management of Severe Pancreatic Fistula After Pancreatoduodenectomy: Impact of Primary Catheter Drainage vs Primary Relaparotomy</w:t>
      </w:r>
      <w:r>
        <w:rPr>
          <w:spacing w:val="-8"/>
          <w:sz w:val="28"/>
          <w:lang w:val="en-US"/>
        </w:rPr>
        <w:t xml:space="preserve"> </w:t>
      </w:r>
      <w:r>
        <w:rPr>
          <w:sz w:val="28"/>
          <w:lang w:val="en-US"/>
        </w:rPr>
        <w:t>on</w:t>
      </w:r>
      <w:r>
        <w:rPr>
          <w:spacing w:val="-13"/>
          <w:sz w:val="28"/>
          <w:lang w:val="en-US"/>
        </w:rPr>
        <w:t xml:space="preserve"> </w:t>
      </w:r>
      <w:r>
        <w:rPr>
          <w:sz w:val="28"/>
          <w:lang w:val="en-US"/>
        </w:rPr>
        <w:t>Morbidity</w:t>
      </w:r>
      <w:r>
        <w:rPr>
          <w:spacing w:val="-12"/>
          <w:sz w:val="28"/>
          <w:lang w:val="en-US"/>
        </w:rPr>
        <w:t xml:space="preserve"> </w:t>
      </w:r>
      <w:r>
        <w:rPr>
          <w:sz w:val="28"/>
          <w:lang w:val="en-US"/>
        </w:rPr>
        <w:t>and</w:t>
      </w:r>
      <w:r>
        <w:rPr>
          <w:spacing w:val="-8"/>
          <w:sz w:val="28"/>
          <w:lang w:val="en-US"/>
        </w:rPr>
        <w:t xml:space="preserve"> </w:t>
      </w:r>
      <w:r>
        <w:rPr>
          <w:sz w:val="28"/>
          <w:lang w:val="en-US"/>
        </w:rPr>
        <w:t>Mortality</w:t>
      </w:r>
      <w:r>
        <w:rPr>
          <w:spacing w:val="-12"/>
          <w:sz w:val="28"/>
          <w:lang w:val="en-US"/>
        </w:rPr>
        <w:t xml:space="preserve"> </w:t>
      </w:r>
      <w:r>
        <w:rPr>
          <w:sz w:val="28"/>
          <w:lang w:val="en-US"/>
        </w:rPr>
        <w:t>//</w:t>
      </w:r>
      <w:r>
        <w:rPr>
          <w:spacing w:val="-5"/>
          <w:sz w:val="28"/>
          <w:lang w:val="en-US"/>
        </w:rPr>
        <w:t xml:space="preserve"> </w:t>
      </w:r>
      <w:r>
        <w:rPr>
          <w:sz w:val="28"/>
          <w:lang w:val="en-US"/>
        </w:rPr>
        <w:t>JAMA</w:t>
      </w:r>
      <w:r>
        <w:rPr>
          <w:spacing w:val="-12"/>
          <w:sz w:val="28"/>
          <w:lang w:val="en-US"/>
        </w:rPr>
        <w:t xml:space="preserve"> </w:t>
      </w:r>
      <w:r>
        <w:rPr>
          <w:sz w:val="28"/>
          <w:lang w:val="en-US"/>
        </w:rPr>
        <w:t>Surgery.</w:t>
      </w:r>
      <w:r>
        <w:rPr>
          <w:spacing w:val="-6"/>
          <w:sz w:val="28"/>
          <w:lang w:val="en-US"/>
        </w:rPr>
        <w:t xml:space="preserve"> </w:t>
      </w:r>
      <w:r>
        <w:rPr>
          <w:sz w:val="28"/>
          <w:lang w:val="en-US"/>
        </w:rPr>
        <w:t>-</w:t>
      </w:r>
      <w:r>
        <w:rPr>
          <w:spacing w:val="-8"/>
          <w:sz w:val="28"/>
          <w:lang w:val="en-US"/>
        </w:rPr>
        <w:t xml:space="preserve"> </w:t>
      </w:r>
      <w:r>
        <w:rPr>
          <w:sz w:val="28"/>
          <w:lang w:val="en-US"/>
        </w:rPr>
        <w:t>2017.</w:t>
      </w:r>
      <w:r>
        <w:rPr>
          <w:spacing w:val="-5"/>
          <w:sz w:val="28"/>
          <w:lang w:val="en-US"/>
        </w:rPr>
        <w:t xml:space="preserve"> </w:t>
      </w:r>
      <w:r>
        <w:rPr>
          <w:sz w:val="28"/>
          <w:lang w:val="en-US"/>
        </w:rPr>
        <w:t>-</w:t>
      </w:r>
      <w:r>
        <w:rPr>
          <w:spacing w:val="-8"/>
          <w:sz w:val="28"/>
          <w:lang w:val="en-US"/>
        </w:rPr>
        <w:t xml:space="preserve"> </w:t>
      </w:r>
      <w:r>
        <w:rPr>
          <w:sz w:val="28"/>
          <w:lang w:val="en-US"/>
        </w:rPr>
        <w:t>Vol.</w:t>
      </w:r>
      <w:r>
        <w:rPr>
          <w:spacing w:val="-6"/>
          <w:sz w:val="28"/>
          <w:lang w:val="en-US"/>
        </w:rPr>
        <w:t xml:space="preserve"> </w:t>
      </w:r>
      <w:r>
        <w:rPr>
          <w:sz w:val="28"/>
          <w:lang w:val="en-US"/>
        </w:rPr>
        <w:t>152,</w:t>
      </w:r>
      <w:r>
        <w:rPr>
          <w:spacing w:val="-6"/>
          <w:sz w:val="28"/>
          <w:lang w:val="en-US"/>
        </w:rPr>
        <w:t xml:space="preserve"> </w:t>
      </w:r>
      <w:r>
        <w:rPr>
          <w:spacing w:val="-12"/>
          <w:sz w:val="28"/>
          <w:lang w:val="en-US"/>
        </w:rPr>
        <w:t>№</w:t>
      </w:r>
      <w:r>
        <w:rPr>
          <w:sz w:val="28"/>
          <w:lang w:val="en-US"/>
        </w:rPr>
        <w:t>6. - P. 540–548</w:t>
      </w:r>
      <w:r>
        <w:rPr>
          <w:lang w:val="en-US"/>
        </w:rPr>
        <w:t>.</w:t>
      </w:r>
    </w:p>
    <w:p w14:paraId="2B9945BE">
      <w:pPr>
        <w:pStyle w:val="10"/>
        <w:numPr>
          <w:ilvl w:val="0"/>
          <w:numId w:val="29"/>
        </w:numPr>
        <w:ind w:left="0" w:right="3" w:firstLine="706"/>
        <w:rPr>
          <w:sz w:val="28"/>
          <w:lang w:val="en-US"/>
        </w:rPr>
      </w:pPr>
      <w:r>
        <w:rPr>
          <w:sz w:val="28"/>
          <w:lang w:val="en-US"/>
        </w:rPr>
        <w:t xml:space="preserve">Crippa S., et al. Pancreatic fistula after pancreaticoduodenectomy- does surgical technique matter? // Annals of Translational Medicine. -2020.- №8(11).-669 </w:t>
      </w:r>
      <w:r>
        <w:rPr>
          <w:sz w:val="28"/>
        </w:rPr>
        <w:t>р</w:t>
      </w:r>
      <w:r>
        <w:rPr>
          <w:sz w:val="28"/>
          <w:lang w:val="en-US"/>
        </w:rPr>
        <w:t>.</w:t>
      </w:r>
    </w:p>
    <w:p w14:paraId="32156151">
      <w:pPr>
        <w:pStyle w:val="10"/>
        <w:numPr>
          <w:ilvl w:val="0"/>
          <w:numId w:val="29"/>
        </w:numPr>
        <w:ind w:left="0" w:right="3" w:firstLine="706"/>
        <w:rPr>
          <w:sz w:val="28"/>
          <w:lang w:val="en-US"/>
        </w:rPr>
      </w:pPr>
      <w:r>
        <w:rPr>
          <w:sz w:val="28"/>
          <w:lang w:val="en-US"/>
        </w:rPr>
        <w:t xml:space="preserve">Jiaying You et al. High risk of bias and significant heterogeneity in multivariable prediction models for pancreatic fistula following pancreatoduodenectomy: A systematic review, critical appraisal, and meta-analysis // Current Problems in Surgery.-2025.- № 69 </w:t>
      </w:r>
      <w:r>
        <w:rPr>
          <w:sz w:val="28"/>
        </w:rPr>
        <w:t>.-Р.</w:t>
      </w:r>
      <w:r>
        <w:rPr>
          <w:sz w:val="28"/>
          <w:lang w:val="en-US"/>
        </w:rPr>
        <w:t xml:space="preserve"> 101</w:t>
      </w:r>
      <w:r>
        <w:rPr>
          <w:sz w:val="28"/>
        </w:rPr>
        <w:t>-</w:t>
      </w:r>
      <w:r>
        <w:rPr>
          <w:sz w:val="28"/>
          <w:lang w:val="en-US"/>
        </w:rPr>
        <w:t>821</w:t>
      </w:r>
      <w:r>
        <w:rPr>
          <w:sz w:val="28"/>
        </w:rPr>
        <w:t>.</w:t>
      </w:r>
    </w:p>
    <w:p w14:paraId="79432B5A">
      <w:pPr>
        <w:pStyle w:val="10"/>
        <w:numPr>
          <w:ilvl w:val="0"/>
          <w:numId w:val="29"/>
        </w:numPr>
        <w:tabs>
          <w:tab w:val="left" w:pos="1418"/>
        </w:tabs>
        <w:spacing w:before="67" w:line="242" w:lineRule="auto"/>
        <w:ind w:left="0" w:right="3" w:firstLine="706"/>
        <w:rPr>
          <w:sz w:val="28"/>
        </w:rPr>
      </w:pPr>
      <w:r>
        <w:rPr>
          <w:sz w:val="28"/>
          <w:lang w:val="en-US"/>
        </w:rPr>
        <w:t>Schouten</w:t>
      </w:r>
      <w:r>
        <w:rPr>
          <w:spacing w:val="-4"/>
          <w:sz w:val="28"/>
          <w:lang w:val="en-US"/>
        </w:rPr>
        <w:t xml:space="preserve"> </w:t>
      </w:r>
      <w:r>
        <w:rPr>
          <w:sz w:val="28"/>
          <w:lang w:val="en-US"/>
        </w:rPr>
        <w:t>Thijs</w:t>
      </w:r>
      <w:r>
        <w:rPr>
          <w:spacing w:val="-6"/>
          <w:sz w:val="28"/>
          <w:lang w:val="en-US"/>
        </w:rPr>
        <w:t xml:space="preserve"> </w:t>
      </w:r>
      <w:r>
        <w:rPr>
          <w:sz w:val="28"/>
          <w:lang w:val="en-US"/>
        </w:rPr>
        <w:t>J.</w:t>
      </w:r>
      <w:r>
        <w:rPr>
          <w:spacing w:val="-9"/>
          <w:sz w:val="28"/>
          <w:lang w:val="en-US"/>
        </w:rPr>
        <w:t xml:space="preserve"> </w:t>
      </w:r>
      <w:r>
        <w:rPr>
          <w:sz w:val="28"/>
          <w:lang w:val="en-US"/>
        </w:rPr>
        <w:t>et</w:t>
      </w:r>
      <w:r>
        <w:rPr>
          <w:spacing w:val="-7"/>
          <w:sz w:val="28"/>
          <w:lang w:val="en-US"/>
        </w:rPr>
        <w:t xml:space="preserve"> </w:t>
      </w:r>
      <w:r>
        <w:rPr>
          <w:sz w:val="28"/>
          <w:lang w:val="en-US"/>
        </w:rPr>
        <w:t>al.</w:t>
      </w:r>
      <w:r>
        <w:rPr>
          <w:spacing w:val="-1"/>
          <w:sz w:val="28"/>
          <w:lang w:val="en-US"/>
        </w:rPr>
        <w:t xml:space="preserve"> </w:t>
      </w:r>
      <w:r>
        <w:rPr>
          <w:sz w:val="28"/>
          <w:lang w:val="en-US"/>
        </w:rPr>
        <w:t>Risk</w:t>
      </w:r>
      <w:r>
        <w:rPr>
          <w:spacing w:val="-7"/>
          <w:sz w:val="28"/>
          <w:lang w:val="en-US"/>
        </w:rPr>
        <w:t xml:space="preserve"> </w:t>
      </w:r>
      <w:r>
        <w:rPr>
          <w:sz w:val="28"/>
          <w:lang w:val="en-US"/>
        </w:rPr>
        <w:t>Models</w:t>
      </w:r>
      <w:r>
        <w:rPr>
          <w:spacing w:val="-5"/>
          <w:sz w:val="28"/>
          <w:lang w:val="en-US"/>
        </w:rPr>
        <w:t xml:space="preserve"> </w:t>
      </w:r>
      <w:r>
        <w:rPr>
          <w:sz w:val="28"/>
          <w:lang w:val="en-US"/>
        </w:rPr>
        <w:t>for</w:t>
      </w:r>
      <w:r>
        <w:rPr>
          <w:spacing w:val="-8"/>
          <w:sz w:val="28"/>
          <w:lang w:val="en-US"/>
        </w:rPr>
        <w:t xml:space="preserve"> </w:t>
      </w:r>
      <w:r>
        <w:rPr>
          <w:sz w:val="28"/>
          <w:lang w:val="en-US"/>
        </w:rPr>
        <w:t>Developing</w:t>
      </w:r>
      <w:r>
        <w:rPr>
          <w:spacing w:val="-12"/>
          <w:sz w:val="28"/>
          <w:lang w:val="en-US"/>
        </w:rPr>
        <w:t xml:space="preserve"> </w:t>
      </w:r>
      <w:r>
        <w:rPr>
          <w:sz w:val="28"/>
          <w:lang w:val="en-US"/>
        </w:rPr>
        <w:t>Pancreatic</w:t>
      </w:r>
      <w:r>
        <w:rPr>
          <w:spacing w:val="-2"/>
          <w:sz w:val="28"/>
          <w:lang w:val="en-US"/>
        </w:rPr>
        <w:t xml:space="preserve"> </w:t>
      </w:r>
      <w:r>
        <w:rPr>
          <w:sz w:val="28"/>
          <w:lang w:val="en-US"/>
        </w:rPr>
        <w:t>Fistula After</w:t>
      </w:r>
      <w:r>
        <w:rPr>
          <w:spacing w:val="-18"/>
          <w:sz w:val="28"/>
          <w:lang w:val="en-US"/>
        </w:rPr>
        <w:t xml:space="preserve"> </w:t>
      </w:r>
      <w:r>
        <w:rPr>
          <w:sz w:val="28"/>
          <w:lang w:val="en-US"/>
        </w:rPr>
        <w:t>Pancreatoduodenectomy:</w:t>
      </w:r>
      <w:r>
        <w:rPr>
          <w:spacing w:val="-17"/>
          <w:sz w:val="28"/>
          <w:lang w:val="en-US"/>
        </w:rPr>
        <w:t xml:space="preserve"> </w:t>
      </w:r>
      <w:r>
        <w:rPr>
          <w:sz w:val="28"/>
          <w:lang w:val="en-US"/>
        </w:rPr>
        <w:t>Validation</w:t>
      </w:r>
      <w:r>
        <w:rPr>
          <w:spacing w:val="-18"/>
          <w:sz w:val="28"/>
          <w:lang w:val="en-US"/>
        </w:rPr>
        <w:t xml:space="preserve"> </w:t>
      </w:r>
      <w:r>
        <w:rPr>
          <w:sz w:val="28"/>
          <w:lang w:val="en-US"/>
        </w:rPr>
        <w:t>in</w:t>
      </w:r>
      <w:r>
        <w:rPr>
          <w:spacing w:val="-17"/>
          <w:sz w:val="28"/>
          <w:lang w:val="en-US"/>
        </w:rPr>
        <w:t xml:space="preserve"> </w:t>
      </w:r>
      <w:r>
        <w:rPr>
          <w:sz w:val="28"/>
          <w:lang w:val="en-US"/>
        </w:rPr>
        <w:t>a</w:t>
      </w:r>
      <w:r>
        <w:rPr>
          <w:spacing w:val="-18"/>
          <w:sz w:val="28"/>
          <w:lang w:val="en-US"/>
        </w:rPr>
        <w:t xml:space="preserve"> </w:t>
      </w:r>
      <w:r>
        <w:rPr>
          <w:sz w:val="28"/>
          <w:lang w:val="en-US"/>
        </w:rPr>
        <w:t>Nationwide</w:t>
      </w:r>
      <w:r>
        <w:rPr>
          <w:spacing w:val="-17"/>
          <w:sz w:val="28"/>
          <w:lang w:val="en-US"/>
        </w:rPr>
        <w:t xml:space="preserve"> </w:t>
      </w:r>
      <w:r>
        <w:rPr>
          <w:sz w:val="28"/>
          <w:lang w:val="en-US"/>
        </w:rPr>
        <w:t>Prospective</w:t>
      </w:r>
      <w:r>
        <w:rPr>
          <w:spacing w:val="-18"/>
          <w:sz w:val="28"/>
          <w:lang w:val="en-US"/>
        </w:rPr>
        <w:t xml:space="preserve"> </w:t>
      </w:r>
      <w:r>
        <w:rPr>
          <w:sz w:val="28"/>
          <w:lang w:val="en-US"/>
        </w:rPr>
        <w:t>Cohort.</w:t>
      </w:r>
      <w:r>
        <w:rPr>
          <w:spacing w:val="-17"/>
          <w:sz w:val="28"/>
          <w:lang w:val="en-US"/>
        </w:rPr>
        <w:t xml:space="preserve"> </w:t>
      </w:r>
      <w:r>
        <w:rPr>
          <w:sz w:val="28"/>
          <w:lang w:val="en-US"/>
        </w:rPr>
        <w:t xml:space="preserve">Annals of Surgery.-2023.- № </w:t>
      </w:r>
      <w:r>
        <w:rPr>
          <w:sz w:val="28"/>
        </w:rPr>
        <w:t>278(6).-Р. 1001-1008.</w:t>
      </w:r>
    </w:p>
    <w:p w14:paraId="20E30E1D">
      <w:pPr>
        <w:pStyle w:val="10"/>
        <w:numPr>
          <w:ilvl w:val="0"/>
          <w:numId w:val="29"/>
        </w:numPr>
        <w:tabs>
          <w:tab w:val="left" w:pos="1418"/>
        </w:tabs>
        <w:spacing w:line="244" w:lineRule="auto"/>
        <w:ind w:left="0" w:right="3" w:firstLine="706"/>
        <w:rPr>
          <w:sz w:val="28"/>
        </w:rPr>
      </w:pPr>
      <w:r>
        <w:rPr>
          <w:sz w:val="28"/>
          <w:lang w:val="en-US"/>
        </w:rPr>
        <w:t xml:space="preserve">Alzelfawi L. et al. Prevention of Postoperative Pancreatic Fistula: Systematic Review and Meta-Analysis. Surgeries.- </w:t>
      </w:r>
      <w:r>
        <w:rPr>
          <w:sz w:val="28"/>
        </w:rPr>
        <w:t>2024.- № 5.-Р. 875–895.</w:t>
      </w:r>
    </w:p>
    <w:p w14:paraId="41A13019">
      <w:pPr>
        <w:pStyle w:val="10"/>
        <w:numPr>
          <w:ilvl w:val="0"/>
          <w:numId w:val="29"/>
        </w:numPr>
        <w:tabs>
          <w:tab w:val="left" w:pos="1418"/>
        </w:tabs>
        <w:ind w:left="0" w:right="3" w:firstLine="706"/>
        <w:rPr>
          <w:sz w:val="28"/>
          <w:lang w:val="en-US"/>
        </w:rPr>
      </w:pPr>
      <w:r>
        <w:rPr>
          <w:sz w:val="28"/>
          <w:lang w:val="en-US"/>
        </w:rPr>
        <w:t>Ecker Brett L. et al. Risk Factors and Mitigation Strategies for Pancreatic</w:t>
      </w:r>
      <w:r>
        <w:rPr>
          <w:spacing w:val="-4"/>
          <w:sz w:val="28"/>
          <w:lang w:val="en-US"/>
        </w:rPr>
        <w:t xml:space="preserve"> </w:t>
      </w:r>
      <w:r>
        <w:rPr>
          <w:sz w:val="28"/>
          <w:lang w:val="en-US"/>
        </w:rPr>
        <w:t>Fistula</w:t>
      </w:r>
      <w:r>
        <w:rPr>
          <w:spacing w:val="-4"/>
          <w:sz w:val="28"/>
          <w:lang w:val="en-US"/>
        </w:rPr>
        <w:t xml:space="preserve"> </w:t>
      </w:r>
      <w:r>
        <w:rPr>
          <w:sz w:val="28"/>
          <w:lang w:val="en-US"/>
        </w:rPr>
        <w:t>After</w:t>
      </w:r>
      <w:r>
        <w:rPr>
          <w:spacing w:val="-10"/>
          <w:sz w:val="28"/>
          <w:lang w:val="en-US"/>
        </w:rPr>
        <w:t xml:space="preserve"> </w:t>
      </w:r>
      <w:r>
        <w:rPr>
          <w:sz w:val="28"/>
          <w:lang w:val="en-US"/>
        </w:rPr>
        <w:t>Distal</w:t>
      </w:r>
      <w:r>
        <w:rPr>
          <w:spacing w:val="-14"/>
          <w:sz w:val="28"/>
          <w:lang w:val="en-US"/>
        </w:rPr>
        <w:t xml:space="preserve"> </w:t>
      </w:r>
      <w:r>
        <w:rPr>
          <w:sz w:val="28"/>
          <w:lang w:val="en-US"/>
        </w:rPr>
        <w:t>Pancreatectomy:</w:t>
      </w:r>
      <w:r>
        <w:rPr>
          <w:spacing w:val="-10"/>
          <w:sz w:val="28"/>
          <w:lang w:val="en-US"/>
        </w:rPr>
        <w:t xml:space="preserve"> </w:t>
      </w:r>
      <w:r>
        <w:rPr>
          <w:sz w:val="28"/>
          <w:lang w:val="en-US"/>
        </w:rPr>
        <w:t>Analysis</w:t>
      </w:r>
      <w:r>
        <w:rPr>
          <w:spacing w:val="-7"/>
          <w:sz w:val="28"/>
          <w:lang w:val="en-US"/>
        </w:rPr>
        <w:t xml:space="preserve"> </w:t>
      </w:r>
      <w:r>
        <w:rPr>
          <w:sz w:val="28"/>
          <w:lang w:val="en-US"/>
        </w:rPr>
        <w:t>of</w:t>
      </w:r>
      <w:r>
        <w:rPr>
          <w:spacing w:val="-15"/>
          <w:sz w:val="28"/>
          <w:lang w:val="en-US"/>
        </w:rPr>
        <w:t xml:space="preserve"> </w:t>
      </w:r>
      <w:r>
        <w:rPr>
          <w:sz w:val="28"/>
          <w:lang w:val="en-US"/>
        </w:rPr>
        <w:t>2026</w:t>
      </w:r>
      <w:r>
        <w:rPr>
          <w:spacing w:val="-9"/>
          <w:sz w:val="28"/>
          <w:lang w:val="en-US"/>
        </w:rPr>
        <w:t xml:space="preserve"> </w:t>
      </w:r>
      <w:r>
        <w:rPr>
          <w:sz w:val="28"/>
          <w:lang w:val="en-US"/>
        </w:rPr>
        <w:t>Resections</w:t>
      </w:r>
      <w:r>
        <w:rPr>
          <w:spacing w:val="-3"/>
          <w:sz w:val="28"/>
          <w:lang w:val="en-US"/>
        </w:rPr>
        <w:t xml:space="preserve"> </w:t>
      </w:r>
      <w:r>
        <w:rPr>
          <w:sz w:val="28"/>
          <w:lang w:val="en-US"/>
        </w:rPr>
        <w:t>From</w:t>
      </w:r>
      <w:r>
        <w:rPr>
          <w:spacing w:val="-14"/>
          <w:sz w:val="28"/>
          <w:lang w:val="en-US"/>
        </w:rPr>
        <w:t xml:space="preserve"> </w:t>
      </w:r>
      <w:r>
        <w:rPr>
          <w:sz w:val="28"/>
          <w:lang w:val="en-US"/>
        </w:rPr>
        <w:t>the International, Multi-institutional Distal Pancreatectomy Study Group. Annals of Surgery .-</w:t>
      </w:r>
      <w:r>
        <w:rPr>
          <w:color w:val="202020"/>
          <w:sz w:val="28"/>
          <w:lang w:val="en-US"/>
        </w:rPr>
        <w:t>2019.- №269(1).-</w:t>
      </w:r>
      <w:r>
        <w:rPr>
          <w:color w:val="202020"/>
          <w:sz w:val="28"/>
        </w:rPr>
        <w:t>Р</w:t>
      </w:r>
      <w:r>
        <w:rPr>
          <w:color w:val="202020"/>
          <w:sz w:val="28"/>
          <w:lang w:val="en-US"/>
        </w:rPr>
        <w:t>.143-149.</w:t>
      </w:r>
    </w:p>
    <w:p w14:paraId="5FBF0672">
      <w:pPr>
        <w:pStyle w:val="10"/>
        <w:numPr>
          <w:ilvl w:val="0"/>
          <w:numId w:val="29"/>
        </w:numPr>
        <w:tabs>
          <w:tab w:val="left" w:pos="1418"/>
        </w:tabs>
        <w:ind w:left="0" w:right="3" w:firstLine="706"/>
        <w:rPr>
          <w:sz w:val="28"/>
        </w:rPr>
      </w:pPr>
      <w:r>
        <w:rPr>
          <w:sz w:val="28"/>
          <w:lang w:val="en-US"/>
        </w:rPr>
        <w:t>Vo Truong Quoca</w:t>
      </w:r>
      <w:r>
        <w:rPr>
          <w:spacing w:val="40"/>
          <w:sz w:val="28"/>
          <w:lang w:val="en-US"/>
        </w:rPr>
        <w:t xml:space="preserve"> </w:t>
      </w:r>
      <w:r>
        <w:rPr>
          <w:sz w:val="28"/>
          <w:lang w:val="en-US"/>
        </w:rPr>
        <w:t>et al. Risk factors and nomogram of clinically relevant</w:t>
      </w:r>
      <w:r>
        <w:rPr>
          <w:spacing w:val="-9"/>
          <w:sz w:val="28"/>
          <w:lang w:val="en-US"/>
        </w:rPr>
        <w:t xml:space="preserve"> </w:t>
      </w:r>
      <w:r>
        <w:rPr>
          <w:sz w:val="28"/>
          <w:lang w:val="en-US"/>
        </w:rPr>
        <w:t>pancreatic</w:t>
      </w:r>
      <w:r>
        <w:rPr>
          <w:spacing w:val="-3"/>
          <w:sz w:val="28"/>
          <w:lang w:val="en-US"/>
        </w:rPr>
        <w:t xml:space="preserve"> </w:t>
      </w:r>
      <w:r>
        <w:rPr>
          <w:sz w:val="28"/>
          <w:lang w:val="en-US"/>
        </w:rPr>
        <w:t>fistula</w:t>
      </w:r>
      <w:r>
        <w:rPr>
          <w:spacing w:val="-8"/>
          <w:sz w:val="28"/>
          <w:lang w:val="en-US"/>
        </w:rPr>
        <w:t xml:space="preserve"> </w:t>
      </w:r>
      <w:r>
        <w:rPr>
          <w:sz w:val="28"/>
          <w:lang w:val="en-US"/>
        </w:rPr>
        <w:t>after</w:t>
      </w:r>
      <w:r>
        <w:rPr>
          <w:spacing w:val="-9"/>
          <w:sz w:val="28"/>
          <w:lang w:val="en-US"/>
        </w:rPr>
        <w:t xml:space="preserve"> </w:t>
      </w:r>
      <w:r>
        <w:rPr>
          <w:sz w:val="28"/>
          <w:lang w:val="en-US"/>
        </w:rPr>
        <w:t>pancreaticoduodenectomy</w:t>
      </w:r>
      <w:r>
        <w:rPr>
          <w:spacing w:val="-4"/>
          <w:sz w:val="28"/>
          <w:lang w:val="en-US"/>
        </w:rPr>
        <w:t xml:space="preserve"> </w:t>
      </w:r>
      <w:r>
        <w:rPr>
          <w:sz w:val="28"/>
          <w:lang w:val="en-US"/>
        </w:rPr>
        <w:t>for</w:t>
      </w:r>
      <w:r>
        <w:rPr>
          <w:spacing w:val="-9"/>
          <w:sz w:val="28"/>
          <w:lang w:val="en-US"/>
        </w:rPr>
        <w:t xml:space="preserve"> </w:t>
      </w:r>
      <w:r>
        <w:rPr>
          <w:sz w:val="28"/>
          <w:lang w:val="en-US"/>
        </w:rPr>
        <w:t>periampullary</w:t>
      </w:r>
      <w:r>
        <w:rPr>
          <w:spacing w:val="-12"/>
          <w:sz w:val="28"/>
          <w:lang w:val="en-US"/>
        </w:rPr>
        <w:t xml:space="preserve"> </w:t>
      </w:r>
      <w:r>
        <w:rPr>
          <w:sz w:val="28"/>
          <w:lang w:val="en-US"/>
        </w:rPr>
        <w:t>cancer:</w:t>
      </w:r>
      <w:r>
        <w:rPr>
          <w:spacing w:val="-9"/>
          <w:sz w:val="28"/>
          <w:lang w:val="en-US"/>
        </w:rPr>
        <w:t xml:space="preserve"> </w:t>
      </w:r>
      <w:r>
        <w:rPr>
          <w:sz w:val="28"/>
          <w:lang w:val="en-US"/>
        </w:rPr>
        <w:t xml:space="preserve">A prospective multicenter cohort study. //Formosan Journal of Surgery.- </w:t>
      </w:r>
      <w:r>
        <w:rPr>
          <w:sz w:val="28"/>
        </w:rPr>
        <w:t>2024.- №57(5).-Р.195-201.</w:t>
      </w:r>
    </w:p>
    <w:p w14:paraId="3E673BAD">
      <w:pPr>
        <w:pStyle w:val="10"/>
        <w:numPr>
          <w:ilvl w:val="0"/>
          <w:numId w:val="29"/>
        </w:numPr>
        <w:tabs>
          <w:tab w:val="left" w:pos="1418"/>
        </w:tabs>
        <w:ind w:left="0" w:right="3" w:firstLine="706"/>
        <w:rPr>
          <w:sz w:val="28"/>
          <w:lang w:val="en-US"/>
        </w:rPr>
      </w:pPr>
      <w:r>
        <w:rPr>
          <w:sz w:val="28"/>
          <w:lang w:val="en-US"/>
        </w:rPr>
        <w:t>Yasunori</w:t>
      </w:r>
      <w:r>
        <w:rPr>
          <w:spacing w:val="-18"/>
          <w:sz w:val="28"/>
          <w:lang w:val="en-US"/>
        </w:rPr>
        <w:t xml:space="preserve"> </w:t>
      </w:r>
      <w:r>
        <w:rPr>
          <w:sz w:val="28"/>
          <w:lang w:val="en-US"/>
        </w:rPr>
        <w:t>Nishida</w:t>
      </w:r>
      <w:r>
        <w:rPr>
          <w:spacing w:val="-17"/>
          <w:sz w:val="28"/>
          <w:lang w:val="en-US"/>
        </w:rPr>
        <w:t xml:space="preserve"> </w:t>
      </w:r>
      <w:r>
        <w:rPr>
          <w:sz w:val="28"/>
          <w:lang w:val="en-US"/>
        </w:rPr>
        <w:t>et</w:t>
      </w:r>
      <w:r>
        <w:rPr>
          <w:spacing w:val="-18"/>
          <w:sz w:val="28"/>
          <w:lang w:val="en-US"/>
        </w:rPr>
        <w:t xml:space="preserve"> </w:t>
      </w:r>
      <w:r>
        <w:rPr>
          <w:sz w:val="28"/>
          <w:lang w:val="en-US"/>
        </w:rPr>
        <w:t>al.</w:t>
      </w:r>
      <w:r>
        <w:rPr>
          <w:spacing w:val="-17"/>
          <w:sz w:val="28"/>
          <w:lang w:val="en-US"/>
        </w:rPr>
        <w:t xml:space="preserve"> </w:t>
      </w:r>
      <w:r>
        <w:rPr>
          <w:sz w:val="28"/>
          <w:lang w:val="en-US"/>
        </w:rPr>
        <w:t>Preoperative</w:t>
      </w:r>
      <w:r>
        <w:rPr>
          <w:spacing w:val="-18"/>
          <w:sz w:val="28"/>
          <w:lang w:val="en-US"/>
        </w:rPr>
        <w:t xml:space="preserve"> </w:t>
      </w:r>
      <w:r>
        <w:rPr>
          <w:sz w:val="28"/>
          <w:lang w:val="en-US"/>
        </w:rPr>
        <w:t>Sarcopenia</w:t>
      </w:r>
      <w:r>
        <w:rPr>
          <w:spacing w:val="-17"/>
          <w:sz w:val="28"/>
          <w:lang w:val="en-US"/>
        </w:rPr>
        <w:t xml:space="preserve"> </w:t>
      </w:r>
      <w:r>
        <w:rPr>
          <w:sz w:val="28"/>
          <w:lang w:val="en-US"/>
        </w:rPr>
        <w:t>Strongly</w:t>
      </w:r>
      <w:r>
        <w:rPr>
          <w:spacing w:val="-18"/>
          <w:sz w:val="28"/>
          <w:lang w:val="en-US"/>
        </w:rPr>
        <w:t xml:space="preserve"> </w:t>
      </w:r>
      <w:r>
        <w:rPr>
          <w:sz w:val="28"/>
          <w:lang w:val="en-US"/>
        </w:rPr>
        <w:t>Influences</w:t>
      </w:r>
      <w:r>
        <w:rPr>
          <w:spacing w:val="-17"/>
          <w:sz w:val="28"/>
          <w:lang w:val="en-US"/>
        </w:rPr>
        <w:t xml:space="preserve"> </w:t>
      </w:r>
      <w:r>
        <w:rPr>
          <w:sz w:val="28"/>
          <w:lang w:val="en-US"/>
        </w:rPr>
        <w:t>the Risk</w:t>
      </w:r>
      <w:r>
        <w:rPr>
          <w:spacing w:val="-6"/>
          <w:sz w:val="28"/>
          <w:lang w:val="en-US"/>
        </w:rPr>
        <w:t xml:space="preserve"> </w:t>
      </w:r>
      <w:r>
        <w:rPr>
          <w:sz w:val="28"/>
          <w:lang w:val="en-US"/>
        </w:rPr>
        <w:t>of</w:t>
      </w:r>
      <w:r>
        <w:rPr>
          <w:spacing w:val="-7"/>
          <w:sz w:val="28"/>
          <w:lang w:val="en-US"/>
        </w:rPr>
        <w:t xml:space="preserve"> </w:t>
      </w:r>
      <w:r>
        <w:rPr>
          <w:sz w:val="28"/>
          <w:lang w:val="en-US"/>
        </w:rPr>
        <w:t>Postoperative</w:t>
      </w:r>
      <w:r>
        <w:rPr>
          <w:spacing w:val="-5"/>
          <w:sz w:val="28"/>
          <w:lang w:val="en-US"/>
        </w:rPr>
        <w:t xml:space="preserve"> </w:t>
      </w:r>
      <w:r>
        <w:rPr>
          <w:sz w:val="28"/>
          <w:lang w:val="en-US"/>
        </w:rPr>
        <w:t>Pancreatic</w:t>
      </w:r>
      <w:r>
        <w:rPr>
          <w:spacing w:val="-1"/>
          <w:sz w:val="28"/>
          <w:lang w:val="en-US"/>
        </w:rPr>
        <w:t xml:space="preserve"> </w:t>
      </w:r>
      <w:r>
        <w:rPr>
          <w:sz w:val="28"/>
          <w:lang w:val="en-US"/>
        </w:rPr>
        <w:t>Fistula</w:t>
      </w:r>
      <w:r>
        <w:rPr>
          <w:spacing w:val="-1"/>
          <w:sz w:val="28"/>
          <w:lang w:val="en-US"/>
        </w:rPr>
        <w:t xml:space="preserve"> </w:t>
      </w:r>
      <w:r>
        <w:rPr>
          <w:sz w:val="28"/>
          <w:lang w:val="en-US"/>
        </w:rPr>
        <w:t>Formation</w:t>
      </w:r>
      <w:r>
        <w:rPr>
          <w:spacing w:val="-6"/>
          <w:sz w:val="28"/>
          <w:lang w:val="en-US"/>
        </w:rPr>
        <w:t xml:space="preserve"> </w:t>
      </w:r>
      <w:r>
        <w:rPr>
          <w:sz w:val="28"/>
          <w:lang w:val="en-US"/>
        </w:rPr>
        <w:t>After</w:t>
      </w:r>
      <w:r>
        <w:rPr>
          <w:spacing w:val="-3"/>
          <w:sz w:val="28"/>
          <w:lang w:val="en-US"/>
        </w:rPr>
        <w:t xml:space="preserve"> </w:t>
      </w:r>
      <w:r>
        <w:rPr>
          <w:sz w:val="28"/>
          <w:lang w:val="en-US"/>
        </w:rPr>
        <w:t>Pancreaticoduodenectomy</w:t>
      </w:r>
      <w:r>
        <w:rPr>
          <w:spacing w:val="-6"/>
          <w:sz w:val="28"/>
          <w:lang w:val="en-US"/>
        </w:rPr>
        <w:t xml:space="preserve"> </w:t>
      </w:r>
      <w:r>
        <w:rPr>
          <w:sz w:val="28"/>
          <w:lang w:val="en-US"/>
        </w:rPr>
        <w:t>// J Gastrointest Surg. -2016.- №20(9).-</w:t>
      </w:r>
      <w:r>
        <w:rPr>
          <w:sz w:val="28"/>
        </w:rPr>
        <w:t>Р</w:t>
      </w:r>
      <w:r>
        <w:rPr>
          <w:sz w:val="28"/>
          <w:lang w:val="en-US"/>
        </w:rPr>
        <w:t>.158-694.</w:t>
      </w:r>
    </w:p>
    <w:p w14:paraId="196923C8">
      <w:pPr>
        <w:pStyle w:val="10"/>
        <w:numPr>
          <w:ilvl w:val="0"/>
          <w:numId w:val="29"/>
        </w:numPr>
        <w:spacing w:line="242" w:lineRule="auto"/>
        <w:ind w:left="0" w:right="3" w:firstLine="706"/>
        <w:rPr>
          <w:sz w:val="28"/>
          <w:lang w:val="en-US"/>
        </w:rPr>
      </w:pPr>
      <w:r>
        <w:rPr>
          <w:sz w:val="28"/>
          <w:lang w:val="en-US"/>
        </w:rPr>
        <w:t>Abe T. et al. Preoperative anthropomorphic and nutritional status and fistula</w:t>
      </w:r>
      <w:r>
        <w:rPr>
          <w:spacing w:val="-8"/>
          <w:sz w:val="28"/>
          <w:lang w:val="en-US"/>
        </w:rPr>
        <w:t xml:space="preserve"> </w:t>
      </w:r>
      <w:r>
        <w:rPr>
          <w:sz w:val="28"/>
          <w:lang w:val="en-US"/>
        </w:rPr>
        <w:t>risk</w:t>
      </w:r>
      <w:r>
        <w:rPr>
          <w:spacing w:val="-8"/>
          <w:sz w:val="28"/>
          <w:lang w:val="en-US"/>
        </w:rPr>
        <w:t xml:space="preserve"> </w:t>
      </w:r>
      <w:r>
        <w:rPr>
          <w:sz w:val="28"/>
          <w:lang w:val="en-US"/>
        </w:rPr>
        <w:t>score</w:t>
      </w:r>
      <w:r>
        <w:rPr>
          <w:spacing w:val="-8"/>
          <w:sz w:val="28"/>
          <w:lang w:val="en-US"/>
        </w:rPr>
        <w:t xml:space="preserve"> </w:t>
      </w:r>
      <w:r>
        <w:rPr>
          <w:sz w:val="28"/>
          <w:lang w:val="en-US"/>
        </w:rPr>
        <w:t>for</w:t>
      </w:r>
      <w:r>
        <w:rPr>
          <w:spacing w:val="-10"/>
          <w:sz w:val="28"/>
          <w:lang w:val="en-US"/>
        </w:rPr>
        <w:t xml:space="preserve"> </w:t>
      </w:r>
      <w:r>
        <w:rPr>
          <w:sz w:val="28"/>
          <w:lang w:val="en-US"/>
        </w:rPr>
        <w:t>predicting</w:t>
      </w:r>
      <w:r>
        <w:rPr>
          <w:spacing w:val="-13"/>
          <w:sz w:val="28"/>
          <w:lang w:val="en-US"/>
        </w:rPr>
        <w:t xml:space="preserve"> </w:t>
      </w:r>
      <w:r>
        <w:rPr>
          <w:sz w:val="28"/>
          <w:lang w:val="en-US"/>
        </w:rPr>
        <w:t>clinically</w:t>
      </w:r>
      <w:r>
        <w:rPr>
          <w:spacing w:val="-8"/>
          <w:sz w:val="28"/>
          <w:lang w:val="en-US"/>
        </w:rPr>
        <w:t xml:space="preserve"> </w:t>
      </w:r>
      <w:r>
        <w:rPr>
          <w:sz w:val="28"/>
          <w:lang w:val="en-US"/>
        </w:rPr>
        <w:t>relevant</w:t>
      </w:r>
      <w:r>
        <w:rPr>
          <w:spacing w:val="-9"/>
          <w:sz w:val="28"/>
          <w:lang w:val="en-US"/>
        </w:rPr>
        <w:t xml:space="preserve"> </w:t>
      </w:r>
      <w:r>
        <w:rPr>
          <w:sz w:val="28"/>
          <w:lang w:val="en-US"/>
        </w:rPr>
        <w:t>postoperative</w:t>
      </w:r>
      <w:r>
        <w:rPr>
          <w:spacing w:val="-8"/>
          <w:sz w:val="28"/>
          <w:lang w:val="en-US"/>
        </w:rPr>
        <w:t xml:space="preserve"> </w:t>
      </w:r>
      <w:r>
        <w:rPr>
          <w:sz w:val="28"/>
          <w:lang w:val="en-US"/>
        </w:rPr>
        <w:t>pancreatic</w:t>
      </w:r>
      <w:r>
        <w:rPr>
          <w:spacing w:val="-3"/>
          <w:sz w:val="28"/>
          <w:lang w:val="en-US"/>
        </w:rPr>
        <w:t xml:space="preserve"> </w:t>
      </w:r>
      <w:r>
        <w:rPr>
          <w:sz w:val="28"/>
          <w:lang w:val="en-US"/>
        </w:rPr>
        <w:t>fistula</w:t>
      </w:r>
      <w:r>
        <w:rPr>
          <w:spacing w:val="-8"/>
          <w:sz w:val="28"/>
          <w:lang w:val="en-US"/>
        </w:rPr>
        <w:t xml:space="preserve"> </w:t>
      </w:r>
      <w:r>
        <w:rPr>
          <w:sz w:val="28"/>
          <w:lang w:val="en-US"/>
        </w:rPr>
        <w:t>after pancreaticoduodenectomy</w:t>
      </w:r>
      <w:r>
        <w:rPr>
          <w:spacing w:val="-18"/>
          <w:sz w:val="28"/>
          <w:lang w:val="en-US"/>
        </w:rPr>
        <w:t xml:space="preserve"> </w:t>
      </w:r>
      <w:r>
        <w:rPr>
          <w:sz w:val="28"/>
          <w:lang w:val="en-US"/>
        </w:rPr>
        <w:t>//</w:t>
      </w:r>
      <w:r>
        <w:rPr>
          <w:spacing w:val="-10"/>
          <w:sz w:val="28"/>
          <w:lang w:val="en-US"/>
        </w:rPr>
        <w:t xml:space="preserve"> </w:t>
      </w:r>
      <w:r>
        <w:rPr>
          <w:sz w:val="28"/>
          <w:lang w:val="en-US"/>
        </w:rPr>
        <w:t>BMC</w:t>
      </w:r>
      <w:r>
        <w:rPr>
          <w:spacing w:val="-16"/>
          <w:sz w:val="28"/>
          <w:lang w:val="en-US"/>
        </w:rPr>
        <w:t xml:space="preserve"> </w:t>
      </w:r>
      <w:r>
        <w:rPr>
          <w:sz w:val="28"/>
          <w:lang w:val="en-US"/>
        </w:rPr>
        <w:t>Gastroenterology.</w:t>
      </w:r>
      <w:r>
        <w:rPr>
          <w:spacing w:val="-16"/>
          <w:sz w:val="28"/>
          <w:lang w:val="en-US"/>
        </w:rPr>
        <w:t xml:space="preserve"> </w:t>
      </w:r>
      <w:r>
        <w:rPr>
          <w:sz w:val="28"/>
          <w:lang w:val="en-US"/>
        </w:rPr>
        <w:t>-</w:t>
      </w:r>
      <w:r>
        <w:rPr>
          <w:spacing w:val="-17"/>
          <w:sz w:val="28"/>
          <w:lang w:val="en-US"/>
        </w:rPr>
        <w:t xml:space="preserve"> </w:t>
      </w:r>
      <w:r>
        <w:rPr>
          <w:sz w:val="28"/>
          <w:lang w:val="en-US"/>
        </w:rPr>
        <w:t>2020.</w:t>
      </w:r>
      <w:r>
        <w:rPr>
          <w:spacing w:val="-15"/>
          <w:sz w:val="28"/>
          <w:lang w:val="en-US"/>
        </w:rPr>
        <w:t xml:space="preserve"> </w:t>
      </w:r>
      <w:r>
        <w:rPr>
          <w:sz w:val="28"/>
          <w:lang w:val="en-US"/>
        </w:rPr>
        <w:t>-</w:t>
      </w:r>
      <w:r>
        <w:rPr>
          <w:spacing w:val="-17"/>
          <w:sz w:val="28"/>
          <w:lang w:val="en-US"/>
        </w:rPr>
        <w:t xml:space="preserve"> </w:t>
      </w:r>
      <w:r>
        <w:rPr>
          <w:sz w:val="28"/>
          <w:lang w:val="en-US"/>
        </w:rPr>
        <w:t>Vol.</w:t>
      </w:r>
      <w:r>
        <w:rPr>
          <w:spacing w:val="-16"/>
          <w:sz w:val="28"/>
          <w:lang w:val="en-US"/>
        </w:rPr>
        <w:t xml:space="preserve"> </w:t>
      </w:r>
      <w:r>
        <w:rPr>
          <w:sz w:val="28"/>
          <w:lang w:val="en-US"/>
        </w:rPr>
        <w:t>20.-</w:t>
      </w:r>
      <w:r>
        <w:rPr>
          <w:spacing w:val="-17"/>
          <w:sz w:val="28"/>
          <w:lang w:val="en-US"/>
        </w:rPr>
        <w:t xml:space="preserve"> </w:t>
      </w:r>
      <w:r>
        <w:rPr>
          <w:spacing w:val="-4"/>
          <w:sz w:val="28"/>
          <w:lang w:val="en-US"/>
        </w:rPr>
        <w:t xml:space="preserve">264 </w:t>
      </w:r>
      <w:r>
        <w:rPr>
          <w:spacing w:val="-4"/>
          <w:sz w:val="28"/>
        </w:rPr>
        <w:t>р</w:t>
      </w:r>
      <w:r>
        <w:rPr>
          <w:spacing w:val="-4"/>
          <w:sz w:val="28"/>
          <w:lang w:val="en-US"/>
        </w:rPr>
        <w:t>.</w:t>
      </w:r>
    </w:p>
    <w:p w14:paraId="718E7184">
      <w:pPr>
        <w:pStyle w:val="10"/>
        <w:numPr>
          <w:ilvl w:val="0"/>
          <w:numId w:val="29"/>
        </w:numPr>
        <w:ind w:left="0" w:right="3" w:firstLine="706"/>
        <w:rPr>
          <w:sz w:val="28"/>
        </w:rPr>
      </w:pPr>
      <w:r>
        <w:rPr>
          <w:sz w:val="28"/>
          <w:lang w:val="en-US"/>
        </w:rPr>
        <w:t xml:space="preserve">Funamizu N. et al. Preoperative C-Reactive Protein-to-Albumin Ratio Predicts Postoperative Pancreatic Fistula following Pancreatoduodenectomy: A Single-Center, Retrospective Study. Curr. Oncol. -2022.- № </w:t>
      </w:r>
      <w:r>
        <w:rPr>
          <w:sz w:val="28"/>
        </w:rPr>
        <w:t>29.-Р. 9867–9874.</w:t>
      </w:r>
    </w:p>
    <w:p w14:paraId="00A5C832">
      <w:pPr>
        <w:pStyle w:val="10"/>
        <w:numPr>
          <w:ilvl w:val="0"/>
          <w:numId w:val="29"/>
        </w:numPr>
        <w:tabs>
          <w:tab w:val="left" w:pos="1560"/>
        </w:tabs>
        <w:ind w:left="0" w:right="3" w:firstLine="706"/>
        <w:rPr>
          <w:sz w:val="28"/>
          <w:lang w:val="en-US"/>
        </w:rPr>
      </w:pPr>
      <w:r>
        <w:rPr>
          <w:sz w:val="28"/>
          <w:lang w:val="en-US"/>
        </w:rPr>
        <w:t>Shen Z. et al. Preoperative biliary drainage of severely obstructive jaundiced patients decreases overall postoperative complications after pancreaticoduodenectomy: A retrospective and propensity score-matched analysis // Pancreatology. - 2020. - Vol. 20, № 3. - P. 529–536.</w:t>
      </w:r>
    </w:p>
    <w:p w14:paraId="72FDE7B9">
      <w:pPr>
        <w:pStyle w:val="10"/>
        <w:numPr>
          <w:ilvl w:val="0"/>
          <w:numId w:val="29"/>
        </w:numPr>
        <w:ind w:left="0" w:right="3" w:firstLine="706"/>
        <w:rPr>
          <w:sz w:val="28"/>
          <w:lang w:val="en-US"/>
        </w:rPr>
      </w:pPr>
      <w:r>
        <w:rPr>
          <w:sz w:val="28"/>
          <w:lang w:val="en-US"/>
        </w:rPr>
        <w:t>Zhang B. et al. Whether preoperative biliary drainage leads to better patient</w:t>
      </w:r>
      <w:r>
        <w:rPr>
          <w:spacing w:val="-7"/>
          <w:sz w:val="28"/>
          <w:lang w:val="en-US"/>
        </w:rPr>
        <w:t xml:space="preserve"> </w:t>
      </w:r>
      <w:r>
        <w:rPr>
          <w:sz w:val="28"/>
          <w:lang w:val="en-US"/>
        </w:rPr>
        <w:t>outcomes</w:t>
      </w:r>
      <w:r>
        <w:rPr>
          <w:spacing w:val="-6"/>
          <w:sz w:val="28"/>
          <w:lang w:val="en-US"/>
        </w:rPr>
        <w:t xml:space="preserve"> </w:t>
      </w:r>
      <w:r>
        <w:rPr>
          <w:sz w:val="28"/>
          <w:lang w:val="en-US"/>
        </w:rPr>
        <w:t>of</w:t>
      </w:r>
      <w:r>
        <w:rPr>
          <w:spacing w:val="-13"/>
          <w:sz w:val="28"/>
          <w:lang w:val="en-US"/>
        </w:rPr>
        <w:t xml:space="preserve"> </w:t>
      </w:r>
      <w:r>
        <w:rPr>
          <w:sz w:val="28"/>
          <w:lang w:val="en-US"/>
        </w:rPr>
        <w:t>pancreaticoduodenectomy:</w:t>
      </w:r>
      <w:r>
        <w:rPr>
          <w:spacing w:val="-13"/>
          <w:sz w:val="28"/>
          <w:lang w:val="en-US"/>
        </w:rPr>
        <w:t xml:space="preserve"> </w:t>
      </w:r>
      <w:r>
        <w:rPr>
          <w:sz w:val="28"/>
          <w:lang w:val="en-US"/>
        </w:rPr>
        <w:t>a</w:t>
      </w:r>
      <w:r>
        <w:rPr>
          <w:spacing w:val="-2"/>
          <w:sz w:val="28"/>
          <w:lang w:val="en-US"/>
        </w:rPr>
        <w:t xml:space="preserve"> </w:t>
      </w:r>
      <w:r>
        <w:rPr>
          <w:sz w:val="28"/>
          <w:lang w:val="en-US"/>
        </w:rPr>
        <w:t>meta-analysis</w:t>
      </w:r>
      <w:r>
        <w:rPr>
          <w:spacing w:val="-6"/>
          <w:sz w:val="28"/>
          <w:lang w:val="en-US"/>
        </w:rPr>
        <w:t xml:space="preserve"> </w:t>
      </w:r>
      <w:r>
        <w:rPr>
          <w:sz w:val="28"/>
          <w:lang w:val="en-US"/>
        </w:rPr>
        <w:t>and</w:t>
      </w:r>
      <w:r>
        <w:rPr>
          <w:spacing w:val="-7"/>
          <w:sz w:val="28"/>
          <w:lang w:val="en-US"/>
        </w:rPr>
        <w:t xml:space="preserve"> </w:t>
      </w:r>
      <w:r>
        <w:rPr>
          <w:sz w:val="28"/>
          <w:lang w:val="en-US"/>
        </w:rPr>
        <w:t>systematic</w:t>
      </w:r>
      <w:r>
        <w:rPr>
          <w:spacing w:val="-6"/>
          <w:sz w:val="28"/>
          <w:lang w:val="en-US"/>
        </w:rPr>
        <w:t xml:space="preserve"> </w:t>
      </w:r>
      <w:r>
        <w:rPr>
          <w:sz w:val="28"/>
          <w:lang w:val="en-US"/>
        </w:rPr>
        <w:t>review</w:t>
      </w:r>
    </w:p>
    <w:p w14:paraId="11AFA1F1">
      <w:pPr>
        <w:pStyle w:val="7"/>
        <w:spacing w:line="321" w:lineRule="exact"/>
        <w:ind w:left="0" w:right="3" w:firstLine="706"/>
      </w:pPr>
      <w:r>
        <w:t>//</w:t>
      </w:r>
      <w:r>
        <w:rPr>
          <w:spacing w:val="-6"/>
        </w:rPr>
        <w:t xml:space="preserve"> </w:t>
      </w:r>
      <w:r>
        <w:t>BMC</w:t>
      </w:r>
      <w:r>
        <w:rPr>
          <w:spacing w:val="-5"/>
        </w:rPr>
        <w:t xml:space="preserve"> </w:t>
      </w:r>
      <w:r>
        <w:t>Gastroenterology.</w:t>
      </w:r>
      <w:r>
        <w:rPr>
          <w:spacing w:val="-3"/>
        </w:rPr>
        <w:t xml:space="preserve"> </w:t>
      </w:r>
      <w:r>
        <w:t>-</w:t>
      </w:r>
      <w:r>
        <w:rPr>
          <w:spacing w:val="-4"/>
        </w:rPr>
        <w:t xml:space="preserve"> </w:t>
      </w:r>
      <w:r>
        <w:t>2025.</w:t>
      </w:r>
      <w:r>
        <w:rPr>
          <w:spacing w:val="-3"/>
        </w:rPr>
        <w:t xml:space="preserve"> </w:t>
      </w:r>
      <w:r>
        <w:t>-</w:t>
      </w:r>
      <w:r>
        <w:rPr>
          <w:spacing w:val="-5"/>
        </w:rPr>
        <w:t xml:space="preserve"> </w:t>
      </w:r>
      <w:r>
        <w:t>Vol.</w:t>
      </w:r>
      <w:r>
        <w:rPr>
          <w:spacing w:val="1"/>
        </w:rPr>
        <w:t xml:space="preserve"> </w:t>
      </w:r>
      <w:r>
        <w:t>25.</w:t>
      </w:r>
      <w:r>
        <w:rPr>
          <w:spacing w:val="-2"/>
        </w:rPr>
        <w:t xml:space="preserve"> </w:t>
      </w:r>
      <w:r>
        <w:t>-</w:t>
      </w:r>
      <w:r>
        <w:rPr>
          <w:spacing w:val="-5"/>
        </w:rPr>
        <w:t xml:space="preserve"> </w:t>
      </w:r>
      <w:r>
        <w:rPr>
          <w:spacing w:val="-4"/>
        </w:rPr>
        <w:t>161 р.</w:t>
      </w:r>
    </w:p>
    <w:p w14:paraId="19E451A0">
      <w:pPr>
        <w:pStyle w:val="10"/>
        <w:numPr>
          <w:ilvl w:val="0"/>
          <w:numId w:val="29"/>
        </w:numPr>
        <w:ind w:left="0" w:right="3" w:firstLine="706"/>
        <w:rPr>
          <w:sz w:val="28"/>
          <w:lang w:val="en-US"/>
        </w:rPr>
      </w:pPr>
      <w:r>
        <w:rPr>
          <w:sz w:val="28"/>
          <w:lang w:val="en-US"/>
        </w:rPr>
        <w:t>Gavazzi</w:t>
      </w:r>
      <w:r>
        <w:rPr>
          <w:spacing w:val="-5"/>
          <w:sz w:val="28"/>
          <w:lang w:val="en-US"/>
        </w:rPr>
        <w:t xml:space="preserve"> </w:t>
      </w:r>
      <w:r>
        <w:rPr>
          <w:sz w:val="28"/>
          <w:lang w:val="en-US"/>
        </w:rPr>
        <w:t>F.</w:t>
      </w:r>
      <w:r>
        <w:rPr>
          <w:spacing w:val="-2"/>
          <w:sz w:val="28"/>
          <w:lang w:val="en-US"/>
        </w:rPr>
        <w:t xml:space="preserve"> </w:t>
      </w:r>
      <w:r>
        <w:rPr>
          <w:sz w:val="28"/>
          <w:lang w:val="en-US"/>
        </w:rPr>
        <w:t>et</w:t>
      </w:r>
      <w:r>
        <w:rPr>
          <w:spacing w:val="-5"/>
          <w:sz w:val="28"/>
          <w:lang w:val="en-US"/>
        </w:rPr>
        <w:t xml:space="preserve"> </w:t>
      </w:r>
      <w:r>
        <w:rPr>
          <w:sz w:val="28"/>
          <w:lang w:val="en-US"/>
        </w:rPr>
        <w:t>al. Role</w:t>
      </w:r>
      <w:r>
        <w:rPr>
          <w:spacing w:val="-4"/>
          <w:sz w:val="28"/>
          <w:lang w:val="en-US"/>
        </w:rPr>
        <w:t xml:space="preserve"> </w:t>
      </w:r>
      <w:r>
        <w:rPr>
          <w:sz w:val="28"/>
          <w:lang w:val="en-US"/>
        </w:rPr>
        <w:t>of</w:t>
      </w:r>
      <w:r>
        <w:rPr>
          <w:spacing w:val="-10"/>
          <w:sz w:val="28"/>
          <w:lang w:val="en-US"/>
        </w:rPr>
        <w:t xml:space="preserve"> </w:t>
      </w:r>
      <w:r>
        <w:rPr>
          <w:sz w:val="28"/>
          <w:lang w:val="en-US"/>
        </w:rPr>
        <w:t>preoperative</w:t>
      </w:r>
      <w:r>
        <w:rPr>
          <w:spacing w:val="-4"/>
          <w:sz w:val="28"/>
          <w:lang w:val="en-US"/>
        </w:rPr>
        <w:t xml:space="preserve"> </w:t>
      </w:r>
      <w:r>
        <w:rPr>
          <w:sz w:val="28"/>
          <w:lang w:val="en-US"/>
        </w:rPr>
        <w:t>biliary</w:t>
      </w:r>
      <w:r>
        <w:rPr>
          <w:spacing w:val="-8"/>
          <w:sz w:val="28"/>
          <w:lang w:val="en-US"/>
        </w:rPr>
        <w:t xml:space="preserve"> </w:t>
      </w:r>
      <w:r>
        <w:rPr>
          <w:sz w:val="28"/>
          <w:lang w:val="en-US"/>
        </w:rPr>
        <w:t>stents,</w:t>
      </w:r>
      <w:r>
        <w:rPr>
          <w:spacing w:val="-2"/>
          <w:sz w:val="28"/>
          <w:lang w:val="en-US"/>
        </w:rPr>
        <w:t xml:space="preserve"> </w:t>
      </w:r>
      <w:r>
        <w:rPr>
          <w:sz w:val="28"/>
          <w:lang w:val="en-US"/>
        </w:rPr>
        <w:t>bile</w:t>
      </w:r>
      <w:r>
        <w:rPr>
          <w:spacing w:val="-4"/>
          <w:sz w:val="28"/>
          <w:lang w:val="en-US"/>
        </w:rPr>
        <w:t xml:space="preserve"> </w:t>
      </w:r>
      <w:r>
        <w:rPr>
          <w:sz w:val="28"/>
          <w:lang w:val="en-US"/>
        </w:rPr>
        <w:t>contamination and</w:t>
      </w:r>
      <w:r>
        <w:rPr>
          <w:spacing w:val="-3"/>
          <w:sz w:val="28"/>
          <w:lang w:val="en-US"/>
        </w:rPr>
        <w:t xml:space="preserve"> </w:t>
      </w:r>
      <w:r>
        <w:rPr>
          <w:sz w:val="28"/>
          <w:lang w:val="en-US"/>
        </w:rPr>
        <w:t>antibiotic</w:t>
      </w:r>
      <w:r>
        <w:rPr>
          <w:spacing w:val="-3"/>
          <w:sz w:val="28"/>
          <w:lang w:val="en-US"/>
        </w:rPr>
        <w:t xml:space="preserve"> </w:t>
      </w:r>
      <w:r>
        <w:rPr>
          <w:sz w:val="28"/>
          <w:lang w:val="en-US"/>
        </w:rPr>
        <w:t>prophylaxis in</w:t>
      </w:r>
      <w:r>
        <w:rPr>
          <w:spacing w:val="-3"/>
          <w:sz w:val="28"/>
          <w:lang w:val="en-US"/>
        </w:rPr>
        <w:t xml:space="preserve"> </w:t>
      </w:r>
      <w:r>
        <w:rPr>
          <w:sz w:val="28"/>
          <w:lang w:val="en-US"/>
        </w:rPr>
        <w:t>surgical</w:t>
      </w:r>
      <w:r>
        <w:rPr>
          <w:spacing w:val="-8"/>
          <w:sz w:val="28"/>
          <w:lang w:val="en-US"/>
        </w:rPr>
        <w:t xml:space="preserve"> </w:t>
      </w:r>
      <w:r>
        <w:rPr>
          <w:sz w:val="28"/>
          <w:lang w:val="en-US"/>
        </w:rPr>
        <w:t>site infections</w:t>
      </w:r>
      <w:r>
        <w:rPr>
          <w:spacing w:val="-2"/>
          <w:sz w:val="28"/>
          <w:lang w:val="en-US"/>
        </w:rPr>
        <w:t xml:space="preserve"> </w:t>
      </w:r>
      <w:r>
        <w:rPr>
          <w:sz w:val="28"/>
          <w:lang w:val="en-US"/>
        </w:rPr>
        <w:t>after</w:t>
      </w:r>
      <w:r>
        <w:rPr>
          <w:spacing w:val="-4"/>
          <w:sz w:val="28"/>
          <w:lang w:val="en-US"/>
        </w:rPr>
        <w:t xml:space="preserve"> </w:t>
      </w:r>
      <w:r>
        <w:rPr>
          <w:sz w:val="28"/>
          <w:lang w:val="en-US"/>
        </w:rPr>
        <w:t>pancreaticoduodenectomy</w:t>
      </w:r>
      <w:r>
        <w:rPr>
          <w:spacing w:val="-3"/>
          <w:sz w:val="28"/>
          <w:lang w:val="en-US"/>
        </w:rPr>
        <w:t xml:space="preserve"> </w:t>
      </w:r>
      <w:r>
        <w:rPr>
          <w:sz w:val="28"/>
          <w:lang w:val="en-US"/>
        </w:rPr>
        <w:t xml:space="preserve">// BMC Gastroenterology. - 2016. - Vol. 16. -  43 </w:t>
      </w:r>
      <w:r>
        <w:rPr>
          <w:sz w:val="28"/>
        </w:rPr>
        <w:t>р</w:t>
      </w:r>
      <w:r>
        <w:rPr>
          <w:sz w:val="28"/>
          <w:lang w:val="en-US"/>
        </w:rPr>
        <w:t>.</w:t>
      </w:r>
    </w:p>
    <w:p w14:paraId="671C2E01">
      <w:pPr>
        <w:pStyle w:val="10"/>
        <w:numPr>
          <w:ilvl w:val="0"/>
          <w:numId w:val="29"/>
        </w:numPr>
        <w:ind w:left="0" w:right="3" w:firstLine="706"/>
        <w:rPr>
          <w:sz w:val="28"/>
          <w:lang w:val="en-US"/>
        </w:rPr>
      </w:pPr>
      <w:r>
        <w:rPr>
          <w:sz w:val="28"/>
          <w:lang w:val="en-US"/>
        </w:rPr>
        <w:t>Vanbiervliet G. et al. Endoscopic management of ampullary tumors: European Society of Gastrointestinal Endoscopy (ESGE) Guideline // Endoscopy. - 2021. - Vol. 53. - P. 429–448.</w:t>
      </w:r>
    </w:p>
    <w:p w14:paraId="3F1DD61F">
      <w:pPr>
        <w:pStyle w:val="10"/>
        <w:numPr>
          <w:ilvl w:val="0"/>
          <w:numId w:val="29"/>
        </w:numPr>
        <w:tabs>
          <w:tab w:val="left" w:pos="1560"/>
        </w:tabs>
        <w:ind w:left="0" w:right="3" w:firstLine="706"/>
        <w:rPr>
          <w:sz w:val="28"/>
          <w:lang w:val="en-US"/>
        </w:rPr>
      </w:pPr>
      <w:r>
        <w:rPr>
          <w:sz w:val="28"/>
          <w:lang w:val="en-US"/>
        </w:rPr>
        <w:t>G. Marchegiani. et al. Prevention, prediction, and mitigation of postoperative pancreatic fistula // BJS.-2021.- №108.-</w:t>
      </w:r>
      <w:r>
        <w:rPr>
          <w:sz w:val="28"/>
        </w:rPr>
        <w:t>Р</w:t>
      </w:r>
      <w:r>
        <w:rPr>
          <w:sz w:val="28"/>
          <w:lang w:val="en-US"/>
        </w:rPr>
        <w:t>.602–604.</w:t>
      </w:r>
    </w:p>
    <w:p w14:paraId="76AC4377">
      <w:pPr>
        <w:pStyle w:val="10"/>
        <w:numPr>
          <w:ilvl w:val="0"/>
          <w:numId w:val="29"/>
        </w:numPr>
        <w:tabs>
          <w:tab w:val="left" w:pos="1560"/>
        </w:tabs>
        <w:ind w:left="0" w:right="3" w:firstLine="706"/>
        <w:rPr>
          <w:sz w:val="28"/>
          <w:lang w:val="en-US"/>
        </w:rPr>
      </w:pPr>
      <w:r>
        <w:rPr>
          <w:sz w:val="28"/>
          <w:lang w:val="en-US"/>
        </w:rPr>
        <w:t>Shrikhande S.V. et al. Pancreatic anastomosis after pancreatoduodenectomy: A position statement by the International Study Group of Pancreatic Surgery (ISGPS) // Surgery. -2017 .- №161(5).-</w:t>
      </w:r>
      <w:r>
        <w:rPr>
          <w:sz w:val="28"/>
        </w:rPr>
        <w:t>Р</w:t>
      </w:r>
      <w:r>
        <w:rPr>
          <w:sz w:val="28"/>
          <w:lang w:val="en-US"/>
        </w:rPr>
        <w:t>.1221-1234.</w:t>
      </w:r>
    </w:p>
    <w:p w14:paraId="49A53520">
      <w:pPr>
        <w:pStyle w:val="10"/>
        <w:numPr>
          <w:ilvl w:val="0"/>
          <w:numId w:val="29"/>
        </w:numPr>
        <w:tabs>
          <w:tab w:val="left" w:pos="1560"/>
        </w:tabs>
        <w:ind w:left="0" w:right="3" w:firstLine="706"/>
        <w:rPr>
          <w:sz w:val="28"/>
          <w:lang w:val="en-US"/>
        </w:rPr>
      </w:pPr>
      <w:r>
        <w:rPr>
          <w:color w:val="202020"/>
          <w:sz w:val="28"/>
          <w:lang w:val="en-US"/>
        </w:rPr>
        <w:t xml:space="preserve">Hirono S. </w:t>
      </w:r>
      <w:r>
        <w:rPr>
          <w:sz w:val="28"/>
          <w:lang w:val="en-US"/>
        </w:rPr>
        <w:t xml:space="preserve">et al. </w:t>
      </w:r>
      <w:r>
        <w:rPr>
          <w:color w:val="202020"/>
          <w:sz w:val="28"/>
          <w:lang w:val="en-US"/>
        </w:rPr>
        <w:t>Modified Blumgart Mattress Suture Versus Conventional Interrupted Suture in Pancreaticojejunostomy During Pancreaticoduodenectomy: Randomized Controlled Trial. Ann Surg. -2019.- №</w:t>
      </w:r>
      <w:r>
        <w:rPr>
          <w:color w:val="202020"/>
          <w:spacing w:val="-2"/>
          <w:sz w:val="28"/>
          <w:lang w:val="en-US"/>
        </w:rPr>
        <w:t>269(2).-</w:t>
      </w:r>
      <w:r>
        <w:rPr>
          <w:color w:val="202020"/>
          <w:spacing w:val="-2"/>
          <w:sz w:val="28"/>
        </w:rPr>
        <w:t>Р</w:t>
      </w:r>
      <w:r>
        <w:rPr>
          <w:color w:val="202020"/>
          <w:spacing w:val="-2"/>
          <w:sz w:val="28"/>
          <w:lang w:val="en-US"/>
        </w:rPr>
        <w:t>.243-251.</w:t>
      </w:r>
    </w:p>
    <w:p w14:paraId="61F3E111">
      <w:pPr>
        <w:pStyle w:val="10"/>
        <w:rPr>
          <w:sz w:val="28"/>
          <w:lang w:val="en-US"/>
        </w:rPr>
        <w:sectPr>
          <w:pgSz w:w="11910" w:h="16840"/>
          <w:pgMar w:top="1134" w:right="567" w:bottom="1134" w:left="1701" w:header="0" w:footer="936" w:gutter="0"/>
          <w:cols w:space="720" w:num="1"/>
        </w:sectPr>
      </w:pPr>
    </w:p>
    <w:p w14:paraId="640E3E36">
      <w:pPr>
        <w:pStyle w:val="10"/>
        <w:numPr>
          <w:ilvl w:val="0"/>
          <w:numId w:val="29"/>
        </w:numPr>
        <w:tabs>
          <w:tab w:val="left" w:pos="1560"/>
          <w:tab w:val="left" w:pos="3969"/>
          <w:tab w:val="left" w:pos="7230"/>
        </w:tabs>
        <w:spacing w:before="67"/>
        <w:ind w:left="0" w:right="143" w:firstLine="706"/>
        <w:rPr>
          <w:sz w:val="28"/>
          <w:lang w:val="en-US"/>
        </w:rPr>
      </w:pPr>
      <w:r>
        <w:rPr>
          <w:sz w:val="28"/>
          <w:lang w:val="en-US"/>
        </w:rPr>
        <w:t xml:space="preserve">Kakita A. et al. Comparison of pancreatojejunostomy techniques in patients with a soft pancreas: Kakita anastomosis and Blumgart anastomosis // BMC Surgery.-2018.- №18.-88 </w:t>
      </w:r>
      <w:r>
        <w:rPr>
          <w:sz w:val="28"/>
        </w:rPr>
        <w:t>р</w:t>
      </w:r>
      <w:r>
        <w:rPr>
          <w:sz w:val="28"/>
          <w:lang w:val="en-US"/>
        </w:rPr>
        <w:t>.</w:t>
      </w:r>
    </w:p>
    <w:p w14:paraId="1175932F">
      <w:pPr>
        <w:pStyle w:val="10"/>
        <w:numPr>
          <w:ilvl w:val="0"/>
          <w:numId w:val="29"/>
        </w:numPr>
        <w:tabs>
          <w:tab w:val="left" w:pos="1418"/>
        </w:tabs>
        <w:spacing w:line="242" w:lineRule="auto"/>
        <w:ind w:left="0" w:right="3" w:firstLine="706"/>
        <w:rPr>
          <w:sz w:val="28"/>
          <w:lang w:val="en-US"/>
        </w:rPr>
      </w:pPr>
      <w:r>
        <w:rPr>
          <w:sz w:val="28"/>
          <w:lang w:val="en-US"/>
        </w:rPr>
        <w:t xml:space="preserve">Li Z. et al. Blumgart anastomosis reduces the incidence of pancreatic fistula after pancreaticoduodenectomy: a systematic review and meta-analysis // Scientific Reports. - 2020. - Vol. 10. - </w:t>
      </w:r>
      <w:r>
        <w:rPr>
          <w:sz w:val="28"/>
        </w:rPr>
        <w:t>Р</w:t>
      </w:r>
      <w:r>
        <w:rPr>
          <w:sz w:val="28"/>
          <w:lang w:val="en-US"/>
        </w:rPr>
        <w:t>.17-96.</w:t>
      </w:r>
    </w:p>
    <w:p w14:paraId="669C2553">
      <w:pPr>
        <w:pStyle w:val="10"/>
        <w:numPr>
          <w:ilvl w:val="0"/>
          <w:numId w:val="29"/>
        </w:numPr>
        <w:tabs>
          <w:tab w:val="left" w:pos="1418"/>
        </w:tabs>
        <w:ind w:left="0" w:right="3" w:firstLine="706"/>
        <w:rPr>
          <w:sz w:val="28"/>
          <w:lang w:val="en-US"/>
        </w:rPr>
      </w:pPr>
      <w:r>
        <w:rPr>
          <w:sz w:val="28"/>
          <w:lang w:val="en-US"/>
        </w:rPr>
        <w:t>Ricci</w:t>
      </w:r>
      <w:r>
        <w:rPr>
          <w:spacing w:val="-11"/>
          <w:sz w:val="28"/>
          <w:lang w:val="en-US"/>
        </w:rPr>
        <w:t xml:space="preserve"> </w:t>
      </w:r>
      <w:r>
        <w:rPr>
          <w:sz w:val="28"/>
          <w:lang w:val="en-US"/>
        </w:rPr>
        <w:t>C.</w:t>
      </w:r>
      <w:r>
        <w:rPr>
          <w:spacing w:val="-4"/>
          <w:sz w:val="28"/>
          <w:lang w:val="en-US"/>
        </w:rPr>
        <w:t xml:space="preserve"> </w:t>
      </w:r>
      <w:r>
        <w:rPr>
          <w:sz w:val="28"/>
          <w:lang w:val="en-US"/>
        </w:rPr>
        <w:t>et</w:t>
      </w:r>
      <w:r>
        <w:rPr>
          <w:spacing w:val="-7"/>
          <w:sz w:val="28"/>
          <w:lang w:val="en-US"/>
        </w:rPr>
        <w:t xml:space="preserve"> </w:t>
      </w:r>
      <w:r>
        <w:rPr>
          <w:sz w:val="28"/>
          <w:lang w:val="en-US"/>
        </w:rPr>
        <w:t>al.</w:t>
      </w:r>
      <w:r>
        <w:rPr>
          <w:spacing w:val="-2"/>
          <w:sz w:val="28"/>
          <w:lang w:val="en-US"/>
        </w:rPr>
        <w:t xml:space="preserve"> </w:t>
      </w:r>
      <w:r>
        <w:rPr>
          <w:sz w:val="28"/>
          <w:lang w:val="en-US"/>
        </w:rPr>
        <w:t>Blumgart</w:t>
      </w:r>
      <w:r>
        <w:rPr>
          <w:spacing w:val="-3"/>
          <w:sz w:val="28"/>
          <w:lang w:val="en-US"/>
        </w:rPr>
        <w:t xml:space="preserve"> </w:t>
      </w:r>
      <w:r>
        <w:rPr>
          <w:sz w:val="28"/>
          <w:lang w:val="en-US"/>
        </w:rPr>
        <w:t>Anastomosis</w:t>
      </w:r>
      <w:r>
        <w:rPr>
          <w:spacing w:val="-1"/>
          <w:sz w:val="28"/>
          <w:lang w:val="en-US"/>
        </w:rPr>
        <w:t xml:space="preserve"> </w:t>
      </w:r>
      <w:r>
        <w:rPr>
          <w:sz w:val="28"/>
          <w:lang w:val="en-US"/>
        </w:rPr>
        <w:t>After</w:t>
      </w:r>
      <w:r>
        <w:rPr>
          <w:spacing w:val="-3"/>
          <w:sz w:val="28"/>
          <w:lang w:val="en-US"/>
        </w:rPr>
        <w:t xml:space="preserve"> </w:t>
      </w:r>
      <w:r>
        <w:rPr>
          <w:sz w:val="28"/>
          <w:lang w:val="en-US"/>
        </w:rPr>
        <w:t>Pancreaticoduodenectomy. A</w:t>
      </w:r>
      <w:r>
        <w:rPr>
          <w:spacing w:val="-5"/>
          <w:sz w:val="28"/>
          <w:lang w:val="en-US"/>
        </w:rPr>
        <w:t xml:space="preserve"> </w:t>
      </w:r>
      <w:r>
        <w:rPr>
          <w:sz w:val="28"/>
          <w:lang w:val="en-US"/>
        </w:rPr>
        <w:t>Comprehensive Systematic Review, Meta-Analysis, and</w:t>
      </w:r>
      <w:r>
        <w:rPr>
          <w:spacing w:val="-1"/>
          <w:sz w:val="28"/>
          <w:lang w:val="en-US"/>
        </w:rPr>
        <w:t xml:space="preserve"> </w:t>
      </w:r>
      <w:r>
        <w:rPr>
          <w:sz w:val="28"/>
          <w:lang w:val="en-US"/>
        </w:rPr>
        <w:t>Meta-Regression.</w:t>
      </w:r>
      <w:r>
        <w:rPr>
          <w:spacing w:val="-1"/>
          <w:sz w:val="28"/>
          <w:lang w:val="en-US"/>
        </w:rPr>
        <w:t xml:space="preserve"> </w:t>
      </w:r>
      <w:r>
        <w:rPr>
          <w:sz w:val="28"/>
          <w:lang w:val="en-US"/>
        </w:rPr>
        <w:t>World</w:t>
      </w:r>
      <w:r>
        <w:rPr>
          <w:spacing w:val="-1"/>
          <w:sz w:val="28"/>
          <w:lang w:val="en-US"/>
        </w:rPr>
        <w:t xml:space="preserve"> </w:t>
      </w:r>
      <w:r>
        <w:rPr>
          <w:sz w:val="28"/>
          <w:lang w:val="en-US"/>
        </w:rPr>
        <w:t>J Surg.-2021.- № 45</w:t>
      </w:r>
      <w:r>
        <w:rPr>
          <w:sz w:val="28"/>
        </w:rPr>
        <w:t>.-Р.</w:t>
      </w:r>
      <w:r>
        <w:rPr>
          <w:sz w:val="28"/>
          <w:lang w:val="en-US"/>
        </w:rPr>
        <w:t>1929–1939.</w:t>
      </w:r>
    </w:p>
    <w:p w14:paraId="0F50C449">
      <w:pPr>
        <w:pStyle w:val="10"/>
        <w:numPr>
          <w:ilvl w:val="0"/>
          <w:numId w:val="29"/>
        </w:numPr>
        <w:ind w:left="0" w:right="3" w:firstLine="706"/>
        <w:rPr>
          <w:sz w:val="28"/>
          <w:lang w:val="en-US"/>
        </w:rPr>
      </w:pPr>
      <w:r>
        <w:rPr>
          <w:sz w:val="28"/>
          <w:lang w:val="en-US"/>
        </w:rPr>
        <w:t>Jang J.Y. et al. Randomized multicentre trial comparing external and internal pancreatic stenting during pancreatoduodenectomy // British Journal of Surgery. - 2016. - Vol. 103. - P. 668–675.</w:t>
      </w:r>
    </w:p>
    <w:p w14:paraId="2886E3E9">
      <w:pPr>
        <w:pStyle w:val="10"/>
        <w:numPr>
          <w:ilvl w:val="0"/>
          <w:numId w:val="29"/>
        </w:numPr>
        <w:ind w:left="0" w:right="3" w:firstLine="706"/>
        <w:rPr>
          <w:sz w:val="28"/>
        </w:rPr>
      </w:pPr>
      <w:r>
        <w:rPr>
          <w:sz w:val="28"/>
          <w:lang w:val="en-US"/>
        </w:rPr>
        <w:t>Guo C. et al. Does pancreatic duct stent placement lead to decreased postoperative</w:t>
      </w:r>
      <w:r>
        <w:rPr>
          <w:spacing w:val="-16"/>
          <w:sz w:val="28"/>
          <w:lang w:val="en-US"/>
        </w:rPr>
        <w:t xml:space="preserve"> </w:t>
      </w:r>
      <w:r>
        <w:rPr>
          <w:sz w:val="28"/>
          <w:lang w:val="en-US"/>
        </w:rPr>
        <w:t>pancreatic</w:t>
      </w:r>
      <w:r>
        <w:rPr>
          <w:spacing w:val="-13"/>
          <w:sz w:val="28"/>
          <w:lang w:val="en-US"/>
        </w:rPr>
        <w:t xml:space="preserve"> </w:t>
      </w:r>
      <w:r>
        <w:rPr>
          <w:sz w:val="28"/>
          <w:lang w:val="en-US"/>
        </w:rPr>
        <w:t>fistula</w:t>
      </w:r>
      <w:r>
        <w:rPr>
          <w:spacing w:val="-13"/>
          <w:sz w:val="28"/>
          <w:lang w:val="en-US"/>
        </w:rPr>
        <w:t xml:space="preserve"> </w:t>
      </w:r>
      <w:r>
        <w:rPr>
          <w:sz w:val="28"/>
          <w:lang w:val="en-US"/>
        </w:rPr>
        <w:t>rates</w:t>
      </w:r>
      <w:r>
        <w:rPr>
          <w:spacing w:val="-15"/>
          <w:sz w:val="28"/>
          <w:lang w:val="en-US"/>
        </w:rPr>
        <w:t xml:space="preserve"> </w:t>
      </w:r>
      <w:r>
        <w:rPr>
          <w:sz w:val="28"/>
          <w:lang w:val="en-US"/>
        </w:rPr>
        <w:t>after</w:t>
      </w:r>
      <w:r>
        <w:rPr>
          <w:spacing w:val="-18"/>
          <w:sz w:val="28"/>
          <w:lang w:val="en-US"/>
        </w:rPr>
        <w:t xml:space="preserve"> </w:t>
      </w:r>
      <w:r>
        <w:rPr>
          <w:sz w:val="28"/>
          <w:lang w:val="en-US"/>
        </w:rPr>
        <w:t>pancreaticoduodenectomy?</w:t>
      </w:r>
      <w:r>
        <w:rPr>
          <w:spacing w:val="-1"/>
          <w:sz w:val="28"/>
          <w:lang w:val="en-US"/>
        </w:rPr>
        <w:t xml:space="preserve"> </w:t>
      </w:r>
      <w:r>
        <w:rPr>
          <w:sz w:val="28"/>
        </w:rPr>
        <w:t>A</w:t>
      </w:r>
      <w:r>
        <w:rPr>
          <w:spacing w:val="-17"/>
          <w:sz w:val="28"/>
        </w:rPr>
        <w:t xml:space="preserve"> </w:t>
      </w:r>
      <w:r>
        <w:rPr>
          <w:sz w:val="28"/>
        </w:rPr>
        <w:t>meta-analysis</w:t>
      </w:r>
    </w:p>
    <w:p w14:paraId="59E22EBF">
      <w:pPr>
        <w:pStyle w:val="7"/>
        <w:spacing w:line="322" w:lineRule="exact"/>
        <w:ind w:left="0" w:right="3" w:firstLine="706"/>
        <w:rPr>
          <w:lang w:val="en-US"/>
        </w:rPr>
      </w:pPr>
      <w:r>
        <w:rPr>
          <w:lang w:val="en-US"/>
        </w:rPr>
        <w:t>//</w:t>
      </w:r>
      <w:r>
        <w:rPr>
          <w:spacing w:val="-4"/>
          <w:lang w:val="en-US"/>
        </w:rPr>
        <w:t xml:space="preserve"> </w:t>
      </w:r>
      <w:r>
        <w:rPr>
          <w:lang w:val="en-US"/>
        </w:rPr>
        <w:t>International</w:t>
      </w:r>
      <w:r>
        <w:rPr>
          <w:spacing w:val="-8"/>
          <w:lang w:val="en-US"/>
        </w:rPr>
        <w:t xml:space="preserve"> </w:t>
      </w:r>
      <w:r>
        <w:rPr>
          <w:lang w:val="en-US"/>
        </w:rPr>
        <w:t>Journal</w:t>
      </w:r>
      <w:r>
        <w:rPr>
          <w:spacing w:val="-8"/>
          <w:lang w:val="en-US"/>
        </w:rPr>
        <w:t xml:space="preserve"> </w:t>
      </w:r>
      <w:r>
        <w:rPr>
          <w:lang w:val="en-US"/>
        </w:rPr>
        <w:t>of</w:t>
      </w:r>
      <w:r>
        <w:rPr>
          <w:spacing w:val="-9"/>
          <w:lang w:val="en-US"/>
        </w:rPr>
        <w:t xml:space="preserve"> </w:t>
      </w:r>
      <w:r>
        <w:rPr>
          <w:lang w:val="en-US"/>
        </w:rPr>
        <w:t>Surgery.</w:t>
      </w:r>
      <w:r>
        <w:rPr>
          <w:spacing w:val="-1"/>
          <w:lang w:val="en-US"/>
        </w:rPr>
        <w:t xml:space="preserve"> </w:t>
      </w:r>
      <w:r>
        <w:rPr>
          <w:lang w:val="en-US"/>
        </w:rPr>
        <w:t>-</w:t>
      </w:r>
      <w:r>
        <w:rPr>
          <w:spacing w:val="-3"/>
          <w:lang w:val="en-US"/>
        </w:rPr>
        <w:t xml:space="preserve"> </w:t>
      </w:r>
      <w:r>
        <w:rPr>
          <w:lang w:val="en-US"/>
        </w:rPr>
        <w:t>2022. -</w:t>
      </w:r>
      <w:r>
        <w:rPr>
          <w:spacing w:val="-3"/>
          <w:lang w:val="en-US"/>
        </w:rPr>
        <w:t xml:space="preserve"> </w:t>
      </w:r>
      <w:r>
        <w:rPr>
          <w:lang w:val="en-US"/>
        </w:rPr>
        <w:t>Vol.</w:t>
      </w:r>
      <w:r>
        <w:rPr>
          <w:spacing w:val="-1"/>
          <w:lang w:val="en-US"/>
        </w:rPr>
        <w:t xml:space="preserve"> </w:t>
      </w:r>
      <w:r>
        <w:rPr>
          <w:lang w:val="en-US"/>
        </w:rPr>
        <w:t>103.</w:t>
      </w:r>
      <w:r>
        <w:rPr>
          <w:spacing w:val="1"/>
          <w:lang w:val="en-US"/>
        </w:rPr>
        <w:t xml:space="preserve"> </w:t>
      </w:r>
      <w:r>
        <w:rPr>
          <w:lang w:val="en-US"/>
        </w:rPr>
        <w:t>-</w:t>
      </w:r>
      <w:r>
        <w:rPr>
          <w:spacing w:val="-3"/>
          <w:lang w:val="en-US"/>
        </w:rPr>
        <w:t xml:space="preserve"> </w:t>
      </w:r>
      <w:r>
        <w:rPr>
          <w:spacing w:val="-3"/>
        </w:rPr>
        <w:t>Р</w:t>
      </w:r>
      <w:r>
        <w:rPr>
          <w:spacing w:val="-3"/>
          <w:lang w:val="en-US"/>
        </w:rPr>
        <w:t>.</w:t>
      </w:r>
      <w:r>
        <w:rPr>
          <w:spacing w:val="-2"/>
          <w:lang w:val="en-US"/>
        </w:rPr>
        <w:t>106-707.</w:t>
      </w:r>
    </w:p>
    <w:p w14:paraId="55282BB4">
      <w:pPr>
        <w:pStyle w:val="10"/>
        <w:numPr>
          <w:ilvl w:val="0"/>
          <w:numId w:val="29"/>
        </w:numPr>
        <w:ind w:left="0" w:right="3" w:firstLine="706"/>
        <w:rPr>
          <w:sz w:val="28"/>
          <w:lang w:val="en-US"/>
        </w:rPr>
      </w:pPr>
      <w:r>
        <w:rPr>
          <w:sz w:val="28"/>
          <w:lang w:val="en-US"/>
        </w:rPr>
        <w:t>Kato T. et al. Preoperative risk-stratified analysis: External versus internal</w:t>
      </w:r>
      <w:r>
        <w:rPr>
          <w:spacing w:val="-10"/>
          <w:sz w:val="28"/>
          <w:lang w:val="en-US"/>
        </w:rPr>
        <w:t xml:space="preserve"> </w:t>
      </w:r>
      <w:r>
        <w:rPr>
          <w:sz w:val="28"/>
          <w:lang w:val="en-US"/>
        </w:rPr>
        <w:t>pancreatic</w:t>
      </w:r>
      <w:r>
        <w:rPr>
          <w:spacing w:val="-4"/>
          <w:sz w:val="28"/>
          <w:lang w:val="en-US"/>
        </w:rPr>
        <w:t xml:space="preserve"> </w:t>
      </w:r>
      <w:r>
        <w:rPr>
          <w:sz w:val="28"/>
          <w:lang w:val="en-US"/>
        </w:rPr>
        <w:t>stents</w:t>
      </w:r>
      <w:r>
        <w:rPr>
          <w:spacing w:val="-3"/>
          <w:sz w:val="28"/>
          <w:lang w:val="en-US"/>
        </w:rPr>
        <w:t xml:space="preserve"> </w:t>
      </w:r>
      <w:r>
        <w:rPr>
          <w:sz w:val="28"/>
          <w:lang w:val="en-US"/>
        </w:rPr>
        <w:t>in</w:t>
      </w:r>
      <w:r>
        <w:rPr>
          <w:spacing w:val="-10"/>
          <w:sz w:val="28"/>
          <w:lang w:val="en-US"/>
        </w:rPr>
        <w:t xml:space="preserve"> </w:t>
      </w:r>
      <w:r>
        <w:rPr>
          <w:sz w:val="28"/>
          <w:lang w:val="en-US"/>
        </w:rPr>
        <w:t>pancreatoduodenectomy</w:t>
      </w:r>
      <w:r>
        <w:rPr>
          <w:spacing w:val="-9"/>
          <w:sz w:val="28"/>
          <w:lang w:val="en-US"/>
        </w:rPr>
        <w:t xml:space="preserve"> </w:t>
      </w:r>
      <w:r>
        <w:rPr>
          <w:sz w:val="28"/>
          <w:lang w:val="en-US"/>
        </w:rPr>
        <w:t>// Surgery.</w:t>
      </w:r>
      <w:r>
        <w:rPr>
          <w:spacing w:val="-2"/>
          <w:sz w:val="28"/>
          <w:lang w:val="en-US"/>
        </w:rPr>
        <w:t xml:space="preserve"> </w:t>
      </w:r>
      <w:r>
        <w:rPr>
          <w:sz w:val="28"/>
          <w:lang w:val="en-US"/>
        </w:rPr>
        <w:t>-</w:t>
      </w:r>
      <w:r>
        <w:rPr>
          <w:spacing w:val="-4"/>
          <w:sz w:val="28"/>
          <w:lang w:val="en-US"/>
        </w:rPr>
        <w:t xml:space="preserve"> </w:t>
      </w:r>
      <w:r>
        <w:rPr>
          <w:sz w:val="28"/>
          <w:lang w:val="en-US"/>
        </w:rPr>
        <w:t>2025.</w:t>
      </w:r>
      <w:r>
        <w:rPr>
          <w:spacing w:val="-2"/>
          <w:sz w:val="28"/>
          <w:lang w:val="en-US"/>
        </w:rPr>
        <w:t xml:space="preserve"> </w:t>
      </w:r>
      <w:r>
        <w:rPr>
          <w:sz w:val="28"/>
          <w:lang w:val="en-US"/>
        </w:rPr>
        <w:t>-</w:t>
      </w:r>
      <w:r>
        <w:rPr>
          <w:spacing w:val="-4"/>
          <w:sz w:val="28"/>
          <w:lang w:val="en-US"/>
        </w:rPr>
        <w:t xml:space="preserve"> </w:t>
      </w:r>
      <w:r>
        <w:rPr>
          <w:sz w:val="28"/>
          <w:lang w:val="en-US"/>
        </w:rPr>
        <w:t>Vol.</w:t>
      </w:r>
      <w:r>
        <w:rPr>
          <w:spacing w:val="-2"/>
          <w:sz w:val="28"/>
          <w:lang w:val="en-US"/>
        </w:rPr>
        <w:t xml:space="preserve"> </w:t>
      </w:r>
      <w:r>
        <w:rPr>
          <w:sz w:val="28"/>
          <w:lang w:val="en-US"/>
        </w:rPr>
        <w:t>178.</w:t>
      </w:r>
    </w:p>
    <w:p w14:paraId="01217BD3">
      <w:pPr>
        <w:pStyle w:val="7"/>
        <w:spacing w:line="322" w:lineRule="exact"/>
        <w:ind w:left="0" w:right="3" w:firstLine="0"/>
      </w:pPr>
      <w:r>
        <w:t>-</w:t>
      </w:r>
      <w:r>
        <w:rPr>
          <w:spacing w:val="-1"/>
        </w:rPr>
        <w:t xml:space="preserve"> Р.</w:t>
      </w:r>
      <w:r>
        <w:rPr>
          <w:spacing w:val="-2"/>
        </w:rPr>
        <w:t>108-845.</w:t>
      </w:r>
    </w:p>
    <w:p w14:paraId="7C98028C">
      <w:pPr>
        <w:pStyle w:val="10"/>
        <w:numPr>
          <w:ilvl w:val="0"/>
          <w:numId w:val="29"/>
        </w:numPr>
        <w:ind w:left="0" w:right="3" w:firstLine="706"/>
        <w:rPr>
          <w:sz w:val="28"/>
        </w:rPr>
      </w:pPr>
      <w:r>
        <w:rPr>
          <w:sz w:val="28"/>
          <w:lang w:val="en-US"/>
        </w:rPr>
        <w:t xml:space="preserve">Symeonidis D. et al. Stent A pancreaticojejunostomy after </w:t>
      </w:r>
      <w:r>
        <w:rPr>
          <w:spacing w:val="-2"/>
          <w:sz w:val="28"/>
          <w:lang w:val="en-US"/>
        </w:rPr>
        <w:t>pancreatoduodenectomy:</w:t>
      </w:r>
      <w:r>
        <w:rPr>
          <w:spacing w:val="-10"/>
          <w:sz w:val="28"/>
          <w:lang w:val="en-US"/>
        </w:rPr>
        <w:t xml:space="preserve"> </w:t>
      </w:r>
      <w:r>
        <w:rPr>
          <w:spacing w:val="-2"/>
          <w:sz w:val="28"/>
          <w:lang w:val="en-US"/>
        </w:rPr>
        <w:t>Is</w:t>
      </w:r>
      <w:r>
        <w:rPr>
          <w:spacing w:val="-7"/>
          <w:sz w:val="28"/>
          <w:lang w:val="en-US"/>
        </w:rPr>
        <w:t xml:space="preserve"> </w:t>
      </w:r>
      <w:r>
        <w:rPr>
          <w:spacing w:val="-2"/>
          <w:sz w:val="28"/>
          <w:lang w:val="en-US"/>
        </w:rPr>
        <w:t>it</w:t>
      </w:r>
      <w:r>
        <w:rPr>
          <w:spacing w:val="-9"/>
          <w:sz w:val="28"/>
          <w:lang w:val="en-US"/>
        </w:rPr>
        <w:t xml:space="preserve"> </w:t>
      </w:r>
      <w:r>
        <w:rPr>
          <w:spacing w:val="-2"/>
          <w:sz w:val="28"/>
          <w:lang w:val="en-US"/>
        </w:rPr>
        <w:t>always</w:t>
      </w:r>
      <w:r>
        <w:rPr>
          <w:spacing w:val="-7"/>
          <w:sz w:val="28"/>
          <w:lang w:val="en-US"/>
        </w:rPr>
        <w:t xml:space="preserve"> </w:t>
      </w:r>
      <w:r>
        <w:rPr>
          <w:spacing w:val="-2"/>
          <w:sz w:val="28"/>
          <w:lang w:val="en-US"/>
        </w:rPr>
        <w:t>necessary?</w:t>
      </w:r>
      <w:r>
        <w:rPr>
          <w:spacing w:val="-12"/>
          <w:sz w:val="28"/>
          <w:lang w:val="en-US"/>
        </w:rPr>
        <w:t xml:space="preserve"> </w:t>
      </w:r>
      <w:r>
        <w:rPr>
          <w:spacing w:val="-2"/>
          <w:sz w:val="28"/>
          <w:lang w:val="en-US"/>
        </w:rPr>
        <w:t>World</w:t>
      </w:r>
      <w:r>
        <w:rPr>
          <w:spacing w:val="-9"/>
          <w:sz w:val="28"/>
          <w:lang w:val="en-US"/>
        </w:rPr>
        <w:t xml:space="preserve"> </w:t>
      </w:r>
      <w:r>
        <w:rPr>
          <w:spacing w:val="-2"/>
          <w:sz w:val="28"/>
          <w:lang w:val="en-US"/>
        </w:rPr>
        <w:t>J</w:t>
      </w:r>
      <w:r>
        <w:rPr>
          <w:spacing w:val="-7"/>
          <w:sz w:val="28"/>
          <w:lang w:val="en-US"/>
        </w:rPr>
        <w:t xml:space="preserve"> </w:t>
      </w:r>
      <w:r>
        <w:rPr>
          <w:spacing w:val="-2"/>
          <w:sz w:val="28"/>
          <w:lang w:val="en-US"/>
        </w:rPr>
        <w:t>Methodol.-</w:t>
      </w:r>
      <w:r>
        <w:rPr>
          <w:spacing w:val="-15"/>
          <w:sz w:val="28"/>
          <w:lang w:val="en-US"/>
        </w:rPr>
        <w:t xml:space="preserve"> </w:t>
      </w:r>
      <w:r>
        <w:rPr>
          <w:spacing w:val="-2"/>
          <w:sz w:val="28"/>
        </w:rPr>
        <w:t>2024.- №</w:t>
      </w:r>
      <w:r>
        <w:rPr>
          <w:spacing w:val="-9"/>
          <w:sz w:val="28"/>
        </w:rPr>
        <w:t xml:space="preserve"> </w:t>
      </w:r>
      <w:r>
        <w:rPr>
          <w:spacing w:val="-2"/>
          <w:sz w:val="28"/>
        </w:rPr>
        <w:t>14(3).-Р.90-164</w:t>
      </w:r>
    </w:p>
    <w:p w14:paraId="6EA6BE34">
      <w:pPr>
        <w:pStyle w:val="10"/>
        <w:numPr>
          <w:ilvl w:val="0"/>
          <w:numId w:val="29"/>
        </w:numPr>
        <w:ind w:left="0" w:right="3" w:firstLine="709"/>
        <w:rPr>
          <w:sz w:val="28"/>
          <w:lang w:val="en-US"/>
        </w:rPr>
      </w:pPr>
      <w:r>
        <w:rPr>
          <w:sz w:val="28"/>
          <w:lang w:val="en-US"/>
        </w:rPr>
        <w:t>Trudeau M. T. et al. Pancreas Fistula Study Group. The Influence of Intraoperative</w:t>
      </w:r>
      <w:r>
        <w:rPr>
          <w:spacing w:val="-18"/>
          <w:sz w:val="28"/>
          <w:lang w:val="en-US"/>
        </w:rPr>
        <w:t xml:space="preserve"> </w:t>
      </w:r>
      <w:r>
        <w:rPr>
          <w:sz w:val="28"/>
          <w:lang w:val="en-US"/>
        </w:rPr>
        <w:t>Blood</w:t>
      </w:r>
      <w:r>
        <w:rPr>
          <w:spacing w:val="-17"/>
          <w:sz w:val="28"/>
          <w:lang w:val="en-US"/>
        </w:rPr>
        <w:t xml:space="preserve"> </w:t>
      </w:r>
      <w:r>
        <w:rPr>
          <w:sz w:val="28"/>
          <w:lang w:val="en-US"/>
        </w:rPr>
        <w:t>Loss</w:t>
      </w:r>
      <w:r>
        <w:rPr>
          <w:spacing w:val="-18"/>
          <w:sz w:val="28"/>
          <w:lang w:val="en-US"/>
        </w:rPr>
        <w:t xml:space="preserve"> </w:t>
      </w:r>
      <w:r>
        <w:rPr>
          <w:sz w:val="28"/>
          <w:lang w:val="en-US"/>
        </w:rPr>
        <w:t>on</w:t>
      </w:r>
      <w:r>
        <w:rPr>
          <w:spacing w:val="-17"/>
          <w:sz w:val="28"/>
          <w:lang w:val="en-US"/>
        </w:rPr>
        <w:t xml:space="preserve"> </w:t>
      </w:r>
      <w:r>
        <w:rPr>
          <w:sz w:val="28"/>
          <w:lang w:val="en-US"/>
        </w:rPr>
        <w:t>Fistula</w:t>
      </w:r>
      <w:r>
        <w:rPr>
          <w:spacing w:val="-18"/>
          <w:sz w:val="28"/>
          <w:lang w:val="en-US"/>
        </w:rPr>
        <w:t xml:space="preserve"> </w:t>
      </w:r>
      <w:r>
        <w:rPr>
          <w:sz w:val="28"/>
          <w:lang w:val="en-US"/>
        </w:rPr>
        <w:t>Development</w:t>
      </w:r>
      <w:r>
        <w:rPr>
          <w:spacing w:val="-17"/>
          <w:sz w:val="28"/>
          <w:lang w:val="en-US"/>
        </w:rPr>
        <w:t xml:space="preserve"> </w:t>
      </w:r>
      <w:r>
        <w:rPr>
          <w:sz w:val="28"/>
          <w:lang w:val="en-US"/>
        </w:rPr>
        <w:t>Following</w:t>
      </w:r>
      <w:r>
        <w:rPr>
          <w:spacing w:val="-18"/>
          <w:sz w:val="28"/>
          <w:lang w:val="en-US"/>
        </w:rPr>
        <w:t xml:space="preserve"> </w:t>
      </w:r>
      <w:r>
        <w:rPr>
          <w:sz w:val="28"/>
          <w:lang w:val="en-US"/>
        </w:rPr>
        <w:t xml:space="preserve">Pancreatoduodenectomy </w:t>
      </w:r>
      <w:r>
        <w:rPr>
          <w:lang w:val="en-US"/>
        </w:rPr>
        <w:t>//</w:t>
      </w:r>
      <w:r>
        <w:rPr>
          <w:spacing w:val="-4"/>
          <w:lang w:val="en-US"/>
        </w:rPr>
        <w:t xml:space="preserve"> </w:t>
      </w:r>
      <w:r>
        <w:rPr>
          <w:sz w:val="28"/>
          <w:lang w:val="en-US"/>
        </w:rPr>
        <w:t>Annals of Surgery. - 2022. - Vol. 276, № 5. - P. 527–535</w:t>
      </w:r>
      <w:r>
        <w:rPr>
          <w:spacing w:val="-2"/>
          <w:lang w:val="en-US"/>
        </w:rPr>
        <w:t>.</w:t>
      </w:r>
    </w:p>
    <w:p w14:paraId="0DDBB453">
      <w:pPr>
        <w:pStyle w:val="10"/>
        <w:numPr>
          <w:ilvl w:val="0"/>
          <w:numId w:val="29"/>
        </w:numPr>
        <w:tabs>
          <w:tab w:val="left" w:pos="1418"/>
        </w:tabs>
        <w:ind w:left="0" w:right="3" w:firstLine="709"/>
        <w:rPr>
          <w:sz w:val="28"/>
          <w:lang w:val="en-US"/>
        </w:rPr>
      </w:pPr>
      <w:r>
        <w:rPr>
          <w:sz w:val="28"/>
          <w:lang w:val="en-US"/>
        </w:rPr>
        <w:t xml:space="preserve">Sherpa P. et al. Advancements in postoperative pancreatic fistula: a comprehensive review of predictive factors, therapies, scoring systems and ongoing trials // eGastroenterology. - 2025. - Vol. 3. - </w:t>
      </w:r>
      <w:r>
        <w:rPr>
          <w:sz w:val="28"/>
        </w:rPr>
        <w:t>Р</w:t>
      </w:r>
      <w:r>
        <w:rPr>
          <w:sz w:val="28"/>
          <w:lang w:val="en-US"/>
        </w:rPr>
        <w:t>.100-232.</w:t>
      </w:r>
    </w:p>
    <w:p w14:paraId="40A18920">
      <w:pPr>
        <w:pStyle w:val="10"/>
        <w:numPr>
          <w:ilvl w:val="0"/>
          <w:numId w:val="29"/>
        </w:numPr>
        <w:tabs>
          <w:tab w:val="left" w:pos="1560"/>
        </w:tabs>
        <w:ind w:left="0" w:right="3" w:firstLine="709"/>
        <w:rPr>
          <w:sz w:val="28"/>
          <w:lang w:val="en-US"/>
        </w:rPr>
      </w:pPr>
      <w:r>
        <w:fldChar w:fldCharType="begin"/>
      </w:r>
      <w:r>
        <w:instrText xml:space="preserve"> HYPERLINK "https://pubmed.ncbi.nlm.nih.gov/?term=Casciani%2BF&amp;cauthor_id=33931208" \h </w:instrText>
      </w:r>
      <w:r>
        <w:fldChar w:fldCharType="separate"/>
      </w:r>
      <w:r>
        <w:rPr>
          <w:sz w:val="28"/>
          <w:lang w:val="en-US"/>
        </w:rPr>
        <w:t>Fabio Casciani</w:t>
      </w:r>
      <w:r>
        <w:rPr>
          <w:sz w:val="28"/>
          <w:lang w:val="en-US"/>
        </w:rPr>
        <w:fldChar w:fldCharType="end"/>
      </w:r>
      <w:r>
        <w:rPr>
          <w:sz w:val="28"/>
          <w:lang w:val="en-US"/>
        </w:rPr>
        <w:t xml:space="preserve"> et al. The effect of high intraoperative blood loss on pancreatic</w:t>
      </w:r>
      <w:r>
        <w:rPr>
          <w:spacing w:val="-1"/>
          <w:sz w:val="28"/>
          <w:lang w:val="en-US"/>
        </w:rPr>
        <w:t xml:space="preserve"> </w:t>
      </w:r>
      <w:r>
        <w:rPr>
          <w:sz w:val="28"/>
          <w:lang w:val="en-US"/>
        </w:rPr>
        <w:t>fistula</w:t>
      </w:r>
      <w:r>
        <w:rPr>
          <w:spacing w:val="-1"/>
          <w:sz w:val="28"/>
          <w:lang w:val="en-US"/>
        </w:rPr>
        <w:t xml:space="preserve"> </w:t>
      </w:r>
      <w:r>
        <w:rPr>
          <w:sz w:val="28"/>
          <w:lang w:val="en-US"/>
        </w:rPr>
        <w:t>development</w:t>
      </w:r>
      <w:r>
        <w:rPr>
          <w:spacing w:val="-7"/>
          <w:sz w:val="28"/>
          <w:lang w:val="en-US"/>
        </w:rPr>
        <w:t xml:space="preserve"> </w:t>
      </w:r>
      <w:r>
        <w:rPr>
          <w:sz w:val="28"/>
          <w:lang w:val="en-US"/>
        </w:rPr>
        <w:t>after</w:t>
      </w:r>
      <w:r>
        <w:rPr>
          <w:spacing w:val="-3"/>
          <w:sz w:val="28"/>
          <w:lang w:val="en-US"/>
        </w:rPr>
        <w:t xml:space="preserve"> </w:t>
      </w:r>
      <w:r>
        <w:rPr>
          <w:sz w:val="28"/>
          <w:lang w:val="en-US"/>
        </w:rPr>
        <w:t>pancreatoduodenectomy:</w:t>
      </w:r>
      <w:r>
        <w:rPr>
          <w:spacing w:val="-3"/>
          <w:sz w:val="28"/>
          <w:lang w:val="en-US"/>
        </w:rPr>
        <w:t xml:space="preserve"> </w:t>
      </w:r>
      <w:r>
        <w:rPr>
          <w:sz w:val="28"/>
          <w:lang w:val="en-US"/>
        </w:rPr>
        <w:t>An</w:t>
      </w:r>
      <w:r>
        <w:rPr>
          <w:spacing w:val="-6"/>
          <w:sz w:val="28"/>
          <w:lang w:val="en-US"/>
        </w:rPr>
        <w:t xml:space="preserve"> </w:t>
      </w:r>
      <w:r>
        <w:rPr>
          <w:sz w:val="28"/>
          <w:lang w:val="en-US"/>
        </w:rPr>
        <w:t>international, multi- institutional propensity score matched analysis // Surgery. -2021.- №170(4).-</w:t>
      </w:r>
      <w:r>
        <w:rPr>
          <w:sz w:val="28"/>
        </w:rPr>
        <w:t>Р</w:t>
      </w:r>
      <w:r>
        <w:rPr>
          <w:sz w:val="28"/>
          <w:lang w:val="en-US"/>
        </w:rPr>
        <w:t xml:space="preserve">.1195- </w:t>
      </w:r>
      <w:r>
        <w:rPr>
          <w:spacing w:val="-2"/>
          <w:sz w:val="28"/>
          <w:lang w:val="en-US"/>
        </w:rPr>
        <w:t>1204.</w:t>
      </w:r>
    </w:p>
    <w:p w14:paraId="10167A94">
      <w:pPr>
        <w:pStyle w:val="10"/>
        <w:numPr>
          <w:ilvl w:val="0"/>
          <w:numId w:val="29"/>
        </w:numPr>
        <w:tabs>
          <w:tab w:val="left" w:pos="1418"/>
        </w:tabs>
        <w:ind w:left="0" w:right="3" w:firstLine="709"/>
        <w:rPr>
          <w:sz w:val="28"/>
          <w:lang w:val="en-US"/>
        </w:rPr>
      </w:pPr>
      <w:r>
        <w:rPr>
          <w:sz w:val="28"/>
          <w:lang w:val="en-US"/>
        </w:rPr>
        <w:t>Serra</w:t>
      </w:r>
      <w:r>
        <w:rPr>
          <w:spacing w:val="-5"/>
          <w:sz w:val="28"/>
          <w:lang w:val="en-US"/>
        </w:rPr>
        <w:t xml:space="preserve"> </w:t>
      </w:r>
      <w:r>
        <w:rPr>
          <w:sz w:val="28"/>
          <w:lang w:val="en-US"/>
        </w:rPr>
        <w:t>F.</w:t>
      </w:r>
      <w:r>
        <w:rPr>
          <w:spacing w:val="-8"/>
          <w:sz w:val="28"/>
          <w:lang w:val="en-US"/>
        </w:rPr>
        <w:t xml:space="preserve"> </w:t>
      </w:r>
      <w:r>
        <w:rPr>
          <w:sz w:val="28"/>
          <w:lang w:val="en-US"/>
        </w:rPr>
        <w:t>et</w:t>
      </w:r>
      <w:r>
        <w:rPr>
          <w:spacing w:val="-10"/>
          <w:sz w:val="28"/>
          <w:lang w:val="en-US"/>
        </w:rPr>
        <w:t xml:space="preserve"> </w:t>
      </w:r>
      <w:r>
        <w:rPr>
          <w:sz w:val="28"/>
          <w:lang w:val="en-US"/>
        </w:rPr>
        <w:t>al.</w:t>
      </w:r>
      <w:r>
        <w:rPr>
          <w:spacing w:val="-8"/>
          <w:sz w:val="28"/>
          <w:lang w:val="en-US"/>
        </w:rPr>
        <w:t xml:space="preserve"> </w:t>
      </w:r>
      <w:r>
        <w:rPr>
          <w:sz w:val="28"/>
          <w:lang w:val="en-US"/>
        </w:rPr>
        <w:t>The</w:t>
      </w:r>
      <w:r>
        <w:rPr>
          <w:spacing w:val="-5"/>
          <w:sz w:val="28"/>
          <w:lang w:val="en-US"/>
        </w:rPr>
        <w:t xml:space="preserve"> </w:t>
      </w:r>
      <w:r>
        <w:rPr>
          <w:sz w:val="28"/>
          <w:lang w:val="en-US"/>
        </w:rPr>
        <w:t>using</w:t>
      </w:r>
      <w:r>
        <w:rPr>
          <w:spacing w:val="-15"/>
          <w:sz w:val="28"/>
          <w:lang w:val="en-US"/>
        </w:rPr>
        <w:t xml:space="preserve"> </w:t>
      </w:r>
      <w:r>
        <w:rPr>
          <w:sz w:val="28"/>
          <w:lang w:val="en-US"/>
        </w:rPr>
        <w:t>of</w:t>
      </w:r>
      <w:r>
        <w:rPr>
          <w:spacing w:val="-16"/>
          <w:sz w:val="28"/>
          <w:lang w:val="en-US"/>
        </w:rPr>
        <w:t xml:space="preserve"> </w:t>
      </w:r>
      <w:r>
        <w:rPr>
          <w:sz w:val="28"/>
          <w:lang w:val="en-US"/>
        </w:rPr>
        <w:t>sealants</w:t>
      </w:r>
      <w:r>
        <w:rPr>
          <w:spacing w:val="-5"/>
          <w:sz w:val="28"/>
          <w:lang w:val="en-US"/>
        </w:rPr>
        <w:t xml:space="preserve"> </w:t>
      </w:r>
      <w:r>
        <w:rPr>
          <w:sz w:val="28"/>
          <w:lang w:val="en-US"/>
        </w:rPr>
        <w:t>in</w:t>
      </w:r>
      <w:r>
        <w:rPr>
          <w:spacing w:val="-15"/>
          <w:sz w:val="28"/>
          <w:lang w:val="en-US"/>
        </w:rPr>
        <w:t xml:space="preserve"> </w:t>
      </w:r>
      <w:r>
        <w:rPr>
          <w:sz w:val="28"/>
          <w:lang w:val="en-US"/>
        </w:rPr>
        <w:t>pancreatic</w:t>
      </w:r>
      <w:r>
        <w:rPr>
          <w:spacing w:val="-10"/>
          <w:sz w:val="28"/>
          <w:lang w:val="en-US"/>
        </w:rPr>
        <w:t xml:space="preserve"> </w:t>
      </w:r>
      <w:r>
        <w:rPr>
          <w:sz w:val="28"/>
          <w:lang w:val="en-US"/>
        </w:rPr>
        <w:t>surgery:</w:t>
      </w:r>
      <w:r>
        <w:rPr>
          <w:spacing w:val="-10"/>
          <w:sz w:val="28"/>
          <w:lang w:val="en-US"/>
        </w:rPr>
        <w:t xml:space="preserve"> </w:t>
      </w:r>
      <w:r>
        <w:rPr>
          <w:sz w:val="28"/>
          <w:lang w:val="en-US"/>
        </w:rPr>
        <w:t>A</w:t>
      </w:r>
      <w:r>
        <w:rPr>
          <w:spacing w:val="-14"/>
          <w:sz w:val="28"/>
          <w:lang w:val="en-US"/>
        </w:rPr>
        <w:t xml:space="preserve"> </w:t>
      </w:r>
      <w:r>
        <w:rPr>
          <w:sz w:val="28"/>
          <w:lang w:val="en-US"/>
        </w:rPr>
        <w:t xml:space="preserve">Systematic Review // Annals of Medicine and Surgery (Lond). - 2021. - Vol. 64. - </w:t>
      </w:r>
      <w:r>
        <w:rPr>
          <w:sz w:val="28"/>
        </w:rPr>
        <w:t>Р</w:t>
      </w:r>
      <w:r>
        <w:rPr>
          <w:sz w:val="28"/>
          <w:lang w:val="en-US"/>
        </w:rPr>
        <w:t>.102-244.</w:t>
      </w:r>
    </w:p>
    <w:p w14:paraId="49692D19">
      <w:pPr>
        <w:pStyle w:val="10"/>
        <w:numPr>
          <w:ilvl w:val="0"/>
          <w:numId w:val="29"/>
        </w:numPr>
        <w:tabs>
          <w:tab w:val="left" w:pos="1560"/>
        </w:tabs>
        <w:ind w:left="0" w:right="3" w:firstLine="709"/>
        <w:rPr>
          <w:sz w:val="28"/>
          <w:lang w:val="en-US"/>
        </w:rPr>
      </w:pPr>
      <w:r>
        <w:rPr>
          <w:sz w:val="28"/>
          <w:lang w:val="en-US"/>
        </w:rPr>
        <w:t>Lai M., et al. Fibrin sealants for the prevention of postoperative pancreatic fistula following pancreatic surgery // Cochrane Database of Systematic Reviews. - 2023. - №6(6).</w:t>
      </w:r>
    </w:p>
    <w:p w14:paraId="62F3EDCC">
      <w:pPr>
        <w:pStyle w:val="10"/>
        <w:numPr>
          <w:ilvl w:val="0"/>
          <w:numId w:val="29"/>
        </w:numPr>
        <w:ind w:left="0" w:right="3" w:firstLine="709"/>
        <w:rPr>
          <w:sz w:val="28"/>
        </w:rPr>
      </w:pPr>
      <w:r>
        <w:rPr>
          <w:sz w:val="28"/>
          <w:lang w:val="en-US"/>
        </w:rPr>
        <w:t>Dai</w:t>
      </w:r>
      <w:r>
        <w:rPr>
          <w:spacing w:val="-9"/>
          <w:sz w:val="28"/>
          <w:lang w:val="en-US"/>
        </w:rPr>
        <w:t xml:space="preserve"> </w:t>
      </w:r>
      <w:r>
        <w:rPr>
          <w:sz w:val="28"/>
          <w:lang w:val="en-US"/>
        </w:rPr>
        <w:t>Menghua. et</w:t>
      </w:r>
      <w:r>
        <w:rPr>
          <w:spacing w:val="-4"/>
          <w:sz w:val="28"/>
          <w:lang w:val="en-US"/>
        </w:rPr>
        <w:t xml:space="preserve"> </w:t>
      </w:r>
      <w:r>
        <w:rPr>
          <w:sz w:val="28"/>
          <w:lang w:val="en-US"/>
        </w:rPr>
        <w:t>al. Early</w:t>
      </w:r>
      <w:r>
        <w:rPr>
          <w:spacing w:val="-9"/>
          <w:sz w:val="28"/>
          <w:lang w:val="en-US"/>
        </w:rPr>
        <w:t xml:space="preserve"> </w:t>
      </w:r>
      <w:r>
        <w:rPr>
          <w:sz w:val="28"/>
          <w:lang w:val="en-US"/>
        </w:rPr>
        <w:t>Drain</w:t>
      </w:r>
      <w:r>
        <w:rPr>
          <w:spacing w:val="-9"/>
          <w:sz w:val="28"/>
          <w:lang w:val="en-US"/>
        </w:rPr>
        <w:t xml:space="preserve"> </w:t>
      </w:r>
      <w:r>
        <w:rPr>
          <w:sz w:val="28"/>
          <w:lang w:val="en-US"/>
        </w:rPr>
        <w:t>Removal</w:t>
      </w:r>
      <w:r>
        <w:rPr>
          <w:spacing w:val="-9"/>
          <w:sz w:val="28"/>
          <w:lang w:val="en-US"/>
        </w:rPr>
        <w:t xml:space="preserve"> </w:t>
      </w:r>
      <w:r>
        <w:rPr>
          <w:sz w:val="28"/>
          <w:lang w:val="en-US"/>
        </w:rPr>
        <w:t>is</w:t>
      </w:r>
      <w:r>
        <w:rPr>
          <w:spacing w:val="-3"/>
          <w:sz w:val="28"/>
          <w:lang w:val="en-US"/>
        </w:rPr>
        <w:t xml:space="preserve"> </w:t>
      </w:r>
      <w:r>
        <w:rPr>
          <w:sz w:val="28"/>
          <w:lang w:val="en-US"/>
        </w:rPr>
        <w:t>Safe</w:t>
      </w:r>
      <w:r>
        <w:rPr>
          <w:spacing w:val="-3"/>
          <w:sz w:val="28"/>
          <w:lang w:val="en-US"/>
        </w:rPr>
        <w:t xml:space="preserve"> </w:t>
      </w:r>
      <w:r>
        <w:rPr>
          <w:sz w:val="28"/>
          <w:lang w:val="en-US"/>
        </w:rPr>
        <w:t>in</w:t>
      </w:r>
      <w:r>
        <w:rPr>
          <w:spacing w:val="-9"/>
          <w:sz w:val="28"/>
          <w:lang w:val="en-US"/>
        </w:rPr>
        <w:t xml:space="preserve"> </w:t>
      </w:r>
      <w:r>
        <w:rPr>
          <w:sz w:val="28"/>
          <w:lang w:val="en-US"/>
        </w:rPr>
        <w:t>Patients</w:t>
      </w:r>
      <w:r>
        <w:rPr>
          <w:spacing w:val="-3"/>
          <w:sz w:val="28"/>
          <w:lang w:val="en-US"/>
        </w:rPr>
        <w:t xml:space="preserve"> </w:t>
      </w:r>
      <w:r>
        <w:rPr>
          <w:sz w:val="28"/>
          <w:lang w:val="en-US"/>
        </w:rPr>
        <w:t>With</w:t>
      </w:r>
      <w:r>
        <w:rPr>
          <w:spacing w:val="-8"/>
          <w:sz w:val="28"/>
          <w:lang w:val="en-US"/>
        </w:rPr>
        <w:t xml:space="preserve"> </w:t>
      </w:r>
      <w:r>
        <w:rPr>
          <w:sz w:val="28"/>
          <w:lang w:val="en-US"/>
        </w:rPr>
        <w:t>Low or Intermediate Risk of Pancreatic Fistula After Pancreaticoduodenectomy: A Multicenter, Randomized Controlled Trial. Annals of Surgery .-2022.- №275(2).-</w:t>
      </w:r>
      <w:r>
        <w:rPr>
          <w:sz w:val="28"/>
        </w:rPr>
        <w:t>Р</w:t>
      </w:r>
      <w:r>
        <w:rPr>
          <w:sz w:val="28"/>
          <w:lang w:val="en-US"/>
        </w:rPr>
        <w:t xml:space="preserve">. </w:t>
      </w:r>
      <w:r>
        <w:rPr>
          <w:sz w:val="28"/>
        </w:rPr>
        <w:t>307-314.</w:t>
      </w:r>
    </w:p>
    <w:p w14:paraId="42F6A385">
      <w:pPr>
        <w:pStyle w:val="10"/>
        <w:numPr>
          <w:ilvl w:val="0"/>
          <w:numId w:val="29"/>
        </w:numPr>
        <w:tabs>
          <w:tab w:val="left" w:pos="1418"/>
        </w:tabs>
        <w:ind w:left="0" w:right="3" w:firstLine="709"/>
        <w:rPr>
          <w:sz w:val="28"/>
          <w:lang w:val="en-US"/>
        </w:rPr>
      </w:pPr>
      <w:r>
        <w:rPr>
          <w:sz w:val="28"/>
          <w:lang w:val="en-US"/>
        </w:rPr>
        <w:t>Villafane-Ferriol N. et al. Evidence Versus Practice in Early Drain Removal After Pancreatectomy. J Surg Res. -2019.- №236.-</w:t>
      </w:r>
      <w:r>
        <w:rPr>
          <w:sz w:val="28"/>
        </w:rPr>
        <w:t>Р</w:t>
      </w:r>
      <w:r>
        <w:rPr>
          <w:sz w:val="28"/>
          <w:lang w:val="en-US"/>
        </w:rPr>
        <w:t>.332-339.</w:t>
      </w:r>
    </w:p>
    <w:p w14:paraId="0AEBFB30">
      <w:pPr>
        <w:pStyle w:val="10"/>
        <w:numPr>
          <w:ilvl w:val="0"/>
          <w:numId w:val="29"/>
        </w:numPr>
        <w:tabs>
          <w:tab w:val="left" w:pos="1560"/>
          <w:tab w:val="left" w:pos="1839"/>
        </w:tabs>
        <w:spacing w:line="242" w:lineRule="auto"/>
        <w:ind w:left="0" w:right="3" w:firstLine="706"/>
        <w:rPr>
          <w:sz w:val="28"/>
          <w:lang w:val="en-US"/>
        </w:rPr>
      </w:pPr>
      <w:r>
        <w:rPr>
          <w:sz w:val="28"/>
          <w:lang w:val="en-US"/>
        </w:rPr>
        <w:t>Boukje T. Bootsma et al. Somatostatin</w:t>
      </w:r>
      <w:r>
        <w:rPr>
          <w:spacing w:val="-5"/>
          <w:sz w:val="28"/>
          <w:lang w:val="en-US"/>
        </w:rPr>
        <w:t xml:space="preserve"> </w:t>
      </w:r>
      <w:r>
        <w:rPr>
          <w:sz w:val="28"/>
          <w:lang w:val="en-US"/>
        </w:rPr>
        <w:t>analogues for</w:t>
      </w:r>
      <w:r>
        <w:rPr>
          <w:spacing w:val="-1"/>
          <w:sz w:val="28"/>
          <w:lang w:val="en-US"/>
        </w:rPr>
        <w:t xml:space="preserve"> </w:t>
      </w:r>
      <w:r>
        <w:rPr>
          <w:sz w:val="28"/>
          <w:lang w:val="en-US"/>
        </w:rPr>
        <w:t>the prevention</w:t>
      </w:r>
      <w:r>
        <w:rPr>
          <w:spacing w:val="-5"/>
          <w:sz w:val="28"/>
          <w:lang w:val="en-US"/>
        </w:rPr>
        <w:t xml:space="preserve"> </w:t>
      </w:r>
      <w:r>
        <w:rPr>
          <w:sz w:val="28"/>
          <w:lang w:val="en-US"/>
        </w:rPr>
        <w:t>of pancreatic fistula after open pancreatoduodenectomy: A nationwide analysis. Pancreatology .-2022.- №22 .-</w:t>
      </w:r>
      <w:r>
        <w:rPr>
          <w:sz w:val="28"/>
        </w:rPr>
        <w:t>Р</w:t>
      </w:r>
      <w:r>
        <w:rPr>
          <w:sz w:val="28"/>
          <w:lang w:val="en-US"/>
        </w:rPr>
        <w:t>.421-426</w:t>
      </w:r>
    </w:p>
    <w:p w14:paraId="1A101A0F">
      <w:pPr>
        <w:pStyle w:val="10"/>
        <w:numPr>
          <w:ilvl w:val="0"/>
          <w:numId w:val="29"/>
        </w:numPr>
        <w:tabs>
          <w:tab w:val="left" w:pos="1276"/>
        </w:tabs>
        <w:spacing w:before="67"/>
        <w:ind w:left="0" w:right="3" w:firstLine="709"/>
        <w:rPr>
          <w:sz w:val="28"/>
          <w:lang w:val="en-US"/>
        </w:rPr>
      </w:pPr>
      <w:r>
        <w:rPr>
          <w:sz w:val="28"/>
          <w:lang w:val="en-US"/>
        </w:rPr>
        <w:t>Liu X. et al. Efficacy of Pasireotide for Prevention of Postoperative Pancreatic Fistula in Pancreatic Surgery: a Systematic Review and Meta-analysis // Journal of Gastrointestinal Surgery. - 2020. - Vol. 24, №6. - P. 1421–1429.</w:t>
      </w:r>
    </w:p>
    <w:p w14:paraId="76C47F12">
      <w:pPr>
        <w:pStyle w:val="10"/>
        <w:numPr>
          <w:ilvl w:val="0"/>
          <w:numId w:val="29"/>
        </w:numPr>
        <w:tabs>
          <w:tab w:val="left" w:pos="1276"/>
        </w:tabs>
        <w:ind w:left="0" w:right="3" w:firstLine="706"/>
        <w:rPr>
          <w:sz w:val="28"/>
          <w:lang w:val="en-US"/>
        </w:rPr>
      </w:pPr>
      <w:r>
        <w:rPr>
          <w:sz w:val="28"/>
          <w:lang w:val="en-US"/>
        </w:rPr>
        <w:t>Cullinane C., et al. Somatostatin analogues do not reduce the risk of clinically relevant postoperative pancreatic fistula after pancreaticoduodenectomy: systematic review and meta-analysis // HPB (Oxford). - 2025.-</w:t>
      </w:r>
      <w:r>
        <w:rPr>
          <w:color w:val="333333"/>
          <w:sz w:val="28"/>
          <w:lang w:val="en-US"/>
        </w:rPr>
        <w:t>Vol. 27, № 6.-</w:t>
      </w:r>
      <w:r>
        <w:rPr>
          <w:color w:val="333333"/>
          <w:sz w:val="28"/>
        </w:rPr>
        <w:t>Р</w:t>
      </w:r>
      <w:r>
        <w:rPr>
          <w:color w:val="333333"/>
          <w:sz w:val="28"/>
          <w:lang w:val="en-US"/>
        </w:rPr>
        <w:t>. 746 – 757.</w:t>
      </w:r>
    </w:p>
    <w:p w14:paraId="6B4BDCA2">
      <w:pPr>
        <w:pStyle w:val="10"/>
        <w:numPr>
          <w:ilvl w:val="0"/>
          <w:numId w:val="29"/>
        </w:numPr>
        <w:tabs>
          <w:tab w:val="left" w:pos="1418"/>
        </w:tabs>
        <w:spacing w:before="3"/>
        <w:ind w:left="0" w:right="3" w:firstLine="706"/>
        <w:rPr>
          <w:sz w:val="28"/>
          <w:lang w:val="en-US"/>
        </w:rPr>
      </w:pPr>
      <w:r>
        <w:rPr>
          <w:sz w:val="28"/>
          <w:lang w:val="en-US"/>
        </w:rPr>
        <w:t>Lao</w:t>
      </w:r>
      <w:r>
        <w:rPr>
          <w:spacing w:val="-18"/>
          <w:sz w:val="28"/>
          <w:lang w:val="en-US"/>
        </w:rPr>
        <w:t xml:space="preserve"> </w:t>
      </w:r>
      <w:r>
        <w:rPr>
          <w:sz w:val="28"/>
          <w:lang w:val="en-US"/>
        </w:rPr>
        <w:t>M.</w:t>
      </w:r>
      <w:r>
        <w:rPr>
          <w:spacing w:val="-17"/>
          <w:sz w:val="28"/>
          <w:lang w:val="en-US"/>
        </w:rPr>
        <w:t xml:space="preserve"> </w:t>
      </w:r>
      <w:r>
        <w:rPr>
          <w:sz w:val="28"/>
          <w:lang w:val="en-US"/>
        </w:rPr>
        <w:t>et</w:t>
      </w:r>
      <w:r>
        <w:rPr>
          <w:spacing w:val="-18"/>
          <w:sz w:val="28"/>
          <w:lang w:val="en-US"/>
        </w:rPr>
        <w:t xml:space="preserve"> </w:t>
      </w:r>
      <w:r>
        <w:rPr>
          <w:sz w:val="28"/>
          <w:lang w:val="en-US"/>
        </w:rPr>
        <w:t>al.</w:t>
      </w:r>
      <w:r>
        <w:rPr>
          <w:spacing w:val="-17"/>
          <w:sz w:val="28"/>
          <w:lang w:val="en-US"/>
        </w:rPr>
        <w:t xml:space="preserve"> </w:t>
      </w:r>
      <w:r>
        <w:rPr>
          <w:sz w:val="28"/>
          <w:lang w:val="en-US"/>
        </w:rPr>
        <w:t>External</w:t>
      </w:r>
      <w:r>
        <w:rPr>
          <w:spacing w:val="-18"/>
          <w:sz w:val="28"/>
          <w:lang w:val="en-US"/>
        </w:rPr>
        <w:t xml:space="preserve"> </w:t>
      </w:r>
      <w:r>
        <w:rPr>
          <w:sz w:val="28"/>
          <w:lang w:val="en-US"/>
        </w:rPr>
        <w:t>validation</w:t>
      </w:r>
      <w:r>
        <w:rPr>
          <w:spacing w:val="-17"/>
          <w:sz w:val="28"/>
          <w:lang w:val="en-US"/>
        </w:rPr>
        <w:t xml:space="preserve"> </w:t>
      </w:r>
      <w:r>
        <w:rPr>
          <w:sz w:val="28"/>
          <w:lang w:val="en-US"/>
        </w:rPr>
        <w:t>of</w:t>
      </w:r>
      <w:r>
        <w:rPr>
          <w:spacing w:val="-18"/>
          <w:sz w:val="28"/>
          <w:lang w:val="en-US"/>
        </w:rPr>
        <w:t xml:space="preserve"> </w:t>
      </w:r>
      <w:r>
        <w:rPr>
          <w:sz w:val="28"/>
          <w:lang w:val="en-US"/>
        </w:rPr>
        <w:t>alternative</w:t>
      </w:r>
      <w:r>
        <w:rPr>
          <w:spacing w:val="-13"/>
          <w:sz w:val="28"/>
          <w:lang w:val="en-US"/>
        </w:rPr>
        <w:t xml:space="preserve"> </w:t>
      </w:r>
      <w:r>
        <w:rPr>
          <w:sz w:val="28"/>
          <w:lang w:val="en-US"/>
        </w:rPr>
        <w:t>fistula</w:t>
      </w:r>
      <w:r>
        <w:rPr>
          <w:spacing w:val="-16"/>
          <w:sz w:val="28"/>
          <w:lang w:val="en-US"/>
        </w:rPr>
        <w:t xml:space="preserve"> </w:t>
      </w:r>
      <w:r>
        <w:rPr>
          <w:sz w:val="28"/>
          <w:lang w:val="en-US"/>
        </w:rPr>
        <w:t>risk</w:t>
      </w:r>
      <w:r>
        <w:rPr>
          <w:spacing w:val="-18"/>
          <w:sz w:val="28"/>
          <w:lang w:val="en-US"/>
        </w:rPr>
        <w:t xml:space="preserve"> </w:t>
      </w:r>
      <w:r>
        <w:rPr>
          <w:sz w:val="28"/>
          <w:lang w:val="en-US"/>
        </w:rPr>
        <w:t>score</w:t>
      </w:r>
      <w:r>
        <w:rPr>
          <w:spacing w:val="-16"/>
          <w:sz w:val="28"/>
          <w:lang w:val="en-US"/>
        </w:rPr>
        <w:t xml:space="preserve"> </w:t>
      </w:r>
      <w:r>
        <w:rPr>
          <w:sz w:val="28"/>
          <w:lang w:val="en-US"/>
        </w:rPr>
        <w:t>(a-FRS) for predicting pancreatic fistula after pancreatoduodenectomy // HPB (Oxford). - 2020. - Vol. 22, № 1. - P. 58–66.</w:t>
      </w:r>
    </w:p>
    <w:p w14:paraId="585C1FDF">
      <w:pPr>
        <w:pStyle w:val="10"/>
        <w:numPr>
          <w:ilvl w:val="0"/>
          <w:numId w:val="29"/>
        </w:numPr>
        <w:tabs>
          <w:tab w:val="left" w:pos="1418"/>
        </w:tabs>
        <w:ind w:left="0" w:right="3" w:firstLine="706"/>
        <w:rPr>
          <w:sz w:val="28"/>
          <w:lang w:val="en-US"/>
        </w:rPr>
      </w:pPr>
      <w:r>
        <w:rPr>
          <w:sz w:val="28"/>
          <w:lang w:val="en-US"/>
        </w:rPr>
        <w:t>Shinde R.S. et al. External validation and comparison of the original, alternative</w:t>
      </w:r>
      <w:r>
        <w:rPr>
          <w:spacing w:val="-18"/>
          <w:sz w:val="28"/>
          <w:lang w:val="en-US"/>
        </w:rPr>
        <w:t xml:space="preserve"> </w:t>
      </w:r>
      <w:r>
        <w:rPr>
          <w:sz w:val="28"/>
          <w:lang w:val="en-US"/>
        </w:rPr>
        <w:t>and</w:t>
      </w:r>
      <w:r>
        <w:rPr>
          <w:spacing w:val="-17"/>
          <w:sz w:val="28"/>
          <w:lang w:val="en-US"/>
        </w:rPr>
        <w:t xml:space="preserve"> </w:t>
      </w:r>
      <w:r>
        <w:rPr>
          <w:sz w:val="28"/>
          <w:lang w:val="en-US"/>
        </w:rPr>
        <w:t>updated-alternative</w:t>
      </w:r>
      <w:r>
        <w:rPr>
          <w:spacing w:val="-18"/>
          <w:sz w:val="28"/>
          <w:lang w:val="en-US"/>
        </w:rPr>
        <w:t xml:space="preserve"> </w:t>
      </w:r>
      <w:r>
        <w:rPr>
          <w:sz w:val="28"/>
          <w:lang w:val="en-US"/>
        </w:rPr>
        <w:t>fistula</w:t>
      </w:r>
      <w:r>
        <w:rPr>
          <w:spacing w:val="-17"/>
          <w:sz w:val="28"/>
          <w:lang w:val="en-US"/>
        </w:rPr>
        <w:t xml:space="preserve"> </w:t>
      </w:r>
      <w:r>
        <w:rPr>
          <w:sz w:val="28"/>
          <w:lang w:val="en-US"/>
        </w:rPr>
        <w:t>risk</w:t>
      </w:r>
      <w:r>
        <w:rPr>
          <w:spacing w:val="-18"/>
          <w:sz w:val="28"/>
          <w:lang w:val="en-US"/>
        </w:rPr>
        <w:t xml:space="preserve"> </w:t>
      </w:r>
      <w:r>
        <w:rPr>
          <w:sz w:val="28"/>
          <w:lang w:val="en-US"/>
        </w:rPr>
        <w:t>scores</w:t>
      </w:r>
      <w:r>
        <w:rPr>
          <w:spacing w:val="-17"/>
          <w:sz w:val="28"/>
          <w:lang w:val="en-US"/>
        </w:rPr>
        <w:t xml:space="preserve"> </w:t>
      </w:r>
      <w:r>
        <w:rPr>
          <w:sz w:val="28"/>
          <w:lang w:val="en-US"/>
        </w:rPr>
        <w:t>for</w:t>
      </w:r>
      <w:r>
        <w:rPr>
          <w:spacing w:val="-18"/>
          <w:sz w:val="28"/>
          <w:lang w:val="en-US"/>
        </w:rPr>
        <w:t xml:space="preserve"> </w:t>
      </w:r>
      <w:r>
        <w:rPr>
          <w:sz w:val="28"/>
          <w:lang w:val="en-US"/>
        </w:rPr>
        <w:t>the</w:t>
      </w:r>
      <w:r>
        <w:rPr>
          <w:spacing w:val="-17"/>
          <w:sz w:val="28"/>
          <w:lang w:val="en-US"/>
        </w:rPr>
        <w:t xml:space="preserve"> </w:t>
      </w:r>
      <w:r>
        <w:rPr>
          <w:sz w:val="28"/>
          <w:lang w:val="en-US"/>
        </w:rPr>
        <w:t>prediction</w:t>
      </w:r>
      <w:r>
        <w:rPr>
          <w:spacing w:val="-18"/>
          <w:sz w:val="28"/>
          <w:lang w:val="en-US"/>
        </w:rPr>
        <w:t xml:space="preserve"> </w:t>
      </w:r>
      <w:r>
        <w:rPr>
          <w:sz w:val="28"/>
          <w:lang w:val="en-US"/>
        </w:rPr>
        <w:t>of</w:t>
      </w:r>
      <w:r>
        <w:rPr>
          <w:spacing w:val="-17"/>
          <w:sz w:val="28"/>
          <w:lang w:val="en-US"/>
        </w:rPr>
        <w:t xml:space="preserve"> </w:t>
      </w:r>
      <w:r>
        <w:rPr>
          <w:sz w:val="28"/>
          <w:lang w:val="en-US"/>
        </w:rPr>
        <w:t>postoperative pancreatic</w:t>
      </w:r>
      <w:r>
        <w:rPr>
          <w:spacing w:val="-6"/>
          <w:sz w:val="28"/>
          <w:lang w:val="en-US"/>
        </w:rPr>
        <w:t xml:space="preserve"> </w:t>
      </w:r>
      <w:r>
        <w:rPr>
          <w:sz w:val="28"/>
          <w:lang w:val="en-US"/>
        </w:rPr>
        <w:t>fistula</w:t>
      </w:r>
      <w:r>
        <w:rPr>
          <w:spacing w:val="-6"/>
          <w:sz w:val="28"/>
          <w:lang w:val="en-US"/>
        </w:rPr>
        <w:t xml:space="preserve"> </w:t>
      </w:r>
      <w:r>
        <w:rPr>
          <w:sz w:val="28"/>
          <w:lang w:val="en-US"/>
        </w:rPr>
        <w:t>after</w:t>
      </w:r>
      <w:r>
        <w:rPr>
          <w:spacing w:val="-7"/>
          <w:sz w:val="28"/>
          <w:lang w:val="en-US"/>
        </w:rPr>
        <w:t xml:space="preserve"> </w:t>
      </w:r>
      <w:r>
        <w:rPr>
          <w:sz w:val="28"/>
          <w:lang w:val="en-US"/>
        </w:rPr>
        <w:t>pancreatoduodenectomy</w:t>
      </w:r>
      <w:r>
        <w:rPr>
          <w:spacing w:val="-10"/>
          <w:sz w:val="28"/>
          <w:lang w:val="en-US"/>
        </w:rPr>
        <w:t xml:space="preserve"> </w:t>
      </w:r>
      <w:r>
        <w:rPr>
          <w:sz w:val="28"/>
          <w:lang w:val="en-US"/>
        </w:rPr>
        <w:t>// Pancreatology.</w:t>
      </w:r>
      <w:r>
        <w:rPr>
          <w:spacing w:val="-4"/>
          <w:sz w:val="28"/>
          <w:lang w:val="en-US"/>
        </w:rPr>
        <w:t xml:space="preserve"> </w:t>
      </w:r>
      <w:r>
        <w:rPr>
          <w:sz w:val="28"/>
          <w:lang w:val="en-US"/>
        </w:rPr>
        <w:t>-</w:t>
      </w:r>
      <w:r>
        <w:rPr>
          <w:spacing w:val="-6"/>
          <w:sz w:val="28"/>
          <w:lang w:val="en-US"/>
        </w:rPr>
        <w:t xml:space="preserve"> </w:t>
      </w:r>
      <w:r>
        <w:rPr>
          <w:sz w:val="28"/>
          <w:lang w:val="en-US"/>
        </w:rPr>
        <w:t>2020.</w:t>
      </w:r>
      <w:r>
        <w:rPr>
          <w:spacing w:val="-4"/>
          <w:sz w:val="28"/>
          <w:lang w:val="en-US"/>
        </w:rPr>
        <w:t xml:space="preserve"> </w:t>
      </w:r>
      <w:r>
        <w:rPr>
          <w:sz w:val="28"/>
          <w:lang w:val="en-US"/>
        </w:rPr>
        <w:t>-</w:t>
      </w:r>
      <w:r>
        <w:rPr>
          <w:spacing w:val="-10"/>
          <w:sz w:val="28"/>
          <w:lang w:val="en-US"/>
        </w:rPr>
        <w:t xml:space="preserve"> </w:t>
      </w:r>
      <w:r>
        <w:rPr>
          <w:sz w:val="28"/>
          <w:lang w:val="en-US"/>
        </w:rPr>
        <w:t>Vol.</w:t>
      </w:r>
      <w:r>
        <w:rPr>
          <w:spacing w:val="-4"/>
          <w:sz w:val="28"/>
          <w:lang w:val="en-US"/>
        </w:rPr>
        <w:t xml:space="preserve"> </w:t>
      </w:r>
      <w:r>
        <w:rPr>
          <w:sz w:val="28"/>
          <w:lang w:val="en-US"/>
        </w:rPr>
        <w:t>20,</w:t>
      </w:r>
    </w:p>
    <w:p w14:paraId="613F92F0">
      <w:pPr>
        <w:pStyle w:val="7"/>
        <w:spacing w:line="321" w:lineRule="exact"/>
        <w:ind w:left="0" w:right="3" w:firstLine="0"/>
      </w:pPr>
      <w:r>
        <w:t>№</w:t>
      </w:r>
      <w:r>
        <w:rPr>
          <w:spacing w:val="-3"/>
        </w:rPr>
        <w:t xml:space="preserve"> </w:t>
      </w:r>
      <w:r>
        <w:t>4.</w:t>
      </w:r>
      <w:r>
        <w:rPr>
          <w:spacing w:val="2"/>
        </w:rPr>
        <w:t xml:space="preserve"> </w:t>
      </w:r>
      <w:r>
        <w:t>-</w:t>
      </w:r>
      <w:r>
        <w:rPr>
          <w:spacing w:val="-1"/>
        </w:rPr>
        <w:t xml:space="preserve"> </w:t>
      </w:r>
      <w:r>
        <w:t>P.</w:t>
      </w:r>
      <w:r>
        <w:rPr>
          <w:spacing w:val="1"/>
        </w:rPr>
        <w:t xml:space="preserve"> </w:t>
      </w:r>
      <w:r>
        <w:rPr>
          <w:spacing w:val="-2"/>
        </w:rPr>
        <w:t>751–756.</w:t>
      </w:r>
    </w:p>
    <w:p w14:paraId="5EF4F4BA">
      <w:pPr>
        <w:pStyle w:val="10"/>
        <w:numPr>
          <w:ilvl w:val="0"/>
          <w:numId w:val="29"/>
        </w:numPr>
        <w:tabs>
          <w:tab w:val="left" w:pos="1418"/>
        </w:tabs>
        <w:ind w:left="0" w:right="3" w:firstLine="706"/>
        <w:rPr>
          <w:sz w:val="28"/>
          <w:lang w:val="en-US"/>
        </w:rPr>
      </w:pPr>
      <w:r>
        <w:rPr>
          <w:sz w:val="28"/>
          <w:lang w:val="en-US"/>
        </w:rPr>
        <w:t xml:space="preserve">Pulvirenti A. et al. Modifications in the International Study Group for Pancreatic Surgery (ISGPS) definition of postoperative pancreatic fistula // Translational Gastroenterology and Hepatology. - 2017. - Vol. 2. -  107 </w:t>
      </w:r>
      <w:r>
        <w:rPr>
          <w:sz w:val="28"/>
        </w:rPr>
        <w:t>р</w:t>
      </w:r>
      <w:r>
        <w:rPr>
          <w:sz w:val="28"/>
          <w:lang w:val="en-US"/>
        </w:rPr>
        <w:t>.</w:t>
      </w:r>
    </w:p>
    <w:p w14:paraId="765D60DA">
      <w:pPr>
        <w:pStyle w:val="10"/>
        <w:numPr>
          <w:ilvl w:val="0"/>
          <w:numId w:val="29"/>
        </w:numPr>
        <w:tabs>
          <w:tab w:val="left" w:pos="1276"/>
        </w:tabs>
        <w:spacing w:before="3"/>
        <w:ind w:left="0" w:right="3" w:firstLine="706"/>
        <w:rPr>
          <w:sz w:val="28"/>
          <w:lang w:val="en-US"/>
        </w:rPr>
      </w:pPr>
      <w:r>
        <w:rPr>
          <w:sz w:val="28"/>
          <w:lang w:val="en-US"/>
        </w:rPr>
        <w:t>J. Annelie Suurmeijer. et al. Nationwide validation of the ISGPS risk classification</w:t>
      </w:r>
      <w:r>
        <w:rPr>
          <w:spacing w:val="-7"/>
          <w:sz w:val="28"/>
          <w:lang w:val="en-US"/>
        </w:rPr>
        <w:t xml:space="preserve"> </w:t>
      </w:r>
      <w:r>
        <w:rPr>
          <w:sz w:val="28"/>
          <w:lang w:val="en-US"/>
        </w:rPr>
        <w:t>for</w:t>
      </w:r>
      <w:r>
        <w:rPr>
          <w:spacing w:val="-3"/>
          <w:sz w:val="28"/>
          <w:lang w:val="en-US"/>
        </w:rPr>
        <w:t xml:space="preserve"> </w:t>
      </w:r>
      <w:r>
        <w:rPr>
          <w:sz w:val="28"/>
          <w:lang w:val="en-US"/>
        </w:rPr>
        <w:t>postoperative</w:t>
      </w:r>
      <w:r>
        <w:rPr>
          <w:spacing w:val="-2"/>
          <w:sz w:val="28"/>
          <w:lang w:val="en-US"/>
        </w:rPr>
        <w:t xml:space="preserve"> </w:t>
      </w:r>
      <w:r>
        <w:rPr>
          <w:sz w:val="28"/>
          <w:lang w:val="en-US"/>
        </w:rPr>
        <w:t>pancreatic fistula</w:t>
      </w:r>
      <w:r>
        <w:rPr>
          <w:spacing w:val="-2"/>
          <w:sz w:val="28"/>
          <w:lang w:val="en-US"/>
        </w:rPr>
        <w:t xml:space="preserve"> </w:t>
      </w:r>
      <w:r>
        <w:rPr>
          <w:sz w:val="28"/>
          <w:lang w:val="en-US"/>
        </w:rPr>
        <w:t>after</w:t>
      </w:r>
      <w:r>
        <w:rPr>
          <w:spacing w:val="-3"/>
          <w:sz w:val="28"/>
          <w:lang w:val="en-US"/>
        </w:rPr>
        <w:t xml:space="preserve"> </w:t>
      </w:r>
      <w:r>
        <w:rPr>
          <w:sz w:val="28"/>
          <w:lang w:val="en-US"/>
        </w:rPr>
        <w:t>pancreatoduodenectomy:</w:t>
      </w:r>
      <w:r>
        <w:rPr>
          <w:spacing w:val="-7"/>
          <w:sz w:val="28"/>
          <w:lang w:val="en-US"/>
        </w:rPr>
        <w:t xml:space="preserve"> </w:t>
      </w:r>
      <w:r>
        <w:rPr>
          <w:sz w:val="28"/>
          <w:lang w:val="en-US"/>
        </w:rPr>
        <w:t xml:space="preserve">“Less is more” // Surgery.-2023.- № 173 </w:t>
      </w:r>
      <w:r>
        <w:rPr>
          <w:sz w:val="28"/>
        </w:rPr>
        <w:t xml:space="preserve">.-Р. </w:t>
      </w:r>
      <w:r>
        <w:rPr>
          <w:sz w:val="28"/>
          <w:lang w:val="en-US"/>
        </w:rPr>
        <w:t>1248-1253</w:t>
      </w:r>
      <w:r>
        <w:rPr>
          <w:sz w:val="28"/>
        </w:rPr>
        <w:t>.</w:t>
      </w:r>
    </w:p>
    <w:p w14:paraId="775990DD">
      <w:pPr>
        <w:pStyle w:val="10"/>
        <w:numPr>
          <w:ilvl w:val="0"/>
          <w:numId w:val="29"/>
        </w:numPr>
        <w:tabs>
          <w:tab w:val="left" w:pos="1418"/>
        </w:tabs>
        <w:ind w:left="0" w:right="3" w:firstLine="706"/>
        <w:rPr>
          <w:sz w:val="28"/>
        </w:rPr>
      </w:pPr>
      <w:r>
        <w:rPr>
          <w:sz w:val="28"/>
          <w:lang w:val="en-US"/>
        </w:rPr>
        <w:t>Torres OJM. et al. Surgical Management of Postoperative Grade C Pancreatic</w:t>
      </w:r>
      <w:r>
        <w:rPr>
          <w:spacing w:val="-18"/>
          <w:sz w:val="28"/>
          <w:lang w:val="en-US"/>
        </w:rPr>
        <w:t xml:space="preserve"> </w:t>
      </w:r>
      <w:r>
        <w:rPr>
          <w:sz w:val="28"/>
          <w:lang w:val="en-US"/>
        </w:rPr>
        <w:t>Fistula</w:t>
      </w:r>
      <w:r>
        <w:rPr>
          <w:spacing w:val="-17"/>
          <w:sz w:val="28"/>
          <w:lang w:val="en-US"/>
        </w:rPr>
        <w:t xml:space="preserve"> </w:t>
      </w:r>
      <w:r>
        <w:rPr>
          <w:sz w:val="28"/>
          <w:lang w:val="en-US"/>
        </w:rPr>
        <w:t>following</w:t>
      </w:r>
      <w:r>
        <w:rPr>
          <w:spacing w:val="-18"/>
          <w:sz w:val="28"/>
          <w:lang w:val="en-US"/>
        </w:rPr>
        <w:t xml:space="preserve"> </w:t>
      </w:r>
      <w:r>
        <w:rPr>
          <w:sz w:val="28"/>
          <w:lang w:val="en-US"/>
        </w:rPr>
        <w:t>Pancreatoduodenectomy.</w:t>
      </w:r>
      <w:r>
        <w:rPr>
          <w:spacing w:val="-17"/>
          <w:sz w:val="28"/>
          <w:lang w:val="en-US"/>
        </w:rPr>
        <w:t xml:space="preserve"> </w:t>
      </w:r>
      <w:r>
        <w:rPr>
          <w:sz w:val="28"/>
          <w:lang w:val="en-US"/>
        </w:rPr>
        <w:t>Visc</w:t>
      </w:r>
      <w:r>
        <w:rPr>
          <w:spacing w:val="-18"/>
          <w:sz w:val="28"/>
          <w:lang w:val="en-US"/>
        </w:rPr>
        <w:t xml:space="preserve"> </w:t>
      </w:r>
      <w:r>
        <w:rPr>
          <w:sz w:val="28"/>
          <w:lang w:val="en-US"/>
        </w:rPr>
        <w:t>Med.</w:t>
      </w:r>
      <w:r>
        <w:rPr>
          <w:spacing w:val="-17"/>
          <w:sz w:val="28"/>
          <w:lang w:val="en-US"/>
        </w:rPr>
        <w:t xml:space="preserve"> -</w:t>
      </w:r>
      <w:r>
        <w:rPr>
          <w:sz w:val="28"/>
          <w:lang w:val="en-US"/>
        </w:rPr>
        <w:t>2022</w:t>
      </w:r>
      <w:r>
        <w:rPr>
          <w:spacing w:val="-18"/>
          <w:sz w:val="28"/>
          <w:lang w:val="en-US"/>
        </w:rPr>
        <w:t>.- №</w:t>
      </w:r>
      <w:r>
        <w:rPr>
          <w:sz w:val="28"/>
          <w:lang w:val="en-US"/>
        </w:rPr>
        <w:t>38(4).-</w:t>
      </w:r>
      <w:r>
        <w:rPr>
          <w:sz w:val="28"/>
        </w:rPr>
        <w:t>Р</w:t>
      </w:r>
      <w:r>
        <w:rPr>
          <w:sz w:val="28"/>
          <w:lang w:val="en-US"/>
        </w:rPr>
        <w:t xml:space="preserve">. </w:t>
      </w:r>
      <w:r>
        <w:rPr>
          <w:sz w:val="28"/>
        </w:rPr>
        <w:t xml:space="preserve">233- </w:t>
      </w:r>
      <w:r>
        <w:rPr>
          <w:spacing w:val="-4"/>
          <w:sz w:val="28"/>
        </w:rPr>
        <w:t>242.</w:t>
      </w:r>
    </w:p>
    <w:p w14:paraId="42177049">
      <w:pPr>
        <w:pStyle w:val="10"/>
        <w:numPr>
          <w:ilvl w:val="0"/>
          <w:numId w:val="29"/>
        </w:numPr>
        <w:tabs>
          <w:tab w:val="left" w:pos="1560"/>
        </w:tabs>
        <w:ind w:left="0" w:right="3" w:firstLine="706"/>
        <w:rPr>
          <w:sz w:val="28"/>
          <w:lang w:val="en-US"/>
        </w:rPr>
      </w:pPr>
      <w:r>
        <w:rPr>
          <w:sz w:val="28"/>
          <w:lang w:val="en-US"/>
        </w:rPr>
        <w:t>Gai</w:t>
      </w:r>
      <w:r>
        <w:rPr>
          <w:spacing w:val="-18"/>
          <w:sz w:val="28"/>
          <w:lang w:val="en-US"/>
        </w:rPr>
        <w:t xml:space="preserve"> </w:t>
      </w:r>
      <w:r>
        <w:rPr>
          <w:sz w:val="28"/>
          <w:lang w:val="en-US"/>
        </w:rPr>
        <w:t>Y.W.</w:t>
      </w:r>
      <w:r>
        <w:rPr>
          <w:spacing w:val="-17"/>
          <w:sz w:val="28"/>
          <w:lang w:val="en-US"/>
        </w:rPr>
        <w:t xml:space="preserve"> </w:t>
      </w:r>
      <w:r>
        <w:rPr>
          <w:sz w:val="28"/>
          <w:lang w:val="en-US"/>
        </w:rPr>
        <w:t>et</w:t>
      </w:r>
      <w:r>
        <w:rPr>
          <w:spacing w:val="-18"/>
          <w:sz w:val="28"/>
          <w:lang w:val="en-US"/>
        </w:rPr>
        <w:t xml:space="preserve"> </w:t>
      </w:r>
      <w:r>
        <w:rPr>
          <w:sz w:val="28"/>
          <w:lang w:val="en-US"/>
        </w:rPr>
        <w:t>al.</w:t>
      </w:r>
      <w:r>
        <w:rPr>
          <w:spacing w:val="-17"/>
          <w:sz w:val="28"/>
          <w:lang w:val="en-US"/>
        </w:rPr>
        <w:t xml:space="preserve"> </w:t>
      </w:r>
      <w:r>
        <w:rPr>
          <w:sz w:val="28"/>
          <w:lang w:val="en-US"/>
        </w:rPr>
        <w:t>Pancreaticojejunostomy</w:t>
      </w:r>
      <w:r>
        <w:rPr>
          <w:spacing w:val="-18"/>
          <w:sz w:val="28"/>
          <w:lang w:val="en-US"/>
        </w:rPr>
        <w:t xml:space="preserve"> </w:t>
      </w:r>
      <w:r>
        <w:rPr>
          <w:sz w:val="28"/>
          <w:lang w:val="en-US"/>
        </w:rPr>
        <w:t>conducive</w:t>
      </w:r>
      <w:r>
        <w:rPr>
          <w:spacing w:val="-17"/>
          <w:sz w:val="28"/>
          <w:lang w:val="en-US"/>
        </w:rPr>
        <w:t xml:space="preserve"> </w:t>
      </w:r>
      <w:r>
        <w:rPr>
          <w:sz w:val="28"/>
          <w:lang w:val="en-US"/>
        </w:rPr>
        <w:t>to</w:t>
      </w:r>
      <w:r>
        <w:rPr>
          <w:spacing w:val="-18"/>
          <w:sz w:val="28"/>
          <w:lang w:val="en-US"/>
        </w:rPr>
        <w:t xml:space="preserve"> </w:t>
      </w:r>
      <w:r>
        <w:rPr>
          <w:sz w:val="28"/>
          <w:lang w:val="en-US"/>
        </w:rPr>
        <w:t>biological</w:t>
      </w:r>
      <w:r>
        <w:rPr>
          <w:spacing w:val="-17"/>
          <w:sz w:val="28"/>
          <w:lang w:val="en-US"/>
        </w:rPr>
        <w:t xml:space="preserve"> </w:t>
      </w:r>
      <w:r>
        <w:rPr>
          <w:sz w:val="28"/>
          <w:lang w:val="en-US"/>
        </w:rPr>
        <w:t>healing in</w:t>
      </w:r>
      <w:r>
        <w:rPr>
          <w:spacing w:val="-18"/>
          <w:sz w:val="28"/>
          <w:lang w:val="en-US"/>
        </w:rPr>
        <w:t xml:space="preserve"> </w:t>
      </w:r>
      <w:r>
        <w:rPr>
          <w:sz w:val="28"/>
          <w:lang w:val="en-US"/>
        </w:rPr>
        <w:t>minimally</w:t>
      </w:r>
      <w:r>
        <w:rPr>
          <w:spacing w:val="-17"/>
          <w:sz w:val="28"/>
          <w:lang w:val="en-US"/>
        </w:rPr>
        <w:t xml:space="preserve"> </w:t>
      </w:r>
      <w:r>
        <w:rPr>
          <w:sz w:val="28"/>
          <w:lang w:val="en-US"/>
        </w:rPr>
        <w:t>invasive</w:t>
      </w:r>
      <w:r>
        <w:rPr>
          <w:spacing w:val="-17"/>
          <w:sz w:val="28"/>
          <w:lang w:val="en-US"/>
        </w:rPr>
        <w:t xml:space="preserve"> </w:t>
      </w:r>
      <w:r>
        <w:rPr>
          <w:sz w:val="28"/>
          <w:lang w:val="en-US"/>
        </w:rPr>
        <w:t>pancreaticoduodenectomy</w:t>
      </w:r>
      <w:r>
        <w:rPr>
          <w:spacing w:val="-17"/>
          <w:sz w:val="28"/>
          <w:lang w:val="en-US"/>
        </w:rPr>
        <w:t xml:space="preserve"> </w:t>
      </w:r>
      <w:r>
        <w:rPr>
          <w:sz w:val="28"/>
          <w:lang w:val="en-US"/>
        </w:rPr>
        <w:t>//</w:t>
      </w:r>
      <w:r>
        <w:rPr>
          <w:spacing w:val="-18"/>
          <w:sz w:val="28"/>
          <w:lang w:val="en-US"/>
        </w:rPr>
        <w:t xml:space="preserve"> </w:t>
      </w:r>
      <w:r>
        <w:rPr>
          <w:sz w:val="28"/>
          <w:lang w:val="en-US"/>
        </w:rPr>
        <w:t>Journal</w:t>
      </w:r>
      <w:r>
        <w:rPr>
          <w:spacing w:val="-18"/>
          <w:sz w:val="28"/>
          <w:lang w:val="en-US"/>
        </w:rPr>
        <w:t xml:space="preserve"> </w:t>
      </w:r>
      <w:r>
        <w:rPr>
          <w:sz w:val="28"/>
          <w:lang w:val="en-US"/>
        </w:rPr>
        <w:t>of</w:t>
      </w:r>
      <w:r>
        <w:rPr>
          <w:spacing w:val="-19"/>
          <w:sz w:val="28"/>
          <w:lang w:val="en-US"/>
        </w:rPr>
        <w:t xml:space="preserve"> </w:t>
      </w:r>
      <w:r>
        <w:rPr>
          <w:sz w:val="28"/>
          <w:lang w:val="en-US"/>
        </w:rPr>
        <w:t>Gastrointestinal</w:t>
      </w:r>
      <w:r>
        <w:rPr>
          <w:spacing w:val="-17"/>
          <w:sz w:val="28"/>
          <w:lang w:val="en-US"/>
        </w:rPr>
        <w:t xml:space="preserve"> </w:t>
      </w:r>
      <w:r>
        <w:rPr>
          <w:sz w:val="28"/>
          <w:lang w:val="en-US"/>
        </w:rPr>
        <w:t>Surgery.</w:t>
      </w:r>
    </w:p>
    <w:p w14:paraId="183B800E">
      <w:pPr>
        <w:pStyle w:val="7"/>
        <w:spacing w:line="321" w:lineRule="exact"/>
        <w:ind w:left="0" w:right="3" w:firstLine="0"/>
      </w:pPr>
      <w:r>
        <w:t>-</w:t>
      </w:r>
      <w:r>
        <w:rPr>
          <w:spacing w:val="-3"/>
        </w:rPr>
        <w:t xml:space="preserve"> </w:t>
      </w:r>
      <w:r>
        <w:t>2022. -</w:t>
      </w:r>
      <w:r>
        <w:rPr>
          <w:spacing w:val="-2"/>
        </w:rPr>
        <w:t xml:space="preserve"> </w:t>
      </w:r>
      <w:r>
        <w:t>Vol. 26, №</w:t>
      </w:r>
      <w:r>
        <w:rPr>
          <w:spacing w:val="-4"/>
        </w:rPr>
        <w:t xml:space="preserve"> </w:t>
      </w:r>
      <w:r>
        <w:t>9.</w:t>
      </w:r>
      <w:r>
        <w:rPr>
          <w:spacing w:val="2"/>
        </w:rPr>
        <w:t xml:space="preserve"> </w:t>
      </w:r>
      <w:r>
        <w:t>-</w:t>
      </w:r>
      <w:r>
        <w:rPr>
          <w:spacing w:val="-2"/>
        </w:rPr>
        <w:t xml:space="preserve"> </w:t>
      </w:r>
      <w:r>
        <w:t>P.</w:t>
      </w:r>
      <w:r>
        <w:rPr>
          <w:spacing w:val="-1"/>
        </w:rPr>
        <w:t xml:space="preserve"> </w:t>
      </w:r>
      <w:r>
        <w:rPr>
          <w:spacing w:val="-2"/>
        </w:rPr>
        <w:t>1967–1981.</w:t>
      </w:r>
    </w:p>
    <w:p w14:paraId="3DAC6344">
      <w:pPr>
        <w:pStyle w:val="10"/>
        <w:numPr>
          <w:ilvl w:val="0"/>
          <w:numId w:val="29"/>
        </w:numPr>
        <w:tabs>
          <w:tab w:val="left" w:pos="1418"/>
        </w:tabs>
        <w:ind w:left="0" w:right="3" w:firstLine="706"/>
        <w:rPr>
          <w:sz w:val="28"/>
          <w:lang w:val="en-US"/>
        </w:rPr>
      </w:pPr>
      <w:r>
        <w:rPr>
          <w:sz w:val="28"/>
          <w:lang w:val="en-US"/>
        </w:rPr>
        <w:t>Ryu</w:t>
      </w:r>
      <w:r>
        <w:rPr>
          <w:spacing w:val="-8"/>
          <w:sz w:val="28"/>
          <w:lang w:val="en-US"/>
        </w:rPr>
        <w:t xml:space="preserve"> </w:t>
      </w:r>
      <w:r>
        <w:rPr>
          <w:sz w:val="28"/>
          <w:lang w:val="en-US"/>
        </w:rPr>
        <w:t>Y.</w:t>
      </w:r>
      <w:r>
        <w:rPr>
          <w:spacing w:val="-2"/>
          <w:sz w:val="28"/>
          <w:lang w:val="en-US"/>
        </w:rPr>
        <w:t xml:space="preserve"> </w:t>
      </w:r>
      <w:r>
        <w:rPr>
          <w:sz w:val="28"/>
          <w:lang w:val="en-US"/>
        </w:rPr>
        <w:t>et</w:t>
      </w:r>
      <w:r>
        <w:rPr>
          <w:spacing w:val="-4"/>
          <w:sz w:val="28"/>
          <w:lang w:val="en-US"/>
        </w:rPr>
        <w:t xml:space="preserve"> </w:t>
      </w:r>
      <w:r>
        <w:rPr>
          <w:sz w:val="28"/>
          <w:lang w:val="en-US"/>
        </w:rPr>
        <w:t>al.</w:t>
      </w:r>
      <w:r>
        <w:rPr>
          <w:spacing w:val="-2"/>
          <w:sz w:val="28"/>
          <w:lang w:val="en-US"/>
        </w:rPr>
        <w:t xml:space="preserve"> </w:t>
      </w:r>
      <w:r>
        <w:rPr>
          <w:sz w:val="28"/>
          <w:lang w:val="en-US"/>
        </w:rPr>
        <w:t>Validation</w:t>
      </w:r>
      <w:r>
        <w:rPr>
          <w:spacing w:val="-8"/>
          <w:sz w:val="28"/>
          <w:lang w:val="en-US"/>
        </w:rPr>
        <w:t xml:space="preserve"> </w:t>
      </w:r>
      <w:r>
        <w:rPr>
          <w:sz w:val="28"/>
          <w:lang w:val="en-US"/>
        </w:rPr>
        <w:t>of</w:t>
      </w:r>
      <w:r>
        <w:rPr>
          <w:spacing w:val="-10"/>
          <w:sz w:val="28"/>
          <w:lang w:val="en-US"/>
        </w:rPr>
        <w:t xml:space="preserve"> </w:t>
      </w:r>
      <w:r>
        <w:rPr>
          <w:sz w:val="28"/>
          <w:lang w:val="en-US"/>
        </w:rPr>
        <w:t>original</w:t>
      </w:r>
      <w:r>
        <w:rPr>
          <w:spacing w:val="-9"/>
          <w:sz w:val="28"/>
          <w:lang w:val="en-US"/>
        </w:rPr>
        <w:t xml:space="preserve"> </w:t>
      </w:r>
      <w:r>
        <w:rPr>
          <w:sz w:val="28"/>
          <w:lang w:val="en-US"/>
        </w:rPr>
        <w:t>and</w:t>
      </w:r>
      <w:r>
        <w:rPr>
          <w:spacing w:val="-4"/>
          <w:sz w:val="28"/>
          <w:lang w:val="en-US"/>
        </w:rPr>
        <w:t xml:space="preserve"> </w:t>
      </w:r>
      <w:r>
        <w:rPr>
          <w:sz w:val="28"/>
          <w:lang w:val="en-US"/>
        </w:rPr>
        <w:t>alternative fistula</w:t>
      </w:r>
      <w:r>
        <w:rPr>
          <w:spacing w:val="-3"/>
          <w:sz w:val="28"/>
          <w:lang w:val="en-US"/>
        </w:rPr>
        <w:t xml:space="preserve"> </w:t>
      </w:r>
      <w:r>
        <w:rPr>
          <w:sz w:val="28"/>
          <w:lang w:val="en-US"/>
        </w:rPr>
        <w:t>risk</w:t>
      </w:r>
      <w:r>
        <w:rPr>
          <w:spacing w:val="-4"/>
          <w:sz w:val="28"/>
          <w:lang w:val="en-US"/>
        </w:rPr>
        <w:t xml:space="preserve"> </w:t>
      </w:r>
      <w:r>
        <w:rPr>
          <w:sz w:val="28"/>
          <w:lang w:val="en-US"/>
        </w:rPr>
        <w:t>scores</w:t>
      </w:r>
      <w:r>
        <w:rPr>
          <w:spacing w:val="-3"/>
          <w:sz w:val="28"/>
          <w:lang w:val="en-US"/>
        </w:rPr>
        <w:t xml:space="preserve"> </w:t>
      </w:r>
      <w:r>
        <w:rPr>
          <w:sz w:val="28"/>
          <w:lang w:val="en-US"/>
        </w:rPr>
        <w:t>in postoperative pancreatic fistula // Journal of Hepato-Biliary-Pancreatic Sciences. - 2019. - Vol. 26, № 8. - P. 354–359.</w:t>
      </w:r>
    </w:p>
    <w:p w14:paraId="1968FACD">
      <w:pPr>
        <w:pStyle w:val="10"/>
        <w:numPr>
          <w:ilvl w:val="0"/>
          <w:numId w:val="29"/>
        </w:numPr>
        <w:spacing w:before="2"/>
        <w:ind w:left="0" w:right="3" w:firstLine="706"/>
        <w:rPr>
          <w:sz w:val="28"/>
          <w:lang w:val="en-US"/>
        </w:rPr>
      </w:pPr>
      <w:r>
        <w:rPr>
          <w:sz w:val="28"/>
          <w:lang w:val="en-US"/>
        </w:rPr>
        <w:t>Fuji T. et al. Impact of Robotic Surgery on Postoperative Pancreatic Fistula for High-Risk Pancreaticojejunostomy after Pancreatoduodenectomy // Digestive Surgery. - 2025. - Vol. 42, № 2. - P. 49–58.</w:t>
      </w:r>
    </w:p>
    <w:p w14:paraId="6B6A4ECE">
      <w:pPr>
        <w:pStyle w:val="10"/>
        <w:numPr>
          <w:ilvl w:val="0"/>
          <w:numId w:val="29"/>
        </w:numPr>
        <w:tabs>
          <w:tab w:val="left" w:pos="1418"/>
        </w:tabs>
        <w:ind w:left="0" w:right="3" w:firstLine="706"/>
        <w:rPr>
          <w:sz w:val="28"/>
          <w:lang w:val="en-US"/>
        </w:rPr>
      </w:pPr>
      <w:r>
        <w:rPr>
          <w:color w:val="1B1B1B"/>
          <w:sz w:val="28"/>
          <w:lang w:val="en-US"/>
        </w:rPr>
        <w:t xml:space="preserve">Olakowski M. </w:t>
      </w:r>
      <w:r>
        <w:rPr>
          <w:sz w:val="28"/>
          <w:lang w:val="en-US"/>
        </w:rPr>
        <w:t xml:space="preserve">et al. </w:t>
      </w:r>
      <w:r>
        <w:rPr>
          <w:color w:val="1B1B1B"/>
          <w:sz w:val="28"/>
          <w:lang w:val="en-US"/>
        </w:rPr>
        <w:t>Pancreaticojejunostomy-a review of modern techniques. Langenbecks Arch Surg. -2020.- №405(1).-</w:t>
      </w:r>
      <w:r>
        <w:rPr>
          <w:color w:val="1B1B1B"/>
          <w:sz w:val="28"/>
        </w:rPr>
        <w:t>Р</w:t>
      </w:r>
      <w:r>
        <w:rPr>
          <w:color w:val="1B1B1B"/>
          <w:sz w:val="28"/>
          <w:lang w:val="en-US"/>
        </w:rPr>
        <w:t>.13-22.</w:t>
      </w:r>
    </w:p>
    <w:p w14:paraId="685E27D9">
      <w:pPr>
        <w:pStyle w:val="10"/>
        <w:numPr>
          <w:ilvl w:val="0"/>
          <w:numId w:val="29"/>
        </w:numPr>
        <w:tabs>
          <w:tab w:val="left" w:pos="1560"/>
        </w:tabs>
        <w:ind w:left="0" w:right="3" w:firstLine="706"/>
        <w:rPr>
          <w:sz w:val="28"/>
        </w:rPr>
      </w:pPr>
      <w:r>
        <w:rPr>
          <w:color w:val="1B1B1B"/>
          <w:sz w:val="28"/>
          <w:lang w:val="en-US"/>
        </w:rPr>
        <w:t xml:space="preserve">Zhang S. </w:t>
      </w:r>
      <w:r>
        <w:rPr>
          <w:sz w:val="28"/>
          <w:lang w:val="en-US"/>
        </w:rPr>
        <w:t xml:space="preserve">et al. </w:t>
      </w:r>
      <w:r>
        <w:rPr>
          <w:color w:val="1B1B1B"/>
          <w:sz w:val="28"/>
          <w:lang w:val="en-US"/>
        </w:rPr>
        <w:t>Duct-to-mucosa versus invagination pancreaticojejunostomy</w:t>
      </w:r>
      <w:r>
        <w:rPr>
          <w:color w:val="1B1B1B"/>
          <w:spacing w:val="-3"/>
          <w:sz w:val="28"/>
          <w:lang w:val="en-US"/>
        </w:rPr>
        <w:t xml:space="preserve"> </w:t>
      </w:r>
      <w:r>
        <w:rPr>
          <w:color w:val="1B1B1B"/>
          <w:sz w:val="28"/>
          <w:lang w:val="en-US"/>
        </w:rPr>
        <w:t>after pancreaticoduodenectomy:</w:t>
      </w:r>
      <w:r>
        <w:rPr>
          <w:color w:val="1B1B1B"/>
          <w:spacing w:val="-3"/>
          <w:sz w:val="28"/>
          <w:lang w:val="en-US"/>
        </w:rPr>
        <w:t xml:space="preserve"> </w:t>
      </w:r>
      <w:r>
        <w:rPr>
          <w:color w:val="1B1B1B"/>
          <w:sz w:val="28"/>
          <w:lang w:val="en-US"/>
        </w:rPr>
        <w:t>a meta-analysis. Oncotarget.-2017.- №8(28).-</w:t>
      </w:r>
      <w:r>
        <w:rPr>
          <w:color w:val="1B1B1B"/>
          <w:sz w:val="28"/>
        </w:rPr>
        <w:t>Р</w:t>
      </w:r>
      <w:r>
        <w:rPr>
          <w:color w:val="1B1B1B"/>
          <w:sz w:val="28"/>
          <w:lang w:val="en-US"/>
        </w:rPr>
        <w:t xml:space="preserve">. </w:t>
      </w:r>
      <w:r>
        <w:rPr>
          <w:color w:val="1B1B1B"/>
          <w:sz w:val="28"/>
        </w:rPr>
        <w:t>46449-46460.</w:t>
      </w:r>
    </w:p>
    <w:p w14:paraId="7F2BA923">
      <w:pPr>
        <w:pStyle w:val="10"/>
        <w:numPr>
          <w:ilvl w:val="0"/>
          <w:numId w:val="29"/>
        </w:numPr>
        <w:tabs>
          <w:tab w:val="left" w:pos="1418"/>
        </w:tabs>
        <w:ind w:left="0" w:right="3" w:firstLine="706"/>
        <w:rPr>
          <w:sz w:val="28"/>
        </w:rPr>
      </w:pPr>
      <w:r>
        <w:rPr>
          <w:color w:val="202020"/>
          <w:sz w:val="28"/>
          <w:lang w:val="en-US"/>
        </w:rPr>
        <w:t xml:space="preserve">Wang W. </w:t>
      </w:r>
      <w:r>
        <w:rPr>
          <w:sz w:val="28"/>
          <w:lang w:val="en-US"/>
        </w:rPr>
        <w:t xml:space="preserve">et al. </w:t>
      </w:r>
      <w:r>
        <w:rPr>
          <w:color w:val="202020"/>
          <w:sz w:val="28"/>
          <w:lang w:val="en-US"/>
        </w:rPr>
        <w:t xml:space="preserve">The optimal choice for pancreatic anastomosis after pancreaticoduodenectomy: A network meta-analysis of randomized control trials. </w:t>
      </w:r>
      <w:r>
        <w:rPr>
          <w:color w:val="202020"/>
          <w:sz w:val="28"/>
        </w:rPr>
        <w:t>Int J Surg.- 2018.- №57.-Р. 111-116.</w:t>
      </w:r>
    </w:p>
    <w:p w14:paraId="4904A6D7">
      <w:pPr>
        <w:pStyle w:val="10"/>
        <w:numPr>
          <w:ilvl w:val="0"/>
          <w:numId w:val="29"/>
        </w:numPr>
        <w:tabs>
          <w:tab w:val="left" w:pos="1560"/>
        </w:tabs>
        <w:spacing w:line="242" w:lineRule="auto"/>
        <w:ind w:left="0" w:right="3" w:firstLine="706"/>
        <w:rPr>
          <w:sz w:val="28"/>
        </w:rPr>
      </w:pPr>
      <w:r>
        <w:rPr>
          <w:color w:val="202020"/>
          <w:sz w:val="28"/>
          <w:lang w:val="en-US"/>
        </w:rPr>
        <w:t xml:space="preserve">Senda Y. </w:t>
      </w:r>
      <w:r>
        <w:rPr>
          <w:sz w:val="28"/>
          <w:lang w:val="en-US"/>
        </w:rPr>
        <w:t xml:space="preserve">et al. </w:t>
      </w:r>
      <w:r>
        <w:rPr>
          <w:color w:val="202020"/>
          <w:sz w:val="28"/>
          <w:lang w:val="en-US"/>
        </w:rPr>
        <w:t>Randomized clinical trial of duct-to-mucosa versus invagination pancreaticojejunostomy after pancreatoduodenectomy. Br J Surg.- 2018.- №</w:t>
      </w:r>
      <w:r>
        <w:rPr>
          <w:color w:val="202020"/>
          <w:spacing w:val="-2"/>
          <w:sz w:val="28"/>
          <w:lang w:val="en-US"/>
        </w:rPr>
        <w:t xml:space="preserve">105(1).- </w:t>
      </w:r>
      <w:r>
        <w:rPr>
          <w:color w:val="202020"/>
          <w:spacing w:val="-2"/>
          <w:sz w:val="28"/>
        </w:rPr>
        <w:t>Р. 48-57.</w:t>
      </w:r>
    </w:p>
    <w:p w14:paraId="52815B26">
      <w:pPr>
        <w:pStyle w:val="10"/>
        <w:spacing w:line="242" w:lineRule="auto"/>
        <w:rPr>
          <w:sz w:val="28"/>
        </w:rPr>
        <w:sectPr>
          <w:pgSz w:w="11910" w:h="16840"/>
          <w:pgMar w:top="1134" w:right="567" w:bottom="1134" w:left="1701" w:header="0" w:footer="936" w:gutter="0"/>
          <w:cols w:space="720" w:num="1"/>
        </w:sectPr>
      </w:pPr>
    </w:p>
    <w:p w14:paraId="4792A0DD">
      <w:pPr>
        <w:pStyle w:val="10"/>
        <w:numPr>
          <w:ilvl w:val="0"/>
          <w:numId w:val="29"/>
        </w:numPr>
        <w:tabs>
          <w:tab w:val="left" w:pos="1418"/>
        </w:tabs>
        <w:spacing w:before="67"/>
        <w:ind w:left="0" w:right="3" w:firstLine="706"/>
        <w:rPr>
          <w:sz w:val="28"/>
        </w:rPr>
      </w:pPr>
      <w:r>
        <w:rPr>
          <w:color w:val="202020"/>
          <w:sz w:val="28"/>
          <w:lang w:val="en-US"/>
        </w:rPr>
        <w:t xml:space="preserve">Bai X. </w:t>
      </w:r>
      <w:r>
        <w:rPr>
          <w:sz w:val="28"/>
          <w:lang w:val="en-US"/>
        </w:rPr>
        <w:t xml:space="preserve">et al. </w:t>
      </w:r>
      <w:r>
        <w:rPr>
          <w:color w:val="202020"/>
          <w:sz w:val="28"/>
          <w:lang w:val="en-US"/>
        </w:rPr>
        <w:t>Duct-to-Mucosa vs Invagination for Pancreaticojejunostomy after Pancreaticoduodenectomy: A Prospective, Randomized Controlled Trial from a Single Surgeon. J Am Coll Surg. -2016.- №222(1).-</w:t>
      </w:r>
      <w:r>
        <w:rPr>
          <w:color w:val="202020"/>
          <w:sz w:val="28"/>
        </w:rPr>
        <w:t>Р</w:t>
      </w:r>
      <w:r>
        <w:rPr>
          <w:color w:val="202020"/>
          <w:sz w:val="28"/>
          <w:lang w:val="en-US"/>
        </w:rPr>
        <w:t xml:space="preserve">. </w:t>
      </w:r>
      <w:r>
        <w:rPr>
          <w:color w:val="202020"/>
          <w:sz w:val="28"/>
        </w:rPr>
        <w:t>8-10.</w:t>
      </w:r>
    </w:p>
    <w:p w14:paraId="5F3212E1">
      <w:pPr>
        <w:pStyle w:val="10"/>
        <w:numPr>
          <w:ilvl w:val="0"/>
          <w:numId w:val="29"/>
        </w:numPr>
        <w:spacing w:line="242" w:lineRule="auto"/>
        <w:ind w:left="0" w:right="3" w:firstLine="706"/>
        <w:rPr>
          <w:sz w:val="28"/>
        </w:rPr>
      </w:pPr>
      <w:r>
        <w:rPr>
          <w:sz w:val="28"/>
          <w:lang w:val="en-US"/>
        </w:rPr>
        <w:t>Ratnayake</w:t>
      </w:r>
      <w:r>
        <w:rPr>
          <w:spacing w:val="-7"/>
          <w:sz w:val="28"/>
          <w:lang w:val="en-US"/>
        </w:rPr>
        <w:t xml:space="preserve"> </w:t>
      </w:r>
      <w:r>
        <w:rPr>
          <w:sz w:val="28"/>
          <w:lang w:val="en-US"/>
        </w:rPr>
        <w:t>CBB.</w:t>
      </w:r>
      <w:r>
        <w:rPr>
          <w:spacing w:val="-3"/>
          <w:sz w:val="28"/>
          <w:lang w:val="en-US"/>
        </w:rPr>
        <w:t xml:space="preserve"> </w:t>
      </w:r>
      <w:r>
        <w:rPr>
          <w:sz w:val="28"/>
          <w:lang w:val="en-US"/>
        </w:rPr>
        <w:t>et</w:t>
      </w:r>
      <w:r>
        <w:rPr>
          <w:spacing w:val="-8"/>
          <w:sz w:val="28"/>
          <w:lang w:val="en-US"/>
        </w:rPr>
        <w:t xml:space="preserve"> </w:t>
      </w:r>
      <w:r>
        <w:rPr>
          <w:sz w:val="28"/>
          <w:lang w:val="en-US"/>
        </w:rPr>
        <w:t>al.</w:t>
      </w:r>
      <w:r>
        <w:rPr>
          <w:spacing w:val="-4"/>
          <w:sz w:val="28"/>
          <w:lang w:val="en-US"/>
        </w:rPr>
        <w:t xml:space="preserve"> </w:t>
      </w:r>
      <w:r>
        <w:rPr>
          <w:sz w:val="28"/>
          <w:lang w:val="en-US"/>
        </w:rPr>
        <w:t>Critical</w:t>
      </w:r>
      <w:r>
        <w:rPr>
          <w:spacing w:val="-13"/>
          <w:sz w:val="28"/>
          <w:lang w:val="en-US"/>
        </w:rPr>
        <w:t xml:space="preserve"> </w:t>
      </w:r>
      <w:r>
        <w:rPr>
          <w:sz w:val="28"/>
          <w:lang w:val="en-US"/>
        </w:rPr>
        <w:t>appraisal</w:t>
      </w:r>
      <w:r>
        <w:rPr>
          <w:spacing w:val="-13"/>
          <w:sz w:val="28"/>
          <w:lang w:val="en-US"/>
        </w:rPr>
        <w:t xml:space="preserve"> </w:t>
      </w:r>
      <w:r>
        <w:rPr>
          <w:sz w:val="28"/>
          <w:lang w:val="en-US"/>
        </w:rPr>
        <w:t>of</w:t>
      </w:r>
      <w:r>
        <w:rPr>
          <w:spacing w:val="-14"/>
          <w:sz w:val="28"/>
          <w:lang w:val="en-US"/>
        </w:rPr>
        <w:t xml:space="preserve"> </w:t>
      </w:r>
      <w:r>
        <w:rPr>
          <w:sz w:val="28"/>
          <w:lang w:val="en-US"/>
        </w:rPr>
        <w:t>the</w:t>
      </w:r>
      <w:r>
        <w:rPr>
          <w:spacing w:val="-7"/>
          <w:sz w:val="28"/>
          <w:lang w:val="en-US"/>
        </w:rPr>
        <w:t xml:space="preserve"> </w:t>
      </w:r>
      <w:r>
        <w:rPr>
          <w:sz w:val="28"/>
          <w:lang w:val="en-US"/>
        </w:rPr>
        <w:t>techniques</w:t>
      </w:r>
      <w:r>
        <w:rPr>
          <w:spacing w:val="-5"/>
          <w:sz w:val="28"/>
          <w:lang w:val="en-US"/>
        </w:rPr>
        <w:t xml:space="preserve"> </w:t>
      </w:r>
      <w:r>
        <w:rPr>
          <w:sz w:val="28"/>
          <w:lang w:val="en-US"/>
        </w:rPr>
        <w:t>of</w:t>
      </w:r>
      <w:r>
        <w:rPr>
          <w:spacing w:val="-14"/>
          <w:sz w:val="28"/>
          <w:lang w:val="en-US"/>
        </w:rPr>
        <w:t xml:space="preserve"> </w:t>
      </w:r>
      <w:r>
        <w:rPr>
          <w:sz w:val="28"/>
          <w:lang w:val="en-US"/>
        </w:rPr>
        <w:t>pancreatic anastomosis following pancreaticoduodenectomy: A network meta-analysis. Int J Surg. -2020.- №73.-</w:t>
      </w:r>
      <w:r>
        <w:rPr>
          <w:sz w:val="28"/>
        </w:rPr>
        <w:t>Р</w:t>
      </w:r>
      <w:r>
        <w:rPr>
          <w:sz w:val="28"/>
          <w:lang w:val="en-US"/>
        </w:rPr>
        <w:t xml:space="preserve">. </w:t>
      </w:r>
      <w:r>
        <w:rPr>
          <w:sz w:val="28"/>
        </w:rPr>
        <w:t>72-77.</w:t>
      </w:r>
    </w:p>
    <w:p w14:paraId="1F0B1E5A">
      <w:pPr>
        <w:pStyle w:val="10"/>
        <w:numPr>
          <w:ilvl w:val="0"/>
          <w:numId w:val="29"/>
        </w:numPr>
        <w:tabs>
          <w:tab w:val="left" w:pos="1418"/>
        </w:tabs>
        <w:ind w:left="0" w:right="3" w:firstLine="706"/>
        <w:rPr>
          <w:sz w:val="28"/>
          <w:lang w:val="en-US"/>
        </w:rPr>
      </w:pPr>
      <w:r>
        <w:rPr>
          <w:sz w:val="28"/>
          <w:lang w:val="en-US"/>
        </w:rPr>
        <w:t xml:space="preserve">Mishra PK. et al. Blumgart's technique of pancreaticojejunostomy: an appraisal. Dig Surg. -2011.- №28(4).-281 </w:t>
      </w:r>
      <w:r>
        <w:rPr>
          <w:sz w:val="28"/>
        </w:rPr>
        <w:t>р</w:t>
      </w:r>
      <w:r>
        <w:rPr>
          <w:sz w:val="28"/>
          <w:lang w:val="en-US"/>
        </w:rPr>
        <w:t>.</w:t>
      </w:r>
    </w:p>
    <w:p w14:paraId="089829A8">
      <w:pPr>
        <w:pStyle w:val="10"/>
        <w:numPr>
          <w:ilvl w:val="0"/>
          <w:numId w:val="29"/>
        </w:numPr>
        <w:tabs>
          <w:tab w:val="left" w:pos="1418"/>
        </w:tabs>
        <w:ind w:left="0" w:right="3" w:firstLine="706"/>
        <w:rPr>
          <w:sz w:val="28"/>
        </w:rPr>
      </w:pPr>
      <w:r>
        <w:rPr>
          <w:sz w:val="28"/>
          <w:lang w:val="en-US"/>
        </w:rPr>
        <w:t>Cao F. et al. Meta-analysis of modified Blumgart anastomosis and interrupted transpancreatic suture in pancreaticojejunostomy after pancreaticoduodenectomy. Asian J Surg. -2020.- №43(11).-</w:t>
      </w:r>
      <w:r>
        <w:rPr>
          <w:sz w:val="28"/>
        </w:rPr>
        <w:t>Р</w:t>
      </w:r>
      <w:r>
        <w:rPr>
          <w:sz w:val="28"/>
          <w:lang w:val="en-US"/>
        </w:rPr>
        <w:t xml:space="preserve">. </w:t>
      </w:r>
      <w:r>
        <w:rPr>
          <w:sz w:val="28"/>
        </w:rPr>
        <w:t>1056-1061.</w:t>
      </w:r>
    </w:p>
    <w:p w14:paraId="5082C608">
      <w:pPr>
        <w:pStyle w:val="10"/>
        <w:numPr>
          <w:ilvl w:val="0"/>
          <w:numId w:val="29"/>
        </w:numPr>
        <w:tabs>
          <w:tab w:val="left" w:pos="1276"/>
        </w:tabs>
        <w:ind w:left="0" w:right="3" w:firstLine="706"/>
        <w:rPr>
          <w:sz w:val="28"/>
          <w:lang w:val="en-US"/>
        </w:rPr>
      </w:pPr>
      <w:r>
        <w:rPr>
          <w:sz w:val="28"/>
          <w:lang w:val="en-US"/>
        </w:rPr>
        <w:t>Kawai M. et al. Randomized Controlled Trial of Pancreaticojejunostomy versus</w:t>
      </w:r>
      <w:r>
        <w:rPr>
          <w:spacing w:val="-2"/>
          <w:sz w:val="28"/>
          <w:lang w:val="en-US"/>
        </w:rPr>
        <w:t xml:space="preserve"> </w:t>
      </w:r>
      <w:r>
        <w:rPr>
          <w:sz w:val="28"/>
          <w:lang w:val="en-US"/>
        </w:rPr>
        <w:t>Stapler</w:t>
      </w:r>
      <w:r>
        <w:rPr>
          <w:spacing w:val="-4"/>
          <w:sz w:val="28"/>
          <w:lang w:val="en-US"/>
        </w:rPr>
        <w:t xml:space="preserve"> </w:t>
      </w:r>
      <w:r>
        <w:rPr>
          <w:sz w:val="28"/>
          <w:lang w:val="en-US"/>
        </w:rPr>
        <w:t>Closure</w:t>
      </w:r>
      <w:r>
        <w:rPr>
          <w:spacing w:val="-3"/>
          <w:sz w:val="28"/>
          <w:lang w:val="en-US"/>
        </w:rPr>
        <w:t xml:space="preserve"> </w:t>
      </w:r>
      <w:r>
        <w:rPr>
          <w:sz w:val="28"/>
          <w:lang w:val="en-US"/>
        </w:rPr>
        <w:t>of</w:t>
      </w:r>
      <w:r>
        <w:rPr>
          <w:spacing w:val="-10"/>
          <w:sz w:val="28"/>
          <w:lang w:val="en-US"/>
        </w:rPr>
        <w:t xml:space="preserve"> </w:t>
      </w:r>
      <w:r>
        <w:rPr>
          <w:sz w:val="28"/>
          <w:lang w:val="en-US"/>
        </w:rPr>
        <w:t>the</w:t>
      </w:r>
      <w:r>
        <w:rPr>
          <w:spacing w:val="-3"/>
          <w:sz w:val="28"/>
          <w:lang w:val="en-US"/>
        </w:rPr>
        <w:t xml:space="preserve"> </w:t>
      </w:r>
      <w:r>
        <w:rPr>
          <w:sz w:val="28"/>
          <w:lang w:val="en-US"/>
        </w:rPr>
        <w:t>Pancreatic</w:t>
      </w:r>
      <w:r>
        <w:rPr>
          <w:spacing w:val="-3"/>
          <w:sz w:val="28"/>
          <w:lang w:val="en-US"/>
        </w:rPr>
        <w:t xml:space="preserve"> </w:t>
      </w:r>
      <w:r>
        <w:rPr>
          <w:sz w:val="28"/>
          <w:lang w:val="en-US"/>
        </w:rPr>
        <w:t>Stump</w:t>
      </w:r>
      <w:r>
        <w:rPr>
          <w:spacing w:val="-4"/>
          <w:sz w:val="28"/>
          <w:lang w:val="en-US"/>
        </w:rPr>
        <w:t xml:space="preserve"> </w:t>
      </w:r>
      <w:r>
        <w:rPr>
          <w:sz w:val="28"/>
          <w:lang w:val="en-US"/>
        </w:rPr>
        <w:t>During</w:t>
      </w:r>
      <w:r>
        <w:rPr>
          <w:spacing w:val="-4"/>
          <w:sz w:val="28"/>
          <w:lang w:val="en-US"/>
        </w:rPr>
        <w:t xml:space="preserve"> </w:t>
      </w:r>
      <w:r>
        <w:rPr>
          <w:sz w:val="28"/>
          <w:lang w:val="en-US"/>
        </w:rPr>
        <w:t xml:space="preserve">Distal Pancreatectomy to Reduce Pancreatic Fistula. Ann Surg. -2016.- №264(1).-180 </w:t>
      </w:r>
      <w:r>
        <w:rPr>
          <w:sz w:val="28"/>
        </w:rPr>
        <w:t>р</w:t>
      </w:r>
      <w:r>
        <w:rPr>
          <w:sz w:val="28"/>
          <w:lang w:val="en-US"/>
        </w:rPr>
        <w:t>.</w:t>
      </w:r>
    </w:p>
    <w:p w14:paraId="43F3FCFE">
      <w:pPr>
        <w:pStyle w:val="10"/>
        <w:numPr>
          <w:ilvl w:val="0"/>
          <w:numId w:val="29"/>
        </w:numPr>
        <w:tabs>
          <w:tab w:val="left" w:pos="1418"/>
        </w:tabs>
        <w:ind w:left="0" w:right="3" w:firstLine="706"/>
        <w:rPr>
          <w:sz w:val="28"/>
        </w:rPr>
      </w:pPr>
      <w:r>
        <w:rPr>
          <w:sz w:val="28"/>
          <w:lang w:val="en-US"/>
        </w:rPr>
        <w:t>Casadei R. et al. Comparison of Blumgart Anastomosis with Duct-to- Mucosa Anastomosis and Invagination Pancreaticojejunostomy After Pancreaticoduodenectomy: A Single-Center Propensity Score Matching Analysis. J Gastrointest Surg. -2021.- №25(2).-</w:t>
      </w:r>
      <w:r>
        <w:rPr>
          <w:sz w:val="28"/>
        </w:rPr>
        <w:t>Р</w:t>
      </w:r>
      <w:r>
        <w:rPr>
          <w:sz w:val="28"/>
          <w:lang w:val="en-US"/>
        </w:rPr>
        <w:t xml:space="preserve">. </w:t>
      </w:r>
      <w:r>
        <w:rPr>
          <w:sz w:val="28"/>
        </w:rPr>
        <w:t>411-420.</w:t>
      </w:r>
    </w:p>
    <w:p w14:paraId="023D7F2F">
      <w:pPr>
        <w:pStyle w:val="10"/>
        <w:numPr>
          <w:ilvl w:val="0"/>
          <w:numId w:val="29"/>
        </w:numPr>
        <w:tabs>
          <w:tab w:val="left" w:pos="1418"/>
        </w:tabs>
        <w:ind w:left="0" w:right="3" w:firstLine="706"/>
        <w:rPr>
          <w:sz w:val="28"/>
          <w:lang w:val="en-US"/>
        </w:rPr>
      </w:pPr>
      <w:r>
        <w:rPr>
          <w:sz w:val="28"/>
          <w:lang w:val="en-US"/>
        </w:rPr>
        <w:t>He YG. et al. Association of a Modified Blumgart Anastomosis With the Incidence of Pancreatic Fistula and Operation Time After Laparoscopic Pancreatoduodenectomy: A Cohort Study. Frontiers in Surgery. -2022.-</w:t>
      </w:r>
      <w:r>
        <w:rPr>
          <w:sz w:val="28"/>
          <w:lang w:val="kk-KZ"/>
        </w:rPr>
        <w:t xml:space="preserve"> </w:t>
      </w:r>
      <w:r>
        <w:rPr>
          <w:sz w:val="28"/>
          <w:lang w:val="en-US"/>
        </w:rPr>
        <w:t>№9.-</w:t>
      </w:r>
      <w:r>
        <w:rPr>
          <w:sz w:val="28"/>
        </w:rPr>
        <w:t>Р</w:t>
      </w:r>
      <w:r>
        <w:rPr>
          <w:sz w:val="28"/>
          <w:lang w:val="en-US"/>
        </w:rPr>
        <w:t>.93-110.</w:t>
      </w:r>
    </w:p>
    <w:p w14:paraId="0C44D890">
      <w:pPr>
        <w:pStyle w:val="10"/>
        <w:numPr>
          <w:ilvl w:val="0"/>
          <w:numId w:val="29"/>
        </w:numPr>
        <w:tabs>
          <w:tab w:val="left" w:pos="1418"/>
        </w:tabs>
        <w:ind w:left="0" w:right="3" w:firstLine="706"/>
        <w:rPr>
          <w:sz w:val="28"/>
          <w:lang w:val="en-US"/>
        </w:rPr>
      </w:pPr>
      <w:r>
        <w:rPr>
          <w:sz w:val="28"/>
          <w:lang w:val="en-US"/>
        </w:rPr>
        <w:t>Motoi F. et al. Randomized clinical trial of external stent drainage of the pancreatic duct to reduce postoperative pancreatic fistula after pancreaticojejunostomy</w:t>
      </w:r>
      <w:r>
        <w:rPr>
          <w:sz w:val="28"/>
          <w:lang w:val="kk-KZ"/>
        </w:rPr>
        <w:t xml:space="preserve"> //</w:t>
      </w:r>
      <w:r>
        <w:rPr>
          <w:sz w:val="28"/>
          <w:lang w:val="en-US"/>
        </w:rPr>
        <w:t xml:space="preserve"> Br J Surg. </w:t>
      </w:r>
      <w:r>
        <w:rPr>
          <w:sz w:val="28"/>
          <w:lang w:val="kk-KZ"/>
        </w:rPr>
        <w:t xml:space="preserve">- </w:t>
      </w:r>
      <w:r>
        <w:rPr>
          <w:sz w:val="28"/>
          <w:lang w:val="en-US"/>
        </w:rPr>
        <w:t>2012</w:t>
      </w:r>
      <w:r>
        <w:rPr>
          <w:sz w:val="28"/>
          <w:lang w:val="kk-KZ"/>
        </w:rPr>
        <w:t>. - №</w:t>
      </w:r>
      <w:r>
        <w:rPr>
          <w:sz w:val="28"/>
          <w:lang w:val="en-US"/>
        </w:rPr>
        <w:t>99(4)</w:t>
      </w:r>
      <w:r>
        <w:rPr>
          <w:sz w:val="28"/>
          <w:lang w:val="kk-KZ"/>
        </w:rPr>
        <w:t>. – Р.</w:t>
      </w:r>
      <w:r>
        <w:rPr>
          <w:sz w:val="28"/>
          <w:lang w:val="en-US"/>
        </w:rPr>
        <w:t>524-31.</w:t>
      </w:r>
    </w:p>
    <w:p w14:paraId="4834BF6A">
      <w:pPr>
        <w:pStyle w:val="10"/>
        <w:numPr>
          <w:ilvl w:val="0"/>
          <w:numId w:val="29"/>
        </w:numPr>
        <w:tabs>
          <w:tab w:val="left" w:pos="1839"/>
        </w:tabs>
        <w:ind w:left="0" w:right="3" w:firstLine="706"/>
        <w:rPr>
          <w:sz w:val="28"/>
        </w:rPr>
      </w:pPr>
      <w:r>
        <w:rPr>
          <w:sz w:val="28"/>
          <w:lang w:val="en-US"/>
        </w:rPr>
        <w:t xml:space="preserve">Zhao Y. et al. Are Internal or External Pancreatic Duct Stents the Preferred Choice for Patients Undergoing Pancreaticoduodenectomy? </w:t>
      </w:r>
      <w:r>
        <w:rPr>
          <w:sz w:val="28"/>
        </w:rPr>
        <w:t>A Meta- Analysis. Biomed Res Int.- 2017.- №13.-Р. 23-28.</w:t>
      </w:r>
    </w:p>
    <w:p w14:paraId="2AA031B2">
      <w:pPr>
        <w:pStyle w:val="10"/>
        <w:numPr>
          <w:ilvl w:val="0"/>
          <w:numId w:val="29"/>
        </w:numPr>
        <w:tabs>
          <w:tab w:val="left" w:pos="1418"/>
        </w:tabs>
        <w:spacing w:line="242" w:lineRule="auto"/>
        <w:ind w:left="0" w:right="3" w:firstLine="706"/>
        <w:rPr>
          <w:sz w:val="28"/>
          <w:lang w:val="en-US"/>
        </w:rPr>
      </w:pPr>
      <w:r>
        <w:rPr>
          <w:sz w:val="28"/>
          <w:lang w:val="en-US"/>
        </w:rPr>
        <w:t>Ke FY. et al. Comparison of postoperative complications between internal and external pancreatic duct stenting during pancreaticoduodenectomy: a meta-analysis. Chin J Cancer Res .-2015.- №27(4).-</w:t>
      </w:r>
      <w:r>
        <w:rPr>
          <w:sz w:val="28"/>
        </w:rPr>
        <w:t>Р</w:t>
      </w:r>
      <w:r>
        <w:rPr>
          <w:sz w:val="28"/>
          <w:lang w:val="en-US"/>
        </w:rPr>
        <w:t>.397-407.</w:t>
      </w:r>
    </w:p>
    <w:p w14:paraId="5E9F4F4E">
      <w:pPr>
        <w:pStyle w:val="10"/>
        <w:numPr>
          <w:ilvl w:val="0"/>
          <w:numId w:val="29"/>
        </w:numPr>
        <w:tabs>
          <w:tab w:val="left" w:pos="1276"/>
        </w:tabs>
        <w:ind w:left="0" w:right="3" w:firstLine="706"/>
        <w:rPr>
          <w:sz w:val="28"/>
        </w:rPr>
      </w:pPr>
      <w:r>
        <w:rPr>
          <w:sz w:val="28"/>
          <w:lang w:val="en-US"/>
        </w:rPr>
        <w:t>Jiang Y. et al. The Prognostic Value of</w:t>
      </w:r>
      <w:r>
        <w:rPr>
          <w:spacing w:val="-2"/>
          <w:sz w:val="28"/>
          <w:lang w:val="en-US"/>
        </w:rPr>
        <w:t xml:space="preserve"> </w:t>
      </w:r>
      <w:r>
        <w:rPr>
          <w:sz w:val="28"/>
          <w:lang w:val="en-US"/>
        </w:rPr>
        <w:t>External</w:t>
      </w:r>
      <w:r>
        <w:rPr>
          <w:spacing w:val="-3"/>
          <w:sz w:val="28"/>
          <w:lang w:val="en-US"/>
        </w:rPr>
        <w:t xml:space="preserve"> </w:t>
      </w:r>
      <w:r>
        <w:rPr>
          <w:i/>
          <w:sz w:val="28"/>
          <w:lang w:val="en-US"/>
        </w:rPr>
        <w:t>vs</w:t>
      </w:r>
      <w:r>
        <w:rPr>
          <w:i/>
          <w:spacing w:val="-2"/>
          <w:sz w:val="28"/>
          <w:lang w:val="en-US"/>
        </w:rPr>
        <w:t xml:space="preserve"> </w:t>
      </w:r>
      <w:r>
        <w:rPr>
          <w:sz w:val="28"/>
          <w:lang w:val="en-US"/>
        </w:rPr>
        <w:t xml:space="preserve">Internal Pancreatic Duct Stents in CR-POPF after Pancreaticoduodenectomy: A Systematic Review and Meta-analysis. </w:t>
      </w:r>
      <w:r>
        <w:rPr>
          <w:sz w:val="28"/>
        </w:rPr>
        <w:t>J Invest Surg. -2021.- №34(7).-Р.738-746.</w:t>
      </w:r>
    </w:p>
    <w:p w14:paraId="20B254C8">
      <w:pPr>
        <w:pStyle w:val="10"/>
        <w:numPr>
          <w:ilvl w:val="0"/>
          <w:numId w:val="29"/>
        </w:numPr>
        <w:ind w:left="0" w:right="3" w:firstLine="706"/>
        <w:rPr>
          <w:sz w:val="28"/>
        </w:rPr>
      </w:pPr>
      <w:r>
        <w:rPr>
          <w:sz w:val="28"/>
          <w:lang w:val="en-US"/>
        </w:rPr>
        <w:t xml:space="preserve">Andrianello S. et al. Pancreaticojejunostomy With Externalized Stent vs Pancreaticogastrostomy With Externalized Stent for Patients With High-Risk Pancreatic Anastomosis: A Single-Center, Phase 3, Randomized Clinical Trial. </w:t>
      </w:r>
      <w:r>
        <w:rPr>
          <w:lang w:val="en-US"/>
        </w:rPr>
        <w:t>JAMA Surg. -</w:t>
      </w:r>
      <w:r>
        <w:rPr>
          <w:sz w:val="28"/>
          <w:lang w:val="en-US"/>
        </w:rPr>
        <w:t xml:space="preserve">2020.- </w:t>
      </w:r>
      <w:r>
        <w:rPr>
          <w:sz w:val="28"/>
        </w:rPr>
        <w:t>№155(4).-Р. 313–321.</w:t>
      </w:r>
    </w:p>
    <w:p w14:paraId="746B3047">
      <w:pPr>
        <w:pStyle w:val="10"/>
        <w:numPr>
          <w:ilvl w:val="0"/>
          <w:numId w:val="29"/>
        </w:numPr>
        <w:tabs>
          <w:tab w:val="left" w:pos="1418"/>
        </w:tabs>
        <w:ind w:left="0" w:right="3" w:firstLine="706"/>
        <w:rPr>
          <w:sz w:val="28"/>
          <w:lang w:val="en-US"/>
        </w:rPr>
      </w:pPr>
      <w:r>
        <w:rPr>
          <w:sz w:val="28"/>
          <w:lang w:val="en-US"/>
        </w:rPr>
        <w:t xml:space="preserve">Parray A.M. et al. Mitigation strategies for postoperative pancreatic fistula in high-risk pancreatic anastomoses: a structured review // Chinese Clinical Oncology. - 2022. - Vol. 11, № 1.- 6 </w:t>
      </w:r>
      <w:r>
        <w:rPr>
          <w:sz w:val="28"/>
        </w:rPr>
        <w:t>р</w:t>
      </w:r>
      <w:r>
        <w:rPr>
          <w:sz w:val="28"/>
          <w:lang w:val="en-US"/>
        </w:rPr>
        <w:t>.</w:t>
      </w:r>
    </w:p>
    <w:p w14:paraId="4F2819C4">
      <w:pPr>
        <w:pStyle w:val="10"/>
        <w:numPr>
          <w:ilvl w:val="0"/>
          <w:numId w:val="29"/>
        </w:numPr>
        <w:tabs>
          <w:tab w:val="left" w:pos="1418"/>
        </w:tabs>
        <w:ind w:left="0" w:right="3" w:firstLine="706"/>
        <w:rPr>
          <w:sz w:val="28"/>
        </w:rPr>
      </w:pPr>
      <w:r>
        <w:rPr>
          <w:color w:val="202020"/>
          <w:sz w:val="28"/>
          <w:lang w:val="en-US"/>
        </w:rPr>
        <w:t xml:space="preserve">Pedrazzoli S. Pancreatoduodenectomy (PD) and postoperative pancreatic fistula (POPF): A systematic review and analysis of the POPF-related mortality rate in 60,739 patients retrieved from the English literature published between 1990 and 2015. </w:t>
      </w:r>
      <w:r>
        <w:rPr>
          <w:color w:val="202020"/>
          <w:sz w:val="28"/>
        </w:rPr>
        <w:t>Medicine (Baltimore). -2017.- №96(19).-Р.58-68.</w:t>
      </w:r>
    </w:p>
    <w:p w14:paraId="5071455A">
      <w:pPr>
        <w:pStyle w:val="10"/>
        <w:rPr>
          <w:sz w:val="28"/>
        </w:rPr>
        <w:sectPr>
          <w:pgSz w:w="11910" w:h="16840"/>
          <w:pgMar w:top="1134" w:right="567" w:bottom="1134" w:left="1701" w:header="0" w:footer="936" w:gutter="0"/>
          <w:cols w:space="720" w:num="1"/>
        </w:sectPr>
      </w:pPr>
    </w:p>
    <w:p w14:paraId="247E5CAC">
      <w:pPr>
        <w:pStyle w:val="10"/>
        <w:numPr>
          <w:ilvl w:val="0"/>
          <w:numId w:val="29"/>
        </w:numPr>
        <w:tabs>
          <w:tab w:val="left" w:pos="1418"/>
        </w:tabs>
        <w:spacing w:before="67"/>
        <w:ind w:left="0" w:right="3" w:firstLine="709"/>
        <w:rPr>
          <w:sz w:val="28"/>
          <w:lang w:val="en-US"/>
        </w:rPr>
      </w:pPr>
      <w:r>
        <w:rPr>
          <w:sz w:val="28"/>
          <w:lang w:val="en-US"/>
        </w:rPr>
        <w:t xml:space="preserve">Al-Shehari M.A. </w:t>
      </w:r>
      <w:r>
        <w:rPr>
          <w:color w:val="333333"/>
          <w:sz w:val="28"/>
          <w:lang w:val="en-US"/>
        </w:rPr>
        <w:t xml:space="preserve">et al. </w:t>
      </w:r>
      <w:r>
        <w:rPr>
          <w:sz w:val="28"/>
          <w:lang w:val="en-US"/>
        </w:rPr>
        <w:t>Outcomes of pancreatic fistula after pancreaticoduodenectomy: impact on morbidity and mortality // Sana’a University Journal of Medical and Health Sciences. - 2023. - Vol. 17, № 2. - P. 59–67.</w:t>
      </w:r>
    </w:p>
    <w:p w14:paraId="1EB5F732">
      <w:pPr>
        <w:pStyle w:val="10"/>
        <w:numPr>
          <w:ilvl w:val="0"/>
          <w:numId w:val="29"/>
        </w:numPr>
        <w:tabs>
          <w:tab w:val="left" w:pos="1418"/>
        </w:tabs>
        <w:spacing w:line="242" w:lineRule="auto"/>
        <w:ind w:left="0" w:right="3" w:firstLine="709"/>
        <w:rPr>
          <w:sz w:val="28"/>
          <w:lang w:val="en-US"/>
        </w:rPr>
      </w:pPr>
      <w:r>
        <w:rPr>
          <w:color w:val="202020"/>
          <w:sz w:val="28"/>
          <w:lang w:val="en-US"/>
        </w:rPr>
        <w:t xml:space="preserve">Ecker BL. </w:t>
      </w:r>
      <w:r>
        <w:rPr>
          <w:color w:val="333333"/>
          <w:sz w:val="28"/>
          <w:lang w:val="en-US"/>
        </w:rPr>
        <w:t xml:space="preserve">et al. </w:t>
      </w:r>
      <w:r>
        <w:rPr>
          <w:color w:val="202020"/>
          <w:sz w:val="28"/>
          <w:lang w:val="en-US"/>
        </w:rPr>
        <w:t>Characterization and Optimal Management of High- risk Pancreatic Anastomoses During Pancreatoduodenectomy</w:t>
      </w:r>
      <w:r>
        <w:rPr>
          <w:color w:val="202020"/>
          <w:sz w:val="28"/>
          <w:lang w:val="kk-KZ"/>
        </w:rPr>
        <w:t xml:space="preserve"> //</w:t>
      </w:r>
      <w:r>
        <w:rPr>
          <w:color w:val="202020"/>
          <w:sz w:val="28"/>
          <w:lang w:val="en-US"/>
        </w:rPr>
        <w:t xml:space="preserve"> Ann Surg. -2018.- №</w:t>
      </w:r>
      <w:r>
        <w:rPr>
          <w:color w:val="202020"/>
          <w:spacing w:val="-2"/>
          <w:sz w:val="28"/>
          <w:lang w:val="en-US"/>
        </w:rPr>
        <w:t xml:space="preserve">267(4).- </w:t>
      </w:r>
      <w:r>
        <w:rPr>
          <w:color w:val="202020"/>
          <w:spacing w:val="-2"/>
          <w:sz w:val="28"/>
        </w:rPr>
        <w:t>Р</w:t>
      </w:r>
      <w:r>
        <w:rPr>
          <w:color w:val="202020"/>
          <w:spacing w:val="-2"/>
          <w:sz w:val="28"/>
          <w:lang w:val="en-US"/>
        </w:rPr>
        <w:t>. 608-616.</w:t>
      </w:r>
    </w:p>
    <w:p w14:paraId="45D9024B">
      <w:pPr>
        <w:pStyle w:val="10"/>
        <w:numPr>
          <w:ilvl w:val="0"/>
          <w:numId w:val="29"/>
        </w:numPr>
        <w:ind w:left="0" w:right="3" w:firstLine="709"/>
        <w:rPr>
          <w:sz w:val="28"/>
        </w:rPr>
      </w:pPr>
      <w:r>
        <w:rPr>
          <w:color w:val="202020"/>
          <w:sz w:val="28"/>
          <w:lang w:val="en-US"/>
        </w:rPr>
        <w:t xml:space="preserve">De Pastena M. </w:t>
      </w:r>
      <w:r>
        <w:rPr>
          <w:color w:val="333333"/>
          <w:sz w:val="28"/>
          <w:lang w:val="en-US"/>
        </w:rPr>
        <w:t xml:space="preserve">et al. </w:t>
      </w:r>
      <w:r>
        <w:rPr>
          <w:color w:val="202020"/>
          <w:sz w:val="28"/>
          <w:lang w:val="en-US"/>
        </w:rPr>
        <w:t>Laparoscopic Pancreatoduodenectomy With Modified Blumgart Pancreaticojejunostomy. J Vis Exp. -2018.- №(136).-</w:t>
      </w:r>
      <w:r>
        <w:rPr>
          <w:color w:val="202020"/>
          <w:sz w:val="28"/>
        </w:rPr>
        <w:t>Р</w:t>
      </w:r>
      <w:r>
        <w:rPr>
          <w:color w:val="202020"/>
          <w:sz w:val="28"/>
          <w:lang w:val="en-US"/>
        </w:rPr>
        <w:t xml:space="preserve">. </w:t>
      </w:r>
      <w:r>
        <w:rPr>
          <w:color w:val="202020"/>
          <w:sz w:val="28"/>
        </w:rPr>
        <w:t>56-81.</w:t>
      </w:r>
    </w:p>
    <w:p w14:paraId="3139DBE0">
      <w:pPr>
        <w:pStyle w:val="10"/>
        <w:numPr>
          <w:ilvl w:val="0"/>
          <w:numId w:val="29"/>
        </w:numPr>
        <w:tabs>
          <w:tab w:val="left" w:pos="1418"/>
        </w:tabs>
        <w:ind w:left="0" w:right="3" w:firstLine="709"/>
        <w:rPr>
          <w:sz w:val="28"/>
        </w:rPr>
      </w:pPr>
      <w:r>
        <w:rPr>
          <w:sz w:val="28"/>
          <w:lang w:val="en-US"/>
        </w:rPr>
        <w:t xml:space="preserve">Qian S. </w:t>
      </w:r>
      <w:r>
        <w:rPr>
          <w:color w:val="333333"/>
          <w:sz w:val="28"/>
          <w:lang w:val="en-US"/>
        </w:rPr>
        <w:t xml:space="preserve">et al. </w:t>
      </w:r>
      <w:r>
        <w:rPr>
          <w:sz w:val="28"/>
          <w:lang w:val="en-US"/>
        </w:rPr>
        <w:t xml:space="preserve">A Step-By-Step Guide for Robotic Blumgart Pancreaticojejunostomy. </w:t>
      </w:r>
      <w:r>
        <w:rPr>
          <w:sz w:val="28"/>
        </w:rPr>
        <w:t>J. Clin. Med. -2025.- № 14.-Р. 44-71.</w:t>
      </w:r>
    </w:p>
    <w:p w14:paraId="13B4F80B">
      <w:pPr>
        <w:pStyle w:val="10"/>
        <w:numPr>
          <w:ilvl w:val="0"/>
          <w:numId w:val="29"/>
        </w:numPr>
        <w:tabs>
          <w:tab w:val="left" w:pos="1418"/>
        </w:tabs>
        <w:ind w:left="0" w:right="3" w:firstLine="709"/>
        <w:rPr>
          <w:sz w:val="28"/>
          <w:lang w:val="en-US"/>
        </w:rPr>
      </w:pPr>
      <w:r>
        <w:rPr>
          <w:color w:val="202020"/>
          <w:sz w:val="28"/>
          <w:lang w:val="en-US"/>
        </w:rPr>
        <w:t xml:space="preserve">Maegawa F.B. </w:t>
      </w:r>
      <w:r>
        <w:rPr>
          <w:sz w:val="28"/>
          <w:lang w:val="en-US"/>
        </w:rPr>
        <w:t xml:space="preserve">et al. </w:t>
      </w:r>
      <w:r>
        <w:rPr>
          <w:color w:val="202020"/>
          <w:sz w:val="28"/>
          <w:lang w:val="en-US"/>
        </w:rPr>
        <w:t>Postoperative pancreatic fistula after pancreaticoduodenectomy: A</w:t>
      </w:r>
      <w:r>
        <w:rPr>
          <w:color w:val="202020"/>
          <w:spacing w:val="-2"/>
          <w:sz w:val="28"/>
          <w:lang w:val="en-US"/>
        </w:rPr>
        <w:t xml:space="preserve"> </w:t>
      </w:r>
      <w:r>
        <w:rPr>
          <w:color w:val="202020"/>
          <w:sz w:val="28"/>
          <w:lang w:val="en-US"/>
        </w:rPr>
        <w:t>contemporary</w:t>
      </w:r>
      <w:r>
        <w:rPr>
          <w:color w:val="202020"/>
          <w:spacing w:val="-3"/>
          <w:sz w:val="28"/>
          <w:lang w:val="en-US"/>
        </w:rPr>
        <w:t xml:space="preserve"> </w:t>
      </w:r>
      <w:r>
        <w:rPr>
          <w:color w:val="202020"/>
          <w:sz w:val="28"/>
          <w:lang w:val="en-US"/>
        </w:rPr>
        <w:t>analysis of a large national</w:t>
      </w:r>
      <w:r>
        <w:rPr>
          <w:color w:val="202020"/>
          <w:spacing w:val="-3"/>
          <w:sz w:val="28"/>
          <w:lang w:val="en-US"/>
        </w:rPr>
        <w:t xml:space="preserve"> </w:t>
      </w:r>
      <w:r>
        <w:rPr>
          <w:color w:val="202020"/>
          <w:sz w:val="28"/>
          <w:lang w:val="en-US"/>
        </w:rPr>
        <w:t>database</w:t>
      </w:r>
      <w:r>
        <w:rPr>
          <w:color w:val="202020"/>
          <w:sz w:val="28"/>
          <w:lang w:val="kk-KZ"/>
        </w:rPr>
        <w:t xml:space="preserve"> //</w:t>
      </w:r>
      <w:r>
        <w:rPr>
          <w:color w:val="202020"/>
          <w:sz w:val="28"/>
          <w:lang w:val="en-US"/>
        </w:rPr>
        <w:t xml:space="preserve"> Am J Surg. -2025.- №248.-</w:t>
      </w:r>
      <w:r>
        <w:rPr>
          <w:color w:val="202020"/>
          <w:sz w:val="28"/>
        </w:rPr>
        <w:t>Р</w:t>
      </w:r>
      <w:r>
        <w:rPr>
          <w:color w:val="202020"/>
          <w:sz w:val="28"/>
          <w:lang w:val="en-US"/>
        </w:rPr>
        <w:t>.116-535.</w:t>
      </w:r>
    </w:p>
    <w:p w14:paraId="209C8568">
      <w:pPr>
        <w:pStyle w:val="10"/>
        <w:numPr>
          <w:ilvl w:val="0"/>
          <w:numId w:val="29"/>
        </w:numPr>
        <w:tabs>
          <w:tab w:val="left" w:pos="1418"/>
        </w:tabs>
        <w:ind w:left="0" w:right="3" w:firstLine="709"/>
        <w:rPr>
          <w:sz w:val="28"/>
        </w:rPr>
      </w:pPr>
      <w:r>
        <w:rPr>
          <w:sz w:val="28"/>
          <w:lang w:val="en-US"/>
        </w:rPr>
        <w:t>Hai H. et al. Duct‐to‐mucosa versus other types of pancreaticojejunostomy for the prevention of postoperative pancreatic fistula following</w:t>
      </w:r>
      <w:r>
        <w:rPr>
          <w:spacing w:val="-18"/>
          <w:sz w:val="28"/>
          <w:lang w:val="en-US"/>
        </w:rPr>
        <w:t xml:space="preserve"> </w:t>
      </w:r>
      <w:r>
        <w:rPr>
          <w:sz w:val="28"/>
          <w:lang w:val="en-US"/>
        </w:rPr>
        <w:t>pancreaticoduodenectomy.</w:t>
      </w:r>
      <w:r>
        <w:rPr>
          <w:spacing w:val="-17"/>
          <w:sz w:val="28"/>
          <w:lang w:val="en-US"/>
        </w:rPr>
        <w:t xml:space="preserve"> </w:t>
      </w:r>
      <w:r>
        <w:rPr>
          <w:sz w:val="28"/>
          <w:lang w:val="en-US"/>
        </w:rPr>
        <w:t>Cochrane</w:t>
      </w:r>
      <w:r>
        <w:rPr>
          <w:spacing w:val="-18"/>
          <w:sz w:val="28"/>
          <w:lang w:val="en-US"/>
        </w:rPr>
        <w:t xml:space="preserve"> </w:t>
      </w:r>
      <w:r>
        <w:rPr>
          <w:sz w:val="28"/>
          <w:lang w:val="en-US"/>
        </w:rPr>
        <w:t>Database</w:t>
      </w:r>
      <w:r>
        <w:rPr>
          <w:spacing w:val="-17"/>
          <w:sz w:val="28"/>
          <w:lang w:val="en-US"/>
        </w:rPr>
        <w:t xml:space="preserve"> </w:t>
      </w:r>
      <w:r>
        <w:rPr>
          <w:sz w:val="28"/>
          <w:lang w:val="en-US"/>
        </w:rPr>
        <w:t>of</w:t>
      </w:r>
      <w:r>
        <w:rPr>
          <w:spacing w:val="-18"/>
          <w:sz w:val="28"/>
          <w:lang w:val="en-US"/>
        </w:rPr>
        <w:t xml:space="preserve"> </w:t>
      </w:r>
      <w:r>
        <w:rPr>
          <w:sz w:val="28"/>
          <w:lang w:val="en-US"/>
        </w:rPr>
        <w:t>Systematic</w:t>
      </w:r>
      <w:r>
        <w:rPr>
          <w:spacing w:val="-17"/>
          <w:sz w:val="28"/>
          <w:lang w:val="en-US"/>
        </w:rPr>
        <w:t xml:space="preserve"> </w:t>
      </w:r>
      <w:r>
        <w:rPr>
          <w:sz w:val="28"/>
          <w:lang w:val="en-US"/>
        </w:rPr>
        <w:t>Reviews.-</w:t>
      </w:r>
      <w:r>
        <w:rPr>
          <w:spacing w:val="-18"/>
          <w:sz w:val="28"/>
          <w:lang w:val="en-US"/>
        </w:rPr>
        <w:t xml:space="preserve"> </w:t>
      </w:r>
      <w:r>
        <w:rPr>
          <w:sz w:val="28"/>
        </w:rPr>
        <w:t>2022.- №3. –Р. 13-42.</w:t>
      </w:r>
    </w:p>
    <w:p w14:paraId="2FB69E3B">
      <w:pPr>
        <w:pStyle w:val="10"/>
        <w:numPr>
          <w:ilvl w:val="0"/>
          <w:numId w:val="29"/>
        </w:numPr>
        <w:tabs>
          <w:tab w:val="left" w:pos="1418"/>
        </w:tabs>
        <w:ind w:left="0" w:right="3" w:firstLine="709"/>
        <w:rPr>
          <w:sz w:val="28"/>
          <w:lang w:val="en-US"/>
        </w:rPr>
      </w:pPr>
      <w:r>
        <w:rPr>
          <w:sz w:val="28"/>
          <w:lang w:val="en-US"/>
        </w:rPr>
        <w:t>Gurusamy K.S. et al. Somatostatin analogues for pancreatic surgery. Cochrane Database of Systematic Reviews .-2022.- №4. –</w:t>
      </w:r>
      <w:r>
        <w:rPr>
          <w:sz w:val="28"/>
        </w:rPr>
        <w:t>Р</w:t>
      </w:r>
      <w:r>
        <w:rPr>
          <w:sz w:val="28"/>
          <w:lang w:val="en-US"/>
        </w:rPr>
        <w:t>.83-70.</w:t>
      </w:r>
    </w:p>
    <w:p w14:paraId="0BE100CC">
      <w:pPr>
        <w:pStyle w:val="10"/>
        <w:numPr>
          <w:ilvl w:val="0"/>
          <w:numId w:val="29"/>
        </w:numPr>
        <w:tabs>
          <w:tab w:val="left" w:pos="1418"/>
        </w:tabs>
        <w:ind w:left="0" w:right="3" w:firstLine="709"/>
        <w:rPr>
          <w:sz w:val="28"/>
          <w:lang w:val="en-US"/>
        </w:rPr>
      </w:pPr>
      <w:r>
        <w:rPr>
          <w:color w:val="202020"/>
          <w:sz w:val="28"/>
          <w:lang w:val="en-US"/>
        </w:rPr>
        <w:t xml:space="preserve">Kawai M. </w:t>
      </w:r>
      <w:r>
        <w:rPr>
          <w:sz w:val="28"/>
          <w:lang w:val="en-US"/>
        </w:rPr>
        <w:t xml:space="preserve">et al. </w:t>
      </w:r>
      <w:r>
        <w:rPr>
          <w:color w:val="202020"/>
          <w:sz w:val="28"/>
          <w:lang w:val="en-US"/>
        </w:rPr>
        <w:t>Positive drain fluid culture on postoperative day 1 predicts clinically relevant pancreatic fistula in early drain removal with higher drain fluid amylase after pancreaticoduodenectomy</w:t>
      </w:r>
      <w:r>
        <w:rPr>
          <w:color w:val="202020"/>
          <w:sz w:val="28"/>
          <w:lang w:val="kk-KZ"/>
        </w:rPr>
        <w:t xml:space="preserve"> // </w:t>
      </w:r>
      <w:r>
        <w:rPr>
          <w:color w:val="202020"/>
          <w:sz w:val="28"/>
          <w:lang w:val="en-US"/>
        </w:rPr>
        <w:t>Surgery. -2023.- №173(2).-</w:t>
      </w:r>
      <w:r>
        <w:rPr>
          <w:color w:val="202020"/>
          <w:sz w:val="28"/>
        </w:rPr>
        <w:t>Р</w:t>
      </w:r>
      <w:r>
        <w:rPr>
          <w:color w:val="202020"/>
          <w:sz w:val="28"/>
          <w:lang w:val="en-US"/>
        </w:rPr>
        <w:t>. 511-520.</w:t>
      </w:r>
    </w:p>
    <w:p w14:paraId="51E850E6">
      <w:pPr>
        <w:pStyle w:val="10"/>
        <w:numPr>
          <w:ilvl w:val="0"/>
          <w:numId w:val="29"/>
        </w:numPr>
        <w:tabs>
          <w:tab w:val="left" w:pos="1418"/>
        </w:tabs>
        <w:ind w:left="0" w:right="3" w:firstLine="709"/>
        <w:rPr>
          <w:sz w:val="28"/>
          <w:lang w:val="en-US"/>
        </w:rPr>
      </w:pPr>
      <w:r>
        <w:rPr>
          <w:sz w:val="28"/>
          <w:lang w:val="en-US"/>
        </w:rPr>
        <w:t>Omar</w:t>
      </w:r>
      <w:r>
        <w:rPr>
          <w:spacing w:val="-18"/>
          <w:sz w:val="28"/>
          <w:lang w:val="en-US"/>
        </w:rPr>
        <w:t xml:space="preserve"> </w:t>
      </w:r>
      <w:r>
        <w:rPr>
          <w:sz w:val="28"/>
          <w:lang w:val="en-US"/>
        </w:rPr>
        <w:t>Mohammed</w:t>
      </w:r>
      <w:r>
        <w:rPr>
          <w:spacing w:val="-17"/>
          <w:sz w:val="28"/>
          <w:lang w:val="en-US"/>
        </w:rPr>
        <w:t xml:space="preserve"> </w:t>
      </w:r>
      <w:r>
        <w:rPr>
          <w:sz w:val="28"/>
          <w:lang w:val="en-US"/>
        </w:rPr>
        <w:t>A.</w:t>
      </w:r>
      <w:r>
        <w:rPr>
          <w:spacing w:val="-18"/>
          <w:sz w:val="28"/>
          <w:lang w:val="en-US"/>
        </w:rPr>
        <w:t xml:space="preserve"> </w:t>
      </w:r>
      <w:r>
        <w:rPr>
          <w:sz w:val="28"/>
          <w:lang w:val="en-US"/>
        </w:rPr>
        <w:t>et</w:t>
      </w:r>
      <w:r>
        <w:rPr>
          <w:spacing w:val="-17"/>
          <w:sz w:val="28"/>
          <w:lang w:val="en-US"/>
        </w:rPr>
        <w:t xml:space="preserve"> </w:t>
      </w:r>
      <w:r>
        <w:rPr>
          <w:sz w:val="28"/>
          <w:lang w:val="en-US"/>
        </w:rPr>
        <w:t>al.</w:t>
      </w:r>
      <w:r>
        <w:rPr>
          <w:spacing w:val="-18"/>
          <w:sz w:val="28"/>
          <w:lang w:val="en-US"/>
        </w:rPr>
        <w:t xml:space="preserve"> </w:t>
      </w:r>
      <w:r>
        <w:rPr>
          <w:sz w:val="28"/>
          <w:lang w:val="en-US"/>
        </w:rPr>
        <w:t>Operative</w:t>
      </w:r>
      <w:r>
        <w:rPr>
          <w:spacing w:val="-17"/>
          <w:sz w:val="28"/>
          <w:lang w:val="en-US"/>
        </w:rPr>
        <w:t xml:space="preserve"> </w:t>
      </w:r>
      <w:r>
        <w:rPr>
          <w:sz w:val="28"/>
          <w:lang w:val="en-US"/>
        </w:rPr>
        <w:t>risk</w:t>
      </w:r>
      <w:r>
        <w:rPr>
          <w:spacing w:val="-18"/>
          <w:sz w:val="28"/>
          <w:lang w:val="en-US"/>
        </w:rPr>
        <w:t xml:space="preserve"> </w:t>
      </w:r>
      <w:r>
        <w:rPr>
          <w:sz w:val="28"/>
          <w:lang w:val="en-US"/>
        </w:rPr>
        <w:t>factors</w:t>
      </w:r>
      <w:r>
        <w:rPr>
          <w:spacing w:val="-17"/>
          <w:sz w:val="28"/>
          <w:lang w:val="en-US"/>
        </w:rPr>
        <w:t xml:space="preserve"> </w:t>
      </w:r>
      <w:r>
        <w:rPr>
          <w:sz w:val="28"/>
          <w:lang w:val="en-US"/>
        </w:rPr>
        <w:t>for</w:t>
      </w:r>
      <w:r>
        <w:rPr>
          <w:spacing w:val="-18"/>
          <w:sz w:val="28"/>
          <w:lang w:val="en-US"/>
        </w:rPr>
        <w:t xml:space="preserve"> </w:t>
      </w:r>
      <w:r>
        <w:rPr>
          <w:sz w:val="28"/>
          <w:lang w:val="en-US"/>
        </w:rPr>
        <w:t>clinically</w:t>
      </w:r>
      <w:r>
        <w:rPr>
          <w:spacing w:val="-17"/>
          <w:sz w:val="28"/>
          <w:lang w:val="en-US"/>
        </w:rPr>
        <w:t xml:space="preserve"> </w:t>
      </w:r>
      <w:r>
        <w:rPr>
          <w:sz w:val="28"/>
          <w:lang w:val="en-US"/>
        </w:rPr>
        <w:t>relevant- postoperative pancreatic fistula after pancreaticoduodenectomy: a prospective multicenter cohort study. //The Egyptian</w:t>
      </w:r>
      <w:r>
        <w:rPr>
          <w:spacing w:val="-2"/>
          <w:sz w:val="28"/>
          <w:lang w:val="en-US"/>
        </w:rPr>
        <w:t xml:space="preserve"> </w:t>
      </w:r>
      <w:r>
        <w:rPr>
          <w:sz w:val="28"/>
          <w:lang w:val="en-US"/>
        </w:rPr>
        <w:t>Journal</w:t>
      </w:r>
      <w:r>
        <w:rPr>
          <w:spacing w:val="-2"/>
          <w:sz w:val="28"/>
          <w:lang w:val="en-US"/>
        </w:rPr>
        <w:t xml:space="preserve"> </w:t>
      </w:r>
      <w:r>
        <w:rPr>
          <w:sz w:val="28"/>
          <w:lang w:val="en-US"/>
        </w:rPr>
        <w:t>of</w:t>
      </w:r>
      <w:r>
        <w:rPr>
          <w:spacing w:val="-3"/>
          <w:sz w:val="28"/>
          <w:lang w:val="en-US"/>
        </w:rPr>
        <w:t xml:space="preserve"> </w:t>
      </w:r>
      <w:r>
        <w:rPr>
          <w:sz w:val="28"/>
          <w:lang w:val="en-US"/>
        </w:rPr>
        <w:t>Surgery.-2023.- № 42(4)</w:t>
      </w:r>
      <w:r>
        <w:rPr>
          <w:sz w:val="28"/>
        </w:rPr>
        <w:t>.-Р.</w:t>
      </w:r>
      <w:r>
        <w:rPr>
          <w:sz w:val="28"/>
          <w:lang w:val="en-US"/>
        </w:rPr>
        <w:t xml:space="preserve"> 848-858.</w:t>
      </w:r>
    </w:p>
    <w:p w14:paraId="587469A2">
      <w:pPr>
        <w:pStyle w:val="10"/>
        <w:numPr>
          <w:ilvl w:val="0"/>
          <w:numId w:val="29"/>
        </w:numPr>
        <w:tabs>
          <w:tab w:val="left" w:pos="1276"/>
        </w:tabs>
        <w:ind w:left="0" w:right="3" w:firstLine="709"/>
        <w:rPr>
          <w:sz w:val="28"/>
          <w:lang w:val="en-US"/>
        </w:rPr>
      </w:pPr>
      <w:r>
        <w:rPr>
          <w:sz w:val="28"/>
          <w:lang w:val="en-US"/>
        </w:rPr>
        <w:t>Chen</w:t>
      </w:r>
      <w:r>
        <w:rPr>
          <w:spacing w:val="-11"/>
          <w:sz w:val="28"/>
          <w:lang w:val="en-US"/>
        </w:rPr>
        <w:t xml:space="preserve"> </w:t>
      </w:r>
      <w:r>
        <w:rPr>
          <w:sz w:val="28"/>
          <w:lang w:val="en-US"/>
        </w:rPr>
        <w:t>J.S.</w:t>
      </w:r>
      <w:r>
        <w:rPr>
          <w:spacing w:val="-4"/>
          <w:sz w:val="28"/>
          <w:lang w:val="en-US"/>
        </w:rPr>
        <w:t xml:space="preserve"> </w:t>
      </w:r>
      <w:r>
        <w:rPr>
          <w:sz w:val="28"/>
          <w:lang w:val="en-US"/>
        </w:rPr>
        <w:t>et</w:t>
      </w:r>
      <w:r>
        <w:rPr>
          <w:spacing w:val="-7"/>
          <w:sz w:val="28"/>
          <w:lang w:val="en-US"/>
        </w:rPr>
        <w:t xml:space="preserve"> </w:t>
      </w:r>
      <w:r>
        <w:rPr>
          <w:sz w:val="28"/>
          <w:lang w:val="en-US"/>
        </w:rPr>
        <w:t>al.</w:t>
      </w:r>
      <w:r>
        <w:rPr>
          <w:spacing w:val="-4"/>
          <w:sz w:val="28"/>
          <w:lang w:val="en-US"/>
        </w:rPr>
        <w:t xml:space="preserve"> </w:t>
      </w:r>
      <w:r>
        <w:rPr>
          <w:sz w:val="28"/>
          <w:lang w:val="en-US"/>
        </w:rPr>
        <w:t>Pancreatic</w:t>
      </w:r>
      <w:r>
        <w:rPr>
          <w:spacing w:val="-2"/>
          <w:sz w:val="28"/>
          <w:lang w:val="en-US"/>
        </w:rPr>
        <w:t xml:space="preserve"> </w:t>
      </w:r>
      <w:r>
        <w:rPr>
          <w:sz w:val="28"/>
          <w:lang w:val="en-US"/>
        </w:rPr>
        <w:t>fistula</w:t>
      </w:r>
      <w:r>
        <w:rPr>
          <w:spacing w:val="-6"/>
          <w:sz w:val="28"/>
          <w:lang w:val="en-US"/>
        </w:rPr>
        <w:t xml:space="preserve"> </w:t>
      </w:r>
      <w:r>
        <w:rPr>
          <w:sz w:val="28"/>
          <w:lang w:val="en-US"/>
        </w:rPr>
        <w:t>after</w:t>
      </w:r>
      <w:r>
        <w:rPr>
          <w:spacing w:val="-8"/>
          <w:sz w:val="28"/>
          <w:lang w:val="en-US"/>
        </w:rPr>
        <w:t xml:space="preserve"> </w:t>
      </w:r>
      <w:r>
        <w:rPr>
          <w:sz w:val="28"/>
          <w:lang w:val="en-US"/>
        </w:rPr>
        <w:t>pancreaticoduodenectomy:</w:t>
      </w:r>
      <w:r>
        <w:rPr>
          <w:spacing w:val="-7"/>
          <w:sz w:val="28"/>
          <w:lang w:val="en-US"/>
        </w:rPr>
        <w:t xml:space="preserve"> </w:t>
      </w:r>
      <w:r>
        <w:rPr>
          <w:sz w:val="28"/>
          <w:lang w:val="en-US"/>
        </w:rPr>
        <w:t>Risk factors and preventive strategies. J Can Res Ther .-2019.- №15.-</w:t>
      </w:r>
      <w:r>
        <w:rPr>
          <w:sz w:val="28"/>
        </w:rPr>
        <w:t>Р</w:t>
      </w:r>
      <w:r>
        <w:rPr>
          <w:sz w:val="28"/>
          <w:lang w:val="en-US"/>
        </w:rPr>
        <w:t>.57-63.</w:t>
      </w:r>
    </w:p>
    <w:p w14:paraId="05056324">
      <w:pPr>
        <w:pStyle w:val="10"/>
        <w:numPr>
          <w:ilvl w:val="0"/>
          <w:numId w:val="29"/>
        </w:numPr>
        <w:tabs>
          <w:tab w:val="left" w:pos="1418"/>
        </w:tabs>
        <w:spacing w:line="242" w:lineRule="auto"/>
        <w:ind w:left="0" w:right="3" w:firstLine="709"/>
        <w:rPr>
          <w:sz w:val="28"/>
          <w:lang w:val="en-US"/>
        </w:rPr>
      </w:pPr>
      <w:r>
        <w:rPr>
          <w:color w:val="202020"/>
          <w:sz w:val="28"/>
          <w:lang w:val="en-US"/>
        </w:rPr>
        <w:t xml:space="preserve">Hua J. </w:t>
      </w:r>
      <w:r>
        <w:rPr>
          <w:sz w:val="28"/>
          <w:lang w:val="en-US"/>
        </w:rPr>
        <w:t xml:space="preserve">et al. </w:t>
      </w:r>
      <w:r>
        <w:rPr>
          <w:color w:val="202020"/>
          <w:sz w:val="28"/>
          <w:lang w:val="en-US"/>
        </w:rPr>
        <w:t>Duct-to-Mucosa Versus Invagination Pancreaticojejunostomy Following Pancreaticoduodenectomy: a Systematic Review and Meta-Analysis</w:t>
      </w:r>
      <w:r>
        <w:rPr>
          <w:color w:val="202020"/>
          <w:sz w:val="28"/>
          <w:lang w:val="kk-KZ"/>
        </w:rPr>
        <w:t xml:space="preserve"> // </w:t>
      </w:r>
      <w:r>
        <w:rPr>
          <w:color w:val="202020"/>
          <w:sz w:val="28"/>
          <w:lang w:val="en-US"/>
        </w:rPr>
        <w:t xml:space="preserve">J Gastrointest Surg. -2015.- №19(10).-190 </w:t>
      </w:r>
      <w:r>
        <w:rPr>
          <w:color w:val="202020"/>
          <w:sz w:val="28"/>
        </w:rPr>
        <w:t>р</w:t>
      </w:r>
      <w:r>
        <w:rPr>
          <w:color w:val="202020"/>
          <w:sz w:val="28"/>
          <w:lang w:val="en-US"/>
        </w:rPr>
        <w:t>.</w:t>
      </w:r>
    </w:p>
    <w:p w14:paraId="3AB91626">
      <w:pPr>
        <w:pStyle w:val="10"/>
        <w:numPr>
          <w:ilvl w:val="0"/>
          <w:numId w:val="29"/>
        </w:numPr>
        <w:tabs>
          <w:tab w:val="left" w:pos="1560"/>
        </w:tabs>
        <w:ind w:left="0" w:right="3" w:firstLine="709"/>
        <w:rPr>
          <w:sz w:val="28"/>
          <w:lang w:val="en-US"/>
        </w:rPr>
      </w:pPr>
      <w:r>
        <w:rPr>
          <w:color w:val="202020"/>
          <w:sz w:val="28"/>
          <w:lang w:val="en-US"/>
        </w:rPr>
        <w:t xml:space="preserve">Sun X. </w:t>
      </w:r>
      <w:r>
        <w:rPr>
          <w:sz w:val="28"/>
          <w:lang w:val="en-US"/>
        </w:rPr>
        <w:t xml:space="preserve">et al. </w:t>
      </w:r>
      <w:r>
        <w:rPr>
          <w:color w:val="202020"/>
          <w:sz w:val="28"/>
          <w:lang w:val="en-US"/>
        </w:rPr>
        <w:t>Meta-analysis of invagination and duct-to-mucosa pancreaticojejunostomy after pancreaticoduodenectomy: An update</w:t>
      </w:r>
      <w:r>
        <w:rPr>
          <w:color w:val="202020"/>
          <w:sz w:val="28"/>
          <w:lang w:val="kk-KZ"/>
        </w:rPr>
        <w:t xml:space="preserve"> //</w:t>
      </w:r>
      <w:r>
        <w:rPr>
          <w:color w:val="202020"/>
          <w:sz w:val="28"/>
          <w:lang w:val="en-US"/>
        </w:rPr>
        <w:t xml:space="preserve"> Int J Surg. -2016.- №36.-</w:t>
      </w:r>
      <w:r>
        <w:rPr>
          <w:color w:val="202020"/>
          <w:sz w:val="28"/>
        </w:rPr>
        <w:t>Р</w:t>
      </w:r>
      <w:r>
        <w:rPr>
          <w:color w:val="202020"/>
          <w:sz w:val="28"/>
          <w:lang w:val="en-US"/>
        </w:rPr>
        <w:t>. 240-247.</w:t>
      </w:r>
    </w:p>
    <w:p w14:paraId="699380E0">
      <w:pPr>
        <w:pStyle w:val="10"/>
        <w:numPr>
          <w:ilvl w:val="0"/>
          <w:numId w:val="29"/>
        </w:numPr>
        <w:tabs>
          <w:tab w:val="left" w:pos="1272"/>
        </w:tabs>
        <w:ind w:left="0" w:right="3" w:firstLine="709"/>
        <w:rPr>
          <w:sz w:val="28"/>
        </w:rPr>
      </w:pPr>
      <w:r>
        <w:rPr>
          <w:color w:val="1B1B1B"/>
          <w:sz w:val="28"/>
          <w:lang w:val="en-US"/>
        </w:rPr>
        <w:t xml:space="preserve">Penumadu P. </w:t>
      </w:r>
      <w:r>
        <w:rPr>
          <w:sz w:val="28"/>
          <w:lang w:val="en-US"/>
        </w:rPr>
        <w:t xml:space="preserve">et al. </w:t>
      </w:r>
      <w:r>
        <w:rPr>
          <w:color w:val="1B1B1B"/>
          <w:sz w:val="28"/>
          <w:lang w:val="en-US"/>
        </w:rPr>
        <w:t>Pancreatoduodenectomy - preventing complications. Indian J Surg Oncol. -2015.- №6(1).-</w:t>
      </w:r>
      <w:r>
        <w:rPr>
          <w:color w:val="1B1B1B"/>
          <w:sz w:val="28"/>
        </w:rPr>
        <w:t>Р</w:t>
      </w:r>
      <w:r>
        <w:rPr>
          <w:color w:val="1B1B1B"/>
          <w:sz w:val="28"/>
          <w:lang w:val="en-US"/>
        </w:rPr>
        <w:t xml:space="preserve">. </w:t>
      </w:r>
      <w:r>
        <w:rPr>
          <w:color w:val="1B1B1B"/>
          <w:sz w:val="28"/>
        </w:rPr>
        <w:t>6-15</w:t>
      </w:r>
      <w:r>
        <w:rPr>
          <w:color w:val="1B1B1B"/>
          <w:sz w:val="28"/>
          <w:lang w:val="kk-KZ"/>
        </w:rPr>
        <w:t>.</w:t>
      </w:r>
    </w:p>
    <w:p w14:paraId="5AC3FFBE">
      <w:pPr>
        <w:pStyle w:val="10"/>
        <w:rPr>
          <w:sz w:val="28"/>
        </w:rPr>
        <w:sectPr>
          <w:pgSz w:w="11910" w:h="16840"/>
          <w:pgMar w:top="1134" w:right="567" w:bottom="1134" w:left="1701" w:header="0" w:footer="936" w:gutter="0"/>
          <w:cols w:space="720" w:num="1"/>
        </w:sectPr>
      </w:pPr>
    </w:p>
    <w:p w14:paraId="2C370B38">
      <w:pPr>
        <w:pStyle w:val="7"/>
        <w:spacing w:before="67"/>
        <w:ind w:left="0" w:right="133" w:firstLine="0"/>
        <w:jc w:val="center"/>
        <w:rPr>
          <w:b/>
        </w:rPr>
      </w:pPr>
      <w:bookmarkStart w:id="60" w:name="ПРИЛОЖЕНИЕ_А"/>
      <w:bookmarkEnd w:id="60"/>
      <w:r>
        <w:rPr>
          <w:b/>
        </w:rPr>
        <w:t>ПРИЛОЖЕНИЕ</w:t>
      </w:r>
      <w:r>
        <w:rPr>
          <w:b/>
          <w:spacing w:val="-16"/>
        </w:rPr>
        <w:t xml:space="preserve"> </w:t>
      </w:r>
      <w:r>
        <w:rPr>
          <w:b/>
          <w:spacing w:val="-10"/>
        </w:rPr>
        <w:t>А</w:t>
      </w:r>
    </w:p>
    <w:p w14:paraId="56B62C19">
      <w:pPr>
        <w:pStyle w:val="7"/>
        <w:tabs>
          <w:tab w:val="left" w:pos="4962"/>
        </w:tabs>
        <w:ind w:left="0" w:firstLine="0"/>
        <w:jc w:val="center"/>
        <w:rPr>
          <w:sz w:val="20"/>
        </w:rPr>
      </w:pPr>
      <w:r>
        <w:t>Патент</w:t>
      </w:r>
      <w:r>
        <w:rPr>
          <w:spacing w:val="-7"/>
        </w:rPr>
        <w:t xml:space="preserve"> </w:t>
      </w:r>
      <w:r>
        <w:rPr>
          <w:spacing w:val="-5"/>
        </w:rPr>
        <w:t>РК</w:t>
      </w:r>
    </w:p>
    <w:p w14:paraId="25C6A33C">
      <w:pPr>
        <w:pStyle w:val="7"/>
        <w:spacing w:before="168"/>
        <w:ind w:left="0" w:firstLine="0"/>
        <w:jc w:val="left"/>
        <w:rPr>
          <w:sz w:val="20"/>
        </w:rPr>
      </w:pPr>
      <w:r>
        <w:rPr>
          <w:sz w:val="20"/>
          <w:lang w:eastAsia="ru-RU"/>
        </w:rPr>
        <w:drawing>
          <wp:anchor distT="0" distB="0" distL="0" distR="0" simplePos="0" relativeHeight="251699200" behindDoc="1" locked="0" layoutInCell="1" allowOverlap="1">
            <wp:simplePos x="0" y="0"/>
            <wp:positionH relativeFrom="page">
              <wp:posOffset>1689100</wp:posOffset>
            </wp:positionH>
            <wp:positionV relativeFrom="paragraph">
              <wp:posOffset>267970</wp:posOffset>
            </wp:positionV>
            <wp:extent cx="5229225" cy="7115175"/>
            <wp:effectExtent l="0" t="0" r="0" b="0"/>
            <wp:wrapTopAndBottom/>
            <wp:docPr id="213" name="Image 213"/>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76" cstate="print"/>
                    <a:stretch>
                      <a:fillRect/>
                    </a:stretch>
                  </pic:blipFill>
                  <pic:spPr>
                    <a:xfrm>
                      <a:off x="0" y="0"/>
                      <a:ext cx="5228999" cy="7115175"/>
                    </a:xfrm>
                    <a:prstGeom prst="rect">
                      <a:avLst/>
                    </a:prstGeom>
                  </pic:spPr>
                </pic:pic>
              </a:graphicData>
            </a:graphic>
          </wp:anchor>
        </w:drawing>
      </w:r>
    </w:p>
    <w:p w14:paraId="5070FAB4">
      <w:pPr>
        <w:pStyle w:val="7"/>
        <w:jc w:val="left"/>
        <w:rPr>
          <w:sz w:val="20"/>
        </w:rPr>
        <w:sectPr>
          <w:pgSz w:w="11910" w:h="16840"/>
          <w:pgMar w:top="1134" w:right="567" w:bottom="1134" w:left="1701" w:header="0" w:footer="936" w:gutter="0"/>
          <w:cols w:space="720" w:num="1"/>
        </w:sectPr>
      </w:pPr>
    </w:p>
    <w:p w14:paraId="194EB74A">
      <w:pPr>
        <w:pStyle w:val="7"/>
        <w:spacing w:before="67"/>
        <w:ind w:left="0" w:right="136" w:firstLine="0"/>
        <w:jc w:val="center"/>
        <w:rPr>
          <w:b/>
        </w:rPr>
      </w:pPr>
      <w:bookmarkStart w:id="61" w:name="ПРИЛОЖЕНИЕ_Б"/>
      <w:bookmarkEnd w:id="61"/>
      <w:r>
        <w:rPr>
          <w:b/>
          <w:spacing w:val="-2"/>
        </w:rPr>
        <w:t>ПРИЛОЖЕНИЕ</w:t>
      </w:r>
      <w:r>
        <w:rPr>
          <w:b/>
          <w:spacing w:val="-1"/>
        </w:rPr>
        <w:t xml:space="preserve"> </w:t>
      </w:r>
      <w:r>
        <w:rPr>
          <w:b/>
          <w:spacing w:val="-10"/>
        </w:rPr>
        <w:t>Б</w:t>
      </w:r>
    </w:p>
    <w:p w14:paraId="02DF86DA">
      <w:pPr>
        <w:pStyle w:val="7"/>
        <w:ind w:left="0" w:firstLine="0"/>
        <w:jc w:val="center"/>
      </w:pPr>
      <w:r>
        <w:t>Свидельство на авторское право</w:t>
      </w:r>
    </w:p>
    <w:p w14:paraId="54450EC5">
      <w:pPr>
        <w:pStyle w:val="7"/>
        <w:spacing w:before="168"/>
        <w:ind w:left="0" w:firstLine="0"/>
        <w:jc w:val="left"/>
        <w:rPr>
          <w:sz w:val="20"/>
        </w:rPr>
      </w:pPr>
      <w:r>
        <w:rPr>
          <w:sz w:val="20"/>
          <w:lang w:eastAsia="ru-RU"/>
        </w:rPr>
        <w:drawing>
          <wp:anchor distT="0" distB="0" distL="0" distR="0" simplePos="0" relativeHeight="251689984" behindDoc="1" locked="0" layoutInCell="1" allowOverlap="1">
            <wp:simplePos x="0" y="0"/>
            <wp:positionH relativeFrom="page">
              <wp:posOffset>1586230</wp:posOffset>
            </wp:positionH>
            <wp:positionV relativeFrom="paragraph">
              <wp:posOffset>267970</wp:posOffset>
            </wp:positionV>
            <wp:extent cx="5431155" cy="7021830"/>
            <wp:effectExtent l="0" t="0" r="0" b="0"/>
            <wp:wrapTopAndBottom/>
            <wp:docPr id="214" name="Image 214"/>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77" cstate="print"/>
                    <a:stretch>
                      <a:fillRect/>
                    </a:stretch>
                  </pic:blipFill>
                  <pic:spPr>
                    <a:xfrm>
                      <a:off x="0" y="0"/>
                      <a:ext cx="5431158" cy="7021639"/>
                    </a:xfrm>
                    <a:prstGeom prst="rect">
                      <a:avLst/>
                    </a:prstGeom>
                  </pic:spPr>
                </pic:pic>
              </a:graphicData>
            </a:graphic>
          </wp:anchor>
        </w:drawing>
      </w:r>
    </w:p>
    <w:p w14:paraId="78547089">
      <w:pPr>
        <w:pStyle w:val="7"/>
        <w:jc w:val="left"/>
        <w:rPr>
          <w:sz w:val="20"/>
        </w:rPr>
        <w:sectPr>
          <w:pgSz w:w="11910" w:h="16840"/>
          <w:pgMar w:top="1040" w:right="425" w:bottom="1200" w:left="1559" w:header="0" w:footer="937" w:gutter="0"/>
          <w:cols w:space="720" w:num="1"/>
        </w:sectPr>
      </w:pPr>
    </w:p>
    <w:p w14:paraId="5A6E27DC">
      <w:pPr>
        <w:pStyle w:val="7"/>
        <w:spacing w:before="67"/>
        <w:ind w:left="0" w:right="134" w:firstLine="0"/>
        <w:jc w:val="center"/>
        <w:rPr>
          <w:b/>
          <w:spacing w:val="-10"/>
        </w:rPr>
      </w:pPr>
      <w:bookmarkStart w:id="62" w:name="ПРИЛОЖЕНИЕ_В"/>
      <w:bookmarkEnd w:id="62"/>
      <w:r>
        <w:rPr>
          <w:b/>
        </w:rPr>
        <w:t>ПРИЛОЖЕНИЕ</w:t>
      </w:r>
      <w:r>
        <w:rPr>
          <w:b/>
          <w:spacing w:val="-16"/>
        </w:rPr>
        <w:t xml:space="preserve"> </w:t>
      </w:r>
      <w:r>
        <w:rPr>
          <w:b/>
          <w:spacing w:val="-10"/>
        </w:rPr>
        <w:t>В</w:t>
      </w:r>
    </w:p>
    <w:p w14:paraId="4EFC18EF">
      <w:pPr>
        <w:pStyle w:val="7"/>
        <w:ind w:left="0" w:firstLine="0"/>
        <w:jc w:val="center"/>
      </w:pPr>
      <w:r>
        <w:rPr>
          <w:sz w:val="20"/>
          <w:lang w:eastAsia="ru-RU"/>
        </w:rPr>
        <w:drawing>
          <wp:anchor distT="0" distB="0" distL="0" distR="0" simplePos="0" relativeHeight="251691008" behindDoc="1" locked="0" layoutInCell="1" allowOverlap="1">
            <wp:simplePos x="0" y="0"/>
            <wp:positionH relativeFrom="page">
              <wp:posOffset>1538605</wp:posOffset>
            </wp:positionH>
            <wp:positionV relativeFrom="paragraph">
              <wp:posOffset>363855</wp:posOffset>
            </wp:positionV>
            <wp:extent cx="5214620" cy="7738745"/>
            <wp:effectExtent l="0" t="0" r="0" b="0"/>
            <wp:wrapTopAndBottom/>
            <wp:docPr id="215" name="Image 215"/>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78" cstate="print"/>
                    <a:stretch>
                      <a:fillRect/>
                    </a:stretch>
                  </pic:blipFill>
                  <pic:spPr>
                    <a:xfrm>
                      <a:off x="0" y="0"/>
                      <a:ext cx="5214620" cy="7738745"/>
                    </a:xfrm>
                    <a:prstGeom prst="rect">
                      <a:avLst/>
                    </a:prstGeom>
                  </pic:spPr>
                </pic:pic>
              </a:graphicData>
            </a:graphic>
          </wp:anchor>
        </w:drawing>
      </w:r>
      <w:r>
        <w:t>Свидельство на авторское право</w:t>
      </w:r>
    </w:p>
    <w:p w14:paraId="385565E3">
      <w:pPr>
        <w:pStyle w:val="7"/>
        <w:spacing w:before="67"/>
        <w:ind w:left="0" w:right="134" w:firstLine="0"/>
        <w:jc w:val="center"/>
        <w:rPr>
          <w:b/>
        </w:rPr>
      </w:pPr>
    </w:p>
    <w:p w14:paraId="3F327FDE">
      <w:pPr>
        <w:pStyle w:val="7"/>
        <w:spacing w:before="148"/>
        <w:ind w:left="0" w:firstLine="0"/>
        <w:jc w:val="left"/>
        <w:rPr>
          <w:sz w:val="20"/>
        </w:rPr>
      </w:pPr>
    </w:p>
    <w:p w14:paraId="0F604FA7">
      <w:pPr>
        <w:pStyle w:val="7"/>
        <w:jc w:val="left"/>
        <w:rPr>
          <w:sz w:val="20"/>
        </w:rPr>
        <w:sectPr>
          <w:pgSz w:w="11910" w:h="16840"/>
          <w:pgMar w:top="1040" w:right="425" w:bottom="1200" w:left="1559" w:header="0" w:footer="937" w:gutter="0"/>
          <w:cols w:space="720" w:num="1"/>
        </w:sectPr>
      </w:pPr>
    </w:p>
    <w:p w14:paraId="7CDC71A3">
      <w:pPr>
        <w:pStyle w:val="7"/>
        <w:spacing w:before="67"/>
        <w:ind w:left="0" w:right="139" w:firstLine="0"/>
        <w:jc w:val="center"/>
        <w:rPr>
          <w:b/>
        </w:rPr>
      </w:pPr>
      <w:bookmarkStart w:id="63" w:name="ПРИЛОЖЕНИЕ_Г"/>
      <w:bookmarkEnd w:id="63"/>
      <w:r>
        <w:rPr>
          <w:b/>
          <w:spacing w:val="-2"/>
        </w:rPr>
        <w:t>ПРИЛОЖЕНИЕ</w:t>
      </w:r>
      <w:r>
        <w:rPr>
          <w:b/>
          <w:spacing w:val="-1"/>
        </w:rPr>
        <w:t xml:space="preserve"> </w:t>
      </w:r>
      <w:r>
        <w:rPr>
          <w:b/>
          <w:spacing w:val="-10"/>
        </w:rPr>
        <w:t>Г</w:t>
      </w:r>
    </w:p>
    <w:p w14:paraId="30006E5B">
      <w:pPr>
        <w:pStyle w:val="7"/>
        <w:ind w:left="0" w:firstLine="0"/>
        <w:jc w:val="center"/>
      </w:pPr>
      <w:r>
        <w:t>Свидельство на авторское право</w:t>
      </w:r>
    </w:p>
    <w:p w14:paraId="1B966184">
      <w:pPr>
        <w:pStyle w:val="7"/>
        <w:ind w:left="0" w:firstLine="0"/>
        <w:jc w:val="left"/>
        <w:rPr>
          <w:sz w:val="20"/>
        </w:rPr>
      </w:pPr>
      <w:r>
        <w:rPr>
          <w:sz w:val="20"/>
          <w:lang w:eastAsia="ru-RU"/>
        </w:rPr>
        <w:drawing>
          <wp:anchor distT="0" distB="0" distL="0" distR="0" simplePos="0" relativeHeight="251692032" behindDoc="1" locked="0" layoutInCell="1" allowOverlap="1">
            <wp:simplePos x="0" y="0"/>
            <wp:positionH relativeFrom="page">
              <wp:posOffset>1234440</wp:posOffset>
            </wp:positionH>
            <wp:positionV relativeFrom="paragraph">
              <wp:posOffset>193040</wp:posOffset>
            </wp:positionV>
            <wp:extent cx="5583555" cy="7501890"/>
            <wp:effectExtent l="0" t="0" r="0" b="0"/>
            <wp:wrapTopAndBottom/>
            <wp:docPr id="216" name="Image 216"/>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79" cstate="print"/>
                    <a:stretch>
                      <a:fillRect/>
                    </a:stretch>
                  </pic:blipFill>
                  <pic:spPr>
                    <a:xfrm>
                      <a:off x="0" y="0"/>
                      <a:ext cx="5583555" cy="7501890"/>
                    </a:xfrm>
                    <a:prstGeom prst="rect">
                      <a:avLst/>
                    </a:prstGeom>
                  </pic:spPr>
                </pic:pic>
              </a:graphicData>
            </a:graphic>
          </wp:anchor>
        </w:drawing>
      </w:r>
    </w:p>
    <w:p w14:paraId="7327D13A">
      <w:pPr>
        <w:pStyle w:val="7"/>
        <w:spacing w:before="168"/>
        <w:ind w:left="0" w:firstLine="0"/>
        <w:jc w:val="left"/>
        <w:rPr>
          <w:sz w:val="20"/>
        </w:rPr>
      </w:pPr>
    </w:p>
    <w:p w14:paraId="59929AD3">
      <w:pPr>
        <w:pStyle w:val="7"/>
        <w:jc w:val="left"/>
        <w:rPr>
          <w:sz w:val="20"/>
        </w:rPr>
        <w:sectPr>
          <w:pgSz w:w="11910" w:h="16840"/>
          <w:pgMar w:top="1040" w:right="425" w:bottom="1200" w:left="1559" w:header="0" w:footer="937" w:gutter="0"/>
          <w:cols w:space="720" w:num="1"/>
        </w:sectPr>
      </w:pPr>
    </w:p>
    <w:p w14:paraId="684A7B20">
      <w:pPr>
        <w:pStyle w:val="7"/>
        <w:spacing w:before="67"/>
        <w:ind w:left="0" w:right="139" w:firstLine="0"/>
        <w:jc w:val="center"/>
        <w:rPr>
          <w:b/>
        </w:rPr>
      </w:pPr>
      <w:bookmarkStart w:id="64" w:name="ПРИЛОЖЕНИЕ_Д"/>
      <w:bookmarkEnd w:id="64"/>
      <w:r>
        <w:rPr>
          <w:b/>
          <w:spacing w:val="-2"/>
        </w:rPr>
        <w:t>ПРИЛОЖЕНИЕ</w:t>
      </w:r>
      <w:r>
        <w:rPr>
          <w:b/>
          <w:spacing w:val="-1"/>
        </w:rPr>
        <w:t xml:space="preserve"> </w:t>
      </w:r>
      <w:r>
        <w:rPr>
          <w:b/>
          <w:spacing w:val="-10"/>
        </w:rPr>
        <w:t>Д</w:t>
      </w:r>
    </w:p>
    <w:p w14:paraId="0C6258BD">
      <w:pPr>
        <w:pStyle w:val="7"/>
        <w:ind w:left="0" w:firstLine="0"/>
        <w:jc w:val="center"/>
      </w:pPr>
      <w:r>
        <w:t>Свидельство на авторское право</w:t>
      </w:r>
    </w:p>
    <w:p w14:paraId="33F30388">
      <w:pPr>
        <w:pStyle w:val="7"/>
        <w:spacing w:before="168"/>
        <w:ind w:left="0" w:firstLine="0"/>
        <w:jc w:val="left"/>
        <w:rPr>
          <w:sz w:val="20"/>
        </w:rPr>
      </w:pPr>
      <w:r>
        <w:rPr>
          <w:sz w:val="20"/>
          <w:lang w:eastAsia="ru-RU"/>
        </w:rPr>
        <w:drawing>
          <wp:anchor distT="0" distB="0" distL="0" distR="0" simplePos="0" relativeHeight="251700224" behindDoc="1" locked="0" layoutInCell="1" allowOverlap="1">
            <wp:simplePos x="0" y="0"/>
            <wp:positionH relativeFrom="page">
              <wp:posOffset>1379220</wp:posOffset>
            </wp:positionH>
            <wp:positionV relativeFrom="paragraph">
              <wp:posOffset>588010</wp:posOffset>
            </wp:positionV>
            <wp:extent cx="5270500" cy="7131050"/>
            <wp:effectExtent l="0" t="0" r="0" b="0"/>
            <wp:wrapTopAndBottom/>
            <wp:docPr id="217" name="Image 217"/>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80" cstate="print"/>
                    <a:stretch>
                      <a:fillRect/>
                    </a:stretch>
                  </pic:blipFill>
                  <pic:spPr>
                    <a:xfrm>
                      <a:off x="0" y="0"/>
                      <a:ext cx="5270500" cy="7131050"/>
                    </a:xfrm>
                    <a:prstGeom prst="rect">
                      <a:avLst/>
                    </a:prstGeom>
                  </pic:spPr>
                </pic:pic>
              </a:graphicData>
            </a:graphic>
          </wp:anchor>
        </w:drawing>
      </w:r>
    </w:p>
    <w:p w14:paraId="0CDB4D14">
      <w:pPr>
        <w:pStyle w:val="7"/>
        <w:jc w:val="left"/>
        <w:rPr>
          <w:sz w:val="20"/>
        </w:rPr>
        <w:sectPr>
          <w:pgSz w:w="11910" w:h="16840"/>
          <w:pgMar w:top="1040" w:right="425" w:bottom="1200" w:left="1559" w:header="0" w:footer="937" w:gutter="0"/>
          <w:cols w:space="720" w:num="1"/>
        </w:sectPr>
      </w:pPr>
    </w:p>
    <w:p w14:paraId="5428B57B">
      <w:pPr>
        <w:pStyle w:val="7"/>
        <w:spacing w:before="67"/>
        <w:ind w:left="0" w:right="137" w:firstLine="0"/>
        <w:jc w:val="center"/>
        <w:rPr>
          <w:b/>
        </w:rPr>
      </w:pPr>
      <w:bookmarkStart w:id="65" w:name="ПРИЛОЖЕНИЕ_Ж"/>
      <w:bookmarkEnd w:id="65"/>
      <w:r>
        <w:rPr>
          <w:b/>
          <w:spacing w:val="-2"/>
        </w:rPr>
        <w:t>ПРИЛОЖЕНИЕ</w:t>
      </w:r>
      <w:r>
        <w:rPr>
          <w:b/>
          <w:spacing w:val="-1"/>
        </w:rPr>
        <w:t xml:space="preserve"> </w:t>
      </w:r>
      <w:r>
        <w:rPr>
          <w:b/>
          <w:spacing w:val="-10"/>
        </w:rPr>
        <w:t>Ж</w:t>
      </w:r>
    </w:p>
    <w:p w14:paraId="38C718E2">
      <w:pPr>
        <w:pStyle w:val="7"/>
        <w:ind w:left="0" w:firstLine="0"/>
        <w:jc w:val="center"/>
        <w:rPr>
          <w:sz w:val="20"/>
        </w:rPr>
      </w:pPr>
      <w:r>
        <w:t>Акт</w:t>
      </w:r>
      <w:r>
        <w:rPr>
          <w:spacing w:val="-6"/>
        </w:rPr>
        <w:t xml:space="preserve"> </w:t>
      </w:r>
      <w:r>
        <w:rPr>
          <w:spacing w:val="-2"/>
        </w:rPr>
        <w:t>внедрения</w:t>
      </w:r>
    </w:p>
    <w:p w14:paraId="491270D7">
      <w:pPr>
        <w:pStyle w:val="7"/>
        <w:spacing w:before="207"/>
        <w:ind w:left="0" w:firstLine="0"/>
        <w:jc w:val="left"/>
        <w:rPr>
          <w:sz w:val="20"/>
        </w:rPr>
      </w:pPr>
      <w:r>
        <w:rPr>
          <w:sz w:val="20"/>
          <w:lang w:eastAsia="ru-RU"/>
        </w:rPr>
        <mc:AlternateContent>
          <mc:Choice Requires="wpg">
            <w:drawing>
              <wp:anchor distT="0" distB="0" distL="0" distR="0" simplePos="0" relativeHeight="251701248" behindDoc="1" locked="0" layoutInCell="1" allowOverlap="1">
                <wp:simplePos x="0" y="0"/>
                <wp:positionH relativeFrom="page">
                  <wp:posOffset>1619885</wp:posOffset>
                </wp:positionH>
                <wp:positionV relativeFrom="paragraph">
                  <wp:posOffset>292735</wp:posOffset>
                </wp:positionV>
                <wp:extent cx="5400675" cy="7051040"/>
                <wp:effectExtent l="0" t="0" r="0" b="0"/>
                <wp:wrapTopAndBottom/>
                <wp:docPr id="218" name="Group 218"/>
                <wp:cNvGraphicFramePr/>
                <a:graphic xmlns:a="http://schemas.openxmlformats.org/drawingml/2006/main">
                  <a:graphicData uri="http://schemas.microsoft.com/office/word/2010/wordprocessingGroup">
                    <wpg:wgp>
                      <wpg:cNvGrpSpPr/>
                      <wpg:grpSpPr>
                        <a:xfrm>
                          <a:off x="0" y="0"/>
                          <a:ext cx="5400675" cy="7051040"/>
                          <a:chOff x="0" y="0"/>
                          <a:chExt cx="5400675" cy="7051040"/>
                        </a:xfrm>
                      </wpg:grpSpPr>
                      <pic:pic xmlns:pic="http://schemas.openxmlformats.org/drawingml/2006/picture">
                        <pic:nvPicPr>
                          <pic:cNvPr id="219" name="Image 219"/>
                          <pic:cNvPicPr/>
                        </pic:nvPicPr>
                        <pic:blipFill>
                          <a:blip r:embed="rId81" cstate="print"/>
                          <a:stretch>
                            <a:fillRect/>
                          </a:stretch>
                        </pic:blipFill>
                        <pic:spPr>
                          <a:xfrm>
                            <a:off x="0" y="0"/>
                            <a:ext cx="5400310" cy="7050800"/>
                          </a:xfrm>
                          <a:prstGeom prst="rect">
                            <a:avLst/>
                          </a:prstGeom>
                        </pic:spPr>
                      </pic:pic>
                      <pic:pic xmlns:pic="http://schemas.openxmlformats.org/drawingml/2006/picture">
                        <pic:nvPicPr>
                          <pic:cNvPr id="220" name="Image 220"/>
                          <pic:cNvPicPr/>
                        </pic:nvPicPr>
                        <pic:blipFill>
                          <a:blip r:embed="rId82" cstate="print"/>
                          <a:stretch>
                            <a:fillRect/>
                          </a:stretch>
                        </pic:blipFill>
                        <pic:spPr>
                          <a:xfrm>
                            <a:off x="52587" y="51823"/>
                            <a:ext cx="5240654" cy="6896100"/>
                          </a:xfrm>
                          <a:prstGeom prst="rect">
                            <a:avLst/>
                          </a:prstGeom>
                        </pic:spPr>
                      </pic:pic>
                      <wps:wsp>
                        <wps:cNvPr id="221" name="Graphic 221"/>
                        <wps:cNvSpPr/>
                        <wps:spPr>
                          <a:xfrm>
                            <a:off x="33537" y="32773"/>
                            <a:ext cx="5278755" cy="6934200"/>
                          </a:xfrm>
                          <a:custGeom>
                            <a:avLst/>
                            <a:gdLst/>
                            <a:ahLst/>
                            <a:cxnLst/>
                            <a:rect l="l" t="t" r="r" b="b"/>
                            <a:pathLst>
                              <a:path w="5278755" h="6934200">
                                <a:moveTo>
                                  <a:pt x="0" y="6934200"/>
                                </a:moveTo>
                                <a:lnTo>
                                  <a:pt x="5278754" y="6934200"/>
                                </a:lnTo>
                                <a:lnTo>
                                  <a:pt x="5278754" y="0"/>
                                </a:lnTo>
                                <a:lnTo>
                                  <a:pt x="0" y="0"/>
                                </a:lnTo>
                                <a:lnTo>
                                  <a:pt x="0" y="6934200"/>
                                </a:lnTo>
                                <a:close/>
                              </a:path>
                            </a:pathLst>
                          </a:custGeom>
                          <a:ln w="38100">
                            <a:solidFill>
                              <a:srgbClr val="000000"/>
                            </a:solidFill>
                            <a:prstDash val="solid"/>
                          </a:ln>
                        </wps:spPr>
                        <wps:bodyPr wrap="square" lIns="0" tIns="0" rIns="0" bIns="0" rtlCol="0">
                          <a:noAutofit/>
                        </wps:bodyPr>
                      </wps:wsp>
                    </wpg:wgp>
                  </a:graphicData>
                </a:graphic>
              </wp:anchor>
            </w:drawing>
          </mc:Choice>
          <mc:Fallback>
            <w:pict>
              <v:group id="Group 218" o:spid="_x0000_s1026" o:spt="203" style="position:absolute;left:0pt;margin-left:127.55pt;margin-top:23.05pt;height:555.2pt;width:425.25pt;mso-position-horizontal-relative:page;mso-wrap-distance-bottom:0pt;mso-wrap-distance-top:0pt;z-index:-251615232;mso-width-relative:page;mso-height-relative:page;" coordsize="5400675,7051040" o:gfxdata="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">
                <o:lock v:ext="edit" aspectratio="f"/>
                <v:shape id="Image 219" o:spid="_x0000_s1026" o:spt="75" type="#_x0000_t75" style="position:absolute;left:0;top:0;height:7050800;width:5400310;" filled="f" o:preferrelative="t" stroked="f" coordsize="21600,21600" o:gfxdata="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bGN5vQAA&#10;ANwAAAAPAAAAAAAAAAEAIAAAACIAAABkcnMvZG93bnJldi54bWxQSwECFAAUAAAACACHTuJAMy8F&#10;njsAAAA5AAAAEAAAAAAAAAABACAAAAAMAQAAZHJzL3NoYXBleG1sLnhtbFBLBQYAAAAABgAGAFsB&#10;AAC2AwAAAAA=&#10;">
                  <v:fill on="f" focussize="0,0"/>
                  <v:stroke on="f"/>
                  <v:imagedata r:id="rId81" o:title=""/>
                  <o:lock v:ext="edit" aspectratio="f"/>
                </v:shape>
                <v:shape id="Image 220" o:spid="_x0000_s1026" o:spt="75" type="#_x0000_t75" style="position:absolute;left:52587;top:51823;height:6896100;width:5240654;" filled="f" o:preferrelative="t" stroked="f" coordsize="21600,21600" o:gfxdata="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SuT1twAAANwAAAAP&#10;AAAAAAAAAAEAIAAAACIAAABkcnMvZG93bnJldi54bWxQSwECFAAUAAAACACHTuJAMy8FnjsAAAA5&#10;AAAAEAAAAAAAAAABACAAAAAGAQAAZHJzL3NoYXBleG1sLnhtbFBLBQYAAAAABgAGAFsBAACwAwAA&#10;AAA=&#10;">
                  <v:fill on="f" focussize="0,0"/>
                  <v:stroke on="f"/>
                  <v:imagedata r:id="rId82" o:title=""/>
                  <o:lock v:ext="edit" aspectratio="f"/>
                </v:shape>
                <v:shape id="Graphic 221" o:spid="_x0000_s1026" o:spt="100" style="position:absolute;left:33537;top:32773;height:6934200;width:5278755;" filled="f" stroked="t" coordsize="5278755,6934200" o:gfxdata="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lL+S/&#10;AAAA3AAAAA8AAAAAAAAAAQAgAAAAIgAAAGRycy9kb3ducmV2LnhtbFBLAQIUABQAAAAIAIdO4kAz&#10;LwWeOwAAADkAAAAQAAAAAAAAAAEAIAAAAA4BAABkcnMvc2hhcGV4bWwueG1sUEsFBgAAAAAGAAYA&#10;WwEAALgDAAAAAA==&#10;" path="m0,6934200l5278754,6934200,5278754,0,0,0,0,6934200xe">
                  <v:fill on="f" focussize="0,0"/>
                  <v:stroke weight="3pt" color="#000000" joinstyle="round"/>
                  <v:imagedata o:title=""/>
                  <o:lock v:ext="edit" aspectratio="f"/>
                  <v:textbox inset="0mm,0mm,0mm,0mm"/>
                </v:shape>
                <w10:wrap type="topAndBottom"/>
              </v:group>
            </w:pict>
          </mc:Fallback>
        </mc:AlternateContent>
      </w:r>
    </w:p>
    <w:sectPr>
      <w:pgSz w:w="11910" w:h="16840"/>
      <w:pgMar w:top="1134" w:right="567" w:bottom="1134" w:left="1701" w:header="0" w:footer="93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B9C97">
    <w:pPr>
      <w:pStyle w:val="7"/>
      <w:spacing w:line="14" w:lineRule="auto"/>
      <w:ind w:left="0" w:firstLine="0"/>
      <w:jc w:val="left"/>
      <w:rPr>
        <w:sz w:val="18"/>
      </w:rPr>
    </w:pPr>
    <w:r>
      <w:rPr>
        <w:sz w:val="18"/>
        <w:lang w:eastAsia="ru-RU"/>
      </w:rPr>
      <mc:AlternateContent>
        <mc:Choice Requires="wps">
          <w:drawing>
            <wp:anchor distT="0" distB="0" distL="0" distR="0" simplePos="0" relativeHeight="251681792" behindDoc="1" locked="0" layoutInCell="1" allowOverlap="1">
              <wp:simplePos x="0" y="0"/>
              <wp:positionH relativeFrom="page">
                <wp:posOffset>4057650</wp:posOffset>
              </wp:positionH>
              <wp:positionV relativeFrom="page">
                <wp:posOffset>9914255</wp:posOffset>
              </wp:positionV>
              <wp:extent cx="165735" cy="180975"/>
              <wp:effectExtent l="0" t="0" r="0" b="0"/>
              <wp:wrapNone/>
              <wp:docPr id="1" name="Textbox 1"/>
              <wp:cNvGraphicFramePr/>
              <a:graphic xmlns:a="http://schemas.openxmlformats.org/drawingml/2006/main">
                <a:graphicData uri="http://schemas.microsoft.com/office/word/2010/wordprocessingShape">
                  <wps:wsp>
                    <wps:cNvSpPr txBox="1"/>
                    <wps:spPr>
                      <a:xfrm>
                        <a:off x="0" y="0"/>
                        <a:ext cx="165735" cy="180975"/>
                      </a:xfrm>
                      <a:prstGeom prst="rect">
                        <a:avLst/>
                      </a:prstGeom>
                    </wps:spPr>
                    <wps:txbx>
                      <w:txbxContent>
                        <w:p w14:paraId="3BDEAC32">
                          <w:pPr>
                            <w:spacing w:before="11"/>
                            <w:ind w:left="2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319.5pt;margin-top:780.65pt;height:14.25pt;width:13.05pt;mso-position-horizontal-relative:page;mso-position-vertical-relative:page;z-index:-251634688;mso-width-relative:page;mso-height-relative:page;" filled="f" stroked="f" coordsize="21600,21600" o:gfxdata="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DZU0HbAAAADQEAAA8AAAAAAAAAAQAgAAAAIgAAAGRycy9kb3ducmV2LnhtbFBLAQIUABQAAAAI&#10;AIdO4kDapIi5sQEAAHMDAAAOAAAAAAAAAAEAIAAAACoBAABkcnMvZTJvRG9jLnhtbFBLBQYAAAAA&#10;BgAGAFkBAABNBQAAAAA=&#10;">
              <v:fill on="f" focussize="0,0"/>
              <v:stroke on="f"/>
              <v:imagedata o:title=""/>
              <o:lock v:ext="edit" aspectratio="f"/>
              <v:textbox inset="0mm,0mm,0mm,0mm">
                <w:txbxContent>
                  <w:p w14:paraId="3BDEAC32">
                    <w:pPr>
                      <w:spacing w:before="11"/>
                      <w:ind w:left="2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2424439"/>
      <w:docPartObj>
        <w:docPartGallery w:val="AutoText"/>
      </w:docPartObj>
    </w:sdtPr>
    <w:sdtContent>
      <w:p w14:paraId="29B11A49">
        <w:pPr>
          <w:pStyle w:val="8"/>
          <w:jc w:val="center"/>
        </w:pPr>
        <w:r>
          <w:fldChar w:fldCharType="begin"/>
        </w:r>
        <w:r>
          <w:instrText xml:space="preserve">PAGE   \* MERGEFORMAT</w:instrText>
        </w:r>
        <w:r>
          <w:fldChar w:fldCharType="separate"/>
        </w:r>
        <w:r>
          <w:t>43</w:t>
        </w:r>
        <w:r>
          <w:fldChar w:fldCharType="end"/>
        </w:r>
      </w:p>
    </w:sdtContent>
  </w:sdt>
  <w:p w14:paraId="7D9C3364">
    <w:pPr>
      <w:pStyle w:val="7"/>
      <w:spacing w:line="14" w:lineRule="auto"/>
      <w:ind w:left="0" w:firstLine="0"/>
      <w:jc w:val="left"/>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81282800"/>
      <w:docPartObj>
        <w:docPartGallery w:val="AutoText"/>
      </w:docPartObj>
    </w:sdtPr>
    <w:sdtContent>
      <w:p w14:paraId="668E2CC6">
        <w:pPr>
          <w:pStyle w:val="8"/>
          <w:jc w:val="center"/>
        </w:pPr>
        <w:r>
          <w:fldChar w:fldCharType="begin"/>
        </w:r>
        <w:r>
          <w:instrText xml:space="preserve">PAGE   \* MERGEFORMAT</w:instrText>
        </w:r>
        <w:r>
          <w:fldChar w:fldCharType="separate"/>
        </w:r>
        <w:r>
          <w:t>49</w:t>
        </w:r>
        <w:r>
          <w:fldChar w:fldCharType="end"/>
        </w:r>
      </w:p>
    </w:sdtContent>
  </w:sdt>
  <w:p w14:paraId="16B76FEB">
    <w:pPr>
      <w:pStyle w:val="7"/>
      <w:spacing w:line="14" w:lineRule="auto"/>
      <w:ind w:left="0" w:firstLine="0"/>
      <w:jc w:val="left"/>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7129460"/>
      <w:docPartObj>
        <w:docPartGallery w:val="AutoText"/>
      </w:docPartObj>
    </w:sdtPr>
    <w:sdtContent>
      <w:p w14:paraId="77D6E00C">
        <w:pPr>
          <w:pStyle w:val="8"/>
          <w:jc w:val="center"/>
        </w:pPr>
        <w:r>
          <w:fldChar w:fldCharType="begin"/>
        </w:r>
        <w:r>
          <w:instrText xml:space="preserve">PAGE   \* MERGEFORMAT</w:instrText>
        </w:r>
        <w:r>
          <w:fldChar w:fldCharType="separate"/>
        </w:r>
        <w:r>
          <w:t>50</w:t>
        </w:r>
        <w:r>
          <w:fldChar w:fldCharType="end"/>
        </w:r>
      </w:p>
    </w:sdtContent>
  </w:sdt>
  <w:p w14:paraId="2F63DBD0">
    <w:pPr>
      <w:pStyle w:val="7"/>
      <w:spacing w:line="14" w:lineRule="auto"/>
      <w:ind w:left="0" w:firstLine="0"/>
      <w:jc w:val="left"/>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270CD">
    <w:pPr>
      <w:pStyle w:val="7"/>
      <w:spacing w:line="14" w:lineRule="auto"/>
      <w:ind w:left="0" w:firstLine="0"/>
      <w:jc w:val="left"/>
      <w:rPr>
        <w:sz w:val="17"/>
      </w:rPr>
    </w:pPr>
    <w:r>
      <w:rPr>
        <w:sz w:val="17"/>
        <w:lang w:eastAsia="ru-RU"/>
      </w:rPr>
      <mc:AlternateContent>
        <mc:Choice Requires="wps">
          <w:drawing>
            <wp:anchor distT="0" distB="0" distL="0" distR="0" simplePos="0" relativeHeight="251679744" behindDoc="1" locked="0" layoutInCell="1" allowOverlap="1">
              <wp:simplePos x="0" y="0"/>
              <wp:positionH relativeFrom="page">
                <wp:posOffset>3661410</wp:posOffset>
              </wp:positionH>
              <wp:positionV relativeFrom="page">
                <wp:posOffset>9914255</wp:posOffset>
              </wp:positionV>
              <wp:extent cx="236220" cy="180975"/>
              <wp:effectExtent l="0" t="0" r="0" b="0"/>
              <wp:wrapNone/>
              <wp:docPr id="55" name="Textbox 55"/>
              <wp:cNvGraphicFramePr/>
              <a:graphic xmlns:a="http://schemas.openxmlformats.org/drawingml/2006/main">
                <a:graphicData uri="http://schemas.microsoft.com/office/word/2010/wordprocessingShape">
                  <wps:wsp>
                    <wps:cNvSpPr txBox="1"/>
                    <wps:spPr>
                      <a:xfrm>
                        <a:off x="0" y="0"/>
                        <a:ext cx="236220" cy="180975"/>
                      </a:xfrm>
                      <a:prstGeom prst="rect">
                        <a:avLst/>
                      </a:prstGeom>
                    </wps:spPr>
                    <wps:txbx>
                      <w:txbxContent>
                        <w:p w14:paraId="688F5A5F">
                          <w:pPr>
                            <w:spacing w:before="11"/>
                            <w:ind w:left="20"/>
                          </w:pPr>
                          <w:r>
                            <w:rPr>
                              <w:spacing w:val="-5"/>
                            </w:rPr>
                            <w:fldChar w:fldCharType="begin"/>
                          </w:r>
                          <w:r>
                            <w:rPr>
                              <w:spacing w:val="-5"/>
                            </w:rPr>
                            <w:instrText xml:space="preserve"> PAGE </w:instrText>
                          </w:r>
                          <w:r>
                            <w:rPr>
                              <w:spacing w:val="-5"/>
                            </w:rPr>
                            <w:fldChar w:fldCharType="separate"/>
                          </w:r>
                          <w:r>
                            <w:rPr>
                              <w:spacing w:val="-5"/>
                            </w:rPr>
                            <w:t>126</w:t>
                          </w:r>
                          <w:r>
                            <w:rPr>
                              <w:spacing w:val="-5"/>
                            </w:rPr>
                            <w:fldChar w:fldCharType="end"/>
                          </w:r>
                        </w:p>
                      </w:txbxContent>
                    </wps:txbx>
                    <wps:bodyPr wrap="square" lIns="0" tIns="0" rIns="0" bIns="0" rtlCol="0">
                      <a:noAutofit/>
                    </wps:bodyPr>
                  </wps:wsp>
                </a:graphicData>
              </a:graphic>
            </wp:anchor>
          </w:drawing>
        </mc:Choice>
        <mc:Fallback>
          <w:pict>
            <v:shape id="Textbox 55" o:spid="_x0000_s1026" o:spt="202" type="#_x0000_t202" style="position:absolute;left:0pt;margin-left:288.3pt;margin-top:780.65pt;height:14.25pt;width:18.6pt;mso-position-horizontal-relative:page;mso-position-vertical-relative:page;z-index:-251636736;mso-width-relative:page;mso-height-relative:page;" filled="f" stroked="f" coordsize="21600,21600" o:gfxdata="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sMePaAAAADQEAAA8AAAAAAAAAAQAgAAAAIgAAAGRycy9kb3ducmV2LnhtbFBLAQIUABQAAAAI&#10;AIdO4kBwihHVsgEAAHUDAAAOAAAAAAAAAAEAIAAAACkBAABkcnMvZTJvRG9jLnhtbFBLBQYAAAAA&#10;BgAGAFkBAABNBQAAAAA=&#10;">
              <v:fill on="f" focussize="0,0"/>
              <v:stroke on="f"/>
              <v:imagedata o:title=""/>
              <o:lock v:ext="edit" aspectratio="f"/>
              <v:textbox inset="0mm,0mm,0mm,0mm">
                <w:txbxContent>
                  <w:p w14:paraId="688F5A5F">
                    <w:pPr>
                      <w:spacing w:before="11"/>
                      <w:ind w:left="20"/>
                    </w:pPr>
                    <w:r>
                      <w:rPr>
                        <w:spacing w:val="-5"/>
                      </w:rPr>
                      <w:fldChar w:fldCharType="begin"/>
                    </w:r>
                    <w:r>
                      <w:rPr>
                        <w:spacing w:val="-5"/>
                      </w:rPr>
                      <w:instrText xml:space="preserve"> PAGE </w:instrText>
                    </w:r>
                    <w:r>
                      <w:rPr>
                        <w:spacing w:val="-5"/>
                      </w:rPr>
                      <w:fldChar w:fldCharType="separate"/>
                    </w:r>
                    <w:r>
                      <w:rPr>
                        <w:spacing w:val="-5"/>
                      </w:rPr>
                      <w:t>126</w:t>
                    </w:r>
                    <w:r>
                      <w:rPr>
                        <w:spacing w:val="-5"/>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7B513">
    <w:pPr>
      <w:pStyle w:val="7"/>
      <w:spacing w:line="14" w:lineRule="auto"/>
      <w:ind w:left="0" w:firstLine="0"/>
      <w:jc w:val="left"/>
      <w:rPr>
        <w:sz w:val="20"/>
      </w:rPr>
    </w:pPr>
    <w:r>
      <w:rPr>
        <w:sz w:val="20"/>
        <w:lang w:eastAsia="ru-RU"/>
      </w:rPr>
      <mc:AlternateContent>
        <mc:Choice Requires="wps">
          <w:drawing>
            <wp:anchor distT="0" distB="0" distL="0" distR="0" simplePos="0" relativeHeight="251680768" behindDoc="1" locked="0" layoutInCell="1" allowOverlap="1">
              <wp:simplePos x="0" y="0"/>
              <wp:positionH relativeFrom="page">
                <wp:posOffset>5227955</wp:posOffset>
              </wp:positionH>
              <wp:positionV relativeFrom="page">
                <wp:posOffset>6780530</wp:posOffset>
              </wp:positionV>
              <wp:extent cx="236220" cy="180975"/>
              <wp:effectExtent l="0" t="0" r="0" b="0"/>
              <wp:wrapNone/>
              <wp:docPr id="207" name="Textbox 207"/>
              <wp:cNvGraphicFramePr/>
              <a:graphic xmlns:a="http://schemas.openxmlformats.org/drawingml/2006/main">
                <a:graphicData uri="http://schemas.microsoft.com/office/word/2010/wordprocessingShape">
                  <wps:wsp>
                    <wps:cNvSpPr txBox="1"/>
                    <wps:spPr>
                      <a:xfrm>
                        <a:off x="0" y="0"/>
                        <a:ext cx="236220" cy="180975"/>
                      </a:xfrm>
                      <a:prstGeom prst="rect">
                        <a:avLst/>
                      </a:prstGeom>
                    </wps:spPr>
                    <wps:txbx>
                      <w:txbxContent>
                        <w:p w14:paraId="1111C9E2">
                          <w:pPr>
                            <w:spacing w:before="11"/>
                            <w:ind w:left="20"/>
                          </w:pPr>
                          <w:r>
                            <w:rPr>
                              <w:spacing w:val="-5"/>
                            </w:rPr>
                            <w:t>124</w:t>
                          </w:r>
                        </w:p>
                      </w:txbxContent>
                    </wps:txbx>
                    <wps:bodyPr wrap="square" lIns="0" tIns="0" rIns="0" bIns="0" rtlCol="0">
                      <a:noAutofit/>
                    </wps:bodyPr>
                  </wps:wsp>
                </a:graphicData>
              </a:graphic>
            </wp:anchor>
          </w:drawing>
        </mc:Choice>
        <mc:Fallback>
          <w:pict>
            <v:shape id="Textbox 207" o:spid="_x0000_s1026" o:spt="202" type="#_x0000_t202" style="position:absolute;left:0pt;margin-left:411.65pt;margin-top:533.9pt;height:14.25pt;width:18.6pt;mso-position-horizontal-relative:page;mso-position-vertical-relative:page;z-index:-251635712;mso-width-relative:page;mso-height-relative:page;" filled="f" stroked="f" coordsize="21600,21600" o:gfxdata="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4ykmb2gAAAA0BAAAPAAAAAAAAAAEAIAAAACIAAABkcnMvZG93bnJldi54bWxQSwECFAAUAAAA&#10;CACHTuJAad2SMrMBAAB3AwAADgAAAAAAAAABACAAAAApAQAAZHJzL2Uyb0RvYy54bWxQSwUGAAAA&#10;AAYABgBZAQAATgUAAAAA&#10;">
              <v:fill on="f" focussize="0,0"/>
              <v:stroke on="f"/>
              <v:imagedata o:title=""/>
              <o:lock v:ext="edit" aspectratio="f"/>
              <v:textbox inset="0mm,0mm,0mm,0mm">
                <w:txbxContent>
                  <w:p w14:paraId="1111C9E2">
                    <w:pPr>
                      <w:spacing w:before="11"/>
                      <w:ind w:left="20"/>
                    </w:pPr>
                    <w:r>
                      <w:rPr>
                        <w:spacing w:val="-5"/>
                      </w:rPr>
                      <w:t>124</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2A60F">
    <w:pPr>
      <w:pStyle w:val="7"/>
      <w:spacing w:line="14" w:lineRule="auto"/>
      <w:ind w:left="0" w:firstLine="0"/>
      <w:jc w:val="left"/>
      <w:rPr>
        <w:sz w:val="20"/>
      </w:rPr>
    </w:pPr>
    <w:r>
      <w:rPr>
        <w:sz w:val="20"/>
        <w:lang w:eastAsia="ru-RU"/>
      </w:rPr>
      <mc:AlternateContent>
        <mc:Choice Requires="wps">
          <w:drawing>
            <wp:anchor distT="0" distB="0" distL="0" distR="0" simplePos="0" relativeHeight="251681792" behindDoc="1" locked="0" layoutInCell="1" allowOverlap="1">
              <wp:simplePos x="0" y="0"/>
              <wp:positionH relativeFrom="page">
                <wp:posOffset>5227955</wp:posOffset>
              </wp:positionH>
              <wp:positionV relativeFrom="page">
                <wp:posOffset>6780530</wp:posOffset>
              </wp:positionV>
              <wp:extent cx="236220" cy="180975"/>
              <wp:effectExtent l="0" t="0" r="0" b="0"/>
              <wp:wrapNone/>
              <wp:docPr id="209" name="Textbox 209"/>
              <wp:cNvGraphicFramePr/>
              <a:graphic xmlns:a="http://schemas.openxmlformats.org/drawingml/2006/main">
                <a:graphicData uri="http://schemas.microsoft.com/office/word/2010/wordprocessingShape">
                  <wps:wsp>
                    <wps:cNvSpPr txBox="1"/>
                    <wps:spPr>
                      <a:xfrm>
                        <a:off x="0" y="0"/>
                        <a:ext cx="236220" cy="180975"/>
                      </a:xfrm>
                      <a:prstGeom prst="rect">
                        <a:avLst/>
                      </a:prstGeom>
                    </wps:spPr>
                    <wps:txbx>
                      <w:txbxContent>
                        <w:p w14:paraId="64233B1C">
                          <w:pPr>
                            <w:spacing w:before="11"/>
                            <w:ind w:left="20"/>
                          </w:pPr>
                          <w:r>
                            <w:rPr>
                              <w:spacing w:val="-5"/>
                            </w:rPr>
                            <w:t>125</w:t>
                          </w:r>
                        </w:p>
                      </w:txbxContent>
                    </wps:txbx>
                    <wps:bodyPr wrap="square" lIns="0" tIns="0" rIns="0" bIns="0" rtlCol="0">
                      <a:noAutofit/>
                    </wps:bodyPr>
                  </wps:wsp>
                </a:graphicData>
              </a:graphic>
            </wp:anchor>
          </w:drawing>
        </mc:Choice>
        <mc:Fallback>
          <w:pict>
            <v:shape id="Textbox 209" o:spid="_x0000_s1026" o:spt="202" type="#_x0000_t202" style="position:absolute;left:0pt;margin-left:411.65pt;margin-top:533.9pt;height:14.25pt;width:18.6pt;mso-position-horizontal-relative:page;mso-position-vertical-relative:page;z-index:-251634688;mso-width-relative:page;mso-height-relative:page;" filled="f" stroked="f" coordsize="21600,21600" o:gfxdata="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4ykmb2gAAAA0BAAAPAAAAAAAAAAEAIAAAACIAAABkcnMvZG93bnJldi54bWxQSwECFAAUAAAA&#10;CACHTuJAiyV/Z7MBAAB3AwAADgAAAAAAAAABACAAAAApAQAAZHJzL2Uyb0RvYy54bWxQSwUGAAAA&#10;AAYABgBZAQAATgUAAAAA&#10;">
              <v:fill on="f" focussize="0,0"/>
              <v:stroke on="f"/>
              <v:imagedata o:title=""/>
              <o:lock v:ext="edit" aspectratio="f"/>
              <v:textbox inset="0mm,0mm,0mm,0mm">
                <w:txbxContent>
                  <w:p w14:paraId="64233B1C">
                    <w:pPr>
                      <w:spacing w:before="11"/>
                      <w:ind w:left="20"/>
                    </w:pPr>
                    <w:r>
                      <w:rPr>
                        <w:spacing w:val="-5"/>
                      </w:rPr>
                      <w:t>125</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03CBC">
    <w:pPr>
      <w:pStyle w:val="7"/>
      <w:spacing w:line="14" w:lineRule="auto"/>
      <w:ind w:left="0" w:firstLine="0"/>
      <w:jc w:val="left"/>
      <w:rPr>
        <w:sz w:val="20"/>
      </w:rPr>
    </w:pPr>
    <w:r>
      <w:rPr>
        <w:sz w:val="20"/>
        <w:lang w:eastAsia="ru-RU"/>
      </w:rPr>
      <mc:AlternateContent>
        <mc:Choice Requires="wps">
          <w:drawing>
            <wp:anchor distT="0" distB="0" distL="0" distR="0" simplePos="0" relativeHeight="251683840" behindDoc="1" locked="0" layoutInCell="1" allowOverlap="1">
              <wp:simplePos x="0" y="0"/>
              <wp:positionH relativeFrom="page">
                <wp:posOffset>3636010</wp:posOffset>
              </wp:positionH>
              <wp:positionV relativeFrom="page">
                <wp:posOffset>9914255</wp:posOffset>
              </wp:positionV>
              <wp:extent cx="299720" cy="180975"/>
              <wp:effectExtent l="0" t="0" r="0" b="0"/>
              <wp:wrapNone/>
              <wp:docPr id="211" name="Textbox 211"/>
              <wp:cNvGraphicFramePr/>
              <a:graphic xmlns:a="http://schemas.openxmlformats.org/drawingml/2006/main">
                <a:graphicData uri="http://schemas.microsoft.com/office/word/2010/wordprocessingShape">
                  <wps:wsp>
                    <wps:cNvSpPr txBox="1"/>
                    <wps:spPr>
                      <a:xfrm>
                        <a:off x="0" y="0"/>
                        <a:ext cx="299720" cy="180975"/>
                      </a:xfrm>
                      <a:prstGeom prst="rect">
                        <a:avLst/>
                      </a:prstGeom>
                    </wps:spPr>
                    <wps:txbx>
                      <w:txbxContent>
                        <w:p w14:paraId="1F8F7025">
                          <w:pPr>
                            <w:spacing w:before="11"/>
                            <w:ind w:left="60"/>
                          </w:pPr>
                          <w:r>
                            <w:rPr>
                              <w:spacing w:val="-5"/>
                            </w:rPr>
                            <w:fldChar w:fldCharType="begin"/>
                          </w:r>
                          <w:r>
                            <w:rPr>
                              <w:spacing w:val="-5"/>
                            </w:rPr>
                            <w:instrText xml:space="preserve"> PAGE </w:instrText>
                          </w:r>
                          <w:r>
                            <w:rPr>
                              <w:spacing w:val="-5"/>
                            </w:rPr>
                            <w:fldChar w:fldCharType="separate"/>
                          </w:r>
                          <w:r>
                            <w:rPr>
                              <w:spacing w:val="-5"/>
                            </w:rPr>
                            <w:t>127</w:t>
                          </w:r>
                          <w:r>
                            <w:rPr>
                              <w:spacing w:val="-5"/>
                            </w:rPr>
                            <w:fldChar w:fldCharType="end"/>
                          </w:r>
                        </w:p>
                      </w:txbxContent>
                    </wps:txbx>
                    <wps:bodyPr wrap="square" lIns="0" tIns="0" rIns="0" bIns="0" rtlCol="0">
                      <a:noAutofit/>
                    </wps:bodyPr>
                  </wps:wsp>
                </a:graphicData>
              </a:graphic>
            </wp:anchor>
          </w:drawing>
        </mc:Choice>
        <mc:Fallback>
          <w:pict>
            <v:shape id="Textbox 211" o:spid="_x0000_s1026" o:spt="202" type="#_x0000_t202" style="position:absolute;left:0pt;margin-left:286.3pt;margin-top:780.65pt;height:14.25pt;width:23.6pt;mso-position-horizontal-relative:page;mso-position-vertical-relative:page;z-index:-251632640;mso-width-relative:page;mso-height-relative:page;" filled="f" stroked="f" coordsize="21600,21600" o:gfxdata="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BwnXz2gAAAA0BAAAPAAAAAAAAAAEAIAAAACIAAABkcnMvZG93bnJldi54bWxQSwECFAAUAAAA&#10;CACHTuJAAe7RhrMBAAB3AwAADgAAAAAAAAABACAAAAApAQAAZHJzL2Uyb0RvYy54bWxQSwUGAAAA&#10;AAYABgBZAQAATgUAAAAA&#10;">
              <v:fill on="f" focussize="0,0"/>
              <v:stroke on="f"/>
              <v:imagedata o:title=""/>
              <o:lock v:ext="edit" aspectratio="f"/>
              <v:textbox inset="0mm,0mm,0mm,0mm">
                <w:txbxContent>
                  <w:p w14:paraId="1F8F7025">
                    <w:pPr>
                      <w:spacing w:before="11"/>
                      <w:ind w:left="60"/>
                    </w:pPr>
                    <w:r>
                      <w:rPr>
                        <w:spacing w:val="-5"/>
                      </w:rPr>
                      <w:fldChar w:fldCharType="begin"/>
                    </w:r>
                    <w:r>
                      <w:rPr>
                        <w:spacing w:val="-5"/>
                      </w:rPr>
                      <w:instrText xml:space="preserve"> PAGE </w:instrText>
                    </w:r>
                    <w:r>
                      <w:rPr>
                        <w:spacing w:val="-5"/>
                      </w:rPr>
                      <w:fldChar w:fldCharType="separate"/>
                    </w:r>
                    <w:r>
                      <w:rPr>
                        <w:spacing w:val="-5"/>
                      </w:rPr>
                      <w:t>127</w:t>
                    </w:r>
                    <w:r>
                      <w:rPr>
                        <w:spacing w:val="-5"/>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A0E6D">
    <w:pPr>
      <w:pStyle w:val="6"/>
      <w:jc w:val="center"/>
    </w:pPr>
  </w:p>
  <w:p w14:paraId="5CA30EF8">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0"/>
      <w:numFmt w:val="bullet"/>
      <w:lvlText w:val="-"/>
      <w:lvlJc w:val="left"/>
      <w:pPr>
        <w:ind w:left="140" w:hanging="264"/>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264"/>
      </w:pPr>
      <w:rPr>
        <w:rFonts w:hint="default"/>
        <w:lang w:val="ru-RU" w:eastAsia="en-US" w:bidi="ar-SA"/>
      </w:rPr>
    </w:lvl>
    <w:lvl w:ilvl="2" w:tentative="0">
      <w:start w:val="0"/>
      <w:numFmt w:val="bullet"/>
      <w:lvlText w:val="•"/>
      <w:lvlJc w:val="left"/>
      <w:pPr>
        <w:ind w:left="2096" w:hanging="264"/>
      </w:pPr>
      <w:rPr>
        <w:rFonts w:hint="default"/>
        <w:lang w:val="ru-RU" w:eastAsia="en-US" w:bidi="ar-SA"/>
      </w:rPr>
    </w:lvl>
    <w:lvl w:ilvl="3" w:tentative="0">
      <w:start w:val="0"/>
      <w:numFmt w:val="bullet"/>
      <w:lvlText w:val="•"/>
      <w:lvlJc w:val="left"/>
      <w:pPr>
        <w:ind w:left="3074" w:hanging="264"/>
      </w:pPr>
      <w:rPr>
        <w:rFonts w:hint="default"/>
        <w:lang w:val="ru-RU" w:eastAsia="en-US" w:bidi="ar-SA"/>
      </w:rPr>
    </w:lvl>
    <w:lvl w:ilvl="4" w:tentative="0">
      <w:start w:val="0"/>
      <w:numFmt w:val="bullet"/>
      <w:lvlText w:val="•"/>
      <w:lvlJc w:val="left"/>
      <w:pPr>
        <w:ind w:left="4052" w:hanging="264"/>
      </w:pPr>
      <w:rPr>
        <w:rFonts w:hint="default"/>
        <w:lang w:val="ru-RU" w:eastAsia="en-US" w:bidi="ar-SA"/>
      </w:rPr>
    </w:lvl>
    <w:lvl w:ilvl="5" w:tentative="0">
      <w:start w:val="0"/>
      <w:numFmt w:val="bullet"/>
      <w:lvlText w:val="•"/>
      <w:lvlJc w:val="left"/>
      <w:pPr>
        <w:ind w:left="5030" w:hanging="264"/>
      </w:pPr>
      <w:rPr>
        <w:rFonts w:hint="default"/>
        <w:lang w:val="ru-RU" w:eastAsia="en-US" w:bidi="ar-SA"/>
      </w:rPr>
    </w:lvl>
    <w:lvl w:ilvl="6" w:tentative="0">
      <w:start w:val="0"/>
      <w:numFmt w:val="bullet"/>
      <w:lvlText w:val="•"/>
      <w:lvlJc w:val="left"/>
      <w:pPr>
        <w:ind w:left="6008" w:hanging="264"/>
      </w:pPr>
      <w:rPr>
        <w:rFonts w:hint="default"/>
        <w:lang w:val="ru-RU" w:eastAsia="en-US" w:bidi="ar-SA"/>
      </w:rPr>
    </w:lvl>
    <w:lvl w:ilvl="7" w:tentative="0">
      <w:start w:val="0"/>
      <w:numFmt w:val="bullet"/>
      <w:lvlText w:val="•"/>
      <w:lvlJc w:val="left"/>
      <w:pPr>
        <w:ind w:left="6986" w:hanging="264"/>
      </w:pPr>
      <w:rPr>
        <w:rFonts w:hint="default"/>
        <w:lang w:val="ru-RU" w:eastAsia="en-US" w:bidi="ar-SA"/>
      </w:rPr>
    </w:lvl>
    <w:lvl w:ilvl="8" w:tentative="0">
      <w:start w:val="0"/>
      <w:numFmt w:val="bullet"/>
      <w:lvlText w:val="•"/>
      <w:lvlJc w:val="left"/>
      <w:pPr>
        <w:ind w:left="7964" w:hanging="264"/>
      </w:pPr>
      <w:rPr>
        <w:rFonts w:hint="default"/>
        <w:lang w:val="ru-RU" w:eastAsia="en-US" w:bidi="ar-SA"/>
      </w:rPr>
    </w:lvl>
  </w:abstractNum>
  <w:abstractNum w:abstractNumId="1">
    <w:nsid w:val="9288B902"/>
    <w:multiLevelType w:val="multilevel"/>
    <w:tmpl w:val="9288B902"/>
    <w:lvl w:ilvl="0" w:tentative="0">
      <w:start w:val="1"/>
      <w:numFmt w:val="decimal"/>
      <w:lvlText w:val="%1"/>
      <w:lvlJc w:val="left"/>
      <w:pPr>
        <w:ind w:left="140" w:hanging="423"/>
      </w:pPr>
      <w:rPr>
        <w:rFonts w:ascii="Times New Roman" w:hAnsi="Times New Roman" w:eastAsia="Times New Roman" w:cs="Times New Roman"/>
        <w:b w:val="0"/>
        <w:bCs w:val="0"/>
        <w:i w:val="0"/>
        <w:iCs w:val="0"/>
        <w:spacing w:val="0"/>
        <w:w w:val="99"/>
        <w:sz w:val="28"/>
        <w:szCs w:val="28"/>
        <w:lang w:val="en-US" w:eastAsia="en-US" w:bidi="ar-SA"/>
      </w:rPr>
    </w:lvl>
    <w:lvl w:ilvl="1" w:tentative="0">
      <w:start w:val="0"/>
      <w:numFmt w:val="bullet"/>
      <w:lvlText w:val="•"/>
      <w:lvlJc w:val="left"/>
      <w:pPr>
        <w:ind w:left="1118" w:hanging="423"/>
      </w:pPr>
      <w:rPr>
        <w:rFonts w:hint="default"/>
        <w:lang w:val="ru-RU" w:eastAsia="en-US" w:bidi="ar-SA"/>
      </w:rPr>
    </w:lvl>
    <w:lvl w:ilvl="2" w:tentative="0">
      <w:start w:val="0"/>
      <w:numFmt w:val="bullet"/>
      <w:lvlText w:val="•"/>
      <w:lvlJc w:val="left"/>
      <w:pPr>
        <w:ind w:left="2096" w:hanging="423"/>
      </w:pPr>
      <w:rPr>
        <w:rFonts w:hint="default"/>
        <w:lang w:val="ru-RU" w:eastAsia="en-US" w:bidi="ar-SA"/>
      </w:rPr>
    </w:lvl>
    <w:lvl w:ilvl="3" w:tentative="0">
      <w:start w:val="0"/>
      <w:numFmt w:val="bullet"/>
      <w:lvlText w:val="•"/>
      <w:lvlJc w:val="left"/>
      <w:pPr>
        <w:ind w:left="3074" w:hanging="423"/>
      </w:pPr>
      <w:rPr>
        <w:rFonts w:hint="default"/>
        <w:lang w:val="ru-RU" w:eastAsia="en-US" w:bidi="ar-SA"/>
      </w:rPr>
    </w:lvl>
    <w:lvl w:ilvl="4" w:tentative="0">
      <w:start w:val="0"/>
      <w:numFmt w:val="bullet"/>
      <w:lvlText w:val="•"/>
      <w:lvlJc w:val="left"/>
      <w:pPr>
        <w:ind w:left="4052" w:hanging="423"/>
      </w:pPr>
      <w:rPr>
        <w:rFonts w:hint="default"/>
        <w:lang w:val="ru-RU" w:eastAsia="en-US" w:bidi="ar-SA"/>
      </w:rPr>
    </w:lvl>
    <w:lvl w:ilvl="5" w:tentative="0">
      <w:start w:val="0"/>
      <w:numFmt w:val="bullet"/>
      <w:lvlText w:val="•"/>
      <w:lvlJc w:val="left"/>
      <w:pPr>
        <w:ind w:left="5030" w:hanging="423"/>
      </w:pPr>
      <w:rPr>
        <w:rFonts w:hint="default"/>
        <w:lang w:val="ru-RU" w:eastAsia="en-US" w:bidi="ar-SA"/>
      </w:rPr>
    </w:lvl>
    <w:lvl w:ilvl="6" w:tentative="0">
      <w:start w:val="0"/>
      <w:numFmt w:val="bullet"/>
      <w:lvlText w:val="•"/>
      <w:lvlJc w:val="left"/>
      <w:pPr>
        <w:ind w:left="6008" w:hanging="423"/>
      </w:pPr>
      <w:rPr>
        <w:rFonts w:hint="default"/>
        <w:lang w:val="ru-RU" w:eastAsia="en-US" w:bidi="ar-SA"/>
      </w:rPr>
    </w:lvl>
    <w:lvl w:ilvl="7" w:tentative="0">
      <w:start w:val="0"/>
      <w:numFmt w:val="bullet"/>
      <w:lvlText w:val="•"/>
      <w:lvlJc w:val="left"/>
      <w:pPr>
        <w:ind w:left="6986" w:hanging="423"/>
      </w:pPr>
      <w:rPr>
        <w:rFonts w:hint="default"/>
        <w:lang w:val="ru-RU" w:eastAsia="en-US" w:bidi="ar-SA"/>
      </w:rPr>
    </w:lvl>
    <w:lvl w:ilvl="8" w:tentative="0">
      <w:start w:val="0"/>
      <w:numFmt w:val="bullet"/>
      <w:lvlText w:val="•"/>
      <w:lvlJc w:val="left"/>
      <w:pPr>
        <w:ind w:left="7964" w:hanging="423"/>
      </w:pPr>
      <w:rPr>
        <w:rFonts w:hint="default"/>
        <w:lang w:val="ru-RU" w:eastAsia="en-US" w:bidi="ar-SA"/>
      </w:rPr>
    </w:lvl>
  </w:abstractNum>
  <w:abstractNum w:abstractNumId="2">
    <w:nsid w:val="9C8AC8EF"/>
    <w:multiLevelType w:val="multilevel"/>
    <w:tmpl w:val="9C8AC8EF"/>
    <w:lvl w:ilvl="0" w:tentative="0">
      <w:start w:val="1"/>
      <w:numFmt w:val="decimal"/>
      <w:lvlText w:val="%1"/>
      <w:lvlJc w:val="left"/>
      <w:pPr>
        <w:ind w:left="636"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610" w:hanging="212"/>
      </w:pPr>
      <w:rPr>
        <w:rFonts w:hint="default"/>
        <w:lang w:val="ru-RU" w:eastAsia="en-US" w:bidi="ar-SA"/>
      </w:rPr>
    </w:lvl>
    <w:lvl w:ilvl="2" w:tentative="0">
      <w:start w:val="0"/>
      <w:numFmt w:val="bullet"/>
      <w:lvlText w:val="•"/>
      <w:lvlJc w:val="left"/>
      <w:pPr>
        <w:ind w:left="2581" w:hanging="212"/>
      </w:pPr>
      <w:rPr>
        <w:rFonts w:hint="default"/>
        <w:lang w:val="ru-RU" w:eastAsia="en-US" w:bidi="ar-SA"/>
      </w:rPr>
    </w:lvl>
    <w:lvl w:ilvl="3" w:tentative="0">
      <w:start w:val="0"/>
      <w:numFmt w:val="bullet"/>
      <w:lvlText w:val="•"/>
      <w:lvlJc w:val="left"/>
      <w:pPr>
        <w:ind w:left="3551" w:hanging="212"/>
      </w:pPr>
      <w:rPr>
        <w:rFonts w:hint="default"/>
        <w:lang w:val="ru-RU" w:eastAsia="en-US" w:bidi="ar-SA"/>
      </w:rPr>
    </w:lvl>
    <w:lvl w:ilvl="4" w:tentative="0">
      <w:start w:val="0"/>
      <w:numFmt w:val="bullet"/>
      <w:lvlText w:val="•"/>
      <w:lvlJc w:val="left"/>
      <w:pPr>
        <w:ind w:left="4522" w:hanging="212"/>
      </w:pPr>
      <w:rPr>
        <w:rFonts w:hint="default"/>
        <w:lang w:val="ru-RU" w:eastAsia="en-US" w:bidi="ar-SA"/>
      </w:rPr>
    </w:lvl>
    <w:lvl w:ilvl="5" w:tentative="0">
      <w:start w:val="0"/>
      <w:numFmt w:val="bullet"/>
      <w:lvlText w:val="•"/>
      <w:lvlJc w:val="left"/>
      <w:pPr>
        <w:ind w:left="5493" w:hanging="212"/>
      </w:pPr>
      <w:rPr>
        <w:rFonts w:hint="default"/>
        <w:lang w:val="ru-RU" w:eastAsia="en-US" w:bidi="ar-SA"/>
      </w:rPr>
    </w:lvl>
    <w:lvl w:ilvl="6" w:tentative="0">
      <w:start w:val="0"/>
      <w:numFmt w:val="bullet"/>
      <w:lvlText w:val="•"/>
      <w:lvlJc w:val="left"/>
      <w:pPr>
        <w:ind w:left="6463" w:hanging="212"/>
      </w:pPr>
      <w:rPr>
        <w:rFonts w:hint="default"/>
        <w:lang w:val="ru-RU" w:eastAsia="en-US" w:bidi="ar-SA"/>
      </w:rPr>
    </w:lvl>
    <w:lvl w:ilvl="7" w:tentative="0">
      <w:start w:val="0"/>
      <w:numFmt w:val="bullet"/>
      <w:lvlText w:val="•"/>
      <w:lvlJc w:val="left"/>
      <w:pPr>
        <w:ind w:left="7434" w:hanging="212"/>
      </w:pPr>
      <w:rPr>
        <w:rFonts w:hint="default"/>
        <w:lang w:val="ru-RU" w:eastAsia="en-US" w:bidi="ar-SA"/>
      </w:rPr>
    </w:lvl>
    <w:lvl w:ilvl="8" w:tentative="0">
      <w:start w:val="0"/>
      <w:numFmt w:val="bullet"/>
      <w:lvlText w:val="•"/>
      <w:lvlJc w:val="left"/>
      <w:pPr>
        <w:ind w:left="8404" w:hanging="212"/>
      </w:pPr>
      <w:rPr>
        <w:rFonts w:hint="default"/>
        <w:lang w:val="ru-RU" w:eastAsia="en-US" w:bidi="ar-SA"/>
      </w:rPr>
    </w:lvl>
  </w:abstractNum>
  <w:abstractNum w:abstractNumId="3">
    <w:nsid w:val="B0F1ACD9"/>
    <w:multiLevelType w:val="multilevel"/>
    <w:tmpl w:val="B0F1ACD9"/>
    <w:lvl w:ilvl="0" w:tentative="0">
      <w:start w:val="1"/>
      <w:numFmt w:val="decimal"/>
      <w:lvlText w:val="%1."/>
      <w:lvlJc w:val="left"/>
      <w:pPr>
        <w:ind w:left="708" w:hanging="284"/>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664" w:hanging="284"/>
      </w:pPr>
      <w:rPr>
        <w:rFonts w:hint="default"/>
        <w:lang w:val="ru-RU" w:eastAsia="en-US" w:bidi="ar-SA"/>
      </w:rPr>
    </w:lvl>
    <w:lvl w:ilvl="2" w:tentative="0">
      <w:start w:val="0"/>
      <w:numFmt w:val="bullet"/>
      <w:lvlText w:val="•"/>
      <w:lvlJc w:val="left"/>
      <w:pPr>
        <w:ind w:left="2629" w:hanging="284"/>
      </w:pPr>
      <w:rPr>
        <w:rFonts w:hint="default"/>
        <w:lang w:val="ru-RU" w:eastAsia="en-US" w:bidi="ar-SA"/>
      </w:rPr>
    </w:lvl>
    <w:lvl w:ilvl="3" w:tentative="0">
      <w:start w:val="0"/>
      <w:numFmt w:val="bullet"/>
      <w:lvlText w:val="•"/>
      <w:lvlJc w:val="left"/>
      <w:pPr>
        <w:ind w:left="3593" w:hanging="284"/>
      </w:pPr>
      <w:rPr>
        <w:rFonts w:hint="default"/>
        <w:lang w:val="ru-RU" w:eastAsia="en-US" w:bidi="ar-SA"/>
      </w:rPr>
    </w:lvl>
    <w:lvl w:ilvl="4" w:tentative="0">
      <w:start w:val="0"/>
      <w:numFmt w:val="bullet"/>
      <w:lvlText w:val="•"/>
      <w:lvlJc w:val="left"/>
      <w:pPr>
        <w:ind w:left="4558" w:hanging="284"/>
      </w:pPr>
      <w:rPr>
        <w:rFonts w:hint="default"/>
        <w:lang w:val="ru-RU" w:eastAsia="en-US" w:bidi="ar-SA"/>
      </w:rPr>
    </w:lvl>
    <w:lvl w:ilvl="5" w:tentative="0">
      <w:start w:val="0"/>
      <w:numFmt w:val="bullet"/>
      <w:lvlText w:val="•"/>
      <w:lvlJc w:val="left"/>
      <w:pPr>
        <w:ind w:left="5523" w:hanging="284"/>
      </w:pPr>
      <w:rPr>
        <w:rFonts w:hint="default"/>
        <w:lang w:val="ru-RU" w:eastAsia="en-US" w:bidi="ar-SA"/>
      </w:rPr>
    </w:lvl>
    <w:lvl w:ilvl="6" w:tentative="0">
      <w:start w:val="0"/>
      <w:numFmt w:val="bullet"/>
      <w:lvlText w:val="•"/>
      <w:lvlJc w:val="left"/>
      <w:pPr>
        <w:ind w:left="6487" w:hanging="284"/>
      </w:pPr>
      <w:rPr>
        <w:rFonts w:hint="default"/>
        <w:lang w:val="ru-RU" w:eastAsia="en-US" w:bidi="ar-SA"/>
      </w:rPr>
    </w:lvl>
    <w:lvl w:ilvl="7" w:tentative="0">
      <w:start w:val="0"/>
      <w:numFmt w:val="bullet"/>
      <w:lvlText w:val="•"/>
      <w:lvlJc w:val="left"/>
      <w:pPr>
        <w:ind w:left="7452" w:hanging="284"/>
      </w:pPr>
      <w:rPr>
        <w:rFonts w:hint="default"/>
        <w:lang w:val="ru-RU" w:eastAsia="en-US" w:bidi="ar-SA"/>
      </w:rPr>
    </w:lvl>
    <w:lvl w:ilvl="8" w:tentative="0">
      <w:start w:val="0"/>
      <w:numFmt w:val="bullet"/>
      <w:lvlText w:val="•"/>
      <w:lvlJc w:val="left"/>
      <w:pPr>
        <w:ind w:left="8416" w:hanging="284"/>
      </w:pPr>
      <w:rPr>
        <w:rFonts w:hint="default"/>
        <w:lang w:val="ru-RU" w:eastAsia="en-US" w:bidi="ar-SA"/>
      </w:rPr>
    </w:lvl>
  </w:abstractNum>
  <w:abstractNum w:abstractNumId="4">
    <w:nsid w:val="B5E306ED"/>
    <w:multiLevelType w:val="multilevel"/>
    <w:tmpl w:val="B5E306ED"/>
    <w:lvl w:ilvl="0" w:tentative="0">
      <w:start w:val="1"/>
      <w:numFmt w:val="decimal"/>
      <w:lvlText w:val="%1."/>
      <w:lvlJc w:val="left"/>
      <w:pPr>
        <w:ind w:left="140" w:hanging="284"/>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284"/>
      </w:pPr>
      <w:rPr>
        <w:rFonts w:hint="default"/>
        <w:lang w:val="ru-RU" w:eastAsia="en-US" w:bidi="ar-SA"/>
      </w:rPr>
    </w:lvl>
    <w:lvl w:ilvl="2" w:tentative="0">
      <w:start w:val="0"/>
      <w:numFmt w:val="bullet"/>
      <w:lvlText w:val="•"/>
      <w:lvlJc w:val="left"/>
      <w:pPr>
        <w:ind w:left="2096" w:hanging="284"/>
      </w:pPr>
      <w:rPr>
        <w:rFonts w:hint="default"/>
        <w:lang w:val="ru-RU" w:eastAsia="en-US" w:bidi="ar-SA"/>
      </w:rPr>
    </w:lvl>
    <w:lvl w:ilvl="3" w:tentative="0">
      <w:start w:val="0"/>
      <w:numFmt w:val="bullet"/>
      <w:lvlText w:val="•"/>
      <w:lvlJc w:val="left"/>
      <w:pPr>
        <w:ind w:left="3074" w:hanging="284"/>
      </w:pPr>
      <w:rPr>
        <w:rFonts w:hint="default"/>
        <w:lang w:val="ru-RU" w:eastAsia="en-US" w:bidi="ar-SA"/>
      </w:rPr>
    </w:lvl>
    <w:lvl w:ilvl="4" w:tentative="0">
      <w:start w:val="0"/>
      <w:numFmt w:val="bullet"/>
      <w:lvlText w:val="•"/>
      <w:lvlJc w:val="left"/>
      <w:pPr>
        <w:ind w:left="4052" w:hanging="284"/>
      </w:pPr>
      <w:rPr>
        <w:rFonts w:hint="default"/>
        <w:lang w:val="ru-RU" w:eastAsia="en-US" w:bidi="ar-SA"/>
      </w:rPr>
    </w:lvl>
    <w:lvl w:ilvl="5" w:tentative="0">
      <w:start w:val="0"/>
      <w:numFmt w:val="bullet"/>
      <w:lvlText w:val="•"/>
      <w:lvlJc w:val="left"/>
      <w:pPr>
        <w:ind w:left="5030" w:hanging="284"/>
      </w:pPr>
      <w:rPr>
        <w:rFonts w:hint="default"/>
        <w:lang w:val="ru-RU" w:eastAsia="en-US" w:bidi="ar-SA"/>
      </w:rPr>
    </w:lvl>
    <w:lvl w:ilvl="6" w:tentative="0">
      <w:start w:val="0"/>
      <w:numFmt w:val="bullet"/>
      <w:lvlText w:val="•"/>
      <w:lvlJc w:val="left"/>
      <w:pPr>
        <w:ind w:left="6008" w:hanging="284"/>
      </w:pPr>
      <w:rPr>
        <w:rFonts w:hint="default"/>
        <w:lang w:val="ru-RU" w:eastAsia="en-US" w:bidi="ar-SA"/>
      </w:rPr>
    </w:lvl>
    <w:lvl w:ilvl="7" w:tentative="0">
      <w:start w:val="0"/>
      <w:numFmt w:val="bullet"/>
      <w:lvlText w:val="•"/>
      <w:lvlJc w:val="left"/>
      <w:pPr>
        <w:ind w:left="6986" w:hanging="284"/>
      </w:pPr>
      <w:rPr>
        <w:rFonts w:hint="default"/>
        <w:lang w:val="ru-RU" w:eastAsia="en-US" w:bidi="ar-SA"/>
      </w:rPr>
    </w:lvl>
    <w:lvl w:ilvl="8" w:tentative="0">
      <w:start w:val="0"/>
      <w:numFmt w:val="bullet"/>
      <w:lvlText w:val="•"/>
      <w:lvlJc w:val="left"/>
      <w:pPr>
        <w:ind w:left="7964" w:hanging="284"/>
      </w:pPr>
      <w:rPr>
        <w:rFonts w:hint="default"/>
        <w:lang w:val="ru-RU" w:eastAsia="en-US" w:bidi="ar-SA"/>
      </w:rPr>
    </w:lvl>
  </w:abstractNum>
  <w:abstractNum w:abstractNumId="5">
    <w:nsid w:val="BE923771"/>
    <w:multiLevelType w:val="multilevel"/>
    <w:tmpl w:val="BE923771"/>
    <w:lvl w:ilvl="0" w:tentative="0">
      <w:start w:val="1"/>
      <w:numFmt w:val="decimal"/>
      <w:lvlText w:val="%1."/>
      <w:lvlJc w:val="left"/>
      <w:pPr>
        <w:ind w:left="140" w:hanging="701"/>
      </w:pPr>
      <w:rPr>
        <w:rFonts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701"/>
      </w:pPr>
      <w:rPr>
        <w:rFonts w:hint="default"/>
        <w:lang w:val="ru-RU" w:eastAsia="en-US" w:bidi="ar-SA"/>
      </w:rPr>
    </w:lvl>
    <w:lvl w:ilvl="2" w:tentative="0">
      <w:start w:val="0"/>
      <w:numFmt w:val="bullet"/>
      <w:lvlText w:val="•"/>
      <w:lvlJc w:val="left"/>
      <w:pPr>
        <w:ind w:left="2096" w:hanging="701"/>
      </w:pPr>
      <w:rPr>
        <w:rFonts w:hint="default"/>
        <w:lang w:val="ru-RU" w:eastAsia="en-US" w:bidi="ar-SA"/>
      </w:rPr>
    </w:lvl>
    <w:lvl w:ilvl="3" w:tentative="0">
      <w:start w:val="0"/>
      <w:numFmt w:val="bullet"/>
      <w:lvlText w:val="•"/>
      <w:lvlJc w:val="left"/>
      <w:pPr>
        <w:ind w:left="3074" w:hanging="701"/>
      </w:pPr>
      <w:rPr>
        <w:rFonts w:hint="default"/>
        <w:lang w:val="ru-RU" w:eastAsia="en-US" w:bidi="ar-SA"/>
      </w:rPr>
    </w:lvl>
    <w:lvl w:ilvl="4" w:tentative="0">
      <w:start w:val="0"/>
      <w:numFmt w:val="bullet"/>
      <w:lvlText w:val="•"/>
      <w:lvlJc w:val="left"/>
      <w:pPr>
        <w:ind w:left="4052" w:hanging="701"/>
      </w:pPr>
      <w:rPr>
        <w:rFonts w:hint="default"/>
        <w:lang w:val="ru-RU" w:eastAsia="en-US" w:bidi="ar-SA"/>
      </w:rPr>
    </w:lvl>
    <w:lvl w:ilvl="5" w:tentative="0">
      <w:start w:val="0"/>
      <w:numFmt w:val="bullet"/>
      <w:lvlText w:val="•"/>
      <w:lvlJc w:val="left"/>
      <w:pPr>
        <w:ind w:left="5030" w:hanging="701"/>
      </w:pPr>
      <w:rPr>
        <w:rFonts w:hint="default"/>
        <w:lang w:val="ru-RU" w:eastAsia="en-US" w:bidi="ar-SA"/>
      </w:rPr>
    </w:lvl>
    <w:lvl w:ilvl="6" w:tentative="0">
      <w:start w:val="0"/>
      <w:numFmt w:val="bullet"/>
      <w:lvlText w:val="•"/>
      <w:lvlJc w:val="left"/>
      <w:pPr>
        <w:ind w:left="6008" w:hanging="701"/>
      </w:pPr>
      <w:rPr>
        <w:rFonts w:hint="default"/>
        <w:lang w:val="ru-RU" w:eastAsia="en-US" w:bidi="ar-SA"/>
      </w:rPr>
    </w:lvl>
    <w:lvl w:ilvl="7" w:tentative="0">
      <w:start w:val="0"/>
      <w:numFmt w:val="bullet"/>
      <w:lvlText w:val="•"/>
      <w:lvlJc w:val="left"/>
      <w:pPr>
        <w:ind w:left="6986" w:hanging="701"/>
      </w:pPr>
      <w:rPr>
        <w:rFonts w:hint="default"/>
        <w:lang w:val="ru-RU" w:eastAsia="en-US" w:bidi="ar-SA"/>
      </w:rPr>
    </w:lvl>
    <w:lvl w:ilvl="8" w:tentative="0">
      <w:start w:val="0"/>
      <w:numFmt w:val="bullet"/>
      <w:lvlText w:val="•"/>
      <w:lvlJc w:val="left"/>
      <w:pPr>
        <w:ind w:left="7964" w:hanging="701"/>
      </w:pPr>
      <w:rPr>
        <w:rFonts w:hint="default"/>
        <w:lang w:val="ru-RU" w:eastAsia="en-US" w:bidi="ar-SA"/>
      </w:rPr>
    </w:lvl>
  </w:abstractNum>
  <w:abstractNum w:abstractNumId="6">
    <w:nsid w:val="BF205925"/>
    <w:multiLevelType w:val="multilevel"/>
    <w:tmpl w:val="BF205925"/>
    <w:lvl w:ilvl="0" w:tentative="0">
      <w:start w:val="1"/>
      <w:numFmt w:val="decimal"/>
      <w:lvlText w:val="%1."/>
      <w:lvlJc w:val="left"/>
      <w:pPr>
        <w:ind w:left="140" w:hanging="428"/>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428"/>
      </w:pPr>
      <w:rPr>
        <w:rFonts w:hint="default"/>
        <w:lang w:val="ru-RU" w:eastAsia="en-US" w:bidi="ar-SA"/>
      </w:rPr>
    </w:lvl>
    <w:lvl w:ilvl="2" w:tentative="0">
      <w:start w:val="0"/>
      <w:numFmt w:val="bullet"/>
      <w:lvlText w:val="•"/>
      <w:lvlJc w:val="left"/>
      <w:pPr>
        <w:ind w:left="2096" w:hanging="428"/>
      </w:pPr>
      <w:rPr>
        <w:rFonts w:hint="default"/>
        <w:lang w:val="ru-RU" w:eastAsia="en-US" w:bidi="ar-SA"/>
      </w:rPr>
    </w:lvl>
    <w:lvl w:ilvl="3" w:tentative="0">
      <w:start w:val="0"/>
      <w:numFmt w:val="bullet"/>
      <w:lvlText w:val="•"/>
      <w:lvlJc w:val="left"/>
      <w:pPr>
        <w:ind w:left="3074" w:hanging="428"/>
      </w:pPr>
      <w:rPr>
        <w:rFonts w:hint="default"/>
        <w:lang w:val="ru-RU" w:eastAsia="en-US" w:bidi="ar-SA"/>
      </w:rPr>
    </w:lvl>
    <w:lvl w:ilvl="4" w:tentative="0">
      <w:start w:val="0"/>
      <w:numFmt w:val="bullet"/>
      <w:lvlText w:val="•"/>
      <w:lvlJc w:val="left"/>
      <w:pPr>
        <w:ind w:left="4052" w:hanging="428"/>
      </w:pPr>
      <w:rPr>
        <w:rFonts w:hint="default"/>
        <w:lang w:val="ru-RU" w:eastAsia="en-US" w:bidi="ar-SA"/>
      </w:rPr>
    </w:lvl>
    <w:lvl w:ilvl="5" w:tentative="0">
      <w:start w:val="0"/>
      <w:numFmt w:val="bullet"/>
      <w:lvlText w:val="•"/>
      <w:lvlJc w:val="left"/>
      <w:pPr>
        <w:ind w:left="5030" w:hanging="428"/>
      </w:pPr>
      <w:rPr>
        <w:rFonts w:hint="default"/>
        <w:lang w:val="ru-RU" w:eastAsia="en-US" w:bidi="ar-SA"/>
      </w:rPr>
    </w:lvl>
    <w:lvl w:ilvl="6" w:tentative="0">
      <w:start w:val="0"/>
      <w:numFmt w:val="bullet"/>
      <w:lvlText w:val="•"/>
      <w:lvlJc w:val="left"/>
      <w:pPr>
        <w:ind w:left="6008" w:hanging="428"/>
      </w:pPr>
      <w:rPr>
        <w:rFonts w:hint="default"/>
        <w:lang w:val="ru-RU" w:eastAsia="en-US" w:bidi="ar-SA"/>
      </w:rPr>
    </w:lvl>
    <w:lvl w:ilvl="7" w:tentative="0">
      <w:start w:val="0"/>
      <w:numFmt w:val="bullet"/>
      <w:lvlText w:val="•"/>
      <w:lvlJc w:val="left"/>
      <w:pPr>
        <w:ind w:left="6986" w:hanging="428"/>
      </w:pPr>
      <w:rPr>
        <w:rFonts w:hint="default"/>
        <w:lang w:val="ru-RU" w:eastAsia="en-US" w:bidi="ar-SA"/>
      </w:rPr>
    </w:lvl>
    <w:lvl w:ilvl="8" w:tentative="0">
      <w:start w:val="0"/>
      <w:numFmt w:val="bullet"/>
      <w:lvlText w:val="•"/>
      <w:lvlJc w:val="left"/>
      <w:pPr>
        <w:ind w:left="7964" w:hanging="428"/>
      </w:pPr>
      <w:rPr>
        <w:rFonts w:hint="default"/>
        <w:lang w:val="ru-RU" w:eastAsia="en-US" w:bidi="ar-SA"/>
      </w:rPr>
    </w:lvl>
  </w:abstractNum>
  <w:abstractNum w:abstractNumId="7">
    <w:nsid w:val="C8879AEF"/>
    <w:multiLevelType w:val="multilevel"/>
    <w:tmpl w:val="C8879AEF"/>
    <w:lvl w:ilvl="0" w:tentative="0">
      <w:start w:val="0"/>
      <w:numFmt w:val="bullet"/>
      <w:lvlText w:val=""/>
      <w:lvlJc w:val="left"/>
      <w:pPr>
        <w:ind w:left="861" w:hanging="154"/>
      </w:pPr>
      <w:rPr>
        <w:rFonts w:hint="default" w:ascii="Symbol" w:hAnsi="Symbol" w:eastAsia="Symbol" w:cs="Symbol"/>
        <w:b w:val="0"/>
        <w:bCs w:val="0"/>
        <w:i w:val="0"/>
        <w:iCs w:val="0"/>
        <w:spacing w:val="0"/>
        <w:w w:val="100"/>
        <w:sz w:val="20"/>
        <w:szCs w:val="20"/>
        <w:lang w:val="ru-RU" w:eastAsia="en-US" w:bidi="ar-SA"/>
      </w:rPr>
    </w:lvl>
    <w:lvl w:ilvl="1" w:tentative="0">
      <w:start w:val="0"/>
      <w:numFmt w:val="bullet"/>
      <w:lvlText w:val="•"/>
      <w:lvlJc w:val="left"/>
      <w:pPr>
        <w:ind w:left="1766" w:hanging="154"/>
      </w:pPr>
      <w:rPr>
        <w:rFonts w:hint="default"/>
        <w:lang w:val="ru-RU" w:eastAsia="en-US" w:bidi="ar-SA"/>
      </w:rPr>
    </w:lvl>
    <w:lvl w:ilvl="2" w:tentative="0">
      <w:start w:val="0"/>
      <w:numFmt w:val="bullet"/>
      <w:lvlText w:val="•"/>
      <w:lvlJc w:val="left"/>
      <w:pPr>
        <w:ind w:left="2672" w:hanging="154"/>
      </w:pPr>
      <w:rPr>
        <w:rFonts w:hint="default"/>
        <w:lang w:val="ru-RU" w:eastAsia="en-US" w:bidi="ar-SA"/>
      </w:rPr>
    </w:lvl>
    <w:lvl w:ilvl="3" w:tentative="0">
      <w:start w:val="0"/>
      <w:numFmt w:val="bullet"/>
      <w:lvlText w:val="•"/>
      <w:lvlJc w:val="left"/>
      <w:pPr>
        <w:ind w:left="3578" w:hanging="154"/>
      </w:pPr>
      <w:rPr>
        <w:rFonts w:hint="default"/>
        <w:lang w:val="ru-RU" w:eastAsia="en-US" w:bidi="ar-SA"/>
      </w:rPr>
    </w:lvl>
    <w:lvl w:ilvl="4" w:tentative="0">
      <w:start w:val="0"/>
      <w:numFmt w:val="bullet"/>
      <w:lvlText w:val="•"/>
      <w:lvlJc w:val="left"/>
      <w:pPr>
        <w:ind w:left="4484" w:hanging="154"/>
      </w:pPr>
      <w:rPr>
        <w:rFonts w:hint="default"/>
        <w:lang w:val="ru-RU" w:eastAsia="en-US" w:bidi="ar-SA"/>
      </w:rPr>
    </w:lvl>
    <w:lvl w:ilvl="5" w:tentative="0">
      <w:start w:val="0"/>
      <w:numFmt w:val="bullet"/>
      <w:lvlText w:val="•"/>
      <w:lvlJc w:val="left"/>
      <w:pPr>
        <w:ind w:left="5390" w:hanging="154"/>
      </w:pPr>
      <w:rPr>
        <w:rFonts w:hint="default"/>
        <w:lang w:val="ru-RU" w:eastAsia="en-US" w:bidi="ar-SA"/>
      </w:rPr>
    </w:lvl>
    <w:lvl w:ilvl="6" w:tentative="0">
      <w:start w:val="0"/>
      <w:numFmt w:val="bullet"/>
      <w:lvlText w:val="•"/>
      <w:lvlJc w:val="left"/>
      <w:pPr>
        <w:ind w:left="6296" w:hanging="154"/>
      </w:pPr>
      <w:rPr>
        <w:rFonts w:hint="default"/>
        <w:lang w:val="ru-RU" w:eastAsia="en-US" w:bidi="ar-SA"/>
      </w:rPr>
    </w:lvl>
    <w:lvl w:ilvl="7" w:tentative="0">
      <w:start w:val="0"/>
      <w:numFmt w:val="bullet"/>
      <w:lvlText w:val="•"/>
      <w:lvlJc w:val="left"/>
      <w:pPr>
        <w:ind w:left="7202" w:hanging="154"/>
      </w:pPr>
      <w:rPr>
        <w:rFonts w:hint="default"/>
        <w:lang w:val="ru-RU" w:eastAsia="en-US" w:bidi="ar-SA"/>
      </w:rPr>
    </w:lvl>
    <w:lvl w:ilvl="8" w:tentative="0">
      <w:start w:val="0"/>
      <w:numFmt w:val="bullet"/>
      <w:lvlText w:val="•"/>
      <w:lvlJc w:val="left"/>
      <w:pPr>
        <w:ind w:left="8108" w:hanging="154"/>
      </w:pPr>
      <w:rPr>
        <w:rFonts w:hint="default"/>
        <w:lang w:val="ru-RU" w:eastAsia="en-US" w:bidi="ar-SA"/>
      </w:rPr>
    </w:lvl>
  </w:abstractNum>
  <w:abstractNum w:abstractNumId="8">
    <w:nsid w:val="CF092B84"/>
    <w:multiLevelType w:val="multilevel"/>
    <w:tmpl w:val="CF092B84"/>
    <w:lvl w:ilvl="0" w:tentative="0">
      <w:start w:val="1"/>
      <w:numFmt w:val="decimal"/>
      <w:lvlText w:val="%1."/>
      <w:lvlJc w:val="left"/>
      <w:pPr>
        <w:ind w:left="140" w:hanging="288"/>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288"/>
      </w:pPr>
      <w:rPr>
        <w:rFonts w:hint="default"/>
        <w:lang w:val="ru-RU" w:eastAsia="en-US" w:bidi="ar-SA"/>
      </w:rPr>
    </w:lvl>
    <w:lvl w:ilvl="2" w:tentative="0">
      <w:start w:val="0"/>
      <w:numFmt w:val="bullet"/>
      <w:lvlText w:val="•"/>
      <w:lvlJc w:val="left"/>
      <w:pPr>
        <w:ind w:left="2096" w:hanging="288"/>
      </w:pPr>
      <w:rPr>
        <w:rFonts w:hint="default"/>
        <w:lang w:val="ru-RU" w:eastAsia="en-US" w:bidi="ar-SA"/>
      </w:rPr>
    </w:lvl>
    <w:lvl w:ilvl="3" w:tentative="0">
      <w:start w:val="0"/>
      <w:numFmt w:val="bullet"/>
      <w:lvlText w:val="•"/>
      <w:lvlJc w:val="left"/>
      <w:pPr>
        <w:ind w:left="3074" w:hanging="288"/>
      </w:pPr>
      <w:rPr>
        <w:rFonts w:hint="default"/>
        <w:lang w:val="ru-RU" w:eastAsia="en-US" w:bidi="ar-SA"/>
      </w:rPr>
    </w:lvl>
    <w:lvl w:ilvl="4" w:tentative="0">
      <w:start w:val="0"/>
      <w:numFmt w:val="bullet"/>
      <w:lvlText w:val="•"/>
      <w:lvlJc w:val="left"/>
      <w:pPr>
        <w:ind w:left="4052" w:hanging="288"/>
      </w:pPr>
      <w:rPr>
        <w:rFonts w:hint="default"/>
        <w:lang w:val="ru-RU" w:eastAsia="en-US" w:bidi="ar-SA"/>
      </w:rPr>
    </w:lvl>
    <w:lvl w:ilvl="5" w:tentative="0">
      <w:start w:val="0"/>
      <w:numFmt w:val="bullet"/>
      <w:lvlText w:val="•"/>
      <w:lvlJc w:val="left"/>
      <w:pPr>
        <w:ind w:left="5030" w:hanging="288"/>
      </w:pPr>
      <w:rPr>
        <w:rFonts w:hint="default"/>
        <w:lang w:val="ru-RU" w:eastAsia="en-US" w:bidi="ar-SA"/>
      </w:rPr>
    </w:lvl>
    <w:lvl w:ilvl="6" w:tentative="0">
      <w:start w:val="0"/>
      <w:numFmt w:val="bullet"/>
      <w:lvlText w:val="•"/>
      <w:lvlJc w:val="left"/>
      <w:pPr>
        <w:ind w:left="6008" w:hanging="288"/>
      </w:pPr>
      <w:rPr>
        <w:rFonts w:hint="default"/>
        <w:lang w:val="ru-RU" w:eastAsia="en-US" w:bidi="ar-SA"/>
      </w:rPr>
    </w:lvl>
    <w:lvl w:ilvl="7" w:tentative="0">
      <w:start w:val="0"/>
      <w:numFmt w:val="bullet"/>
      <w:lvlText w:val="•"/>
      <w:lvlJc w:val="left"/>
      <w:pPr>
        <w:ind w:left="6986" w:hanging="288"/>
      </w:pPr>
      <w:rPr>
        <w:rFonts w:hint="default"/>
        <w:lang w:val="ru-RU" w:eastAsia="en-US" w:bidi="ar-SA"/>
      </w:rPr>
    </w:lvl>
    <w:lvl w:ilvl="8" w:tentative="0">
      <w:start w:val="0"/>
      <w:numFmt w:val="bullet"/>
      <w:lvlText w:val="•"/>
      <w:lvlJc w:val="left"/>
      <w:pPr>
        <w:ind w:left="7964" w:hanging="288"/>
      </w:pPr>
      <w:rPr>
        <w:rFonts w:hint="default"/>
        <w:lang w:val="ru-RU" w:eastAsia="en-US" w:bidi="ar-SA"/>
      </w:rPr>
    </w:lvl>
  </w:abstractNum>
  <w:abstractNum w:abstractNumId="9">
    <w:nsid w:val="D7F9FE59"/>
    <w:multiLevelType w:val="multilevel"/>
    <w:tmpl w:val="D7F9FE59"/>
    <w:lvl w:ilvl="0" w:tentative="0">
      <w:start w:val="0"/>
      <w:numFmt w:val="bullet"/>
      <w:lvlText w:val="—"/>
      <w:lvlJc w:val="left"/>
      <w:pPr>
        <w:ind w:left="424" w:hanging="371"/>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1"/>
      <w:numFmt w:val="decimal"/>
      <w:lvlText w:val="%2."/>
      <w:lvlJc w:val="left"/>
      <w:pPr>
        <w:ind w:left="424" w:hanging="423"/>
      </w:pPr>
      <w:rPr>
        <w:rFonts w:hint="default" w:ascii="Times New Roman" w:hAnsi="Times New Roman" w:eastAsia="Times New Roman" w:cs="Times New Roman"/>
        <w:b w:val="0"/>
        <w:bCs w:val="0"/>
        <w:i w:val="0"/>
        <w:iCs w:val="0"/>
        <w:spacing w:val="0"/>
        <w:w w:val="99"/>
        <w:sz w:val="28"/>
        <w:szCs w:val="28"/>
        <w:lang w:val="ru-RU" w:eastAsia="en-US" w:bidi="ar-SA"/>
      </w:rPr>
    </w:lvl>
    <w:lvl w:ilvl="2" w:tentative="0">
      <w:start w:val="0"/>
      <w:numFmt w:val="bullet"/>
      <w:lvlText w:val=""/>
      <w:lvlJc w:val="left"/>
      <w:pPr>
        <w:ind w:left="424" w:hanging="423"/>
      </w:pPr>
      <w:rPr>
        <w:rFonts w:hint="default" w:ascii="Symbol" w:hAnsi="Symbol" w:eastAsia="Symbol" w:cs="Symbol"/>
        <w:b w:val="0"/>
        <w:bCs w:val="0"/>
        <w:i w:val="0"/>
        <w:iCs w:val="0"/>
        <w:spacing w:val="0"/>
        <w:w w:val="100"/>
        <w:sz w:val="20"/>
        <w:szCs w:val="20"/>
        <w:lang w:val="ru-RU" w:eastAsia="en-US" w:bidi="ar-SA"/>
      </w:rPr>
    </w:lvl>
    <w:lvl w:ilvl="3" w:tentative="0">
      <w:start w:val="0"/>
      <w:numFmt w:val="bullet"/>
      <w:lvlText w:val="•"/>
      <w:lvlJc w:val="left"/>
      <w:pPr>
        <w:ind w:left="3397" w:hanging="423"/>
      </w:pPr>
      <w:rPr>
        <w:rFonts w:hint="default"/>
        <w:lang w:val="ru-RU" w:eastAsia="en-US" w:bidi="ar-SA"/>
      </w:rPr>
    </w:lvl>
    <w:lvl w:ilvl="4" w:tentative="0">
      <w:start w:val="0"/>
      <w:numFmt w:val="bullet"/>
      <w:lvlText w:val="•"/>
      <w:lvlJc w:val="left"/>
      <w:pPr>
        <w:ind w:left="4390" w:hanging="423"/>
      </w:pPr>
      <w:rPr>
        <w:rFonts w:hint="default"/>
        <w:lang w:val="ru-RU" w:eastAsia="en-US" w:bidi="ar-SA"/>
      </w:rPr>
    </w:lvl>
    <w:lvl w:ilvl="5" w:tentative="0">
      <w:start w:val="0"/>
      <w:numFmt w:val="bullet"/>
      <w:lvlText w:val="•"/>
      <w:lvlJc w:val="left"/>
      <w:pPr>
        <w:ind w:left="5383" w:hanging="423"/>
      </w:pPr>
      <w:rPr>
        <w:rFonts w:hint="default"/>
        <w:lang w:val="ru-RU" w:eastAsia="en-US" w:bidi="ar-SA"/>
      </w:rPr>
    </w:lvl>
    <w:lvl w:ilvl="6" w:tentative="0">
      <w:start w:val="0"/>
      <w:numFmt w:val="bullet"/>
      <w:lvlText w:val="•"/>
      <w:lvlJc w:val="left"/>
      <w:pPr>
        <w:ind w:left="6375" w:hanging="423"/>
      </w:pPr>
      <w:rPr>
        <w:rFonts w:hint="default"/>
        <w:lang w:val="ru-RU" w:eastAsia="en-US" w:bidi="ar-SA"/>
      </w:rPr>
    </w:lvl>
    <w:lvl w:ilvl="7" w:tentative="0">
      <w:start w:val="0"/>
      <w:numFmt w:val="bullet"/>
      <w:lvlText w:val="•"/>
      <w:lvlJc w:val="left"/>
      <w:pPr>
        <w:ind w:left="7368" w:hanging="423"/>
      </w:pPr>
      <w:rPr>
        <w:rFonts w:hint="default"/>
        <w:lang w:val="ru-RU" w:eastAsia="en-US" w:bidi="ar-SA"/>
      </w:rPr>
    </w:lvl>
    <w:lvl w:ilvl="8" w:tentative="0">
      <w:start w:val="0"/>
      <w:numFmt w:val="bullet"/>
      <w:lvlText w:val="•"/>
      <w:lvlJc w:val="left"/>
      <w:pPr>
        <w:ind w:left="8360" w:hanging="423"/>
      </w:pPr>
      <w:rPr>
        <w:rFonts w:hint="default"/>
        <w:lang w:val="ru-RU" w:eastAsia="en-US" w:bidi="ar-SA"/>
      </w:rPr>
    </w:lvl>
  </w:abstractNum>
  <w:abstractNum w:abstractNumId="10">
    <w:nsid w:val="DCBA6B53"/>
    <w:multiLevelType w:val="multilevel"/>
    <w:tmpl w:val="DCBA6B53"/>
    <w:lvl w:ilvl="0" w:tentative="0">
      <w:start w:val="0"/>
      <w:numFmt w:val="bullet"/>
      <w:lvlText w:val="–"/>
      <w:lvlJc w:val="left"/>
      <w:pPr>
        <w:ind w:left="424"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412" w:hanging="212"/>
      </w:pPr>
      <w:rPr>
        <w:rFonts w:hint="default"/>
        <w:lang w:val="ru-RU" w:eastAsia="en-US" w:bidi="ar-SA"/>
      </w:rPr>
    </w:lvl>
    <w:lvl w:ilvl="2" w:tentative="0">
      <w:start w:val="0"/>
      <w:numFmt w:val="bullet"/>
      <w:lvlText w:val="•"/>
      <w:lvlJc w:val="left"/>
      <w:pPr>
        <w:ind w:left="2405" w:hanging="212"/>
      </w:pPr>
      <w:rPr>
        <w:rFonts w:hint="default"/>
        <w:lang w:val="ru-RU" w:eastAsia="en-US" w:bidi="ar-SA"/>
      </w:rPr>
    </w:lvl>
    <w:lvl w:ilvl="3" w:tentative="0">
      <w:start w:val="0"/>
      <w:numFmt w:val="bullet"/>
      <w:lvlText w:val="•"/>
      <w:lvlJc w:val="left"/>
      <w:pPr>
        <w:ind w:left="3397" w:hanging="212"/>
      </w:pPr>
      <w:rPr>
        <w:rFonts w:hint="default"/>
        <w:lang w:val="ru-RU" w:eastAsia="en-US" w:bidi="ar-SA"/>
      </w:rPr>
    </w:lvl>
    <w:lvl w:ilvl="4" w:tentative="0">
      <w:start w:val="0"/>
      <w:numFmt w:val="bullet"/>
      <w:lvlText w:val="•"/>
      <w:lvlJc w:val="left"/>
      <w:pPr>
        <w:ind w:left="4390" w:hanging="212"/>
      </w:pPr>
      <w:rPr>
        <w:rFonts w:hint="default"/>
        <w:lang w:val="ru-RU" w:eastAsia="en-US" w:bidi="ar-SA"/>
      </w:rPr>
    </w:lvl>
    <w:lvl w:ilvl="5" w:tentative="0">
      <w:start w:val="0"/>
      <w:numFmt w:val="bullet"/>
      <w:lvlText w:val="•"/>
      <w:lvlJc w:val="left"/>
      <w:pPr>
        <w:ind w:left="5383" w:hanging="212"/>
      </w:pPr>
      <w:rPr>
        <w:rFonts w:hint="default"/>
        <w:lang w:val="ru-RU" w:eastAsia="en-US" w:bidi="ar-SA"/>
      </w:rPr>
    </w:lvl>
    <w:lvl w:ilvl="6" w:tentative="0">
      <w:start w:val="0"/>
      <w:numFmt w:val="bullet"/>
      <w:lvlText w:val="•"/>
      <w:lvlJc w:val="left"/>
      <w:pPr>
        <w:ind w:left="6375" w:hanging="212"/>
      </w:pPr>
      <w:rPr>
        <w:rFonts w:hint="default"/>
        <w:lang w:val="ru-RU" w:eastAsia="en-US" w:bidi="ar-SA"/>
      </w:rPr>
    </w:lvl>
    <w:lvl w:ilvl="7" w:tentative="0">
      <w:start w:val="0"/>
      <w:numFmt w:val="bullet"/>
      <w:lvlText w:val="•"/>
      <w:lvlJc w:val="left"/>
      <w:pPr>
        <w:ind w:left="7368" w:hanging="212"/>
      </w:pPr>
      <w:rPr>
        <w:rFonts w:hint="default"/>
        <w:lang w:val="ru-RU" w:eastAsia="en-US" w:bidi="ar-SA"/>
      </w:rPr>
    </w:lvl>
    <w:lvl w:ilvl="8" w:tentative="0">
      <w:start w:val="0"/>
      <w:numFmt w:val="bullet"/>
      <w:lvlText w:val="•"/>
      <w:lvlJc w:val="left"/>
      <w:pPr>
        <w:ind w:left="8360" w:hanging="212"/>
      </w:pPr>
      <w:rPr>
        <w:rFonts w:hint="default"/>
        <w:lang w:val="ru-RU" w:eastAsia="en-US" w:bidi="ar-SA"/>
      </w:rPr>
    </w:lvl>
  </w:abstractNum>
  <w:abstractNum w:abstractNumId="11">
    <w:nsid w:val="F4B5D9F5"/>
    <w:multiLevelType w:val="multilevel"/>
    <w:tmpl w:val="F4B5D9F5"/>
    <w:lvl w:ilvl="0" w:tentative="0">
      <w:start w:val="0"/>
      <w:numFmt w:val="bullet"/>
      <w:lvlText w:val="-"/>
      <w:lvlJc w:val="left"/>
      <w:pPr>
        <w:ind w:left="146" w:hanging="164"/>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870" w:hanging="164"/>
      </w:pPr>
      <w:rPr>
        <w:rFonts w:hint="default"/>
        <w:lang w:val="ru-RU" w:eastAsia="en-US" w:bidi="ar-SA"/>
      </w:rPr>
    </w:lvl>
    <w:lvl w:ilvl="2" w:tentative="0">
      <w:start w:val="0"/>
      <w:numFmt w:val="bullet"/>
      <w:lvlText w:val="•"/>
      <w:lvlJc w:val="left"/>
      <w:pPr>
        <w:ind w:left="1601" w:hanging="164"/>
      </w:pPr>
      <w:rPr>
        <w:rFonts w:hint="default"/>
        <w:lang w:val="ru-RU" w:eastAsia="en-US" w:bidi="ar-SA"/>
      </w:rPr>
    </w:lvl>
    <w:lvl w:ilvl="3" w:tentative="0">
      <w:start w:val="0"/>
      <w:numFmt w:val="bullet"/>
      <w:lvlText w:val="•"/>
      <w:lvlJc w:val="left"/>
      <w:pPr>
        <w:ind w:left="2332" w:hanging="164"/>
      </w:pPr>
      <w:rPr>
        <w:rFonts w:hint="default"/>
        <w:lang w:val="ru-RU" w:eastAsia="en-US" w:bidi="ar-SA"/>
      </w:rPr>
    </w:lvl>
    <w:lvl w:ilvl="4" w:tentative="0">
      <w:start w:val="0"/>
      <w:numFmt w:val="bullet"/>
      <w:lvlText w:val="•"/>
      <w:lvlJc w:val="left"/>
      <w:pPr>
        <w:ind w:left="3063" w:hanging="164"/>
      </w:pPr>
      <w:rPr>
        <w:rFonts w:hint="default"/>
        <w:lang w:val="ru-RU" w:eastAsia="en-US" w:bidi="ar-SA"/>
      </w:rPr>
    </w:lvl>
    <w:lvl w:ilvl="5" w:tentative="0">
      <w:start w:val="0"/>
      <w:numFmt w:val="bullet"/>
      <w:lvlText w:val="•"/>
      <w:lvlJc w:val="left"/>
      <w:pPr>
        <w:ind w:left="3794" w:hanging="164"/>
      </w:pPr>
      <w:rPr>
        <w:rFonts w:hint="default"/>
        <w:lang w:val="ru-RU" w:eastAsia="en-US" w:bidi="ar-SA"/>
      </w:rPr>
    </w:lvl>
    <w:lvl w:ilvl="6" w:tentative="0">
      <w:start w:val="0"/>
      <w:numFmt w:val="bullet"/>
      <w:lvlText w:val="•"/>
      <w:lvlJc w:val="left"/>
      <w:pPr>
        <w:ind w:left="4524" w:hanging="164"/>
      </w:pPr>
      <w:rPr>
        <w:rFonts w:hint="default"/>
        <w:lang w:val="ru-RU" w:eastAsia="en-US" w:bidi="ar-SA"/>
      </w:rPr>
    </w:lvl>
    <w:lvl w:ilvl="7" w:tentative="0">
      <w:start w:val="0"/>
      <w:numFmt w:val="bullet"/>
      <w:lvlText w:val="•"/>
      <w:lvlJc w:val="left"/>
      <w:pPr>
        <w:ind w:left="5255" w:hanging="164"/>
      </w:pPr>
      <w:rPr>
        <w:rFonts w:hint="default"/>
        <w:lang w:val="ru-RU" w:eastAsia="en-US" w:bidi="ar-SA"/>
      </w:rPr>
    </w:lvl>
    <w:lvl w:ilvl="8" w:tentative="0">
      <w:start w:val="0"/>
      <w:numFmt w:val="bullet"/>
      <w:lvlText w:val="•"/>
      <w:lvlJc w:val="left"/>
      <w:pPr>
        <w:ind w:left="5986" w:hanging="164"/>
      </w:pPr>
      <w:rPr>
        <w:rFonts w:hint="default"/>
        <w:lang w:val="ru-RU" w:eastAsia="en-US" w:bidi="ar-SA"/>
      </w:rPr>
    </w:lvl>
  </w:abstractNum>
  <w:abstractNum w:abstractNumId="12">
    <w:nsid w:val="0053208E"/>
    <w:multiLevelType w:val="multilevel"/>
    <w:tmpl w:val="0053208E"/>
    <w:lvl w:ilvl="0" w:tentative="0">
      <w:start w:val="1"/>
      <w:numFmt w:val="decimal"/>
      <w:lvlText w:val="%1."/>
      <w:lvlJc w:val="left"/>
      <w:pPr>
        <w:ind w:left="140" w:hanging="284"/>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284"/>
      </w:pPr>
      <w:rPr>
        <w:rFonts w:hint="default"/>
        <w:lang w:val="ru-RU" w:eastAsia="en-US" w:bidi="ar-SA"/>
      </w:rPr>
    </w:lvl>
    <w:lvl w:ilvl="2" w:tentative="0">
      <w:start w:val="0"/>
      <w:numFmt w:val="bullet"/>
      <w:lvlText w:val="•"/>
      <w:lvlJc w:val="left"/>
      <w:pPr>
        <w:ind w:left="2096" w:hanging="284"/>
      </w:pPr>
      <w:rPr>
        <w:rFonts w:hint="default"/>
        <w:lang w:val="ru-RU" w:eastAsia="en-US" w:bidi="ar-SA"/>
      </w:rPr>
    </w:lvl>
    <w:lvl w:ilvl="3" w:tentative="0">
      <w:start w:val="0"/>
      <w:numFmt w:val="bullet"/>
      <w:lvlText w:val="•"/>
      <w:lvlJc w:val="left"/>
      <w:pPr>
        <w:ind w:left="3074" w:hanging="284"/>
      </w:pPr>
      <w:rPr>
        <w:rFonts w:hint="default"/>
        <w:lang w:val="ru-RU" w:eastAsia="en-US" w:bidi="ar-SA"/>
      </w:rPr>
    </w:lvl>
    <w:lvl w:ilvl="4" w:tentative="0">
      <w:start w:val="0"/>
      <w:numFmt w:val="bullet"/>
      <w:lvlText w:val="•"/>
      <w:lvlJc w:val="left"/>
      <w:pPr>
        <w:ind w:left="4052" w:hanging="284"/>
      </w:pPr>
      <w:rPr>
        <w:rFonts w:hint="default"/>
        <w:lang w:val="ru-RU" w:eastAsia="en-US" w:bidi="ar-SA"/>
      </w:rPr>
    </w:lvl>
    <w:lvl w:ilvl="5" w:tentative="0">
      <w:start w:val="0"/>
      <w:numFmt w:val="bullet"/>
      <w:lvlText w:val="•"/>
      <w:lvlJc w:val="left"/>
      <w:pPr>
        <w:ind w:left="5030" w:hanging="284"/>
      </w:pPr>
      <w:rPr>
        <w:rFonts w:hint="default"/>
        <w:lang w:val="ru-RU" w:eastAsia="en-US" w:bidi="ar-SA"/>
      </w:rPr>
    </w:lvl>
    <w:lvl w:ilvl="6" w:tentative="0">
      <w:start w:val="0"/>
      <w:numFmt w:val="bullet"/>
      <w:lvlText w:val="•"/>
      <w:lvlJc w:val="left"/>
      <w:pPr>
        <w:ind w:left="6008" w:hanging="284"/>
      </w:pPr>
      <w:rPr>
        <w:rFonts w:hint="default"/>
        <w:lang w:val="ru-RU" w:eastAsia="en-US" w:bidi="ar-SA"/>
      </w:rPr>
    </w:lvl>
    <w:lvl w:ilvl="7" w:tentative="0">
      <w:start w:val="0"/>
      <w:numFmt w:val="bullet"/>
      <w:lvlText w:val="•"/>
      <w:lvlJc w:val="left"/>
      <w:pPr>
        <w:ind w:left="6986" w:hanging="284"/>
      </w:pPr>
      <w:rPr>
        <w:rFonts w:hint="default"/>
        <w:lang w:val="ru-RU" w:eastAsia="en-US" w:bidi="ar-SA"/>
      </w:rPr>
    </w:lvl>
    <w:lvl w:ilvl="8" w:tentative="0">
      <w:start w:val="0"/>
      <w:numFmt w:val="bullet"/>
      <w:lvlText w:val="•"/>
      <w:lvlJc w:val="left"/>
      <w:pPr>
        <w:ind w:left="7964" w:hanging="284"/>
      </w:pPr>
      <w:rPr>
        <w:rFonts w:hint="default"/>
        <w:lang w:val="ru-RU" w:eastAsia="en-US" w:bidi="ar-SA"/>
      </w:rPr>
    </w:lvl>
  </w:abstractNum>
  <w:abstractNum w:abstractNumId="13">
    <w:nsid w:val="0248C179"/>
    <w:multiLevelType w:val="multilevel"/>
    <w:tmpl w:val="0248C179"/>
    <w:lvl w:ilvl="0" w:tentative="0">
      <w:start w:val="0"/>
      <w:numFmt w:val="bullet"/>
      <w:lvlText w:val="-"/>
      <w:lvlJc w:val="left"/>
      <w:pPr>
        <w:ind w:left="140" w:hanging="197"/>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197"/>
      </w:pPr>
      <w:rPr>
        <w:rFonts w:hint="default"/>
        <w:lang w:val="ru-RU" w:eastAsia="en-US" w:bidi="ar-SA"/>
      </w:rPr>
    </w:lvl>
    <w:lvl w:ilvl="2" w:tentative="0">
      <w:start w:val="0"/>
      <w:numFmt w:val="bullet"/>
      <w:lvlText w:val="•"/>
      <w:lvlJc w:val="left"/>
      <w:pPr>
        <w:ind w:left="2096" w:hanging="197"/>
      </w:pPr>
      <w:rPr>
        <w:rFonts w:hint="default"/>
        <w:lang w:val="ru-RU" w:eastAsia="en-US" w:bidi="ar-SA"/>
      </w:rPr>
    </w:lvl>
    <w:lvl w:ilvl="3" w:tentative="0">
      <w:start w:val="0"/>
      <w:numFmt w:val="bullet"/>
      <w:lvlText w:val="•"/>
      <w:lvlJc w:val="left"/>
      <w:pPr>
        <w:ind w:left="3074" w:hanging="197"/>
      </w:pPr>
      <w:rPr>
        <w:rFonts w:hint="default"/>
        <w:lang w:val="ru-RU" w:eastAsia="en-US" w:bidi="ar-SA"/>
      </w:rPr>
    </w:lvl>
    <w:lvl w:ilvl="4" w:tentative="0">
      <w:start w:val="0"/>
      <w:numFmt w:val="bullet"/>
      <w:lvlText w:val="•"/>
      <w:lvlJc w:val="left"/>
      <w:pPr>
        <w:ind w:left="4052" w:hanging="197"/>
      </w:pPr>
      <w:rPr>
        <w:rFonts w:hint="default"/>
        <w:lang w:val="ru-RU" w:eastAsia="en-US" w:bidi="ar-SA"/>
      </w:rPr>
    </w:lvl>
    <w:lvl w:ilvl="5" w:tentative="0">
      <w:start w:val="0"/>
      <w:numFmt w:val="bullet"/>
      <w:lvlText w:val="•"/>
      <w:lvlJc w:val="left"/>
      <w:pPr>
        <w:ind w:left="5030" w:hanging="197"/>
      </w:pPr>
      <w:rPr>
        <w:rFonts w:hint="default"/>
        <w:lang w:val="ru-RU" w:eastAsia="en-US" w:bidi="ar-SA"/>
      </w:rPr>
    </w:lvl>
    <w:lvl w:ilvl="6" w:tentative="0">
      <w:start w:val="0"/>
      <w:numFmt w:val="bullet"/>
      <w:lvlText w:val="•"/>
      <w:lvlJc w:val="left"/>
      <w:pPr>
        <w:ind w:left="6008" w:hanging="197"/>
      </w:pPr>
      <w:rPr>
        <w:rFonts w:hint="default"/>
        <w:lang w:val="ru-RU" w:eastAsia="en-US" w:bidi="ar-SA"/>
      </w:rPr>
    </w:lvl>
    <w:lvl w:ilvl="7" w:tentative="0">
      <w:start w:val="0"/>
      <w:numFmt w:val="bullet"/>
      <w:lvlText w:val="•"/>
      <w:lvlJc w:val="left"/>
      <w:pPr>
        <w:ind w:left="6986" w:hanging="197"/>
      </w:pPr>
      <w:rPr>
        <w:rFonts w:hint="default"/>
        <w:lang w:val="ru-RU" w:eastAsia="en-US" w:bidi="ar-SA"/>
      </w:rPr>
    </w:lvl>
    <w:lvl w:ilvl="8" w:tentative="0">
      <w:start w:val="0"/>
      <w:numFmt w:val="bullet"/>
      <w:lvlText w:val="•"/>
      <w:lvlJc w:val="left"/>
      <w:pPr>
        <w:ind w:left="7964" w:hanging="197"/>
      </w:pPr>
      <w:rPr>
        <w:rFonts w:hint="default"/>
        <w:lang w:val="ru-RU" w:eastAsia="en-US" w:bidi="ar-SA"/>
      </w:rPr>
    </w:lvl>
  </w:abstractNum>
  <w:abstractNum w:abstractNumId="14">
    <w:nsid w:val="03D62ECE"/>
    <w:multiLevelType w:val="multilevel"/>
    <w:tmpl w:val="03D62ECE"/>
    <w:lvl w:ilvl="0" w:tentative="0">
      <w:start w:val="1"/>
      <w:numFmt w:val="decimal"/>
      <w:lvlText w:val="%1."/>
      <w:lvlJc w:val="left"/>
      <w:pPr>
        <w:ind w:left="140" w:hanging="298"/>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298"/>
      </w:pPr>
      <w:rPr>
        <w:rFonts w:hint="default"/>
        <w:lang w:val="ru-RU" w:eastAsia="en-US" w:bidi="ar-SA"/>
      </w:rPr>
    </w:lvl>
    <w:lvl w:ilvl="2" w:tentative="0">
      <w:start w:val="0"/>
      <w:numFmt w:val="bullet"/>
      <w:lvlText w:val="•"/>
      <w:lvlJc w:val="left"/>
      <w:pPr>
        <w:ind w:left="2096" w:hanging="298"/>
      </w:pPr>
      <w:rPr>
        <w:rFonts w:hint="default"/>
        <w:lang w:val="ru-RU" w:eastAsia="en-US" w:bidi="ar-SA"/>
      </w:rPr>
    </w:lvl>
    <w:lvl w:ilvl="3" w:tentative="0">
      <w:start w:val="0"/>
      <w:numFmt w:val="bullet"/>
      <w:lvlText w:val="•"/>
      <w:lvlJc w:val="left"/>
      <w:pPr>
        <w:ind w:left="3074" w:hanging="298"/>
      </w:pPr>
      <w:rPr>
        <w:rFonts w:hint="default"/>
        <w:lang w:val="ru-RU" w:eastAsia="en-US" w:bidi="ar-SA"/>
      </w:rPr>
    </w:lvl>
    <w:lvl w:ilvl="4" w:tentative="0">
      <w:start w:val="0"/>
      <w:numFmt w:val="bullet"/>
      <w:lvlText w:val="•"/>
      <w:lvlJc w:val="left"/>
      <w:pPr>
        <w:ind w:left="4052" w:hanging="298"/>
      </w:pPr>
      <w:rPr>
        <w:rFonts w:hint="default"/>
        <w:lang w:val="ru-RU" w:eastAsia="en-US" w:bidi="ar-SA"/>
      </w:rPr>
    </w:lvl>
    <w:lvl w:ilvl="5" w:tentative="0">
      <w:start w:val="0"/>
      <w:numFmt w:val="bullet"/>
      <w:lvlText w:val="•"/>
      <w:lvlJc w:val="left"/>
      <w:pPr>
        <w:ind w:left="5030" w:hanging="298"/>
      </w:pPr>
      <w:rPr>
        <w:rFonts w:hint="default"/>
        <w:lang w:val="ru-RU" w:eastAsia="en-US" w:bidi="ar-SA"/>
      </w:rPr>
    </w:lvl>
    <w:lvl w:ilvl="6" w:tentative="0">
      <w:start w:val="0"/>
      <w:numFmt w:val="bullet"/>
      <w:lvlText w:val="•"/>
      <w:lvlJc w:val="left"/>
      <w:pPr>
        <w:ind w:left="6008" w:hanging="298"/>
      </w:pPr>
      <w:rPr>
        <w:rFonts w:hint="default"/>
        <w:lang w:val="ru-RU" w:eastAsia="en-US" w:bidi="ar-SA"/>
      </w:rPr>
    </w:lvl>
    <w:lvl w:ilvl="7" w:tentative="0">
      <w:start w:val="0"/>
      <w:numFmt w:val="bullet"/>
      <w:lvlText w:val="•"/>
      <w:lvlJc w:val="left"/>
      <w:pPr>
        <w:ind w:left="6986" w:hanging="298"/>
      </w:pPr>
      <w:rPr>
        <w:rFonts w:hint="default"/>
        <w:lang w:val="ru-RU" w:eastAsia="en-US" w:bidi="ar-SA"/>
      </w:rPr>
    </w:lvl>
    <w:lvl w:ilvl="8" w:tentative="0">
      <w:start w:val="0"/>
      <w:numFmt w:val="bullet"/>
      <w:lvlText w:val="•"/>
      <w:lvlJc w:val="left"/>
      <w:pPr>
        <w:ind w:left="7964" w:hanging="298"/>
      </w:pPr>
      <w:rPr>
        <w:rFonts w:hint="default"/>
        <w:lang w:val="ru-RU" w:eastAsia="en-US" w:bidi="ar-SA"/>
      </w:rPr>
    </w:lvl>
  </w:abstractNum>
  <w:abstractNum w:abstractNumId="15">
    <w:nsid w:val="0E640482"/>
    <w:multiLevelType w:val="multilevel"/>
    <w:tmpl w:val="0E640482"/>
    <w:lvl w:ilvl="0" w:tentative="0">
      <w:start w:val="0"/>
      <w:numFmt w:val="bullet"/>
      <w:lvlText w:val="-"/>
      <w:lvlJc w:val="left"/>
      <w:pPr>
        <w:ind w:left="2059" w:hanging="164"/>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2223" w:hanging="164"/>
      </w:pPr>
      <w:rPr>
        <w:rFonts w:hint="default"/>
        <w:lang w:val="ru-RU" w:eastAsia="en-US" w:bidi="ar-SA"/>
      </w:rPr>
    </w:lvl>
    <w:lvl w:ilvl="2" w:tentative="0">
      <w:start w:val="0"/>
      <w:numFmt w:val="bullet"/>
      <w:lvlText w:val="•"/>
      <w:lvlJc w:val="left"/>
      <w:pPr>
        <w:ind w:left="2386" w:hanging="164"/>
      </w:pPr>
      <w:rPr>
        <w:rFonts w:hint="default"/>
        <w:lang w:val="ru-RU" w:eastAsia="en-US" w:bidi="ar-SA"/>
      </w:rPr>
    </w:lvl>
    <w:lvl w:ilvl="3" w:tentative="0">
      <w:start w:val="0"/>
      <w:numFmt w:val="bullet"/>
      <w:lvlText w:val="•"/>
      <w:lvlJc w:val="left"/>
      <w:pPr>
        <w:ind w:left="2549" w:hanging="164"/>
      </w:pPr>
      <w:rPr>
        <w:rFonts w:hint="default"/>
        <w:lang w:val="ru-RU" w:eastAsia="en-US" w:bidi="ar-SA"/>
      </w:rPr>
    </w:lvl>
    <w:lvl w:ilvl="4" w:tentative="0">
      <w:start w:val="0"/>
      <w:numFmt w:val="bullet"/>
      <w:lvlText w:val="•"/>
      <w:lvlJc w:val="left"/>
      <w:pPr>
        <w:ind w:left="2712" w:hanging="164"/>
      </w:pPr>
      <w:rPr>
        <w:rFonts w:hint="default"/>
        <w:lang w:val="ru-RU" w:eastAsia="en-US" w:bidi="ar-SA"/>
      </w:rPr>
    </w:lvl>
    <w:lvl w:ilvl="5" w:tentative="0">
      <w:start w:val="0"/>
      <w:numFmt w:val="bullet"/>
      <w:lvlText w:val="•"/>
      <w:lvlJc w:val="left"/>
      <w:pPr>
        <w:ind w:left="2876" w:hanging="164"/>
      </w:pPr>
      <w:rPr>
        <w:rFonts w:hint="default"/>
        <w:lang w:val="ru-RU" w:eastAsia="en-US" w:bidi="ar-SA"/>
      </w:rPr>
    </w:lvl>
    <w:lvl w:ilvl="6" w:tentative="0">
      <w:start w:val="0"/>
      <w:numFmt w:val="bullet"/>
      <w:lvlText w:val="•"/>
      <w:lvlJc w:val="left"/>
      <w:pPr>
        <w:ind w:left="3039" w:hanging="164"/>
      </w:pPr>
      <w:rPr>
        <w:rFonts w:hint="default"/>
        <w:lang w:val="ru-RU" w:eastAsia="en-US" w:bidi="ar-SA"/>
      </w:rPr>
    </w:lvl>
    <w:lvl w:ilvl="7" w:tentative="0">
      <w:start w:val="0"/>
      <w:numFmt w:val="bullet"/>
      <w:lvlText w:val="•"/>
      <w:lvlJc w:val="left"/>
      <w:pPr>
        <w:ind w:left="3202" w:hanging="164"/>
      </w:pPr>
      <w:rPr>
        <w:rFonts w:hint="default"/>
        <w:lang w:val="ru-RU" w:eastAsia="en-US" w:bidi="ar-SA"/>
      </w:rPr>
    </w:lvl>
    <w:lvl w:ilvl="8" w:tentative="0">
      <w:start w:val="0"/>
      <w:numFmt w:val="bullet"/>
      <w:lvlText w:val="•"/>
      <w:lvlJc w:val="left"/>
      <w:pPr>
        <w:ind w:left="3365" w:hanging="164"/>
      </w:pPr>
      <w:rPr>
        <w:rFonts w:hint="default"/>
        <w:lang w:val="ru-RU" w:eastAsia="en-US" w:bidi="ar-SA"/>
      </w:rPr>
    </w:lvl>
  </w:abstractNum>
  <w:abstractNum w:abstractNumId="16">
    <w:nsid w:val="2470EC97"/>
    <w:multiLevelType w:val="multilevel"/>
    <w:tmpl w:val="2470EC97"/>
    <w:lvl w:ilvl="0" w:tentative="0">
      <w:start w:val="0"/>
      <w:numFmt w:val="bullet"/>
      <w:lvlText w:val="-"/>
      <w:lvlJc w:val="left"/>
      <w:pPr>
        <w:ind w:left="424" w:hanging="226"/>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412" w:hanging="226"/>
      </w:pPr>
      <w:rPr>
        <w:rFonts w:hint="default"/>
        <w:lang w:val="ru-RU" w:eastAsia="en-US" w:bidi="ar-SA"/>
      </w:rPr>
    </w:lvl>
    <w:lvl w:ilvl="2" w:tentative="0">
      <w:start w:val="0"/>
      <w:numFmt w:val="bullet"/>
      <w:lvlText w:val="•"/>
      <w:lvlJc w:val="left"/>
      <w:pPr>
        <w:ind w:left="2405" w:hanging="226"/>
      </w:pPr>
      <w:rPr>
        <w:rFonts w:hint="default"/>
        <w:lang w:val="ru-RU" w:eastAsia="en-US" w:bidi="ar-SA"/>
      </w:rPr>
    </w:lvl>
    <w:lvl w:ilvl="3" w:tentative="0">
      <w:start w:val="0"/>
      <w:numFmt w:val="bullet"/>
      <w:lvlText w:val="•"/>
      <w:lvlJc w:val="left"/>
      <w:pPr>
        <w:ind w:left="3397" w:hanging="226"/>
      </w:pPr>
      <w:rPr>
        <w:rFonts w:hint="default"/>
        <w:lang w:val="ru-RU" w:eastAsia="en-US" w:bidi="ar-SA"/>
      </w:rPr>
    </w:lvl>
    <w:lvl w:ilvl="4" w:tentative="0">
      <w:start w:val="0"/>
      <w:numFmt w:val="bullet"/>
      <w:lvlText w:val="•"/>
      <w:lvlJc w:val="left"/>
      <w:pPr>
        <w:ind w:left="4390" w:hanging="226"/>
      </w:pPr>
      <w:rPr>
        <w:rFonts w:hint="default"/>
        <w:lang w:val="ru-RU" w:eastAsia="en-US" w:bidi="ar-SA"/>
      </w:rPr>
    </w:lvl>
    <w:lvl w:ilvl="5" w:tentative="0">
      <w:start w:val="0"/>
      <w:numFmt w:val="bullet"/>
      <w:lvlText w:val="•"/>
      <w:lvlJc w:val="left"/>
      <w:pPr>
        <w:ind w:left="5383" w:hanging="226"/>
      </w:pPr>
      <w:rPr>
        <w:rFonts w:hint="default"/>
        <w:lang w:val="ru-RU" w:eastAsia="en-US" w:bidi="ar-SA"/>
      </w:rPr>
    </w:lvl>
    <w:lvl w:ilvl="6" w:tentative="0">
      <w:start w:val="0"/>
      <w:numFmt w:val="bullet"/>
      <w:lvlText w:val="•"/>
      <w:lvlJc w:val="left"/>
      <w:pPr>
        <w:ind w:left="6375" w:hanging="226"/>
      </w:pPr>
      <w:rPr>
        <w:rFonts w:hint="default"/>
        <w:lang w:val="ru-RU" w:eastAsia="en-US" w:bidi="ar-SA"/>
      </w:rPr>
    </w:lvl>
    <w:lvl w:ilvl="7" w:tentative="0">
      <w:start w:val="0"/>
      <w:numFmt w:val="bullet"/>
      <w:lvlText w:val="•"/>
      <w:lvlJc w:val="left"/>
      <w:pPr>
        <w:ind w:left="7368" w:hanging="226"/>
      </w:pPr>
      <w:rPr>
        <w:rFonts w:hint="default"/>
        <w:lang w:val="ru-RU" w:eastAsia="en-US" w:bidi="ar-SA"/>
      </w:rPr>
    </w:lvl>
    <w:lvl w:ilvl="8" w:tentative="0">
      <w:start w:val="0"/>
      <w:numFmt w:val="bullet"/>
      <w:lvlText w:val="•"/>
      <w:lvlJc w:val="left"/>
      <w:pPr>
        <w:ind w:left="8360" w:hanging="226"/>
      </w:pPr>
      <w:rPr>
        <w:rFonts w:hint="default"/>
        <w:lang w:val="ru-RU" w:eastAsia="en-US" w:bidi="ar-SA"/>
      </w:rPr>
    </w:lvl>
  </w:abstractNum>
  <w:abstractNum w:abstractNumId="17">
    <w:nsid w:val="25B654F3"/>
    <w:multiLevelType w:val="multilevel"/>
    <w:tmpl w:val="25B654F3"/>
    <w:lvl w:ilvl="0" w:tentative="0">
      <w:start w:val="1"/>
      <w:numFmt w:val="decimal"/>
      <w:lvlText w:val="%1."/>
      <w:lvlJc w:val="left"/>
      <w:pPr>
        <w:ind w:left="140" w:hanging="284"/>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284"/>
      </w:pPr>
      <w:rPr>
        <w:rFonts w:hint="default"/>
        <w:lang w:val="ru-RU" w:eastAsia="en-US" w:bidi="ar-SA"/>
      </w:rPr>
    </w:lvl>
    <w:lvl w:ilvl="2" w:tentative="0">
      <w:start w:val="0"/>
      <w:numFmt w:val="bullet"/>
      <w:lvlText w:val="•"/>
      <w:lvlJc w:val="left"/>
      <w:pPr>
        <w:ind w:left="2096" w:hanging="284"/>
      </w:pPr>
      <w:rPr>
        <w:rFonts w:hint="default"/>
        <w:lang w:val="ru-RU" w:eastAsia="en-US" w:bidi="ar-SA"/>
      </w:rPr>
    </w:lvl>
    <w:lvl w:ilvl="3" w:tentative="0">
      <w:start w:val="0"/>
      <w:numFmt w:val="bullet"/>
      <w:lvlText w:val="•"/>
      <w:lvlJc w:val="left"/>
      <w:pPr>
        <w:ind w:left="3074" w:hanging="284"/>
      </w:pPr>
      <w:rPr>
        <w:rFonts w:hint="default"/>
        <w:lang w:val="ru-RU" w:eastAsia="en-US" w:bidi="ar-SA"/>
      </w:rPr>
    </w:lvl>
    <w:lvl w:ilvl="4" w:tentative="0">
      <w:start w:val="0"/>
      <w:numFmt w:val="bullet"/>
      <w:lvlText w:val="•"/>
      <w:lvlJc w:val="left"/>
      <w:pPr>
        <w:ind w:left="4052" w:hanging="284"/>
      </w:pPr>
      <w:rPr>
        <w:rFonts w:hint="default"/>
        <w:lang w:val="ru-RU" w:eastAsia="en-US" w:bidi="ar-SA"/>
      </w:rPr>
    </w:lvl>
    <w:lvl w:ilvl="5" w:tentative="0">
      <w:start w:val="0"/>
      <w:numFmt w:val="bullet"/>
      <w:lvlText w:val="•"/>
      <w:lvlJc w:val="left"/>
      <w:pPr>
        <w:ind w:left="5030" w:hanging="284"/>
      </w:pPr>
      <w:rPr>
        <w:rFonts w:hint="default"/>
        <w:lang w:val="ru-RU" w:eastAsia="en-US" w:bidi="ar-SA"/>
      </w:rPr>
    </w:lvl>
    <w:lvl w:ilvl="6" w:tentative="0">
      <w:start w:val="0"/>
      <w:numFmt w:val="bullet"/>
      <w:lvlText w:val="•"/>
      <w:lvlJc w:val="left"/>
      <w:pPr>
        <w:ind w:left="6008" w:hanging="284"/>
      </w:pPr>
      <w:rPr>
        <w:rFonts w:hint="default"/>
        <w:lang w:val="ru-RU" w:eastAsia="en-US" w:bidi="ar-SA"/>
      </w:rPr>
    </w:lvl>
    <w:lvl w:ilvl="7" w:tentative="0">
      <w:start w:val="0"/>
      <w:numFmt w:val="bullet"/>
      <w:lvlText w:val="•"/>
      <w:lvlJc w:val="left"/>
      <w:pPr>
        <w:ind w:left="6986" w:hanging="284"/>
      </w:pPr>
      <w:rPr>
        <w:rFonts w:hint="default"/>
        <w:lang w:val="ru-RU" w:eastAsia="en-US" w:bidi="ar-SA"/>
      </w:rPr>
    </w:lvl>
    <w:lvl w:ilvl="8" w:tentative="0">
      <w:start w:val="0"/>
      <w:numFmt w:val="bullet"/>
      <w:lvlText w:val="•"/>
      <w:lvlJc w:val="left"/>
      <w:pPr>
        <w:ind w:left="7964" w:hanging="284"/>
      </w:pPr>
      <w:rPr>
        <w:rFonts w:hint="default"/>
        <w:lang w:val="ru-RU" w:eastAsia="en-US" w:bidi="ar-SA"/>
      </w:rPr>
    </w:lvl>
  </w:abstractNum>
  <w:abstractNum w:abstractNumId="18">
    <w:nsid w:val="2A8F537B"/>
    <w:multiLevelType w:val="multilevel"/>
    <w:tmpl w:val="2A8F537B"/>
    <w:lvl w:ilvl="0" w:tentative="0">
      <w:start w:val="0"/>
      <w:numFmt w:val="bullet"/>
      <w:lvlText w:val="-"/>
      <w:lvlJc w:val="left"/>
      <w:pPr>
        <w:ind w:left="140" w:hanging="270"/>
      </w:pPr>
      <w:rPr>
        <w:rFonts w:hint="default" w:ascii="Times New Roman" w:hAnsi="Times New Roman" w:eastAsia="Times New Roman" w:cs="Times New Roman"/>
        <w:b/>
        <w:bCs/>
        <w:i w:val="0"/>
        <w:iCs w:val="0"/>
        <w:spacing w:val="0"/>
        <w:w w:val="99"/>
        <w:sz w:val="28"/>
        <w:szCs w:val="28"/>
        <w:lang w:val="ru-RU" w:eastAsia="en-US" w:bidi="ar-SA"/>
      </w:rPr>
    </w:lvl>
    <w:lvl w:ilvl="1" w:tentative="0">
      <w:start w:val="0"/>
      <w:numFmt w:val="bullet"/>
      <w:lvlText w:val="•"/>
      <w:lvlJc w:val="left"/>
      <w:pPr>
        <w:ind w:left="1118" w:hanging="270"/>
      </w:pPr>
      <w:rPr>
        <w:rFonts w:hint="default"/>
        <w:lang w:val="ru-RU" w:eastAsia="en-US" w:bidi="ar-SA"/>
      </w:rPr>
    </w:lvl>
    <w:lvl w:ilvl="2" w:tentative="0">
      <w:start w:val="0"/>
      <w:numFmt w:val="bullet"/>
      <w:lvlText w:val="•"/>
      <w:lvlJc w:val="left"/>
      <w:pPr>
        <w:ind w:left="2096" w:hanging="270"/>
      </w:pPr>
      <w:rPr>
        <w:rFonts w:hint="default"/>
        <w:lang w:val="ru-RU" w:eastAsia="en-US" w:bidi="ar-SA"/>
      </w:rPr>
    </w:lvl>
    <w:lvl w:ilvl="3" w:tentative="0">
      <w:start w:val="0"/>
      <w:numFmt w:val="bullet"/>
      <w:lvlText w:val="•"/>
      <w:lvlJc w:val="left"/>
      <w:pPr>
        <w:ind w:left="3074" w:hanging="270"/>
      </w:pPr>
      <w:rPr>
        <w:rFonts w:hint="default"/>
        <w:lang w:val="ru-RU" w:eastAsia="en-US" w:bidi="ar-SA"/>
      </w:rPr>
    </w:lvl>
    <w:lvl w:ilvl="4" w:tentative="0">
      <w:start w:val="0"/>
      <w:numFmt w:val="bullet"/>
      <w:lvlText w:val="•"/>
      <w:lvlJc w:val="left"/>
      <w:pPr>
        <w:ind w:left="4052" w:hanging="270"/>
      </w:pPr>
      <w:rPr>
        <w:rFonts w:hint="default"/>
        <w:lang w:val="ru-RU" w:eastAsia="en-US" w:bidi="ar-SA"/>
      </w:rPr>
    </w:lvl>
    <w:lvl w:ilvl="5" w:tentative="0">
      <w:start w:val="0"/>
      <w:numFmt w:val="bullet"/>
      <w:lvlText w:val="•"/>
      <w:lvlJc w:val="left"/>
      <w:pPr>
        <w:ind w:left="5030" w:hanging="270"/>
      </w:pPr>
      <w:rPr>
        <w:rFonts w:hint="default"/>
        <w:lang w:val="ru-RU" w:eastAsia="en-US" w:bidi="ar-SA"/>
      </w:rPr>
    </w:lvl>
    <w:lvl w:ilvl="6" w:tentative="0">
      <w:start w:val="0"/>
      <w:numFmt w:val="bullet"/>
      <w:lvlText w:val="•"/>
      <w:lvlJc w:val="left"/>
      <w:pPr>
        <w:ind w:left="6008" w:hanging="270"/>
      </w:pPr>
      <w:rPr>
        <w:rFonts w:hint="default"/>
        <w:lang w:val="ru-RU" w:eastAsia="en-US" w:bidi="ar-SA"/>
      </w:rPr>
    </w:lvl>
    <w:lvl w:ilvl="7" w:tentative="0">
      <w:start w:val="0"/>
      <w:numFmt w:val="bullet"/>
      <w:lvlText w:val="•"/>
      <w:lvlJc w:val="left"/>
      <w:pPr>
        <w:ind w:left="6986" w:hanging="270"/>
      </w:pPr>
      <w:rPr>
        <w:rFonts w:hint="default"/>
        <w:lang w:val="ru-RU" w:eastAsia="en-US" w:bidi="ar-SA"/>
      </w:rPr>
    </w:lvl>
    <w:lvl w:ilvl="8" w:tentative="0">
      <w:start w:val="0"/>
      <w:numFmt w:val="bullet"/>
      <w:lvlText w:val="•"/>
      <w:lvlJc w:val="left"/>
      <w:pPr>
        <w:ind w:left="7964" w:hanging="270"/>
      </w:pPr>
      <w:rPr>
        <w:rFonts w:hint="default"/>
        <w:lang w:val="ru-RU" w:eastAsia="en-US" w:bidi="ar-SA"/>
      </w:rPr>
    </w:lvl>
  </w:abstractNum>
  <w:abstractNum w:abstractNumId="19">
    <w:nsid w:val="46A08BB8"/>
    <w:multiLevelType w:val="multilevel"/>
    <w:tmpl w:val="46A08BB8"/>
    <w:lvl w:ilvl="0" w:tentative="0">
      <w:start w:val="1"/>
      <w:numFmt w:val="decimal"/>
      <w:lvlText w:val="%1."/>
      <w:lvlJc w:val="left"/>
      <w:pPr>
        <w:ind w:left="424" w:hanging="346"/>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412" w:hanging="346"/>
      </w:pPr>
      <w:rPr>
        <w:rFonts w:hint="default"/>
        <w:lang w:val="ru-RU" w:eastAsia="en-US" w:bidi="ar-SA"/>
      </w:rPr>
    </w:lvl>
    <w:lvl w:ilvl="2" w:tentative="0">
      <w:start w:val="0"/>
      <w:numFmt w:val="bullet"/>
      <w:lvlText w:val="•"/>
      <w:lvlJc w:val="left"/>
      <w:pPr>
        <w:ind w:left="2405" w:hanging="346"/>
      </w:pPr>
      <w:rPr>
        <w:rFonts w:hint="default"/>
        <w:lang w:val="ru-RU" w:eastAsia="en-US" w:bidi="ar-SA"/>
      </w:rPr>
    </w:lvl>
    <w:lvl w:ilvl="3" w:tentative="0">
      <w:start w:val="0"/>
      <w:numFmt w:val="bullet"/>
      <w:lvlText w:val="•"/>
      <w:lvlJc w:val="left"/>
      <w:pPr>
        <w:ind w:left="3397" w:hanging="346"/>
      </w:pPr>
      <w:rPr>
        <w:rFonts w:hint="default"/>
        <w:lang w:val="ru-RU" w:eastAsia="en-US" w:bidi="ar-SA"/>
      </w:rPr>
    </w:lvl>
    <w:lvl w:ilvl="4" w:tentative="0">
      <w:start w:val="0"/>
      <w:numFmt w:val="bullet"/>
      <w:lvlText w:val="•"/>
      <w:lvlJc w:val="left"/>
      <w:pPr>
        <w:ind w:left="4390" w:hanging="346"/>
      </w:pPr>
      <w:rPr>
        <w:rFonts w:hint="default"/>
        <w:lang w:val="ru-RU" w:eastAsia="en-US" w:bidi="ar-SA"/>
      </w:rPr>
    </w:lvl>
    <w:lvl w:ilvl="5" w:tentative="0">
      <w:start w:val="0"/>
      <w:numFmt w:val="bullet"/>
      <w:lvlText w:val="•"/>
      <w:lvlJc w:val="left"/>
      <w:pPr>
        <w:ind w:left="5383" w:hanging="346"/>
      </w:pPr>
      <w:rPr>
        <w:rFonts w:hint="default"/>
        <w:lang w:val="ru-RU" w:eastAsia="en-US" w:bidi="ar-SA"/>
      </w:rPr>
    </w:lvl>
    <w:lvl w:ilvl="6" w:tentative="0">
      <w:start w:val="0"/>
      <w:numFmt w:val="bullet"/>
      <w:lvlText w:val="•"/>
      <w:lvlJc w:val="left"/>
      <w:pPr>
        <w:ind w:left="6375" w:hanging="346"/>
      </w:pPr>
      <w:rPr>
        <w:rFonts w:hint="default"/>
        <w:lang w:val="ru-RU" w:eastAsia="en-US" w:bidi="ar-SA"/>
      </w:rPr>
    </w:lvl>
    <w:lvl w:ilvl="7" w:tentative="0">
      <w:start w:val="0"/>
      <w:numFmt w:val="bullet"/>
      <w:lvlText w:val="•"/>
      <w:lvlJc w:val="left"/>
      <w:pPr>
        <w:ind w:left="7368" w:hanging="346"/>
      </w:pPr>
      <w:rPr>
        <w:rFonts w:hint="default"/>
        <w:lang w:val="ru-RU" w:eastAsia="en-US" w:bidi="ar-SA"/>
      </w:rPr>
    </w:lvl>
    <w:lvl w:ilvl="8" w:tentative="0">
      <w:start w:val="0"/>
      <w:numFmt w:val="bullet"/>
      <w:lvlText w:val="•"/>
      <w:lvlJc w:val="left"/>
      <w:pPr>
        <w:ind w:left="8360" w:hanging="346"/>
      </w:pPr>
      <w:rPr>
        <w:rFonts w:hint="default"/>
        <w:lang w:val="ru-RU" w:eastAsia="en-US" w:bidi="ar-SA"/>
      </w:rPr>
    </w:lvl>
  </w:abstractNum>
  <w:abstractNum w:abstractNumId="20">
    <w:nsid w:val="4C1BAE26"/>
    <w:multiLevelType w:val="multilevel"/>
    <w:tmpl w:val="4C1BAE26"/>
    <w:lvl w:ilvl="0" w:tentative="0">
      <w:start w:val="0"/>
      <w:numFmt w:val="bullet"/>
      <w:lvlText w:val="-"/>
      <w:lvlJc w:val="left"/>
      <w:pPr>
        <w:ind w:left="424" w:hanging="164"/>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412" w:hanging="164"/>
      </w:pPr>
      <w:rPr>
        <w:rFonts w:hint="default"/>
        <w:lang w:val="ru-RU" w:eastAsia="en-US" w:bidi="ar-SA"/>
      </w:rPr>
    </w:lvl>
    <w:lvl w:ilvl="2" w:tentative="0">
      <w:start w:val="0"/>
      <w:numFmt w:val="bullet"/>
      <w:lvlText w:val="•"/>
      <w:lvlJc w:val="left"/>
      <w:pPr>
        <w:ind w:left="2405" w:hanging="164"/>
      </w:pPr>
      <w:rPr>
        <w:rFonts w:hint="default"/>
        <w:lang w:val="ru-RU" w:eastAsia="en-US" w:bidi="ar-SA"/>
      </w:rPr>
    </w:lvl>
    <w:lvl w:ilvl="3" w:tentative="0">
      <w:start w:val="0"/>
      <w:numFmt w:val="bullet"/>
      <w:lvlText w:val="•"/>
      <w:lvlJc w:val="left"/>
      <w:pPr>
        <w:ind w:left="3397" w:hanging="164"/>
      </w:pPr>
      <w:rPr>
        <w:rFonts w:hint="default"/>
        <w:lang w:val="ru-RU" w:eastAsia="en-US" w:bidi="ar-SA"/>
      </w:rPr>
    </w:lvl>
    <w:lvl w:ilvl="4" w:tentative="0">
      <w:start w:val="0"/>
      <w:numFmt w:val="bullet"/>
      <w:lvlText w:val="•"/>
      <w:lvlJc w:val="left"/>
      <w:pPr>
        <w:ind w:left="4390" w:hanging="164"/>
      </w:pPr>
      <w:rPr>
        <w:rFonts w:hint="default"/>
        <w:lang w:val="ru-RU" w:eastAsia="en-US" w:bidi="ar-SA"/>
      </w:rPr>
    </w:lvl>
    <w:lvl w:ilvl="5" w:tentative="0">
      <w:start w:val="0"/>
      <w:numFmt w:val="bullet"/>
      <w:lvlText w:val="•"/>
      <w:lvlJc w:val="left"/>
      <w:pPr>
        <w:ind w:left="5383" w:hanging="164"/>
      </w:pPr>
      <w:rPr>
        <w:rFonts w:hint="default"/>
        <w:lang w:val="ru-RU" w:eastAsia="en-US" w:bidi="ar-SA"/>
      </w:rPr>
    </w:lvl>
    <w:lvl w:ilvl="6" w:tentative="0">
      <w:start w:val="0"/>
      <w:numFmt w:val="bullet"/>
      <w:lvlText w:val="•"/>
      <w:lvlJc w:val="left"/>
      <w:pPr>
        <w:ind w:left="6375" w:hanging="164"/>
      </w:pPr>
      <w:rPr>
        <w:rFonts w:hint="default"/>
        <w:lang w:val="ru-RU" w:eastAsia="en-US" w:bidi="ar-SA"/>
      </w:rPr>
    </w:lvl>
    <w:lvl w:ilvl="7" w:tentative="0">
      <w:start w:val="0"/>
      <w:numFmt w:val="bullet"/>
      <w:lvlText w:val="•"/>
      <w:lvlJc w:val="left"/>
      <w:pPr>
        <w:ind w:left="7368" w:hanging="164"/>
      </w:pPr>
      <w:rPr>
        <w:rFonts w:hint="default"/>
        <w:lang w:val="ru-RU" w:eastAsia="en-US" w:bidi="ar-SA"/>
      </w:rPr>
    </w:lvl>
    <w:lvl w:ilvl="8" w:tentative="0">
      <w:start w:val="0"/>
      <w:numFmt w:val="bullet"/>
      <w:lvlText w:val="•"/>
      <w:lvlJc w:val="left"/>
      <w:pPr>
        <w:ind w:left="8360" w:hanging="164"/>
      </w:pPr>
      <w:rPr>
        <w:rFonts w:hint="default"/>
        <w:lang w:val="ru-RU" w:eastAsia="en-US" w:bidi="ar-SA"/>
      </w:rPr>
    </w:lvl>
  </w:abstractNum>
  <w:abstractNum w:abstractNumId="21">
    <w:nsid w:val="4D4DC07F"/>
    <w:multiLevelType w:val="multilevel"/>
    <w:tmpl w:val="4D4DC07F"/>
    <w:lvl w:ilvl="0" w:tentative="0">
      <w:start w:val="0"/>
      <w:numFmt w:val="bullet"/>
      <w:lvlText w:val="-"/>
      <w:lvlJc w:val="left"/>
      <w:pPr>
        <w:ind w:left="308" w:hanging="164"/>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046" w:hanging="164"/>
      </w:pPr>
      <w:rPr>
        <w:rFonts w:hint="default"/>
        <w:lang w:val="ru-RU" w:eastAsia="en-US" w:bidi="ar-SA"/>
      </w:rPr>
    </w:lvl>
    <w:lvl w:ilvl="2" w:tentative="0">
      <w:start w:val="0"/>
      <w:numFmt w:val="bullet"/>
      <w:lvlText w:val="•"/>
      <w:lvlJc w:val="left"/>
      <w:pPr>
        <w:ind w:left="1793" w:hanging="164"/>
      </w:pPr>
      <w:rPr>
        <w:rFonts w:hint="default"/>
        <w:lang w:val="ru-RU" w:eastAsia="en-US" w:bidi="ar-SA"/>
      </w:rPr>
    </w:lvl>
    <w:lvl w:ilvl="3" w:tentative="0">
      <w:start w:val="0"/>
      <w:numFmt w:val="bullet"/>
      <w:lvlText w:val="•"/>
      <w:lvlJc w:val="left"/>
      <w:pPr>
        <w:ind w:left="2539" w:hanging="164"/>
      </w:pPr>
      <w:rPr>
        <w:rFonts w:hint="default"/>
        <w:lang w:val="ru-RU" w:eastAsia="en-US" w:bidi="ar-SA"/>
      </w:rPr>
    </w:lvl>
    <w:lvl w:ilvl="4" w:tentative="0">
      <w:start w:val="0"/>
      <w:numFmt w:val="bullet"/>
      <w:lvlText w:val="•"/>
      <w:lvlJc w:val="left"/>
      <w:pPr>
        <w:ind w:left="3286" w:hanging="164"/>
      </w:pPr>
      <w:rPr>
        <w:rFonts w:hint="default"/>
        <w:lang w:val="ru-RU" w:eastAsia="en-US" w:bidi="ar-SA"/>
      </w:rPr>
    </w:lvl>
    <w:lvl w:ilvl="5" w:tentative="0">
      <w:start w:val="0"/>
      <w:numFmt w:val="bullet"/>
      <w:lvlText w:val="•"/>
      <w:lvlJc w:val="left"/>
      <w:pPr>
        <w:ind w:left="4033" w:hanging="164"/>
      </w:pPr>
      <w:rPr>
        <w:rFonts w:hint="default"/>
        <w:lang w:val="ru-RU" w:eastAsia="en-US" w:bidi="ar-SA"/>
      </w:rPr>
    </w:lvl>
    <w:lvl w:ilvl="6" w:tentative="0">
      <w:start w:val="0"/>
      <w:numFmt w:val="bullet"/>
      <w:lvlText w:val="•"/>
      <w:lvlJc w:val="left"/>
      <w:pPr>
        <w:ind w:left="4779" w:hanging="164"/>
      </w:pPr>
      <w:rPr>
        <w:rFonts w:hint="default"/>
        <w:lang w:val="ru-RU" w:eastAsia="en-US" w:bidi="ar-SA"/>
      </w:rPr>
    </w:lvl>
    <w:lvl w:ilvl="7" w:tentative="0">
      <w:start w:val="0"/>
      <w:numFmt w:val="bullet"/>
      <w:lvlText w:val="•"/>
      <w:lvlJc w:val="left"/>
      <w:pPr>
        <w:ind w:left="5526" w:hanging="164"/>
      </w:pPr>
      <w:rPr>
        <w:rFonts w:hint="default"/>
        <w:lang w:val="ru-RU" w:eastAsia="en-US" w:bidi="ar-SA"/>
      </w:rPr>
    </w:lvl>
    <w:lvl w:ilvl="8" w:tentative="0">
      <w:start w:val="0"/>
      <w:numFmt w:val="bullet"/>
      <w:lvlText w:val="•"/>
      <w:lvlJc w:val="left"/>
      <w:pPr>
        <w:ind w:left="6272" w:hanging="164"/>
      </w:pPr>
      <w:rPr>
        <w:rFonts w:hint="default"/>
        <w:lang w:val="ru-RU" w:eastAsia="en-US" w:bidi="ar-SA"/>
      </w:rPr>
    </w:lvl>
  </w:abstractNum>
  <w:abstractNum w:abstractNumId="22">
    <w:nsid w:val="59ADCABA"/>
    <w:multiLevelType w:val="multilevel"/>
    <w:tmpl w:val="59ADCABA"/>
    <w:lvl w:ilvl="0" w:tentative="0">
      <w:start w:val="1"/>
      <w:numFmt w:val="decimal"/>
      <w:lvlText w:val="%1."/>
      <w:lvlJc w:val="left"/>
      <w:pPr>
        <w:ind w:left="140" w:hanging="284"/>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284"/>
      </w:pPr>
      <w:rPr>
        <w:rFonts w:hint="default"/>
        <w:lang w:val="ru-RU" w:eastAsia="en-US" w:bidi="ar-SA"/>
      </w:rPr>
    </w:lvl>
    <w:lvl w:ilvl="2" w:tentative="0">
      <w:start w:val="0"/>
      <w:numFmt w:val="bullet"/>
      <w:lvlText w:val="•"/>
      <w:lvlJc w:val="left"/>
      <w:pPr>
        <w:ind w:left="2096" w:hanging="284"/>
      </w:pPr>
      <w:rPr>
        <w:rFonts w:hint="default"/>
        <w:lang w:val="ru-RU" w:eastAsia="en-US" w:bidi="ar-SA"/>
      </w:rPr>
    </w:lvl>
    <w:lvl w:ilvl="3" w:tentative="0">
      <w:start w:val="0"/>
      <w:numFmt w:val="bullet"/>
      <w:lvlText w:val="•"/>
      <w:lvlJc w:val="left"/>
      <w:pPr>
        <w:ind w:left="3074" w:hanging="284"/>
      </w:pPr>
      <w:rPr>
        <w:rFonts w:hint="default"/>
        <w:lang w:val="ru-RU" w:eastAsia="en-US" w:bidi="ar-SA"/>
      </w:rPr>
    </w:lvl>
    <w:lvl w:ilvl="4" w:tentative="0">
      <w:start w:val="0"/>
      <w:numFmt w:val="bullet"/>
      <w:lvlText w:val="•"/>
      <w:lvlJc w:val="left"/>
      <w:pPr>
        <w:ind w:left="4052" w:hanging="284"/>
      </w:pPr>
      <w:rPr>
        <w:rFonts w:hint="default"/>
        <w:lang w:val="ru-RU" w:eastAsia="en-US" w:bidi="ar-SA"/>
      </w:rPr>
    </w:lvl>
    <w:lvl w:ilvl="5" w:tentative="0">
      <w:start w:val="0"/>
      <w:numFmt w:val="bullet"/>
      <w:lvlText w:val="•"/>
      <w:lvlJc w:val="left"/>
      <w:pPr>
        <w:ind w:left="5030" w:hanging="284"/>
      </w:pPr>
      <w:rPr>
        <w:rFonts w:hint="default"/>
        <w:lang w:val="ru-RU" w:eastAsia="en-US" w:bidi="ar-SA"/>
      </w:rPr>
    </w:lvl>
    <w:lvl w:ilvl="6" w:tentative="0">
      <w:start w:val="0"/>
      <w:numFmt w:val="bullet"/>
      <w:lvlText w:val="•"/>
      <w:lvlJc w:val="left"/>
      <w:pPr>
        <w:ind w:left="6008" w:hanging="284"/>
      </w:pPr>
      <w:rPr>
        <w:rFonts w:hint="default"/>
        <w:lang w:val="ru-RU" w:eastAsia="en-US" w:bidi="ar-SA"/>
      </w:rPr>
    </w:lvl>
    <w:lvl w:ilvl="7" w:tentative="0">
      <w:start w:val="0"/>
      <w:numFmt w:val="bullet"/>
      <w:lvlText w:val="•"/>
      <w:lvlJc w:val="left"/>
      <w:pPr>
        <w:ind w:left="6986" w:hanging="284"/>
      </w:pPr>
      <w:rPr>
        <w:rFonts w:hint="default"/>
        <w:lang w:val="ru-RU" w:eastAsia="en-US" w:bidi="ar-SA"/>
      </w:rPr>
    </w:lvl>
    <w:lvl w:ilvl="8" w:tentative="0">
      <w:start w:val="0"/>
      <w:numFmt w:val="bullet"/>
      <w:lvlText w:val="•"/>
      <w:lvlJc w:val="left"/>
      <w:pPr>
        <w:ind w:left="7964" w:hanging="284"/>
      </w:pPr>
      <w:rPr>
        <w:rFonts w:hint="default"/>
        <w:lang w:val="ru-RU" w:eastAsia="en-US" w:bidi="ar-SA"/>
      </w:rPr>
    </w:lvl>
  </w:abstractNum>
  <w:abstractNum w:abstractNumId="23">
    <w:nsid w:val="5A241D34"/>
    <w:multiLevelType w:val="multilevel"/>
    <w:tmpl w:val="5A241D34"/>
    <w:lvl w:ilvl="0" w:tentative="0">
      <w:start w:val="0"/>
      <w:numFmt w:val="bullet"/>
      <w:lvlText w:val="-"/>
      <w:lvlJc w:val="left"/>
      <w:pPr>
        <w:ind w:left="140" w:hanging="380"/>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118" w:hanging="380"/>
      </w:pPr>
      <w:rPr>
        <w:rFonts w:hint="default"/>
        <w:lang w:val="ru-RU" w:eastAsia="en-US" w:bidi="ar-SA"/>
      </w:rPr>
    </w:lvl>
    <w:lvl w:ilvl="2" w:tentative="0">
      <w:start w:val="0"/>
      <w:numFmt w:val="bullet"/>
      <w:lvlText w:val="•"/>
      <w:lvlJc w:val="left"/>
      <w:pPr>
        <w:ind w:left="2096" w:hanging="380"/>
      </w:pPr>
      <w:rPr>
        <w:rFonts w:hint="default"/>
        <w:lang w:val="ru-RU" w:eastAsia="en-US" w:bidi="ar-SA"/>
      </w:rPr>
    </w:lvl>
    <w:lvl w:ilvl="3" w:tentative="0">
      <w:start w:val="0"/>
      <w:numFmt w:val="bullet"/>
      <w:lvlText w:val="•"/>
      <w:lvlJc w:val="left"/>
      <w:pPr>
        <w:ind w:left="3074" w:hanging="380"/>
      </w:pPr>
      <w:rPr>
        <w:rFonts w:hint="default"/>
        <w:lang w:val="ru-RU" w:eastAsia="en-US" w:bidi="ar-SA"/>
      </w:rPr>
    </w:lvl>
    <w:lvl w:ilvl="4" w:tentative="0">
      <w:start w:val="0"/>
      <w:numFmt w:val="bullet"/>
      <w:lvlText w:val="•"/>
      <w:lvlJc w:val="left"/>
      <w:pPr>
        <w:ind w:left="4052" w:hanging="380"/>
      </w:pPr>
      <w:rPr>
        <w:rFonts w:hint="default"/>
        <w:lang w:val="ru-RU" w:eastAsia="en-US" w:bidi="ar-SA"/>
      </w:rPr>
    </w:lvl>
    <w:lvl w:ilvl="5" w:tentative="0">
      <w:start w:val="0"/>
      <w:numFmt w:val="bullet"/>
      <w:lvlText w:val="•"/>
      <w:lvlJc w:val="left"/>
      <w:pPr>
        <w:ind w:left="5030" w:hanging="380"/>
      </w:pPr>
      <w:rPr>
        <w:rFonts w:hint="default"/>
        <w:lang w:val="ru-RU" w:eastAsia="en-US" w:bidi="ar-SA"/>
      </w:rPr>
    </w:lvl>
    <w:lvl w:ilvl="6" w:tentative="0">
      <w:start w:val="0"/>
      <w:numFmt w:val="bullet"/>
      <w:lvlText w:val="•"/>
      <w:lvlJc w:val="left"/>
      <w:pPr>
        <w:ind w:left="6008" w:hanging="380"/>
      </w:pPr>
      <w:rPr>
        <w:rFonts w:hint="default"/>
        <w:lang w:val="ru-RU" w:eastAsia="en-US" w:bidi="ar-SA"/>
      </w:rPr>
    </w:lvl>
    <w:lvl w:ilvl="7" w:tentative="0">
      <w:start w:val="0"/>
      <w:numFmt w:val="bullet"/>
      <w:lvlText w:val="•"/>
      <w:lvlJc w:val="left"/>
      <w:pPr>
        <w:ind w:left="6986" w:hanging="380"/>
      </w:pPr>
      <w:rPr>
        <w:rFonts w:hint="default"/>
        <w:lang w:val="ru-RU" w:eastAsia="en-US" w:bidi="ar-SA"/>
      </w:rPr>
    </w:lvl>
    <w:lvl w:ilvl="8" w:tentative="0">
      <w:start w:val="0"/>
      <w:numFmt w:val="bullet"/>
      <w:lvlText w:val="•"/>
      <w:lvlJc w:val="left"/>
      <w:pPr>
        <w:ind w:left="7964" w:hanging="380"/>
      </w:pPr>
      <w:rPr>
        <w:rFonts w:hint="default"/>
        <w:lang w:val="ru-RU" w:eastAsia="en-US" w:bidi="ar-SA"/>
      </w:rPr>
    </w:lvl>
  </w:abstractNum>
  <w:abstractNum w:abstractNumId="24">
    <w:nsid w:val="60382F6E"/>
    <w:multiLevelType w:val="multilevel"/>
    <w:tmpl w:val="60382F6E"/>
    <w:lvl w:ilvl="0" w:tentative="0">
      <w:start w:val="1"/>
      <w:numFmt w:val="decimal"/>
      <w:lvlText w:val="%1"/>
      <w:lvlJc w:val="left"/>
      <w:pPr>
        <w:ind w:left="1202"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2114" w:hanging="212"/>
      </w:pPr>
      <w:rPr>
        <w:rFonts w:hint="default"/>
        <w:lang w:val="ru-RU" w:eastAsia="en-US" w:bidi="ar-SA"/>
      </w:rPr>
    </w:lvl>
    <w:lvl w:ilvl="2" w:tentative="0">
      <w:start w:val="0"/>
      <w:numFmt w:val="bullet"/>
      <w:lvlText w:val="•"/>
      <w:lvlJc w:val="left"/>
      <w:pPr>
        <w:ind w:left="3029" w:hanging="212"/>
      </w:pPr>
      <w:rPr>
        <w:rFonts w:hint="default"/>
        <w:lang w:val="ru-RU" w:eastAsia="en-US" w:bidi="ar-SA"/>
      </w:rPr>
    </w:lvl>
    <w:lvl w:ilvl="3" w:tentative="0">
      <w:start w:val="0"/>
      <w:numFmt w:val="bullet"/>
      <w:lvlText w:val="•"/>
      <w:lvlJc w:val="left"/>
      <w:pPr>
        <w:ind w:left="3943" w:hanging="212"/>
      </w:pPr>
      <w:rPr>
        <w:rFonts w:hint="default"/>
        <w:lang w:val="ru-RU" w:eastAsia="en-US" w:bidi="ar-SA"/>
      </w:rPr>
    </w:lvl>
    <w:lvl w:ilvl="4" w:tentative="0">
      <w:start w:val="0"/>
      <w:numFmt w:val="bullet"/>
      <w:lvlText w:val="•"/>
      <w:lvlJc w:val="left"/>
      <w:pPr>
        <w:ind w:left="4858" w:hanging="212"/>
      </w:pPr>
      <w:rPr>
        <w:rFonts w:hint="default"/>
        <w:lang w:val="ru-RU" w:eastAsia="en-US" w:bidi="ar-SA"/>
      </w:rPr>
    </w:lvl>
    <w:lvl w:ilvl="5" w:tentative="0">
      <w:start w:val="0"/>
      <w:numFmt w:val="bullet"/>
      <w:lvlText w:val="•"/>
      <w:lvlJc w:val="left"/>
      <w:pPr>
        <w:ind w:left="5773" w:hanging="212"/>
      </w:pPr>
      <w:rPr>
        <w:rFonts w:hint="default"/>
        <w:lang w:val="ru-RU" w:eastAsia="en-US" w:bidi="ar-SA"/>
      </w:rPr>
    </w:lvl>
    <w:lvl w:ilvl="6" w:tentative="0">
      <w:start w:val="0"/>
      <w:numFmt w:val="bullet"/>
      <w:lvlText w:val="•"/>
      <w:lvlJc w:val="left"/>
      <w:pPr>
        <w:ind w:left="6687" w:hanging="212"/>
      </w:pPr>
      <w:rPr>
        <w:rFonts w:hint="default"/>
        <w:lang w:val="ru-RU" w:eastAsia="en-US" w:bidi="ar-SA"/>
      </w:rPr>
    </w:lvl>
    <w:lvl w:ilvl="7" w:tentative="0">
      <w:start w:val="0"/>
      <w:numFmt w:val="bullet"/>
      <w:lvlText w:val="•"/>
      <w:lvlJc w:val="left"/>
      <w:pPr>
        <w:ind w:left="7602" w:hanging="212"/>
      </w:pPr>
      <w:rPr>
        <w:rFonts w:hint="default"/>
        <w:lang w:val="ru-RU" w:eastAsia="en-US" w:bidi="ar-SA"/>
      </w:rPr>
    </w:lvl>
    <w:lvl w:ilvl="8" w:tentative="0">
      <w:start w:val="0"/>
      <w:numFmt w:val="bullet"/>
      <w:lvlText w:val="•"/>
      <w:lvlJc w:val="left"/>
      <w:pPr>
        <w:ind w:left="8516" w:hanging="212"/>
      </w:pPr>
      <w:rPr>
        <w:rFonts w:hint="default"/>
        <w:lang w:val="ru-RU" w:eastAsia="en-US" w:bidi="ar-SA"/>
      </w:rPr>
    </w:lvl>
  </w:abstractNum>
  <w:abstractNum w:abstractNumId="25">
    <w:nsid w:val="629F7852"/>
    <w:multiLevelType w:val="multilevel"/>
    <w:tmpl w:val="629F7852"/>
    <w:lvl w:ilvl="0" w:tentative="0">
      <w:start w:val="1"/>
      <w:numFmt w:val="decimal"/>
      <w:lvlText w:val="%1."/>
      <w:lvlJc w:val="left"/>
      <w:pPr>
        <w:ind w:left="2124" w:hanging="423"/>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3102" w:hanging="423"/>
      </w:pPr>
      <w:rPr>
        <w:rFonts w:hint="default"/>
        <w:lang w:val="ru-RU" w:eastAsia="en-US" w:bidi="ar-SA"/>
      </w:rPr>
    </w:lvl>
    <w:lvl w:ilvl="2" w:tentative="0">
      <w:start w:val="0"/>
      <w:numFmt w:val="bullet"/>
      <w:lvlText w:val="•"/>
      <w:lvlJc w:val="left"/>
      <w:pPr>
        <w:ind w:left="4080" w:hanging="423"/>
      </w:pPr>
      <w:rPr>
        <w:rFonts w:hint="default"/>
        <w:lang w:val="ru-RU" w:eastAsia="en-US" w:bidi="ar-SA"/>
      </w:rPr>
    </w:lvl>
    <w:lvl w:ilvl="3" w:tentative="0">
      <w:start w:val="0"/>
      <w:numFmt w:val="bullet"/>
      <w:lvlText w:val="•"/>
      <w:lvlJc w:val="left"/>
      <w:pPr>
        <w:ind w:left="5058" w:hanging="423"/>
      </w:pPr>
      <w:rPr>
        <w:rFonts w:hint="default"/>
        <w:lang w:val="ru-RU" w:eastAsia="en-US" w:bidi="ar-SA"/>
      </w:rPr>
    </w:lvl>
    <w:lvl w:ilvl="4" w:tentative="0">
      <w:start w:val="0"/>
      <w:numFmt w:val="bullet"/>
      <w:lvlText w:val="•"/>
      <w:lvlJc w:val="left"/>
      <w:pPr>
        <w:ind w:left="6036" w:hanging="423"/>
      </w:pPr>
      <w:rPr>
        <w:rFonts w:hint="default"/>
        <w:lang w:val="ru-RU" w:eastAsia="en-US" w:bidi="ar-SA"/>
      </w:rPr>
    </w:lvl>
    <w:lvl w:ilvl="5" w:tentative="0">
      <w:start w:val="0"/>
      <w:numFmt w:val="bullet"/>
      <w:lvlText w:val="•"/>
      <w:lvlJc w:val="left"/>
      <w:pPr>
        <w:ind w:left="7014" w:hanging="423"/>
      </w:pPr>
      <w:rPr>
        <w:rFonts w:hint="default"/>
        <w:lang w:val="ru-RU" w:eastAsia="en-US" w:bidi="ar-SA"/>
      </w:rPr>
    </w:lvl>
    <w:lvl w:ilvl="6" w:tentative="0">
      <w:start w:val="0"/>
      <w:numFmt w:val="bullet"/>
      <w:lvlText w:val="•"/>
      <w:lvlJc w:val="left"/>
      <w:pPr>
        <w:ind w:left="7992" w:hanging="423"/>
      </w:pPr>
      <w:rPr>
        <w:rFonts w:hint="default"/>
        <w:lang w:val="ru-RU" w:eastAsia="en-US" w:bidi="ar-SA"/>
      </w:rPr>
    </w:lvl>
    <w:lvl w:ilvl="7" w:tentative="0">
      <w:start w:val="0"/>
      <w:numFmt w:val="bullet"/>
      <w:lvlText w:val="•"/>
      <w:lvlJc w:val="left"/>
      <w:pPr>
        <w:ind w:left="8970" w:hanging="423"/>
      </w:pPr>
      <w:rPr>
        <w:rFonts w:hint="default"/>
        <w:lang w:val="ru-RU" w:eastAsia="en-US" w:bidi="ar-SA"/>
      </w:rPr>
    </w:lvl>
    <w:lvl w:ilvl="8" w:tentative="0">
      <w:start w:val="0"/>
      <w:numFmt w:val="bullet"/>
      <w:lvlText w:val="•"/>
      <w:lvlJc w:val="left"/>
      <w:pPr>
        <w:ind w:left="9948" w:hanging="423"/>
      </w:pPr>
      <w:rPr>
        <w:rFonts w:hint="default"/>
        <w:lang w:val="ru-RU" w:eastAsia="en-US" w:bidi="ar-SA"/>
      </w:rPr>
    </w:lvl>
  </w:abstractNum>
  <w:abstractNum w:abstractNumId="26">
    <w:nsid w:val="72183CF9"/>
    <w:multiLevelType w:val="multilevel"/>
    <w:tmpl w:val="72183CF9"/>
    <w:lvl w:ilvl="0" w:tentative="0">
      <w:start w:val="1"/>
      <w:numFmt w:val="decimal"/>
      <w:lvlText w:val="%1"/>
      <w:lvlJc w:val="left"/>
      <w:pPr>
        <w:ind w:left="140" w:hanging="1172"/>
      </w:pPr>
      <w:rPr>
        <w:rFonts w:hint="default" w:ascii="Times New Roman" w:hAnsi="Times New Roman" w:eastAsia="Times New Roman" w:cs="Times New Roman"/>
        <w:b/>
        <w:bCs/>
        <w:i w:val="0"/>
        <w:iCs w:val="0"/>
        <w:spacing w:val="0"/>
        <w:w w:val="99"/>
        <w:sz w:val="28"/>
        <w:szCs w:val="28"/>
        <w:lang w:val="ru-RU" w:eastAsia="en-US" w:bidi="ar-SA"/>
      </w:rPr>
    </w:lvl>
    <w:lvl w:ilvl="1" w:tentative="0">
      <w:start w:val="1"/>
      <w:numFmt w:val="decimal"/>
      <w:lvlText w:val="%1.%2"/>
      <w:lvlJc w:val="left"/>
      <w:pPr>
        <w:ind w:left="145" w:hanging="547"/>
      </w:pPr>
      <w:rPr>
        <w:rFonts w:hint="default" w:ascii="Times New Roman" w:hAnsi="Times New Roman" w:eastAsia="Times New Roman" w:cs="Times New Roman"/>
        <w:b/>
        <w:bCs/>
        <w:i w:val="0"/>
        <w:iCs w:val="0"/>
        <w:spacing w:val="0"/>
        <w:w w:val="99"/>
        <w:sz w:val="28"/>
        <w:szCs w:val="28"/>
        <w:lang w:val="ru-RU" w:eastAsia="en-US" w:bidi="ar-SA"/>
      </w:rPr>
    </w:lvl>
    <w:lvl w:ilvl="2" w:tentative="0">
      <w:start w:val="1"/>
      <w:numFmt w:val="decimal"/>
      <w:lvlText w:val="%1.%2.%3"/>
      <w:lvlJc w:val="left"/>
      <w:pPr>
        <w:ind w:left="4037" w:hanging="634"/>
      </w:pPr>
      <w:rPr>
        <w:rFonts w:hint="default" w:ascii="Times New Roman" w:hAnsi="Times New Roman" w:eastAsia="Times New Roman" w:cs="Times New Roman"/>
        <w:b w:val="0"/>
        <w:bCs/>
        <w:i w:val="0"/>
        <w:iCs w:val="0"/>
        <w:spacing w:val="0"/>
        <w:w w:val="99"/>
        <w:sz w:val="28"/>
        <w:szCs w:val="28"/>
        <w:lang w:val="ru-RU" w:eastAsia="en-US" w:bidi="ar-SA"/>
      </w:rPr>
    </w:lvl>
    <w:lvl w:ilvl="3" w:tentative="0">
      <w:start w:val="0"/>
      <w:numFmt w:val="bullet"/>
      <w:lvlText w:val="-"/>
      <w:lvlJc w:val="left"/>
      <w:pPr>
        <w:ind w:left="707" w:hanging="164"/>
      </w:pPr>
      <w:rPr>
        <w:rFonts w:hint="default" w:ascii="Times New Roman" w:hAnsi="Times New Roman" w:eastAsia="Times New Roman" w:cs="Times New Roman"/>
        <w:b w:val="0"/>
        <w:bCs w:val="0"/>
        <w:i w:val="0"/>
        <w:iCs w:val="0"/>
        <w:spacing w:val="0"/>
        <w:w w:val="99"/>
        <w:sz w:val="28"/>
        <w:szCs w:val="28"/>
        <w:lang w:val="ru-RU" w:eastAsia="en-US" w:bidi="ar-SA"/>
      </w:rPr>
    </w:lvl>
    <w:lvl w:ilvl="4" w:tentative="0">
      <w:start w:val="0"/>
      <w:numFmt w:val="bullet"/>
      <w:lvlText w:val="-"/>
      <w:lvlJc w:val="left"/>
      <w:pPr>
        <w:ind w:left="140" w:hanging="264"/>
      </w:pPr>
      <w:rPr>
        <w:rFonts w:hint="default" w:ascii="Times New Roman" w:hAnsi="Times New Roman" w:eastAsia="Times New Roman" w:cs="Times New Roman"/>
        <w:b w:val="0"/>
        <w:bCs w:val="0"/>
        <w:i w:val="0"/>
        <w:iCs w:val="0"/>
        <w:spacing w:val="0"/>
        <w:w w:val="99"/>
        <w:sz w:val="28"/>
        <w:szCs w:val="28"/>
        <w:lang w:val="ru-RU" w:eastAsia="en-US" w:bidi="ar-SA"/>
      </w:rPr>
    </w:lvl>
    <w:lvl w:ilvl="5" w:tentative="0">
      <w:start w:val="0"/>
      <w:numFmt w:val="bullet"/>
      <w:lvlText w:val="•"/>
      <w:lvlJc w:val="left"/>
      <w:pPr>
        <w:ind w:left="1620" w:hanging="264"/>
      </w:pPr>
      <w:rPr>
        <w:rFonts w:hint="default"/>
        <w:lang w:val="ru-RU" w:eastAsia="en-US" w:bidi="ar-SA"/>
      </w:rPr>
    </w:lvl>
    <w:lvl w:ilvl="6" w:tentative="0">
      <w:start w:val="0"/>
      <w:numFmt w:val="bullet"/>
      <w:lvlText w:val="•"/>
      <w:lvlJc w:val="left"/>
      <w:pPr>
        <w:ind w:left="3280" w:hanging="264"/>
      </w:pPr>
      <w:rPr>
        <w:rFonts w:hint="default"/>
        <w:lang w:val="ru-RU" w:eastAsia="en-US" w:bidi="ar-SA"/>
      </w:rPr>
    </w:lvl>
    <w:lvl w:ilvl="7" w:tentative="0">
      <w:start w:val="0"/>
      <w:numFmt w:val="bullet"/>
      <w:lvlText w:val="•"/>
      <w:lvlJc w:val="left"/>
      <w:pPr>
        <w:ind w:left="4940" w:hanging="264"/>
      </w:pPr>
      <w:rPr>
        <w:rFonts w:hint="default"/>
        <w:lang w:val="ru-RU" w:eastAsia="en-US" w:bidi="ar-SA"/>
      </w:rPr>
    </w:lvl>
    <w:lvl w:ilvl="8" w:tentative="0">
      <w:start w:val="0"/>
      <w:numFmt w:val="bullet"/>
      <w:lvlText w:val="•"/>
      <w:lvlJc w:val="left"/>
      <w:pPr>
        <w:ind w:left="6600" w:hanging="264"/>
      </w:pPr>
      <w:rPr>
        <w:rFonts w:hint="default"/>
        <w:lang w:val="ru-RU" w:eastAsia="en-US" w:bidi="ar-SA"/>
      </w:rPr>
    </w:lvl>
  </w:abstractNum>
  <w:abstractNum w:abstractNumId="27">
    <w:nsid w:val="77ECEA79"/>
    <w:multiLevelType w:val="multilevel"/>
    <w:tmpl w:val="77ECEA79"/>
    <w:lvl w:ilvl="0" w:tentative="0">
      <w:start w:val="0"/>
      <w:numFmt w:val="bullet"/>
      <w:lvlText w:val="–"/>
      <w:lvlJc w:val="left"/>
      <w:pPr>
        <w:ind w:left="424" w:hanging="212"/>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1412" w:hanging="212"/>
      </w:pPr>
      <w:rPr>
        <w:rFonts w:hint="default"/>
        <w:lang w:val="ru-RU" w:eastAsia="en-US" w:bidi="ar-SA"/>
      </w:rPr>
    </w:lvl>
    <w:lvl w:ilvl="2" w:tentative="0">
      <w:start w:val="0"/>
      <w:numFmt w:val="bullet"/>
      <w:lvlText w:val="•"/>
      <w:lvlJc w:val="left"/>
      <w:pPr>
        <w:ind w:left="2405" w:hanging="212"/>
      </w:pPr>
      <w:rPr>
        <w:rFonts w:hint="default"/>
        <w:lang w:val="ru-RU" w:eastAsia="en-US" w:bidi="ar-SA"/>
      </w:rPr>
    </w:lvl>
    <w:lvl w:ilvl="3" w:tentative="0">
      <w:start w:val="0"/>
      <w:numFmt w:val="bullet"/>
      <w:lvlText w:val="•"/>
      <w:lvlJc w:val="left"/>
      <w:pPr>
        <w:ind w:left="3397" w:hanging="212"/>
      </w:pPr>
      <w:rPr>
        <w:rFonts w:hint="default"/>
        <w:lang w:val="ru-RU" w:eastAsia="en-US" w:bidi="ar-SA"/>
      </w:rPr>
    </w:lvl>
    <w:lvl w:ilvl="4" w:tentative="0">
      <w:start w:val="0"/>
      <w:numFmt w:val="bullet"/>
      <w:lvlText w:val="•"/>
      <w:lvlJc w:val="left"/>
      <w:pPr>
        <w:ind w:left="4390" w:hanging="212"/>
      </w:pPr>
      <w:rPr>
        <w:rFonts w:hint="default"/>
        <w:lang w:val="ru-RU" w:eastAsia="en-US" w:bidi="ar-SA"/>
      </w:rPr>
    </w:lvl>
    <w:lvl w:ilvl="5" w:tentative="0">
      <w:start w:val="0"/>
      <w:numFmt w:val="bullet"/>
      <w:lvlText w:val="•"/>
      <w:lvlJc w:val="left"/>
      <w:pPr>
        <w:ind w:left="5383" w:hanging="212"/>
      </w:pPr>
      <w:rPr>
        <w:rFonts w:hint="default"/>
        <w:lang w:val="ru-RU" w:eastAsia="en-US" w:bidi="ar-SA"/>
      </w:rPr>
    </w:lvl>
    <w:lvl w:ilvl="6" w:tentative="0">
      <w:start w:val="0"/>
      <w:numFmt w:val="bullet"/>
      <w:lvlText w:val="•"/>
      <w:lvlJc w:val="left"/>
      <w:pPr>
        <w:ind w:left="6375" w:hanging="212"/>
      </w:pPr>
      <w:rPr>
        <w:rFonts w:hint="default"/>
        <w:lang w:val="ru-RU" w:eastAsia="en-US" w:bidi="ar-SA"/>
      </w:rPr>
    </w:lvl>
    <w:lvl w:ilvl="7" w:tentative="0">
      <w:start w:val="0"/>
      <w:numFmt w:val="bullet"/>
      <w:lvlText w:val="•"/>
      <w:lvlJc w:val="left"/>
      <w:pPr>
        <w:ind w:left="7368" w:hanging="212"/>
      </w:pPr>
      <w:rPr>
        <w:rFonts w:hint="default"/>
        <w:lang w:val="ru-RU" w:eastAsia="en-US" w:bidi="ar-SA"/>
      </w:rPr>
    </w:lvl>
    <w:lvl w:ilvl="8" w:tentative="0">
      <w:start w:val="0"/>
      <w:numFmt w:val="bullet"/>
      <w:lvlText w:val="•"/>
      <w:lvlJc w:val="left"/>
      <w:pPr>
        <w:ind w:left="8360" w:hanging="212"/>
      </w:pPr>
      <w:rPr>
        <w:rFonts w:hint="default"/>
        <w:lang w:val="ru-RU" w:eastAsia="en-US" w:bidi="ar-SA"/>
      </w:rPr>
    </w:lvl>
  </w:abstractNum>
  <w:abstractNum w:abstractNumId="28">
    <w:nsid w:val="7C246926"/>
    <w:multiLevelType w:val="multilevel"/>
    <w:tmpl w:val="7C246926"/>
    <w:lvl w:ilvl="0" w:tentative="0">
      <w:start w:val="1"/>
      <w:numFmt w:val="decimal"/>
      <w:lvlText w:val="%1."/>
      <w:lvlJc w:val="left"/>
      <w:pPr>
        <w:ind w:left="1274" w:hanging="283"/>
      </w:pPr>
      <w:rPr>
        <w:rFonts w:hint="default" w:ascii="Times New Roman" w:hAnsi="Times New Roman" w:eastAsia="Times New Roman" w:cs="Times New Roman"/>
        <w:b w:val="0"/>
        <w:bCs w:val="0"/>
        <w:i w:val="0"/>
        <w:iCs w:val="0"/>
        <w:spacing w:val="0"/>
        <w:w w:val="99"/>
        <w:sz w:val="28"/>
        <w:szCs w:val="28"/>
        <w:lang w:val="ru-RU" w:eastAsia="en-US" w:bidi="ar-SA"/>
      </w:rPr>
    </w:lvl>
    <w:lvl w:ilvl="1" w:tentative="0">
      <w:start w:val="0"/>
      <w:numFmt w:val="bullet"/>
      <w:lvlText w:val="•"/>
      <w:lvlJc w:val="left"/>
      <w:pPr>
        <w:ind w:left="2186" w:hanging="283"/>
      </w:pPr>
      <w:rPr>
        <w:rFonts w:hint="default"/>
        <w:lang w:val="ru-RU" w:eastAsia="en-US" w:bidi="ar-SA"/>
      </w:rPr>
    </w:lvl>
    <w:lvl w:ilvl="2" w:tentative="0">
      <w:start w:val="0"/>
      <w:numFmt w:val="bullet"/>
      <w:lvlText w:val="•"/>
      <w:lvlJc w:val="left"/>
      <w:pPr>
        <w:ind w:left="3093" w:hanging="283"/>
      </w:pPr>
      <w:rPr>
        <w:rFonts w:hint="default"/>
        <w:lang w:val="ru-RU" w:eastAsia="en-US" w:bidi="ar-SA"/>
      </w:rPr>
    </w:lvl>
    <w:lvl w:ilvl="3" w:tentative="0">
      <w:start w:val="0"/>
      <w:numFmt w:val="bullet"/>
      <w:lvlText w:val="•"/>
      <w:lvlJc w:val="left"/>
      <w:pPr>
        <w:ind w:left="3999" w:hanging="283"/>
      </w:pPr>
      <w:rPr>
        <w:rFonts w:hint="default"/>
        <w:lang w:val="ru-RU" w:eastAsia="en-US" w:bidi="ar-SA"/>
      </w:rPr>
    </w:lvl>
    <w:lvl w:ilvl="4" w:tentative="0">
      <w:start w:val="0"/>
      <w:numFmt w:val="bullet"/>
      <w:lvlText w:val="•"/>
      <w:lvlJc w:val="left"/>
      <w:pPr>
        <w:ind w:left="4906" w:hanging="283"/>
      </w:pPr>
      <w:rPr>
        <w:rFonts w:hint="default"/>
        <w:lang w:val="ru-RU" w:eastAsia="en-US" w:bidi="ar-SA"/>
      </w:rPr>
    </w:lvl>
    <w:lvl w:ilvl="5" w:tentative="0">
      <w:start w:val="0"/>
      <w:numFmt w:val="bullet"/>
      <w:lvlText w:val="•"/>
      <w:lvlJc w:val="left"/>
      <w:pPr>
        <w:ind w:left="5813" w:hanging="283"/>
      </w:pPr>
      <w:rPr>
        <w:rFonts w:hint="default"/>
        <w:lang w:val="ru-RU" w:eastAsia="en-US" w:bidi="ar-SA"/>
      </w:rPr>
    </w:lvl>
    <w:lvl w:ilvl="6" w:tentative="0">
      <w:start w:val="0"/>
      <w:numFmt w:val="bullet"/>
      <w:lvlText w:val="•"/>
      <w:lvlJc w:val="left"/>
      <w:pPr>
        <w:ind w:left="6719" w:hanging="283"/>
      </w:pPr>
      <w:rPr>
        <w:rFonts w:hint="default"/>
        <w:lang w:val="ru-RU" w:eastAsia="en-US" w:bidi="ar-SA"/>
      </w:rPr>
    </w:lvl>
    <w:lvl w:ilvl="7" w:tentative="0">
      <w:start w:val="0"/>
      <w:numFmt w:val="bullet"/>
      <w:lvlText w:val="•"/>
      <w:lvlJc w:val="left"/>
      <w:pPr>
        <w:ind w:left="7626" w:hanging="283"/>
      </w:pPr>
      <w:rPr>
        <w:rFonts w:hint="default"/>
        <w:lang w:val="ru-RU" w:eastAsia="en-US" w:bidi="ar-SA"/>
      </w:rPr>
    </w:lvl>
    <w:lvl w:ilvl="8" w:tentative="0">
      <w:start w:val="0"/>
      <w:numFmt w:val="bullet"/>
      <w:lvlText w:val="•"/>
      <w:lvlJc w:val="left"/>
      <w:pPr>
        <w:ind w:left="8532" w:hanging="283"/>
      </w:pPr>
      <w:rPr>
        <w:rFonts w:hint="default"/>
        <w:lang w:val="ru-RU" w:eastAsia="en-US" w:bidi="ar-SA"/>
      </w:rPr>
    </w:lvl>
  </w:abstractNum>
  <w:num w:numId="1">
    <w:abstractNumId w:val="12"/>
  </w:num>
  <w:num w:numId="2">
    <w:abstractNumId w:val="8"/>
  </w:num>
  <w:num w:numId="3">
    <w:abstractNumId w:val="22"/>
  </w:num>
  <w:num w:numId="4">
    <w:abstractNumId w:val="6"/>
  </w:num>
  <w:num w:numId="5">
    <w:abstractNumId w:val="4"/>
  </w:num>
  <w:num w:numId="6">
    <w:abstractNumId w:val="14"/>
  </w:num>
  <w:num w:numId="7">
    <w:abstractNumId w:val="17"/>
  </w:num>
  <w:num w:numId="8">
    <w:abstractNumId w:val="26"/>
  </w:num>
  <w:num w:numId="9">
    <w:abstractNumId w:val="13"/>
  </w:num>
  <w:num w:numId="10">
    <w:abstractNumId w:val="0"/>
  </w:num>
  <w:num w:numId="11">
    <w:abstractNumId w:val="18"/>
  </w:num>
  <w:num w:numId="12">
    <w:abstractNumId w:val="23"/>
  </w:num>
  <w:num w:numId="13">
    <w:abstractNumId w:val="7"/>
  </w:num>
  <w:num w:numId="14">
    <w:abstractNumId w:val="21"/>
  </w:num>
  <w:num w:numId="15">
    <w:abstractNumId w:val="11"/>
  </w:num>
  <w:num w:numId="16">
    <w:abstractNumId w:val="16"/>
  </w:num>
  <w:num w:numId="17">
    <w:abstractNumId w:val="10"/>
  </w:num>
  <w:num w:numId="18">
    <w:abstractNumId w:val="9"/>
  </w:num>
  <w:num w:numId="19">
    <w:abstractNumId w:val="2"/>
  </w:num>
  <w:num w:numId="20">
    <w:abstractNumId w:val="20"/>
  </w:num>
  <w:num w:numId="21">
    <w:abstractNumId w:val="24"/>
  </w:num>
  <w:num w:numId="22">
    <w:abstractNumId w:val="15"/>
  </w:num>
  <w:num w:numId="23">
    <w:abstractNumId w:val="19"/>
  </w:num>
  <w:num w:numId="24">
    <w:abstractNumId w:val="3"/>
  </w:num>
  <w:num w:numId="25">
    <w:abstractNumId w:val="28"/>
  </w:num>
  <w:num w:numId="26">
    <w:abstractNumId w:val="27"/>
  </w:num>
  <w:num w:numId="27">
    <w:abstractNumId w:val="5"/>
  </w:num>
  <w:num w:numId="28">
    <w:abstractNumId w:val="2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gutterAtTop/>
  <w:hideSpellingErrors/>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64226"/>
    <w:rsid w:val="00007670"/>
    <w:rsid w:val="00010972"/>
    <w:rsid w:val="00011656"/>
    <w:rsid w:val="0003662A"/>
    <w:rsid w:val="00047D35"/>
    <w:rsid w:val="00061D42"/>
    <w:rsid w:val="00065A68"/>
    <w:rsid w:val="00074082"/>
    <w:rsid w:val="00131F97"/>
    <w:rsid w:val="00133AD3"/>
    <w:rsid w:val="0016385D"/>
    <w:rsid w:val="00172D4C"/>
    <w:rsid w:val="001D565A"/>
    <w:rsid w:val="00225E68"/>
    <w:rsid w:val="00234D98"/>
    <w:rsid w:val="00237EC4"/>
    <w:rsid w:val="002459B6"/>
    <w:rsid w:val="00245D79"/>
    <w:rsid w:val="00270211"/>
    <w:rsid w:val="00274F14"/>
    <w:rsid w:val="00293489"/>
    <w:rsid w:val="002C2109"/>
    <w:rsid w:val="002D36D9"/>
    <w:rsid w:val="002E0FB7"/>
    <w:rsid w:val="002F3D80"/>
    <w:rsid w:val="003338C1"/>
    <w:rsid w:val="0033563C"/>
    <w:rsid w:val="0034211B"/>
    <w:rsid w:val="00354901"/>
    <w:rsid w:val="0038632B"/>
    <w:rsid w:val="00386B4F"/>
    <w:rsid w:val="003A3B09"/>
    <w:rsid w:val="003B354E"/>
    <w:rsid w:val="00412E34"/>
    <w:rsid w:val="00437D3B"/>
    <w:rsid w:val="00442DB2"/>
    <w:rsid w:val="00455803"/>
    <w:rsid w:val="00470F51"/>
    <w:rsid w:val="004A76CD"/>
    <w:rsid w:val="004B27E0"/>
    <w:rsid w:val="004E14CD"/>
    <w:rsid w:val="00510D1E"/>
    <w:rsid w:val="00555FC6"/>
    <w:rsid w:val="005921C0"/>
    <w:rsid w:val="00633446"/>
    <w:rsid w:val="00643D4E"/>
    <w:rsid w:val="00664226"/>
    <w:rsid w:val="00670B53"/>
    <w:rsid w:val="00673C2C"/>
    <w:rsid w:val="006A1877"/>
    <w:rsid w:val="006F7FC6"/>
    <w:rsid w:val="0072067A"/>
    <w:rsid w:val="0072134F"/>
    <w:rsid w:val="00783556"/>
    <w:rsid w:val="007A4644"/>
    <w:rsid w:val="007B3B03"/>
    <w:rsid w:val="007D56AD"/>
    <w:rsid w:val="00807EB5"/>
    <w:rsid w:val="0081333F"/>
    <w:rsid w:val="0084193E"/>
    <w:rsid w:val="00851067"/>
    <w:rsid w:val="00861CDF"/>
    <w:rsid w:val="008655A0"/>
    <w:rsid w:val="00890D8A"/>
    <w:rsid w:val="008A04C8"/>
    <w:rsid w:val="008E0469"/>
    <w:rsid w:val="00930FC2"/>
    <w:rsid w:val="009340A2"/>
    <w:rsid w:val="00977758"/>
    <w:rsid w:val="00977D0B"/>
    <w:rsid w:val="009A745E"/>
    <w:rsid w:val="00A0100F"/>
    <w:rsid w:val="00A02D28"/>
    <w:rsid w:val="00A15FA0"/>
    <w:rsid w:val="00A20747"/>
    <w:rsid w:val="00A47F6A"/>
    <w:rsid w:val="00A52B74"/>
    <w:rsid w:val="00A603F5"/>
    <w:rsid w:val="00A64819"/>
    <w:rsid w:val="00A72385"/>
    <w:rsid w:val="00A73FB9"/>
    <w:rsid w:val="00A76C15"/>
    <w:rsid w:val="00A857FC"/>
    <w:rsid w:val="00AA373D"/>
    <w:rsid w:val="00AB48E2"/>
    <w:rsid w:val="00AF35FF"/>
    <w:rsid w:val="00B02259"/>
    <w:rsid w:val="00B03923"/>
    <w:rsid w:val="00B06F84"/>
    <w:rsid w:val="00B300F8"/>
    <w:rsid w:val="00B34E84"/>
    <w:rsid w:val="00BD10E7"/>
    <w:rsid w:val="00BD6B3E"/>
    <w:rsid w:val="00BE25AD"/>
    <w:rsid w:val="00C0050E"/>
    <w:rsid w:val="00C41068"/>
    <w:rsid w:val="00C57287"/>
    <w:rsid w:val="00C96154"/>
    <w:rsid w:val="00CD7529"/>
    <w:rsid w:val="00CF28A2"/>
    <w:rsid w:val="00CF3F1C"/>
    <w:rsid w:val="00D02687"/>
    <w:rsid w:val="00D34CBD"/>
    <w:rsid w:val="00D65917"/>
    <w:rsid w:val="00D775E1"/>
    <w:rsid w:val="00D9618F"/>
    <w:rsid w:val="00DC2BB0"/>
    <w:rsid w:val="00DC542A"/>
    <w:rsid w:val="00E212C7"/>
    <w:rsid w:val="00E278CD"/>
    <w:rsid w:val="00E3431D"/>
    <w:rsid w:val="00E44F52"/>
    <w:rsid w:val="00E4600C"/>
    <w:rsid w:val="00E60493"/>
    <w:rsid w:val="00E84906"/>
    <w:rsid w:val="00EB7073"/>
    <w:rsid w:val="00EC63C8"/>
    <w:rsid w:val="00ED6D61"/>
    <w:rsid w:val="00EE38D9"/>
    <w:rsid w:val="00EF1D29"/>
    <w:rsid w:val="00F06428"/>
    <w:rsid w:val="00F30711"/>
    <w:rsid w:val="00F80692"/>
    <w:rsid w:val="00F828E8"/>
    <w:rsid w:val="00FB6FCA"/>
    <w:rsid w:val="00FF31FD"/>
    <w:rsid w:val="00FF6549"/>
    <w:rsid w:val="058173F7"/>
    <w:rsid w:val="43FC2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before="72"/>
      <w:ind w:left="-1"/>
      <w:jc w:val="center"/>
      <w:outlineLvl w:val="0"/>
    </w:pPr>
    <w:rPr>
      <w:b/>
      <w:bCs/>
      <w:sz w:val="28"/>
      <w:szCs w:val="28"/>
    </w:rPr>
  </w:style>
  <w:style w:type="paragraph" w:styleId="3">
    <w:name w:val="heading 2"/>
    <w:basedOn w:val="1"/>
    <w:qFormat/>
    <w:uiPriority w:val="1"/>
    <w:pPr>
      <w:ind w:left="424" w:firstLine="566"/>
      <w:jc w:val="both"/>
      <w:outlineLvl w:val="1"/>
    </w:pPr>
    <w:rPr>
      <w:b/>
      <w:bCs/>
      <w:sz w:val="28"/>
      <w:szCs w:val="28"/>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header"/>
    <w:basedOn w:val="1"/>
    <w:link w:val="12"/>
    <w:qFormat/>
    <w:uiPriority w:val="99"/>
    <w:pPr>
      <w:tabs>
        <w:tab w:val="center" w:pos="4677"/>
        <w:tab w:val="right" w:pos="9355"/>
      </w:tabs>
    </w:pPr>
  </w:style>
  <w:style w:type="paragraph" w:styleId="7">
    <w:name w:val="Body Text"/>
    <w:basedOn w:val="1"/>
    <w:qFormat/>
    <w:uiPriority w:val="1"/>
    <w:pPr>
      <w:ind w:left="140" w:firstLine="566"/>
      <w:jc w:val="both"/>
    </w:pPr>
    <w:rPr>
      <w:sz w:val="28"/>
      <w:szCs w:val="28"/>
    </w:rPr>
  </w:style>
  <w:style w:type="paragraph" w:styleId="8">
    <w:name w:val="footer"/>
    <w:basedOn w:val="1"/>
    <w:link w:val="13"/>
    <w:qFormat/>
    <w:uiPriority w:val="99"/>
    <w:pPr>
      <w:tabs>
        <w:tab w:val="center" w:pos="4677"/>
        <w:tab w:val="right" w:pos="9355"/>
      </w:tabs>
    </w:p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40" w:firstLine="566"/>
      <w:jc w:val="both"/>
    </w:pPr>
  </w:style>
  <w:style w:type="paragraph" w:customStyle="1" w:styleId="11">
    <w:name w:val="Table Paragraph"/>
    <w:basedOn w:val="1"/>
    <w:qFormat/>
    <w:uiPriority w:val="1"/>
    <w:pPr>
      <w:spacing w:line="308" w:lineRule="exact"/>
      <w:jc w:val="center"/>
    </w:pPr>
  </w:style>
  <w:style w:type="character" w:customStyle="1" w:styleId="12">
    <w:name w:val="Верхний колонтитул Знак"/>
    <w:basedOn w:val="4"/>
    <w:link w:val="6"/>
    <w:qFormat/>
    <w:uiPriority w:val="99"/>
    <w:rPr>
      <w:rFonts w:ascii="Times New Roman" w:hAnsi="Times New Roman" w:eastAsia="Times New Roman" w:cs="Times New Roman"/>
      <w:sz w:val="22"/>
      <w:szCs w:val="22"/>
      <w:lang w:eastAsia="en-US"/>
    </w:rPr>
  </w:style>
  <w:style w:type="character" w:customStyle="1" w:styleId="13">
    <w:name w:val="Нижний колонтитул Знак"/>
    <w:basedOn w:val="4"/>
    <w:link w:val="8"/>
    <w:qFormat/>
    <w:uiPriority w:val="99"/>
    <w:rPr>
      <w:rFonts w:ascii="Times New Roman" w:hAnsi="Times New Roman" w:eastAsia="Times New Roman"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6" Type="http://schemas.openxmlformats.org/officeDocument/2006/relationships/fontTable" Target="fontTable.xml"/><Relationship Id="rId85" Type="http://schemas.openxmlformats.org/officeDocument/2006/relationships/customXml" Target="../customXml/item2.xml"/><Relationship Id="rId84" Type="http://schemas.openxmlformats.org/officeDocument/2006/relationships/numbering" Target="numbering.xml"/><Relationship Id="rId83" Type="http://schemas.openxmlformats.org/officeDocument/2006/relationships/customXml" Target="../customXml/item1.xml"/><Relationship Id="rId82" Type="http://schemas.openxmlformats.org/officeDocument/2006/relationships/image" Target="media/image70.jpeg"/><Relationship Id="rId81" Type="http://schemas.openxmlformats.org/officeDocument/2006/relationships/image" Target="media/image69.png"/><Relationship Id="rId80" Type="http://schemas.openxmlformats.org/officeDocument/2006/relationships/image" Target="media/image68.jpeg"/><Relationship Id="rId8" Type="http://schemas.openxmlformats.org/officeDocument/2006/relationships/footer" Target="footer5.xml"/><Relationship Id="rId79" Type="http://schemas.openxmlformats.org/officeDocument/2006/relationships/image" Target="media/image67.jpeg"/><Relationship Id="rId78" Type="http://schemas.openxmlformats.org/officeDocument/2006/relationships/image" Target="media/image66.jpeg"/><Relationship Id="rId77" Type="http://schemas.openxmlformats.org/officeDocument/2006/relationships/image" Target="media/image65.jpeg"/><Relationship Id="rId76" Type="http://schemas.openxmlformats.org/officeDocument/2006/relationships/image" Target="media/image64.jpeg"/><Relationship Id="rId75" Type="http://schemas.openxmlformats.org/officeDocument/2006/relationships/image" Target="media/image63.png"/><Relationship Id="rId74" Type="http://schemas.openxmlformats.org/officeDocument/2006/relationships/image" Target="media/image62.jpeg"/><Relationship Id="rId73" Type="http://schemas.openxmlformats.org/officeDocument/2006/relationships/image" Target="media/image61.jpeg"/><Relationship Id="rId72" Type="http://schemas.openxmlformats.org/officeDocument/2006/relationships/image" Target="media/image60.jpeg"/><Relationship Id="rId71" Type="http://schemas.openxmlformats.org/officeDocument/2006/relationships/image" Target="media/image59.jpeg"/><Relationship Id="rId70" Type="http://schemas.openxmlformats.org/officeDocument/2006/relationships/image" Target="media/image58.png"/><Relationship Id="rId7" Type="http://schemas.openxmlformats.org/officeDocument/2006/relationships/footer" Target="footer4.xml"/><Relationship Id="rId69" Type="http://schemas.openxmlformats.org/officeDocument/2006/relationships/image" Target="media/image57.png"/><Relationship Id="rId68" Type="http://schemas.openxmlformats.org/officeDocument/2006/relationships/image" Target="media/image56.jpeg"/><Relationship Id="rId67" Type="http://schemas.openxmlformats.org/officeDocument/2006/relationships/image" Target="media/image55.png"/><Relationship Id="rId66" Type="http://schemas.openxmlformats.org/officeDocument/2006/relationships/image" Target="media/image54.png"/><Relationship Id="rId65" Type="http://schemas.openxmlformats.org/officeDocument/2006/relationships/image" Target="media/image53.jpeg"/><Relationship Id="rId64" Type="http://schemas.openxmlformats.org/officeDocument/2006/relationships/image" Target="media/image52.jpeg"/><Relationship Id="rId63" Type="http://schemas.openxmlformats.org/officeDocument/2006/relationships/image" Target="media/image51.jpeg"/><Relationship Id="rId62" Type="http://schemas.openxmlformats.org/officeDocument/2006/relationships/image" Target="media/image50.jpeg"/><Relationship Id="rId61" Type="http://schemas.openxmlformats.org/officeDocument/2006/relationships/image" Target="media/image49.jpeg"/><Relationship Id="rId60" Type="http://schemas.openxmlformats.org/officeDocument/2006/relationships/image" Target="media/image48.png"/><Relationship Id="rId6" Type="http://schemas.openxmlformats.org/officeDocument/2006/relationships/footer" Target="footer3.xml"/><Relationship Id="rId59" Type="http://schemas.openxmlformats.org/officeDocument/2006/relationships/image" Target="media/image47.jpeg"/><Relationship Id="rId58" Type="http://schemas.openxmlformats.org/officeDocument/2006/relationships/image" Target="media/image46.jpeg"/><Relationship Id="rId57" Type="http://schemas.openxmlformats.org/officeDocument/2006/relationships/image" Target="media/image45.jpeg"/><Relationship Id="rId56" Type="http://schemas.openxmlformats.org/officeDocument/2006/relationships/image" Target="media/image44.jpeg"/><Relationship Id="rId55" Type="http://schemas.openxmlformats.org/officeDocument/2006/relationships/image" Target="media/image43.jpeg"/><Relationship Id="rId54" Type="http://schemas.openxmlformats.org/officeDocument/2006/relationships/image" Target="media/image42.jpeg"/><Relationship Id="rId53" Type="http://schemas.openxmlformats.org/officeDocument/2006/relationships/image" Target="media/image41.jpeg"/><Relationship Id="rId52" Type="http://schemas.openxmlformats.org/officeDocument/2006/relationships/image" Target="media/image40.jpeg"/><Relationship Id="rId51" Type="http://schemas.openxmlformats.org/officeDocument/2006/relationships/image" Target="media/image39.jpeg"/><Relationship Id="rId50" Type="http://schemas.openxmlformats.org/officeDocument/2006/relationships/image" Target="media/image38.jpeg"/><Relationship Id="rId5" Type="http://schemas.openxmlformats.org/officeDocument/2006/relationships/footer" Target="footer2.xml"/><Relationship Id="rId49" Type="http://schemas.openxmlformats.org/officeDocument/2006/relationships/image" Target="media/image37.jpeg"/><Relationship Id="rId48" Type="http://schemas.openxmlformats.org/officeDocument/2006/relationships/image" Target="media/image36.jpe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png"/><Relationship Id="rId40" Type="http://schemas.openxmlformats.org/officeDocument/2006/relationships/image" Target="media/image28.png"/><Relationship Id="rId4" Type="http://schemas.openxmlformats.org/officeDocument/2006/relationships/footer" Target="footer1.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png"/><Relationship Id="rId31" Type="http://schemas.openxmlformats.org/officeDocument/2006/relationships/image" Target="media/image19.png"/><Relationship Id="rId30" Type="http://schemas.openxmlformats.org/officeDocument/2006/relationships/image" Target="media/image18.png"/><Relationship Id="rId3" Type="http://schemas.openxmlformats.org/officeDocument/2006/relationships/header" Target="head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jpeg"/><Relationship Id="rId18" Type="http://schemas.openxmlformats.org/officeDocument/2006/relationships/image" Target="media/image6.png"/><Relationship Id="rId17" Type="http://schemas.openxmlformats.org/officeDocument/2006/relationships/image" Target="media/image5.jpeg"/><Relationship Id="rId16" Type="http://schemas.openxmlformats.org/officeDocument/2006/relationships/image" Target="media/image4.jpeg"/><Relationship Id="rId15" Type="http://schemas.openxmlformats.org/officeDocument/2006/relationships/image" Target="media/image3.jpeg"/><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1D9583-619B-4D38-B218-2D9F73738841}">
  <ds:schemaRefs/>
</ds:datastoreItem>
</file>

<file path=docProps/app.xml><?xml version="1.0" encoding="utf-8"?>
<Properties xmlns="http://schemas.openxmlformats.org/officeDocument/2006/extended-properties" xmlns:vt="http://schemas.openxmlformats.org/officeDocument/2006/docPropsVTypes">
  <Template>Normal</Template>
  <Company>KaR-Tel LLP</Company>
  <Pages>158</Pages>
  <Words>46265</Words>
  <Characters>263717</Characters>
  <Lines>2197</Lines>
  <Paragraphs>618</Paragraphs>
  <TotalTime>2880</TotalTime>
  <ScaleCrop>false</ScaleCrop>
  <LinksUpToDate>false</LinksUpToDate>
  <CharactersWithSpaces>309364</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2026-03-13T23:41:00Z</dcterms:created>
  <dc:creator>HP</dc:creator>
  <cp:lastModifiedBy>Серик Тилеуов</cp:lastModifiedBy>
  <dcterms:modified xsi:type="dcterms:W3CDTF">2026-03-19T19:13:08Z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Microsoft® Word 2016</vt:lpwstr>
  </property>
  <property fmtid="{D5CDD505-2E9C-101B-9397-08002B2CF9AE}" pid="4" name="LastSaved">
    <vt:filetime>2026-03-13T00:00:00Z</vt:filetime>
  </property>
  <property fmtid="{D5CDD505-2E9C-101B-9397-08002B2CF9AE}" pid="5" name="Producer">
    <vt:lpwstr>www.ilovepdf.com</vt:lpwstr>
  </property>
  <property fmtid="{D5CDD505-2E9C-101B-9397-08002B2CF9AE}" pid="6" name="KSOProductBuildVer">
    <vt:lpwstr>1049-12.2.0.23155</vt:lpwstr>
  </property>
  <property fmtid="{D5CDD505-2E9C-101B-9397-08002B2CF9AE}" pid="7" name="ICV">
    <vt:lpwstr>2D7701DD1D5C493291BDDC9400837A8F_12</vt:lpwstr>
  </property>
</Properties>
</file>