
<file path=[Content_Types].xml><?xml version="1.0" encoding="utf-8"?>
<Types xmlns="http://schemas.openxmlformats.org/package/2006/content-types">
  <Default Extension="png" ContentType="image/png"/>
  <Default Extension="svg" ContentType="image/svg+xml"/>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8AF" w:rsidRDefault="00EF60C3">
      <w:pPr>
        <w:pStyle w:val="10"/>
        <w:jc w:val="center"/>
        <w:rPr>
          <w:lang w:val="kk-KZ"/>
        </w:rPr>
      </w:pPr>
      <w:bookmarkStart w:id="0" w:name="_GoBack"/>
      <w:bookmarkEnd w:id="0"/>
      <w:r>
        <w:rPr>
          <w:rFonts w:ascii="Times New Roman" w:hAnsi="Times New Roman"/>
          <w:sz w:val="28"/>
          <w:szCs w:val="28"/>
        </w:rPr>
        <w:t>Л.Н. Гумилев</w:t>
      </w:r>
      <w:r>
        <w:rPr>
          <w:rFonts w:ascii="Times New Roman" w:hAnsi="Times New Roman"/>
          <w:sz w:val="28"/>
          <w:szCs w:val="28"/>
          <w:lang w:val="kk-KZ"/>
        </w:rPr>
        <w:t xml:space="preserve"> атындағы Еуразия ұлттық университеті</w:t>
      </w:r>
    </w:p>
    <w:p w:rsidR="005118AF" w:rsidRDefault="005118AF">
      <w:pPr>
        <w:pStyle w:val="10"/>
        <w:rPr>
          <w:rFonts w:ascii="Times New Roman" w:hAnsi="Times New Roman"/>
          <w:sz w:val="28"/>
          <w:szCs w:val="28"/>
        </w:rPr>
      </w:pPr>
    </w:p>
    <w:p w:rsidR="005118AF" w:rsidRDefault="005118AF">
      <w:pPr>
        <w:pStyle w:val="10"/>
        <w:rPr>
          <w:rFonts w:ascii="Times New Roman" w:hAnsi="Times New Roman"/>
          <w:sz w:val="28"/>
          <w:szCs w:val="28"/>
        </w:rPr>
      </w:pPr>
    </w:p>
    <w:p w:rsidR="005118AF" w:rsidRDefault="005118AF">
      <w:pPr>
        <w:pStyle w:val="10"/>
        <w:rPr>
          <w:rFonts w:ascii="Times New Roman" w:hAnsi="Times New Roman"/>
          <w:sz w:val="28"/>
          <w:szCs w:val="28"/>
        </w:rPr>
      </w:pPr>
    </w:p>
    <w:p w:rsidR="005118AF" w:rsidRDefault="00EF60C3">
      <w:pPr>
        <w:pStyle w:val="10"/>
      </w:pPr>
      <w:r>
        <w:rPr>
          <w:rFonts w:ascii="Times New Roman" w:hAnsi="Times New Roman"/>
          <w:sz w:val="28"/>
          <w:szCs w:val="28"/>
          <w:lang w:val="kk-KZ"/>
        </w:rPr>
        <w:t>ӘОЖ</w:t>
      </w:r>
      <w:r>
        <w:rPr>
          <w:rFonts w:ascii="Times New Roman" w:hAnsi="Times New Roman"/>
          <w:sz w:val="28"/>
          <w:szCs w:val="28"/>
        </w:rPr>
        <w:t xml:space="preserve"> 338</w:t>
      </w:r>
      <w:r>
        <w:rPr>
          <w:rFonts w:ascii="Times New Roman" w:hAnsi="Times New Roman"/>
          <w:sz w:val="28"/>
          <w:szCs w:val="28"/>
          <w:lang w:val="kk-KZ"/>
        </w:rPr>
        <w:t>.</w:t>
      </w:r>
      <w:r>
        <w:rPr>
          <w:rFonts w:ascii="Times New Roman" w:hAnsi="Times New Roman"/>
          <w:sz w:val="28"/>
          <w:szCs w:val="28"/>
        </w:rPr>
        <w:t xml:space="preserve">45:664.001.895 (574)     </w:t>
      </w:r>
      <w:r>
        <w:rPr>
          <w:rFonts w:ascii="Times New Roman" w:hAnsi="Times New Roman"/>
          <w:sz w:val="28"/>
          <w:szCs w:val="28"/>
          <w:lang w:val="kk-KZ"/>
        </w:rPr>
        <w:t xml:space="preserve">                                            Қолжазба құқығында</w:t>
      </w:r>
    </w:p>
    <w:p w:rsidR="005118AF" w:rsidRDefault="005118AF">
      <w:pPr>
        <w:pStyle w:val="10"/>
        <w:rPr>
          <w:rFonts w:ascii="Times New Roman" w:hAnsi="Times New Roman"/>
          <w:sz w:val="28"/>
          <w:szCs w:val="28"/>
        </w:rPr>
      </w:pPr>
    </w:p>
    <w:p w:rsidR="005118AF" w:rsidRDefault="005118AF">
      <w:pPr>
        <w:pStyle w:val="10"/>
        <w:rPr>
          <w:rFonts w:ascii="Times New Roman" w:hAnsi="Times New Roman"/>
          <w:b/>
          <w:sz w:val="28"/>
          <w:szCs w:val="28"/>
        </w:rPr>
      </w:pPr>
    </w:p>
    <w:p w:rsidR="005118AF" w:rsidRDefault="005118AF">
      <w:pPr>
        <w:pStyle w:val="10"/>
        <w:rPr>
          <w:rFonts w:ascii="Times New Roman" w:hAnsi="Times New Roman"/>
          <w:b/>
          <w:sz w:val="28"/>
          <w:szCs w:val="28"/>
        </w:rPr>
      </w:pPr>
    </w:p>
    <w:p w:rsidR="005118AF" w:rsidRDefault="00EF60C3">
      <w:pPr>
        <w:pStyle w:val="10"/>
        <w:jc w:val="center"/>
        <w:rPr>
          <w:lang w:val="kk-KZ"/>
        </w:rPr>
      </w:pPr>
      <w:r>
        <w:rPr>
          <w:rFonts w:ascii="Times New Roman" w:hAnsi="Times New Roman"/>
          <w:b/>
          <w:bCs/>
          <w:caps/>
          <w:sz w:val="28"/>
          <w:szCs w:val="28"/>
          <w:lang w:val="kk-KZ"/>
        </w:rPr>
        <w:t>СЕЙСИНБИНОВА аЛЬМИРА АСКАРБЕКОВНА</w:t>
      </w:r>
    </w:p>
    <w:p w:rsidR="005118AF" w:rsidRDefault="005118AF">
      <w:pPr>
        <w:pStyle w:val="10"/>
        <w:rPr>
          <w:rFonts w:ascii="Times New Roman" w:hAnsi="Times New Roman"/>
          <w:b/>
          <w:caps/>
          <w:sz w:val="28"/>
          <w:szCs w:val="28"/>
        </w:rPr>
      </w:pPr>
    </w:p>
    <w:p w:rsidR="005118AF" w:rsidRDefault="005118AF">
      <w:pPr>
        <w:pStyle w:val="10"/>
        <w:rPr>
          <w:rFonts w:ascii="Times New Roman" w:hAnsi="Times New Roman"/>
          <w:b/>
          <w:sz w:val="28"/>
          <w:szCs w:val="28"/>
          <w:lang w:val="kk-KZ"/>
        </w:rPr>
      </w:pPr>
    </w:p>
    <w:p w:rsidR="005118AF" w:rsidRDefault="005118AF">
      <w:pPr>
        <w:pStyle w:val="10"/>
        <w:rPr>
          <w:rFonts w:ascii="Times New Roman" w:hAnsi="Times New Roman"/>
          <w:b/>
          <w:sz w:val="28"/>
          <w:szCs w:val="28"/>
        </w:rPr>
      </w:pPr>
    </w:p>
    <w:p w:rsidR="005118AF" w:rsidRDefault="00EF60C3">
      <w:pPr>
        <w:pStyle w:val="10"/>
        <w:jc w:val="center"/>
        <w:rPr>
          <w:lang w:val="kk-KZ"/>
        </w:rPr>
      </w:pPr>
      <w:r>
        <w:rPr>
          <w:rFonts w:ascii="Times New Roman" w:hAnsi="Times New Roman"/>
          <w:b/>
          <w:sz w:val="28"/>
          <w:szCs w:val="28"/>
          <w:lang w:val="kk-KZ"/>
        </w:rPr>
        <w:t xml:space="preserve">Қазақстан Республикасындағы тамақ өнеркәсібі кәсіпорындарының </w:t>
      </w:r>
      <w:r>
        <w:rPr>
          <w:rFonts w:ascii="Times New Roman" w:hAnsi="Times New Roman"/>
          <w:b/>
          <w:sz w:val="28"/>
          <w:szCs w:val="28"/>
          <w:lang w:val="kk-KZ"/>
        </w:rPr>
        <w:t>инновациялық дамуын басқару</w:t>
      </w:r>
    </w:p>
    <w:p w:rsidR="005118AF" w:rsidRDefault="005118AF">
      <w:pPr>
        <w:pStyle w:val="10"/>
        <w:rPr>
          <w:rFonts w:ascii="Times New Roman" w:hAnsi="Times New Roman"/>
          <w:b/>
          <w:sz w:val="28"/>
          <w:szCs w:val="28"/>
        </w:rPr>
      </w:pPr>
    </w:p>
    <w:p w:rsidR="005118AF" w:rsidRDefault="005118AF">
      <w:pPr>
        <w:pStyle w:val="10"/>
        <w:rPr>
          <w:rFonts w:ascii="Times New Roman" w:hAnsi="Times New Roman"/>
          <w:b/>
          <w:sz w:val="28"/>
          <w:szCs w:val="28"/>
        </w:rPr>
      </w:pPr>
    </w:p>
    <w:p w:rsidR="005118AF" w:rsidRDefault="005118AF">
      <w:pPr>
        <w:pStyle w:val="10"/>
        <w:rPr>
          <w:rFonts w:ascii="Times New Roman" w:hAnsi="Times New Roman"/>
          <w:b/>
          <w:sz w:val="28"/>
          <w:szCs w:val="28"/>
        </w:rPr>
      </w:pPr>
    </w:p>
    <w:p w:rsidR="005118AF" w:rsidRDefault="00EF60C3">
      <w:pPr>
        <w:pStyle w:val="10"/>
        <w:jc w:val="center"/>
        <w:rPr>
          <w:lang w:val="kk-KZ"/>
        </w:rPr>
      </w:pPr>
      <w:r>
        <w:rPr>
          <w:rFonts w:ascii="Times New Roman" w:hAnsi="Times New Roman"/>
          <w:sz w:val="28"/>
          <w:szCs w:val="28"/>
        </w:rPr>
        <w:t>6</w:t>
      </w:r>
      <w:r>
        <w:rPr>
          <w:rFonts w:ascii="Times New Roman" w:hAnsi="Times New Roman"/>
          <w:sz w:val="28"/>
          <w:szCs w:val="28"/>
          <w:lang w:val="en-US"/>
        </w:rPr>
        <w:t>D</w:t>
      </w:r>
      <w:r>
        <w:rPr>
          <w:rFonts w:ascii="Times New Roman" w:hAnsi="Times New Roman"/>
          <w:sz w:val="28"/>
          <w:szCs w:val="28"/>
        </w:rPr>
        <w:t>051700 – Инноваци</w:t>
      </w:r>
      <w:r>
        <w:rPr>
          <w:rFonts w:ascii="Times New Roman" w:hAnsi="Times New Roman"/>
          <w:sz w:val="28"/>
          <w:szCs w:val="28"/>
          <w:lang w:val="kk-KZ"/>
        </w:rPr>
        <w:t>ялық менеджмент</w:t>
      </w:r>
    </w:p>
    <w:p w:rsidR="005118AF" w:rsidRDefault="005118AF">
      <w:pPr>
        <w:pStyle w:val="10"/>
        <w:rPr>
          <w:rFonts w:ascii="Times New Roman" w:hAnsi="Times New Roman"/>
          <w:sz w:val="28"/>
          <w:szCs w:val="28"/>
        </w:rPr>
      </w:pPr>
    </w:p>
    <w:p w:rsidR="005118AF" w:rsidRDefault="005118AF">
      <w:pPr>
        <w:pStyle w:val="10"/>
        <w:rPr>
          <w:rFonts w:ascii="Times New Roman" w:hAnsi="Times New Roman"/>
          <w:sz w:val="28"/>
          <w:szCs w:val="28"/>
        </w:rPr>
      </w:pPr>
    </w:p>
    <w:p w:rsidR="005118AF" w:rsidRDefault="005118AF">
      <w:pPr>
        <w:pStyle w:val="10"/>
        <w:rPr>
          <w:rFonts w:ascii="Times New Roman" w:hAnsi="Times New Roman"/>
          <w:sz w:val="28"/>
          <w:szCs w:val="28"/>
        </w:rPr>
      </w:pPr>
    </w:p>
    <w:p w:rsidR="005118AF" w:rsidRDefault="00EF60C3">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Философия докторы (PhD)</w:t>
      </w:r>
    </w:p>
    <w:p w:rsidR="005118AF" w:rsidRDefault="00EF60C3">
      <w:pPr>
        <w:pStyle w:val="10"/>
        <w:jc w:val="center"/>
        <w:rPr>
          <w:lang w:val="kk-KZ"/>
        </w:rPr>
      </w:pPr>
      <w:r>
        <w:rPr>
          <w:rFonts w:ascii="Times New Roman" w:hAnsi="Times New Roman"/>
          <w:sz w:val="28"/>
          <w:szCs w:val="28"/>
          <w:lang w:val="kk-KZ"/>
        </w:rPr>
        <w:t xml:space="preserve">дәрежесін алу үшін дайындалған диссертация </w:t>
      </w:r>
    </w:p>
    <w:p w:rsidR="005118AF" w:rsidRDefault="005118AF">
      <w:pPr>
        <w:pStyle w:val="10"/>
        <w:rPr>
          <w:rFonts w:ascii="Times New Roman" w:hAnsi="Times New Roman"/>
          <w:sz w:val="28"/>
          <w:szCs w:val="28"/>
          <w:lang w:val="kk-KZ"/>
        </w:rPr>
      </w:pPr>
    </w:p>
    <w:p w:rsidR="005118AF" w:rsidRDefault="005118AF">
      <w:pPr>
        <w:pStyle w:val="10"/>
        <w:rPr>
          <w:rFonts w:ascii="Times New Roman" w:hAnsi="Times New Roman"/>
          <w:sz w:val="28"/>
          <w:szCs w:val="28"/>
          <w:lang w:val="kk-KZ"/>
        </w:rPr>
      </w:pPr>
    </w:p>
    <w:p w:rsidR="005118AF" w:rsidRDefault="005118AF">
      <w:pPr>
        <w:pStyle w:val="10"/>
        <w:rPr>
          <w:rFonts w:ascii="Times New Roman" w:hAnsi="Times New Roman"/>
          <w:sz w:val="28"/>
          <w:szCs w:val="28"/>
          <w:lang w:val="kk-KZ"/>
        </w:rPr>
      </w:pPr>
    </w:p>
    <w:p w:rsidR="005118AF" w:rsidRDefault="00EF60C3">
      <w:pPr>
        <w:pStyle w:val="10"/>
        <w:jc w:val="right"/>
        <w:rPr>
          <w:lang w:val="kk-KZ"/>
        </w:rPr>
      </w:pPr>
      <w:r>
        <w:rPr>
          <w:rFonts w:ascii="Times New Roman" w:hAnsi="Times New Roman"/>
          <w:sz w:val="28"/>
          <w:szCs w:val="28"/>
          <w:lang w:val="kk-KZ"/>
        </w:rPr>
        <w:t xml:space="preserve">Ғылыми кеңесші </w:t>
      </w:r>
    </w:p>
    <w:p w:rsidR="005118AF" w:rsidRDefault="00EF60C3">
      <w:pPr>
        <w:pStyle w:val="10"/>
        <w:jc w:val="right"/>
        <w:rPr>
          <w:rFonts w:ascii="Times New Roman" w:hAnsi="Times New Roman"/>
          <w:sz w:val="28"/>
          <w:szCs w:val="28"/>
          <w:lang w:val="kk-KZ"/>
        </w:rPr>
      </w:pPr>
      <w:r>
        <w:rPr>
          <w:rFonts w:ascii="Times New Roman" w:hAnsi="Times New Roman"/>
          <w:sz w:val="28"/>
          <w:szCs w:val="28"/>
          <w:lang w:val="kk-KZ"/>
        </w:rPr>
        <w:t xml:space="preserve">экономика ғылымдарының докторы, </w:t>
      </w:r>
    </w:p>
    <w:p w:rsidR="005118AF" w:rsidRDefault="00EF60C3">
      <w:pPr>
        <w:pStyle w:val="10"/>
        <w:jc w:val="right"/>
        <w:rPr>
          <w:lang w:val="kk-KZ"/>
        </w:rPr>
      </w:pPr>
      <w:r>
        <w:rPr>
          <w:rFonts w:ascii="Times New Roman" w:hAnsi="Times New Roman"/>
          <w:sz w:val="28"/>
          <w:szCs w:val="28"/>
          <w:lang w:val="kk-KZ"/>
        </w:rPr>
        <w:t>п</w:t>
      </w:r>
      <w:r>
        <w:rPr>
          <w:rFonts w:ascii="Times New Roman" w:hAnsi="Times New Roman"/>
          <w:sz w:val="28"/>
          <w:szCs w:val="28"/>
        </w:rPr>
        <w:t>рофессор</w:t>
      </w:r>
      <w:r>
        <w:rPr>
          <w:rFonts w:ascii="Times New Roman" w:hAnsi="Times New Roman"/>
          <w:sz w:val="28"/>
          <w:szCs w:val="28"/>
          <w:lang w:val="kk-KZ"/>
        </w:rPr>
        <w:t>,</w:t>
      </w:r>
    </w:p>
    <w:p w:rsidR="005118AF" w:rsidRDefault="00EF60C3">
      <w:pPr>
        <w:pStyle w:val="10"/>
        <w:jc w:val="right"/>
        <w:rPr>
          <w:lang w:val="kk-KZ"/>
        </w:rPr>
      </w:pPr>
      <w:r>
        <w:rPr>
          <w:rFonts w:ascii="Times New Roman" w:hAnsi="Times New Roman"/>
          <w:sz w:val="28"/>
          <w:szCs w:val="28"/>
          <w:lang w:val="kk-KZ"/>
        </w:rPr>
        <w:t>Толысбаев Б.С.</w:t>
      </w:r>
    </w:p>
    <w:p w:rsidR="005118AF" w:rsidRDefault="005118AF">
      <w:pPr>
        <w:pStyle w:val="10"/>
        <w:jc w:val="right"/>
        <w:rPr>
          <w:rFonts w:ascii="Times New Roman" w:hAnsi="Times New Roman"/>
          <w:sz w:val="16"/>
          <w:szCs w:val="16"/>
          <w:lang w:val="kk-KZ"/>
        </w:rPr>
      </w:pPr>
    </w:p>
    <w:p w:rsidR="005118AF" w:rsidRDefault="00EF60C3">
      <w:pPr>
        <w:pStyle w:val="10"/>
        <w:wordWrap w:val="0"/>
        <w:jc w:val="right"/>
        <w:rPr>
          <w:lang w:val="kk-KZ"/>
        </w:rPr>
      </w:pPr>
      <w:r>
        <w:rPr>
          <w:rFonts w:ascii="Times New Roman" w:hAnsi="Times New Roman"/>
          <w:sz w:val="28"/>
          <w:szCs w:val="28"/>
          <w:lang w:val="kk-KZ"/>
        </w:rPr>
        <w:t>Шетелдік ғылыми кеңесші</w:t>
      </w:r>
    </w:p>
    <w:p w:rsidR="005118AF" w:rsidRDefault="00EF60C3">
      <w:pPr>
        <w:pStyle w:val="10"/>
        <w:jc w:val="right"/>
        <w:rPr>
          <w:rFonts w:ascii="Times New Roman" w:hAnsi="Times New Roman"/>
          <w:sz w:val="28"/>
          <w:szCs w:val="28"/>
          <w:lang w:val="kk-KZ"/>
        </w:rPr>
      </w:pPr>
      <w:r>
        <w:rPr>
          <w:rFonts w:ascii="Times New Roman" w:hAnsi="Times New Roman"/>
          <w:sz w:val="28"/>
          <w:szCs w:val="28"/>
          <w:lang w:val="kk-KZ"/>
        </w:rPr>
        <w:t xml:space="preserve">экономика ғылымдарының докторы, </w:t>
      </w:r>
    </w:p>
    <w:p w:rsidR="005118AF" w:rsidRDefault="00EF60C3">
      <w:pPr>
        <w:pStyle w:val="10"/>
        <w:jc w:val="right"/>
      </w:pPr>
      <w:r>
        <w:rPr>
          <w:rFonts w:ascii="Times New Roman" w:hAnsi="Times New Roman"/>
          <w:sz w:val="28"/>
          <w:szCs w:val="28"/>
          <w:lang w:val="kk-KZ"/>
        </w:rPr>
        <w:t>п</w:t>
      </w:r>
      <w:r>
        <w:rPr>
          <w:rFonts w:ascii="Times New Roman" w:hAnsi="Times New Roman"/>
          <w:sz w:val="28"/>
          <w:szCs w:val="28"/>
        </w:rPr>
        <w:t>рофессор</w:t>
      </w:r>
      <w:r>
        <w:rPr>
          <w:rFonts w:ascii="Times New Roman" w:hAnsi="Times New Roman"/>
          <w:color w:val="000000"/>
          <w:sz w:val="28"/>
          <w:szCs w:val="28"/>
        </w:rPr>
        <w:t xml:space="preserve">, </w:t>
      </w:r>
    </w:p>
    <w:p w:rsidR="005118AF" w:rsidRDefault="00EF60C3">
      <w:pPr>
        <w:pStyle w:val="10"/>
        <w:jc w:val="right"/>
      </w:pPr>
      <w:r>
        <w:rPr>
          <w:rFonts w:ascii="Times New Roman" w:hAnsi="Times New Roman"/>
          <w:color w:val="000000"/>
          <w:sz w:val="28"/>
          <w:szCs w:val="28"/>
          <w:lang w:val="kk-KZ"/>
        </w:rPr>
        <w:t>Хайруллина</w:t>
      </w:r>
      <w:r>
        <w:rPr>
          <w:rFonts w:ascii="Times New Roman" w:hAnsi="Times New Roman"/>
          <w:color w:val="000000"/>
          <w:sz w:val="28"/>
          <w:szCs w:val="28"/>
        </w:rPr>
        <w:t xml:space="preserve"> </w:t>
      </w:r>
      <w:r>
        <w:rPr>
          <w:rFonts w:ascii="Times New Roman" w:hAnsi="Times New Roman"/>
          <w:color w:val="000000"/>
          <w:sz w:val="28"/>
          <w:szCs w:val="28"/>
          <w:lang w:val="kk-KZ"/>
        </w:rPr>
        <w:t>М.В.</w:t>
      </w:r>
    </w:p>
    <w:p w:rsidR="005118AF" w:rsidRDefault="00EF60C3">
      <w:pPr>
        <w:pStyle w:val="10"/>
        <w:jc w:val="right"/>
      </w:pPr>
      <w:r>
        <w:rPr>
          <w:rFonts w:ascii="Times New Roman" w:hAnsi="Times New Roman"/>
          <w:color w:val="000000"/>
          <w:sz w:val="28"/>
          <w:szCs w:val="28"/>
        </w:rPr>
        <w:t>(</w:t>
      </w:r>
      <w:r>
        <w:rPr>
          <w:rFonts w:ascii="Times New Roman" w:hAnsi="Times New Roman"/>
          <w:color w:val="000000"/>
          <w:sz w:val="28"/>
          <w:szCs w:val="28"/>
          <w:lang w:val="kk-KZ"/>
        </w:rPr>
        <w:t>Мәскеу)</w:t>
      </w:r>
    </w:p>
    <w:p w:rsidR="005118AF" w:rsidRDefault="005118AF">
      <w:pPr>
        <w:pStyle w:val="10"/>
        <w:jc w:val="right"/>
        <w:rPr>
          <w:rFonts w:ascii="Times New Roman" w:hAnsi="Times New Roman"/>
          <w:sz w:val="28"/>
          <w:szCs w:val="28"/>
        </w:rPr>
      </w:pPr>
    </w:p>
    <w:p w:rsidR="005118AF" w:rsidRDefault="005118AF">
      <w:pPr>
        <w:pStyle w:val="10"/>
        <w:jc w:val="right"/>
        <w:rPr>
          <w:rFonts w:ascii="Times New Roman" w:hAnsi="Times New Roman"/>
          <w:sz w:val="28"/>
          <w:szCs w:val="28"/>
        </w:rPr>
      </w:pPr>
    </w:p>
    <w:p w:rsidR="005118AF" w:rsidRDefault="005118AF">
      <w:pPr>
        <w:pStyle w:val="10"/>
        <w:jc w:val="right"/>
        <w:rPr>
          <w:rFonts w:ascii="Times New Roman" w:hAnsi="Times New Roman"/>
          <w:sz w:val="28"/>
          <w:szCs w:val="28"/>
        </w:rPr>
      </w:pPr>
    </w:p>
    <w:p w:rsidR="005118AF" w:rsidRDefault="005118AF">
      <w:pPr>
        <w:pStyle w:val="10"/>
        <w:jc w:val="right"/>
        <w:rPr>
          <w:rFonts w:ascii="Times New Roman" w:hAnsi="Times New Roman"/>
          <w:sz w:val="28"/>
          <w:szCs w:val="28"/>
        </w:rPr>
      </w:pPr>
    </w:p>
    <w:p w:rsidR="005118AF" w:rsidRDefault="005118AF">
      <w:pPr>
        <w:pStyle w:val="10"/>
        <w:jc w:val="right"/>
        <w:rPr>
          <w:rFonts w:ascii="Times New Roman" w:hAnsi="Times New Roman"/>
          <w:sz w:val="28"/>
          <w:szCs w:val="28"/>
        </w:rPr>
      </w:pPr>
    </w:p>
    <w:p w:rsidR="005118AF" w:rsidRDefault="005118AF">
      <w:pPr>
        <w:pStyle w:val="10"/>
        <w:jc w:val="right"/>
        <w:rPr>
          <w:rFonts w:ascii="Times New Roman" w:hAnsi="Times New Roman"/>
          <w:sz w:val="28"/>
          <w:szCs w:val="28"/>
        </w:rPr>
      </w:pPr>
    </w:p>
    <w:p w:rsidR="005118AF" w:rsidRDefault="005118AF">
      <w:pPr>
        <w:pStyle w:val="10"/>
        <w:jc w:val="right"/>
        <w:rPr>
          <w:rFonts w:ascii="Times New Roman" w:hAnsi="Times New Roman"/>
          <w:sz w:val="28"/>
          <w:szCs w:val="28"/>
          <w:lang w:val="kk-KZ"/>
        </w:rPr>
      </w:pPr>
    </w:p>
    <w:p w:rsidR="005118AF" w:rsidRDefault="00EF60C3">
      <w:pPr>
        <w:pStyle w:val="10"/>
        <w:jc w:val="center"/>
        <w:rPr>
          <w:lang w:val="kk-KZ"/>
        </w:rPr>
      </w:pPr>
      <w:r>
        <w:rPr>
          <w:rFonts w:ascii="Times New Roman" w:hAnsi="Times New Roman"/>
          <w:sz w:val="28"/>
          <w:szCs w:val="28"/>
          <w:lang w:val="kk-KZ"/>
        </w:rPr>
        <w:t>Қазақстан Республикасы</w:t>
      </w:r>
    </w:p>
    <w:p w:rsidR="005118AF" w:rsidRDefault="00EF60C3">
      <w:pPr>
        <w:pStyle w:val="10"/>
        <w:jc w:val="cente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2701290</wp:posOffset>
                </wp:positionH>
                <wp:positionV relativeFrom="paragraph">
                  <wp:posOffset>212725</wp:posOffset>
                </wp:positionV>
                <wp:extent cx="723900" cy="236220"/>
                <wp:effectExtent l="0" t="0" r="0" b="5080"/>
                <wp:wrapNone/>
                <wp:docPr id="1" name="Rectangles 1"/>
                <wp:cNvGraphicFramePr/>
                <a:graphic xmlns:a="http://schemas.openxmlformats.org/drawingml/2006/main">
                  <a:graphicData uri="http://schemas.microsoft.com/office/word/2010/wordprocessingShape">
                    <wps:wsp>
                      <wps:cNvSpPr/>
                      <wps:spPr>
                        <a:xfrm>
                          <a:off x="0" y="0"/>
                          <a:ext cx="723900" cy="236220"/>
                        </a:xfrm>
                        <a:prstGeom prst="rect">
                          <a:avLst/>
                        </a:prstGeom>
                        <a:solidFill>
                          <a:srgbClr val="FFFFFF"/>
                        </a:solidFill>
                        <a:ln>
                          <a:noFill/>
                        </a:ln>
                      </wps:spPr>
                      <wps:bodyPr upright="1"/>
                    </wps:wsp>
                  </a:graphicData>
                </a:graphic>
              </wp:anchor>
            </w:drawing>
          </mc:Choice>
          <mc:Fallback>
            <w:pict>
              <v:rect w14:anchorId="36A4086C" id="Rectangles 1" o:spid="_x0000_s1026" style="position:absolute;margin-left:212.7pt;margin-top:16.75pt;width:57pt;height:18.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" stroked="f"/>
            </w:pict>
          </mc:Fallback>
        </mc:AlternateContent>
      </w:r>
      <w:r>
        <w:rPr>
          <w:rFonts w:ascii="Times New Roman" w:hAnsi="Times New Roman"/>
          <w:sz w:val="28"/>
          <w:szCs w:val="28"/>
          <w:lang w:val="kk-KZ" w:eastAsia="ru-RU"/>
        </w:rPr>
        <w:t>Астана</w:t>
      </w:r>
      <w:r>
        <w:rPr>
          <w:rFonts w:ascii="Times New Roman" w:hAnsi="Times New Roman"/>
          <w:sz w:val="28"/>
          <w:szCs w:val="28"/>
        </w:rPr>
        <w:t>, 2026</w:t>
      </w:r>
    </w:p>
    <w:p w:rsidR="005118AF" w:rsidRDefault="00EF60C3">
      <w:pPr>
        <w:pStyle w:val="af"/>
        <w:ind w:firstLine="709"/>
        <w:jc w:val="center"/>
        <w:rPr>
          <w:rFonts w:ascii="Times New Roman" w:hAnsi="Times New Roman"/>
          <w:b/>
          <w:sz w:val="28"/>
          <w:szCs w:val="28"/>
          <w:lang w:val="kk-KZ"/>
        </w:rPr>
      </w:pPr>
      <w:r>
        <w:rPr>
          <w:rFonts w:ascii="Times New Roman" w:hAnsi="Times New Roman"/>
          <w:b/>
          <w:sz w:val="28"/>
          <w:szCs w:val="28"/>
          <w:lang w:val="kk-KZ"/>
        </w:rPr>
        <w:lastRenderedPageBreak/>
        <w:t>МАЗМҰНЫ</w:t>
      </w:r>
    </w:p>
    <w:p w:rsidR="005118AF" w:rsidRDefault="005118AF">
      <w:pPr>
        <w:pStyle w:val="af"/>
        <w:ind w:firstLine="709"/>
        <w:jc w:val="center"/>
        <w:rPr>
          <w:rFonts w:ascii="Times New Roman" w:hAnsi="Times New Roman"/>
          <w:b/>
          <w:sz w:val="28"/>
          <w:szCs w:val="28"/>
          <w:lang w:val="kk-KZ"/>
        </w:rPr>
      </w:pPr>
    </w:p>
    <w:tbl>
      <w:tblPr>
        <w:tblW w:w="9889" w:type="dxa"/>
        <w:tblLayout w:type="fixed"/>
        <w:tblLook w:val="04A0" w:firstRow="1" w:lastRow="0" w:firstColumn="1" w:lastColumn="0" w:noHBand="0" w:noVBand="1"/>
      </w:tblPr>
      <w:tblGrid>
        <w:gridCol w:w="9180"/>
        <w:gridCol w:w="709"/>
      </w:tblGrid>
      <w:tr w:rsidR="005118AF">
        <w:tc>
          <w:tcPr>
            <w:tcW w:w="9180" w:type="dxa"/>
            <w:shd w:val="clear" w:color="auto" w:fill="auto"/>
          </w:tcPr>
          <w:p w:rsidR="005118AF" w:rsidRDefault="00EF60C3">
            <w:pPr>
              <w:pStyle w:val="af"/>
              <w:jc w:val="both"/>
            </w:pPr>
            <w:r>
              <w:rPr>
                <w:rFonts w:ascii="Times New Roman" w:hAnsi="Times New Roman"/>
                <w:b/>
                <w:sz w:val="28"/>
                <w:szCs w:val="28"/>
                <w:lang w:val="kk-KZ"/>
              </w:rPr>
              <w:t>НОРМАТИВТІК СІЛТЕМЕЛЕР</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tc>
        <w:tc>
          <w:tcPr>
            <w:tcW w:w="709" w:type="dxa"/>
            <w:shd w:val="clear" w:color="auto" w:fill="auto"/>
          </w:tcPr>
          <w:p w:rsidR="005118AF" w:rsidRDefault="00EF60C3">
            <w:pPr>
              <w:pStyle w:val="af"/>
              <w:rPr>
                <w:rFonts w:ascii="Times New Roman" w:hAnsi="Times New Roman"/>
                <w:sz w:val="28"/>
                <w:szCs w:val="28"/>
              </w:rPr>
            </w:pPr>
            <w:r>
              <w:rPr>
                <w:rFonts w:ascii="Times New Roman" w:hAnsi="Times New Roman"/>
                <w:sz w:val="28"/>
                <w:szCs w:val="28"/>
              </w:rPr>
              <w:t>3</w:t>
            </w:r>
          </w:p>
        </w:tc>
      </w:tr>
      <w:tr w:rsidR="005118AF">
        <w:tc>
          <w:tcPr>
            <w:tcW w:w="9180" w:type="dxa"/>
            <w:shd w:val="clear" w:color="auto" w:fill="auto"/>
          </w:tcPr>
          <w:p w:rsidR="005118AF" w:rsidRDefault="00EF60C3">
            <w:pPr>
              <w:pStyle w:val="af"/>
              <w:jc w:val="both"/>
            </w:pPr>
            <w:r>
              <w:rPr>
                <w:rFonts w:ascii="Times New Roman" w:hAnsi="Times New Roman"/>
                <w:b/>
                <w:sz w:val="28"/>
                <w:szCs w:val="28"/>
                <w:lang w:val="kk-KZ"/>
              </w:rPr>
              <w:t>БЕЛГІЛЕУЛЕР МЕН ҚЫСҚАРТУЛАР</w:t>
            </w:r>
            <w:r>
              <w:rPr>
                <w:rFonts w:ascii="Times New Roman" w:hAnsi="Times New Roman"/>
                <w:bCs/>
                <w:sz w:val="28"/>
                <w:szCs w:val="28"/>
                <w:lang w:val="kk-KZ"/>
              </w:rPr>
              <w:t>.....</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tc>
        <w:tc>
          <w:tcPr>
            <w:tcW w:w="709" w:type="dxa"/>
            <w:shd w:val="clear" w:color="auto" w:fill="auto"/>
          </w:tcPr>
          <w:p w:rsidR="005118AF" w:rsidRDefault="00EF60C3">
            <w:pPr>
              <w:pStyle w:val="af"/>
              <w:rPr>
                <w:rFonts w:ascii="Times New Roman" w:hAnsi="Times New Roman"/>
                <w:sz w:val="28"/>
                <w:szCs w:val="28"/>
              </w:rPr>
            </w:pPr>
            <w:r>
              <w:rPr>
                <w:rFonts w:ascii="Times New Roman" w:hAnsi="Times New Roman"/>
                <w:sz w:val="28"/>
                <w:szCs w:val="28"/>
              </w:rPr>
              <w:t>4</w:t>
            </w:r>
          </w:p>
        </w:tc>
      </w:tr>
      <w:tr w:rsidR="005118AF">
        <w:tc>
          <w:tcPr>
            <w:tcW w:w="9180" w:type="dxa"/>
            <w:shd w:val="clear" w:color="auto" w:fill="auto"/>
          </w:tcPr>
          <w:p w:rsidR="005118AF" w:rsidRDefault="00EF60C3">
            <w:pPr>
              <w:pStyle w:val="af"/>
              <w:jc w:val="both"/>
            </w:pPr>
            <w:r>
              <w:rPr>
                <w:rFonts w:ascii="Times New Roman" w:hAnsi="Times New Roman"/>
                <w:b/>
                <w:sz w:val="28"/>
                <w:szCs w:val="28"/>
                <w:lang w:val="kk-KZ"/>
              </w:rPr>
              <w:t>КІРІСПЕ</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tc>
        <w:tc>
          <w:tcPr>
            <w:tcW w:w="709" w:type="dxa"/>
            <w:shd w:val="clear" w:color="auto" w:fill="auto"/>
          </w:tcPr>
          <w:p w:rsidR="005118AF" w:rsidRDefault="00EF60C3">
            <w:pPr>
              <w:pStyle w:val="af"/>
              <w:rPr>
                <w:rFonts w:ascii="Times New Roman" w:hAnsi="Times New Roman"/>
                <w:sz w:val="28"/>
                <w:szCs w:val="28"/>
              </w:rPr>
            </w:pPr>
            <w:r>
              <w:rPr>
                <w:rFonts w:ascii="Times New Roman" w:hAnsi="Times New Roman"/>
                <w:sz w:val="28"/>
                <w:szCs w:val="28"/>
              </w:rPr>
              <w:t>5</w:t>
            </w:r>
          </w:p>
        </w:tc>
      </w:tr>
      <w:tr w:rsidR="005118AF">
        <w:trPr>
          <w:trHeight w:val="708"/>
        </w:trPr>
        <w:tc>
          <w:tcPr>
            <w:tcW w:w="9180" w:type="dxa"/>
            <w:shd w:val="clear" w:color="auto" w:fill="auto"/>
          </w:tcPr>
          <w:p w:rsidR="005118AF" w:rsidRDefault="00EF60C3">
            <w:pPr>
              <w:pStyle w:val="af"/>
              <w:jc w:val="both"/>
            </w:pPr>
            <w:r>
              <w:rPr>
                <w:rFonts w:ascii="Times New Roman" w:hAnsi="Times New Roman"/>
                <w:b/>
                <w:sz w:val="28"/>
                <w:szCs w:val="28"/>
              </w:rPr>
              <w:t xml:space="preserve">1 </w:t>
            </w:r>
            <w:r>
              <w:rPr>
                <w:rFonts w:ascii="Times New Roman" w:hAnsi="Times New Roman"/>
                <w:b/>
                <w:bCs/>
                <w:sz w:val="28"/>
                <w:szCs w:val="28"/>
                <w:lang w:val="kk-KZ"/>
              </w:rPr>
              <w:t>ТАМАҚ ӨНЕРКӘСІБІ КӘСІПОРЫНДАРЫНЫҢ ИННОВАЦИЯЛЫҚ ДАМУЫН БАСҚАРУДЫҢ ТЕОРИЯЛЫҚ-ӘДІСНАМАЛЫҚ НЕГІЗДЕРІ</w:t>
            </w:r>
            <w:r>
              <w:rPr>
                <w:rFonts w:ascii="Times New Roman" w:hAnsi="Times New Roman"/>
                <w:bCs/>
                <w:sz w:val="28"/>
                <w:szCs w:val="28"/>
                <w:lang w:val="kk-KZ"/>
              </w:rPr>
              <w:t>........................................................................</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rPr>
              <w:t>1</w:t>
            </w:r>
            <w:r>
              <w:rPr>
                <w:rFonts w:ascii="Times New Roman" w:hAnsi="Times New Roman"/>
                <w:sz w:val="28"/>
                <w:szCs w:val="28"/>
                <w:lang w:val="kk-KZ"/>
              </w:rPr>
              <w:t>2</w:t>
            </w:r>
          </w:p>
        </w:tc>
      </w:tr>
      <w:tr w:rsidR="005118AF">
        <w:tc>
          <w:tcPr>
            <w:tcW w:w="9180" w:type="dxa"/>
            <w:shd w:val="clear" w:color="auto" w:fill="auto"/>
          </w:tcPr>
          <w:p w:rsidR="005118AF" w:rsidRDefault="00EF60C3">
            <w:pPr>
              <w:pStyle w:val="af"/>
              <w:jc w:val="both"/>
              <w:rPr>
                <w:lang w:val="kk-KZ"/>
              </w:rPr>
            </w:pPr>
            <w:r>
              <w:rPr>
                <w:rFonts w:ascii="Times New Roman" w:hAnsi="Times New Roman"/>
                <w:sz w:val="28"/>
                <w:szCs w:val="28"/>
              </w:rPr>
              <w:t xml:space="preserve">1.1 </w:t>
            </w:r>
            <w:r>
              <w:rPr>
                <w:rFonts w:ascii="Times New Roman" w:hAnsi="Times New Roman"/>
                <w:sz w:val="28"/>
                <w:szCs w:val="28"/>
                <w:lang w:val="kk-KZ"/>
              </w:rPr>
              <w:t>Инновациялар және инновациялық дамудың теориялық негіздері.......</w:t>
            </w:r>
            <w:r>
              <w:rPr>
                <w:rFonts w:ascii="Times New Roman" w:hAnsi="Times New Roman"/>
                <w:sz w:val="28"/>
                <w:szCs w:val="28"/>
                <w:lang w:val="kk-KZ"/>
              </w:rPr>
              <w:t>.</w:t>
            </w:r>
            <w:r>
              <w:rPr>
                <w:rFonts w:ascii="Times New Roman" w:hAnsi="Times New Roman"/>
                <w:sz w:val="28"/>
                <w:szCs w:val="28"/>
              </w:rPr>
              <w:t xml:space="preserve"> </w:t>
            </w:r>
          </w:p>
        </w:tc>
        <w:tc>
          <w:tcPr>
            <w:tcW w:w="709" w:type="dxa"/>
            <w:shd w:val="clear" w:color="auto" w:fill="auto"/>
          </w:tcPr>
          <w:p w:rsidR="005118AF" w:rsidRDefault="00EF60C3">
            <w:pPr>
              <w:pStyle w:val="af"/>
              <w:rPr>
                <w:rFonts w:ascii="Times New Roman" w:hAnsi="Times New Roman"/>
                <w:sz w:val="28"/>
                <w:szCs w:val="28"/>
                <w:lang w:val="kk-KZ"/>
              </w:rPr>
            </w:pPr>
            <w:r>
              <w:rPr>
                <w:rFonts w:ascii="Times New Roman" w:hAnsi="Times New Roman"/>
                <w:sz w:val="28"/>
                <w:szCs w:val="28"/>
              </w:rPr>
              <w:t>1</w:t>
            </w:r>
            <w:r>
              <w:rPr>
                <w:rFonts w:ascii="Times New Roman" w:hAnsi="Times New Roman"/>
                <w:sz w:val="28"/>
                <w:szCs w:val="28"/>
                <w:lang w:val="kk-KZ"/>
              </w:rPr>
              <w:t>2</w:t>
            </w:r>
          </w:p>
        </w:tc>
      </w:tr>
      <w:tr w:rsidR="005118AF">
        <w:tc>
          <w:tcPr>
            <w:tcW w:w="9180" w:type="dxa"/>
            <w:shd w:val="clear" w:color="auto" w:fill="auto"/>
          </w:tcPr>
          <w:p w:rsidR="005118AF" w:rsidRDefault="00EF60C3">
            <w:pPr>
              <w:pStyle w:val="af"/>
              <w:jc w:val="both"/>
            </w:pPr>
            <w:r>
              <w:rPr>
                <w:rFonts w:ascii="Times New Roman" w:hAnsi="Times New Roman"/>
                <w:sz w:val="28"/>
                <w:szCs w:val="28"/>
              </w:rPr>
              <w:t xml:space="preserve">1.2 </w:t>
            </w:r>
            <w:r>
              <w:rPr>
                <w:rFonts w:ascii="Times New Roman" w:hAnsi="Times New Roman"/>
                <w:sz w:val="28"/>
                <w:szCs w:val="28"/>
                <w:lang w:val="kk-KZ"/>
              </w:rPr>
              <w:t>Тамақ өнеркәсібі кәсіпорындарында ашық инновацияларды басқарудың әдістері мен үлгілері.....</w:t>
            </w:r>
            <w:r>
              <w:rPr>
                <w:rFonts w:ascii="Times New Roman" w:hAnsi="Times New Roman"/>
                <w:sz w:val="28"/>
                <w:szCs w:val="28"/>
              </w:rPr>
              <w:t>……………………..………....................</w:t>
            </w:r>
          </w:p>
        </w:tc>
        <w:tc>
          <w:tcPr>
            <w:tcW w:w="709" w:type="dxa"/>
            <w:shd w:val="clear" w:color="auto" w:fill="auto"/>
          </w:tcPr>
          <w:p w:rsidR="005118AF" w:rsidRDefault="005118AF">
            <w:pPr>
              <w:pStyle w:val="af"/>
              <w:rPr>
                <w:rFonts w:ascii="Times New Roman" w:hAnsi="Times New Roman"/>
                <w:sz w:val="28"/>
                <w:szCs w:val="28"/>
              </w:rPr>
            </w:pPr>
          </w:p>
          <w:p w:rsidR="005118AF" w:rsidRDefault="00EF60C3">
            <w:pPr>
              <w:pStyle w:val="af"/>
              <w:rPr>
                <w:rFonts w:ascii="Times New Roman" w:hAnsi="Times New Roman"/>
                <w:sz w:val="28"/>
                <w:szCs w:val="28"/>
                <w:lang w:val="kk-KZ"/>
              </w:rPr>
            </w:pPr>
            <w:r>
              <w:rPr>
                <w:rFonts w:ascii="Times New Roman" w:hAnsi="Times New Roman"/>
                <w:sz w:val="28"/>
                <w:szCs w:val="28"/>
              </w:rPr>
              <w:t>2</w:t>
            </w:r>
            <w:r>
              <w:rPr>
                <w:rFonts w:ascii="Times New Roman" w:hAnsi="Times New Roman"/>
                <w:sz w:val="28"/>
                <w:szCs w:val="28"/>
                <w:lang w:val="kk-KZ"/>
              </w:rPr>
              <w:t>5</w:t>
            </w:r>
          </w:p>
        </w:tc>
      </w:tr>
      <w:tr w:rsidR="005118AF">
        <w:tc>
          <w:tcPr>
            <w:tcW w:w="9180" w:type="dxa"/>
            <w:shd w:val="clear" w:color="auto" w:fill="auto"/>
          </w:tcPr>
          <w:p w:rsidR="005118AF" w:rsidRDefault="00EF60C3">
            <w:pPr>
              <w:pStyle w:val="af"/>
              <w:jc w:val="both"/>
            </w:pPr>
            <w:r>
              <w:rPr>
                <w:rFonts w:ascii="Times New Roman" w:hAnsi="Times New Roman"/>
                <w:sz w:val="28"/>
                <w:szCs w:val="28"/>
              </w:rPr>
              <w:t xml:space="preserve">1.3 </w:t>
            </w:r>
            <w:r>
              <w:rPr>
                <w:rFonts w:ascii="Times New Roman" w:hAnsi="Times New Roman"/>
                <w:sz w:val="28"/>
                <w:szCs w:val="28"/>
                <w:lang w:val="kk-KZ"/>
              </w:rPr>
              <w:t>Тамақ өнеркәсібі кәсіпорындарының инновациялық дамуын басқарудың шетелдік тәжірибесі</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tc>
        <w:tc>
          <w:tcPr>
            <w:tcW w:w="709" w:type="dxa"/>
            <w:shd w:val="clear" w:color="auto" w:fill="auto"/>
          </w:tcPr>
          <w:p w:rsidR="005118AF" w:rsidRDefault="005118AF">
            <w:pPr>
              <w:pStyle w:val="af"/>
              <w:rPr>
                <w:rFonts w:ascii="Times New Roman" w:hAnsi="Times New Roman"/>
                <w:sz w:val="28"/>
                <w:szCs w:val="28"/>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39</w:t>
            </w:r>
          </w:p>
        </w:tc>
      </w:tr>
      <w:tr w:rsidR="005118AF">
        <w:tc>
          <w:tcPr>
            <w:tcW w:w="9180" w:type="dxa"/>
            <w:shd w:val="clear" w:color="auto" w:fill="auto"/>
          </w:tcPr>
          <w:p w:rsidR="005118AF" w:rsidRDefault="00EF60C3">
            <w:pPr>
              <w:pStyle w:val="af"/>
              <w:jc w:val="both"/>
            </w:pPr>
            <w:r>
              <w:rPr>
                <w:rFonts w:ascii="Times New Roman" w:hAnsi="Times New Roman"/>
                <w:b/>
                <w:sz w:val="28"/>
                <w:szCs w:val="28"/>
              </w:rPr>
              <w:t xml:space="preserve">2 </w:t>
            </w:r>
            <w:r>
              <w:rPr>
                <w:rFonts w:ascii="Times New Roman" w:hAnsi="Times New Roman"/>
                <w:b/>
                <w:bCs/>
                <w:sz w:val="28"/>
                <w:szCs w:val="28"/>
                <w:lang w:val="kk-KZ"/>
              </w:rPr>
              <w:t>ҚАЗАҚСТАН</w:t>
            </w:r>
            <w:r>
              <w:rPr>
                <w:rFonts w:ascii="Times New Roman" w:hAnsi="Times New Roman"/>
                <w:b/>
                <w:bCs/>
                <w:sz w:val="28"/>
                <w:szCs w:val="28"/>
                <w:lang w:val="kk-KZ"/>
              </w:rPr>
              <w:t xml:space="preserve"> РЕСПУБЛИКАСЫ ТАМАҚ ӨНЕРКӘСІБІНІҢ ДАМУЫН БАСҚАРУ ҚЫЗМЕТІН ТАЛДАУ</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55</w:t>
            </w:r>
          </w:p>
        </w:tc>
      </w:tr>
      <w:tr w:rsidR="005118AF">
        <w:tc>
          <w:tcPr>
            <w:tcW w:w="9180" w:type="dxa"/>
            <w:shd w:val="clear" w:color="auto" w:fill="auto"/>
          </w:tcPr>
          <w:p w:rsidR="005118AF" w:rsidRDefault="00EF60C3">
            <w:pPr>
              <w:pStyle w:val="af"/>
              <w:jc w:val="both"/>
            </w:pPr>
            <w:r>
              <w:rPr>
                <w:rFonts w:ascii="Times New Roman" w:hAnsi="Times New Roman"/>
                <w:sz w:val="28"/>
                <w:szCs w:val="28"/>
              </w:rPr>
              <w:t xml:space="preserve">2.1 </w:t>
            </w:r>
            <w:r>
              <w:rPr>
                <w:rFonts w:ascii="Times New Roman" w:hAnsi="Times New Roman"/>
                <w:sz w:val="28"/>
                <w:szCs w:val="28"/>
                <w:lang w:val="kk-KZ"/>
              </w:rPr>
              <w:t>Қазақстан</w:t>
            </w:r>
            <w:r>
              <w:rPr>
                <w:rFonts w:ascii="Times New Roman" w:hAnsi="Times New Roman"/>
                <w:sz w:val="28"/>
                <w:szCs w:val="28"/>
                <w:lang w:val="kk-KZ"/>
              </w:rPr>
              <w:t xml:space="preserve"> Республикасының тамақ өнеркәсібінің дамуының қазіргі жағдайын талдау</w:t>
            </w:r>
            <w:r>
              <w:rPr>
                <w:rFonts w:ascii="Times New Roman" w:hAnsi="Times New Roman"/>
                <w:sz w:val="28"/>
                <w:szCs w:val="28"/>
              </w:rPr>
              <w:t>…...........................................................</w:t>
            </w:r>
            <w:r>
              <w:rPr>
                <w:rFonts w:ascii="Times New Roman" w:hAnsi="Times New Roman"/>
                <w:sz w:val="28"/>
                <w:szCs w:val="28"/>
              </w:rPr>
              <w:t>..................................</w:t>
            </w:r>
          </w:p>
        </w:tc>
        <w:tc>
          <w:tcPr>
            <w:tcW w:w="709" w:type="dxa"/>
            <w:shd w:val="clear" w:color="auto" w:fill="auto"/>
          </w:tcPr>
          <w:p w:rsidR="005118AF" w:rsidRDefault="005118AF">
            <w:pPr>
              <w:pStyle w:val="af"/>
              <w:rPr>
                <w:rFonts w:ascii="Times New Roman" w:hAnsi="Times New Roman"/>
                <w:sz w:val="28"/>
                <w:szCs w:val="28"/>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55</w:t>
            </w:r>
          </w:p>
        </w:tc>
      </w:tr>
      <w:tr w:rsidR="005118AF">
        <w:tc>
          <w:tcPr>
            <w:tcW w:w="9180" w:type="dxa"/>
            <w:shd w:val="clear" w:color="auto" w:fill="auto"/>
          </w:tcPr>
          <w:p w:rsidR="005118AF" w:rsidRDefault="00EF60C3">
            <w:pPr>
              <w:pStyle w:val="af"/>
              <w:jc w:val="both"/>
              <w:rPr>
                <w:lang w:val="kk-KZ"/>
              </w:rPr>
            </w:pPr>
            <w:r>
              <w:rPr>
                <w:rFonts w:ascii="Times New Roman" w:hAnsi="Times New Roman"/>
                <w:sz w:val="28"/>
                <w:szCs w:val="28"/>
              </w:rPr>
              <w:t xml:space="preserve">2.2 </w:t>
            </w:r>
            <w:r>
              <w:rPr>
                <w:rFonts w:ascii="Times New Roman" w:hAnsi="Times New Roman"/>
                <w:sz w:val="28"/>
                <w:szCs w:val="28"/>
                <w:lang w:val="kk-KZ"/>
              </w:rPr>
              <w:t>Тамақ өнеркәсібі кәсіпорындарының инновациялық қызметін азық</w:t>
            </w:r>
            <w:r>
              <w:rPr>
                <w:rFonts w:ascii="Times New Roman" w:hAnsi="Times New Roman"/>
                <w:sz w:val="28"/>
                <w:szCs w:val="28"/>
              </w:rPr>
              <w:t>-</w:t>
            </w:r>
            <w:r>
              <w:rPr>
                <w:rFonts w:ascii="Times New Roman" w:hAnsi="Times New Roman"/>
                <w:sz w:val="28"/>
                <w:szCs w:val="28"/>
                <w:lang w:val="kk-KZ"/>
              </w:rPr>
              <w:t>түлік инновацияларының жаһандық индексі контексінде талдау және бағалау ...............................................................................</w:t>
            </w:r>
            <w:r>
              <w:rPr>
                <w:rFonts w:ascii="Times New Roman" w:hAnsi="Times New Roman"/>
                <w:sz w:val="28"/>
                <w:szCs w:val="28"/>
                <w:lang w:val="kk-KZ"/>
              </w:rPr>
              <w:t>.................................</w:t>
            </w:r>
          </w:p>
        </w:tc>
        <w:tc>
          <w:tcPr>
            <w:tcW w:w="709" w:type="dxa"/>
            <w:shd w:val="clear" w:color="auto" w:fill="auto"/>
          </w:tcPr>
          <w:p w:rsidR="005118AF" w:rsidRDefault="005118AF">
            <w:pPr>
              <w:pStyle w:val="af"/>
              <w:snapToGrid w:val="0"/>
              <w:rPr>
                <w:rFonts w:ascii="Times New Roman" w:hAnsi="Times New Roman"/>
                <w:sz w:val="28"/>
                <w:szCs w:val="28"/>
              </w:rPr>
            </w:pPr>
          </w:p>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70</w:t>
            </w:r>
          </w:p>
        </w:tc>
      </w:tr>
      <w:tr w:rsidR="005118AF">
        <w:tc>
          <w:tcPr>
            <w:tcW w:w="9180" w:type="dxa"/>
            <w:shd w:val="clear" w:color="auto" w:fill="auto"/>
          </w:tcPr>
          <w:p w:rsidR="005118AF" w:rsidRDefault="00EF60C3">
            <w:pPr>
              <w:pStyle w:val="af"/>
              <w:jc w:val="both"/>
              <w:rPr>
                <w:rFonts w:ascii="Times New Roman" w:hAnsi="Times New Roman"/>
                <w:sz w:val="28"/>
                <w:szCs w:val="28"/>
                <w:lang w:val="kk-KZ"/>
              </w:rPr>
            </w:pPr>
            <w:r>
              <w:rPr>
                <w:rFonts w:ascii="Times New Roman" w:hAnsi="Times New Roman"/>
                <w:sz w:val="28"/>
                <w:szCs w:val="28"/>
              </w:rPr>
              <w:t xml:space="preserve">2.3 </w:t>
            </w:r>
            <w:r>
              <w:rPr>
                <w:rFonts w:ascii="Times New Roman" w:eastAsia="DengXian" w:hAnsi="Times New Roman"/>
                <w:sz w:val="28"/>
                <w:szCs w:val="28"/>
                <w:lang w:val="kk-KZ"/>
              </w:rPr>
              <w:t>Қазақстанның</w:t>
            </w:r>
            <w:r>
              <w:rPr>
                <w:rFonts w:ascii="Times New Roman" w:eastAsia="DengXian" w:hAnsi="Times New Roman"/>
                <w:sz w:val="28"/>
                <w:szCs w:val="28"/>
                <w:lang w:val="kk-KZ"/>
              </w:rPr>
              <w:t xml:space="preserve"> тамақ өнеркәсібі кәсіпорындарының стратегиялық дамуындағы ашық инновацияларды қолдану дәрежесін бағалау</w:t>
            </w:r>
            <w:r>
              <w:rPr>
                <w:rFonts w:ascii="Times New Roman" w:eastAsia="DengXian" w:hAnsi="Times New Roman"/>
                <w:sz w:val="28"/>
                <w:szCs w:val="28"/>
              </w:rPr>
              <w:t>...................</w:t>
            </w:r>
            <w:r>
              <w:rPr>
                <w:rFonts w:ascii="Times New Roman" w:hAnsi="Times New Roman"/>
                <w:sz w:val="28"/>
                <w:szCs w:val="28"/>
              </w:rPr>
              <w:t xml:space="preserve"> </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93</w:t>
            </w:r>
          </w:p>
        </w:tc>
      </w:tr>
      <w:tr w:rsidR="005118AF">
        <w:tc>
          <w:tcPr>
            <w:tcW w:w="9180" w:type="dxa"/>
            <w:shd w:val="clear" w:color="auto" w:fill="auto"/>
          </w:tcPr>
          <w:p w:rsidR="005118AF" w:rsidRDefault="00EF60C3">
            <w:pPr>
              <w:pStyle w:val="af"/>
              <w:jc w:val="both"/>
              <w:rPr>
                <w:lang w:val="kk-KZ"/>
              </w:rPr>
            </w:pPr>
            <w:r>
              <w:rPr>
                <w:rFonts w:ascii="Times New Roman" w:hAnsi="Times New Roman"/>
                <w:b/>
                <w:sz w:val="28"/>
                <w:szCs w:val="28"/>
                <w:lang w:val="kk-KZ"/>
              </w:rPr>
              <w:t xml:space="preserve">3 ТАМАҚ ӨНЕРКӘСІБІ ҚӘСІПОРЫНДАРЫНЫҢ ИННОВАЦИЯЛЫҚ ДАМУЫН БАСҚАРУДЫ </w:t>
            </w:r>
            <w:r>
              <w:rPr>
                <w:rFonts w:ascii="Times New Roman" w:hAnsi="Times New Roman"/>
                <w:b/>
                <w:sz w:val="28"/>
                <w:szCs w:val="28"/>
                <w:lang w:val="kk-KZ"/>
              </w:rPr>
              <w:t>ЖЕТІЛДІРУ БОЙЫНША ҰСЫНЫСТАР</w:t>
            </w:r>
            <w:r>
              <w:rPr>
                <w:rFonts w:ascii="Times New Roman" w:hAnsi="Times New Roman"/>
                <w:b/>
                <w:caps/>
                <w:sz w:val="28"/>
                <w:szCs w:val="28"/>
                <w:lang w:val="kk-KZ"/>
              </w:rPr>
              <w:t xml:space="preserve"> </w:t>
            </w:r>
            <w:r>
              <w:rPr>
                <w:rFonts w:ascii="Times New Roman" w:hAnsi="Times New Roman"/>
                <w:sz w:val="28"/>
                <w:szCs w:val="28"/>
              </w:rPr>
              <w:t>.................................................</w:t>
            </w:r>
            <w:r>
              <w:rPr>
                <w:rFonts w:ascii="Times New Roman" w:hAnsi="Times New Roman"/>
                <w:sz w:val="28"/>
                <w:szCs w:val="28"/>
                <w:lang w:val="kk-KZ"/>
              </w:rPr>
              <w:t>..........................</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5118AF">
            <w:pPr>
              <w:pStyle w:val="af"/>
              <w:rPr>
                <w:rFonts w:ascii="Times New Roman" w:hAnsi="Times New Roman"/>
                <w:sz w:val="28"/>
                <w:szCs w:val="28"/>
                <w:lang w:val="kk-KZ"/>
              </w:rPr>
            </w:pPr>
          </w:p>
          <w:p w:rsidR="005118AF" w:rsidRDefault="00EF60C3">
            <w:pPr>
              <w:pStyle w:val="af"/>
              <w:rPr>
                <w:lang w:val="kk-KZ"/>
              </w:rPr>
            </w:pPr>
            <w:r>
              <w:rPr>
                <w:rFonts w:ascii="Times New Roman" w:hAnsi="Times New Roman"/>
                <w:sz w:val="28"/>
                <w:szCs w:val="28"/>
              </w:rPr>
              <w:t>1</w:t>
            </w:r>
            <w:r>
              <w:rPr>
                <w:rFonts w:ascii="Times New Roman" w:hAnsi="Times New Roman"/>
                <w:sz w:val="28"/>
                <w:szCs w:val="28"/>
                <w:lang w:val="kk-KZ"/>
              </w:rPr>
              <w:t>07</w:t>
            </w:r>
          </w:p>
        </w:tc>
      </w:tr>
      <w:tr w:rsidR="005118AF">
        <w:tc>
          <w:tcPr>
            <w:tcW w:w="9180" w:type="dxa"/>
            <w:shd w:val="clear" w:color="auto" w:fill="auto"/>
          </w:tcPr>
          <w:p w:rsidR="005118AF" w:rsidRDefault="00EF60C3">
            <w:pPr>
              <w:pStyle w:val="af"/>
              <w:jc w:val="both"/>
            </w:pPr>
            <w:r>
              <w:rPr>
                <w:rFonts w:ascii="Times New Roman" w:hAnsi="Times New Roman"/>
                <w:sz w:val="28"/>
                <w:szCs w:val="28"/>
              </w:rPr>
              <w:t xml:space="preserve">3.1 </w:t>
            </w:r>
            <w:r>
              <w:rPr>
                <w:rFonts w:ascii="Times New Roman" w:hAnsi="Times New Roman"/>
                <w:sz w:val="28"/>
                <w:szCs w:val="28"/>
                <w:lang w:val="kk-KZ"/>
              </w:rPr>
              <w:t>ҚР</w:t>
            </w:r>
            <w:r>
              <w:rPr>
                <w:rFonts w:ascii="Times New Roman" w:hAnsi="Times New Roman"/>
                <w:sz w:val="28"/>
                <w:szCs w:val="28"/>
                <w:lang w:val="kk-KZ"/>
              </w:rPr>
              <w:t xml:space="preserve"> тамақ өнеркәсібінің инновациялық дамуының интеграциялық құрылымын қалыптастыру тетігі..........................</w:t>
            </w:r>
            <w:r>
              <w:rPr>
                <w:rFonts w:ascii="Times New Roman" w:hAnsi="Times New Roman"/>
                <w:sz w:val="28"/>
                <w:szCs w:val="28"/>
              </w:rPr>
              <w:t>.............................................</w:t>
            </w:r>
          </w:p>
        </w:tc>
        <w:tc>
          <w:tcPr>
            <w:tcW w:w="709" w:type="dxa"/>
            <w:shd w:val="clear" w:color="auto" w:fill="auto"/>
          </w:tcPr>
          <w:p w:rsidR="005118AF" w:rsidRDefault="005118AF">
            <w:pPr>
              <w:pStyle w:val="af"/>
              <w:snapToGrid w:val="0"/>
              <w:rPr>
                <w:rFonts w:ascii="Times New Roman" w:hAnsi="Times New Roman"/>
                <w:sz w:val="28"/>
                <w:szCs w:val="28"/>
              </w:rPr>
            </w:pPr>
          </w:p>
          <w:p w:rsidR="005118AF" w:rsidRDefault="00EF60C3">
            <w:pPr>
              <w:pStyle w:val="af"/>
              <w:rPr>
                <w:lang w:val="kk-KZ"/>
              </w:rPr>
            </w:pPr>
            <w:r>
              <w:rPr>
                <w:rFonts w:ascii="Times New Roman" w:hAnsi="Times New Roman"/>
                <w:sz w:val="28"/>
                <w:szCs w:val="28"/>
              </w:rPr>
              <w:t>1</w:t>
            </w:r>
            <w:r>
              <w:rPr>
                <w:rFonts w:ascii="Times New Roman" w:hAnsi="Times New Roman"/>
                <w:sz w:val="28"/>
                <w:szCs w:val="28"/>
                <w:lang w:val="kk-KZ"/>
              </w:rPr>
              <w:t>07</w:t>
            </w:r>
          </w:p>
        </w:tc>
      </w:tr>
      <w:tr w:rsidR="005118AF">
        <w:tc>
          <w:tcPr>
            <w:tcW w:w="9180" w:type="dxa"/>
            <w:shd w:val="clear" w:color="auto" w:fill="auto"/>
          </w:tcPr>
          <w:p w:rsidR="005118AF" w:rsidRDefault="00EF60C3">
            <w:pPr>
              <w:pStyle w:val="af"/>
              <w:jc w:val="both"/>
              <w:rPr>
                <w:lang w:val="kk-KZ"/>
              </w:rPr>
            </w:pPr>
            <w:r>
              <w:rPr>
                <w:rFonts w:ascii="Times New Roman" w:hAnsi="Times New Roman"/>
                <w:sz w:val="28"/>
                <w:szCs w:val="28"/>
              </w:rPr>
              <w:t xml:space="preserve">3.2 </w:t>
            </w:r>
            <w:r>
              <w:rPr>
                <w:rFonts w:ascii="Times New Roman" w:hAnsi="Times New Roman"/>
                <w:sz w:val="28"/>
                <w:szCs w:val="28"/>
                <w:lang w:val="kk-KZ"/>
              </w:rPr>
              <w:t>Тамақ өнеркәсібі кәсіпорындарының тұрақты ашық инновацияларының тұжырымдамалық модельдері</w:t>
            </w:r>
            <w:r>
              <w:rPr>
                <w:rFonts w:ascii="Times New Roman" w:hAnsi="Times New Roman"/>
                <w:sz w:val="28"/>
                <w:szCs w:val="28"/>
              </w:rPr>
              <w:t>…………………….…</w:t>
            </w:r>
            <w:r>
              <w:rPr>
                <w:rFonts w:ascii="Times New Roman" w:hAnsi="Times New Roman"/>
                <w:sz w:val="28"/>
                <w:szCs w:val="28"/>
                <w:lang w:val="kk-KZ"/>
              </w:rPr>
              <w:t>....</w:t>
            </w:r>
          </w:p>
        </w:tc>
        <w:tc>
          <w:tcPr>
            <w:tcW w:w="709" w:type="dxa"/>
            <w:shd w:val="clear" w:color="auto" w:fill="auto"/>
          </w:tcPr>
          <w:p w:rsidR="005118AF" w:rsidRDefault="005118AF">
            <w:pPr>
              <w:pStyle w:val="af"/>
              <w:snapToGrid w:val="0"/>
              <w:rPr>
                <w:rFonts w:ascii="Times New Roman" w:hAnsi="Times New Roman"/>
                <w:sz w:val="28"/>
                <w:szCs w:val="28"/>
              </w:rPr>
            </w:pPr>
          </w:p>
          <w:p w:rsidR="005118AF" w:rsidRDefault="00EF60C3">
            <w:pPr>
              <w:pStyle w:val="af"/>
              <w:rPr>
                <w:lang w:val="kk-KZ"/>
              </w:rPr>
            </w:pPr>
            <w:r>
              <w:rPr>
                <w:rFonts w:ascii="Times New Roman" w:hAnsi="Times New Roman"/>
                <w:sz w:val="28"/>
                <w:szCs w:val="28"/>
              </w:rPr>
              <w:t>1</w:t>
            </w:r>
            <w:r>
              <w:rPr>
                <w:rFonts w:ascii="Times New Roman" w:hAnsi="Times New Roman"/>
                <w:sz w:val="28"/>
                <w:szCs w:val="28"/>
                <w:lang w:val="kk-KZ"/>
              </w:rPr>
              <w:t>19</w:t>
            </w:r>
          </w:p>
        </w:tc>
      </w:tr>
      <w:tr w:rsidR="005118AF">
        <w:tc>
          <w:tcPr>
            <w:tcW w:w="9180" w:type="dxa"/>
            <w:shd w:val="clear" w:color="auto" w:fill="auto"/>
          </w:tcPr>
          <w:p w:rsidR="005118AF" w:rsidRDefault="00EF60C3">
            <w:pPr>
              <w:pStyle w:val="af"/>
              <w:jc w:val="both"/>
              <w:rPr>
                <w:rFonts w:ascii="Times New Roman" w:hAnsi="Times New Roman"/>
                <w:sz w:val="28"/>
                <w:szCs w:val="28"/>
              </w:rPr>
            </w:pPr>
            <w:r>
              <w:rPr>
                <w:rFonts w:ascii="Times New Roman" w:hAnsi="Times New Roman"/>
                <w:bCs/>
                <w:sz w:val="28"/>
                <w:szCs w:val="28"/>
                <w:lang w:val="kk-KZ"/>
              </w:rPr>
              <w:t xml:space="preserve">Бөлім бойынша </w:t>
            </w:r>
            <w:r>
              <w:rPr>
                <w:rFonts w:ascii="Times New Roman" w:hAnsi="Times New Roman"/>
                <w:bCs/>
                <w:sz w:val="28"/>
                <w:szCs w:val="28"/>
                <w:lang w:val="kk-KZ"/>
              </w:rPr>
              <w:t>қорытынды</w:t>
            </w:r>
            <w:r>
              <w:rPr>
                <w:rFonts w:ascii="Times New Roman" w:hAnsi="Times New Roman"/>
                <w:bCs/>
                <w:sz w:val="28"/>
                <w:szCs w:val="28"/>
                <w:lang w:val="kk-KZ"/>
              </w:rPr>
              <w:t>................................................................................</w:t>
            </w:r>
          </w:p>
        </w:tc>
        <w:tc>
          <w:tcPr>
            <w:tcW w:w="709" w:type="dxa"/>
            <w:shd w:val="clear" w:color="auto" w:fill="auto"/>
          </w:tcPr>
          <w:p w:rsidR="005118AF" w:rsidRDefault="00EF60C3">
            <w:pPr>
              <w:pStyle w:val="af"/>
              <w:snapToGrid w:val="0"/>
              <w:rPr>
                <w:rFonts w:ascii="Times New Roman" w:hAnsi="Times New Roman"/>
                <w:sz w:val="28"/>
                <w:szCs w:val="28"/>
                <w:lang w:val="kk-KZ"/>
              </w:rPr>
            </w:pPr>
            <w:r>
              <w:rPr>
                <w:rFonts w:ascii="Times New Roman" w:hAnsi="Times New Roman"/>
                <w:sz w:val="28"/>
                <w:szCs w:val="28"/>
                <w:lang w:val="kk-KZ"/>
              </w:rPr>
              <w:t>128</w:t>
            </w:r>
          </w:p>
        </w:tc>
      </w:tr>
      <w:tr w:rsidR="005118AF">
        <w:tc>
          <w:tcPr>
            <w:tcW w:w="9180" w:type="dxa"/>
            <w:shd w:val="clear" w:color="auto" w:fill="auto"/>
          </w:tcPr>
          <w:p w:rsidR="005118AF" w:rsidRDefault="00EF60C3">
            <w:pPr>
              <w:pStyle w:val="af"/>
              <w:jc w:val="both"/>
            </w:pPr>
            <w:r>
              <w:rPr>
                <w:rFonts w:ascii="Times New Roman" w:hAnsi="Times New Roman"/>
                <w:b/>
                <w:sz w:val="28"/>
                <w:szCs w:val="28"/>
                <w:lang w:val="kk-KZ"/>
              </w:rPr>
              <w:t>ҚОРЫТЫНДЫ</w:t>
            </w:r>
            <w:r>
              <w:rPr>
                <w:rFonts w:ascii="Times New Roman" w:hAnsi="Times New Roman"/>
                <w:sz w:val="28"/>
                <w:szCs w:val="28"/>
              </w:rPr>
              <w:t>……………………………………………………………….</w:t>
            </w:r>
            <w:r>
              <w:rPr>
                <w:rFonts w:ascii="Times New Roman" w:hAnsi="Times New Roman"/>
                <w:sz w:val="28"/>
                <w:szCs w:val="28"/>
                <w:lang w:val="kk-KZ"/>
              </w:rPr>
              <w:t>.</w:t>
            </w:r>
            <w:r>
              <w:rPr>
                <w:rFonts w:ascii="Times New Roman" w:hAnsi="Times New Roman"/>
                <w:sz w:val="28"/>
                <w:szCs w:val="28"/>
              </w:rPr>
              <w:t>.</w:t>
            </w:r>
          </w:p>
        </w:tc>
        <w:tc>
          <w:tcPr>
            <w:tcW w:w="709" w:type="dxa"/>
            <w:shd w:val="clear" w:color="auto" w:fill="auto"/>
          </w:tcPr>
          <w:p w:rsidR="005118AF" w:rsidRDefault="00EF60C3">
            <w:pPr>
              <w:pStyle w:val="af"/>
              <w:rPr>
                <w:lang w:val="kk-KZ"/>
              </w:rPr>
            </w:pPr>
            <w:r>
              <w:rPr>
                <w:rFonts w:ascii="Times New Roman" w:hAnsi="Times New Roman"/>
                <w:sz w:val="28"/>
                <w:szCs w:val="28"/>
              </w:rPr>
              <w:t>1</w:t>
            </w:r>
            <w:r>
              <w:rPr>
                <w:rFonts w:ascii="Times New Roman" w:hAnsi="Times New Roman"/>
                <w:sz w:val="28"/>
                <w:szCs w:val="28"/>
                <w:lang w:val="kk-KZ"/>
              </w:rPr>
              <w:t>30</w:t>
            </w:r>
          </w:p>
        </w:tc>
      </w:tr>
      <w:tr w:rsidR="005118AF">
        <w:tc>
          <w:tcPr>
            <w:tcW w:w="9180" w:type="dxa"/>
            <w:shd w:val="clear" w:color="auto" w:fill="auto"/>
          </w:tcPr>
          <w:p w:rsidR="005118AF" w:rsidRDefault="00EF60C3">
            <w:pPr>
              <w:pStyle w:val="af"/>
              <w:jc w:val="both"/>
              <w:rPr>
                <w:lang w:val="kk-KZ"/>
              </w:rPr>
            </w:pPr>
            <w:r>
              <w:rPr>
                <w:rFonts w:ascii="Times New Roman" w:hAnsi="Times New Roman"/>
                <w:b/>
                <w:sz w:val="28"/>
                <w:szCs w:val="28"/>
                <w:lang w:val="kk-KZ"/>
              </w:rPr>
              <w:t>ПАЙДАЛАНЫЛҒАН ӘДЕБИЕТТЕР ТІЗІМІ</w:t>
            </w:r>
            <w:r>
              <w:rPr>
                <w:rFonts w:ascii="Times New Roman" w:hAnsi="Times New Roman"/>
                <w:sz w:val="28"/>
                <w:szCs w:val="28"/>
              </w:rPr>
              <w:t>………………………</w:t>
            </w:r>
            <w:r>
              <w:rPr>
                <w:rFonts w:ascii="Times New Roman" w:hAnsi="Times New Roman"/>
                <w:sz w:val="28"/>
                <w:szCs w:val="28"/>
                <w:lang w:val="kk-KZ"/>
              </w:rPr>
              <w:t>..........</w:t>
            </w:r>
          </w:p>
        </w:tc>
        <w:tc>
          <w:tcPr>
            <w:tcW w:w="709" w:type="dxa"/>
            <w:shd w:val="clear" w:color="auto" w:fill="auto"/>
          </w:tcPr>
          <w:p w:rsidR="005118AF" w:rsidRDefault="00EF60C3">
            <w:pPr>
              <w:pStyle w:val="af"/>
              <w:rPr>
                <w:lang w:val="kk-KZ"/>
              </w:rPr>
            </w:pPr>
            <w:r>
              <w:rPr>
                <w:rFonts w:ascii="Times New Roman" w:hAnsi="Times New Roman"/>
                <w:sz w:val="28"/>
                <w:szCs w:val="28"/>
              </w:rPr>
              <w:t>1</w:t>
            </w:r>
            <w:r>
              <w:rPr>
                <w:rFonts w:ascii="Times New Roman" w:hAnsi="Times New Roman"/>
                <w:sz w:val="28"/>
                <w:szCs w:val="28"/>
                <w:lang w:val="kk-KZ"/>
              </w:rPr>
              <w:t>33</w:t>
            </w:r>
          </w:p>
        </w:tc>
      </w:tr>
      <w:tr w:rsidR="005118AF">
        <w:tc>
          <w:tcPr>
            <w:tcW w:w="9180" w:type="dxa"/>
            <w:shd w:val="clear" w:color="auto" w:fill="auto"/>
          </w:tcPr>
          <w:p w:rsidR="005118AF" w:rsidRDefault="00EF60C3">
            <w:pPr>
              <w:pStyle w:val="af"/>
              <w:jc w:val="both"/>
              <w:rPr>
                <w:rFonts w:ascii="Times New Roman" w:hAnsi="Times New Roman"/>
                <w:sz w:val="28"/>
                <w:szCs w:val="28"/>
                <w:lang w:val="kk-KZ"/>
              </w:rPr>
            </w:pPr>
            <w:r>
              <w:rPr>
                <w:rFonts w:ascii="Times New Roman" w:hAnsi="Times New Roman"/>
                <w:b/>
                <w:sz w:val="28"/>
                <w:szCs w:val="28"/>
                <w:lang w:val="kk-KZ"/>
              </w:rPr>
              <w:t>Қ</w:t>
            </w:r>
            <w:r>
              <w:rPr>
                <w:rFonts w:ascii="Times New Roman" w:hAnsi="Times New Roman"/>
                <w:b/>
                <w:sz w:val="28"/>
                <w:szCs w:val="28"/>
              </w:rPr>
              <w:t>ОСЫМША</w:t>
            </w:r>
            <w:r>
              <w:rPr>
                <w:rFonts w:ascii="Times New Roman" w:hAnsi="Times New Roman"/>
                <w:b/>
                <w:sz w:val="28"/>
                <w:szCs w:val="28"/>
                <w:lang w:val="kk-KZ"/>
              </w:rPr>
              <w:t xml:space="preserve"> А</w:t>
            </w:r>
            <w:r>
              <w:rPr>
                <w:rFonts w:ascii="Times New Roman" w:hAnsi="Times New Roman"/>
                <w:sz w:val="28"/>
                <w:szCs w:val="28"/>
                <w:lang w:val="kk-KZ"/>
              </w:rPr>
              <w:t xml:space="preserve"> ‒ </w:t>
            </w:r>
            <w:r>
              <w:rPr>
                <w:rFonts w:ascii="Times New Roman" w:hAnsi="Times New Roman"/>
                <w:sz w:val="28"/>
                <w:szCs w:val="28"/>
              </w:rPr>
              <w:t>Ен</w:t>
            </w:r>
            <w:r>
              <w:rPr>
                <w:rFonts w:ascii="Times New Roman" w:hAnsi="Times New Roman"/>
                <w:sz w:val="28"/>
                <w:szCs w:val="28"/>
                <w:lang w:val="kk-KZ"/>
              </w:rPr>
              <w:t>гізу актілері....................................</w:t>
            </w:r>
            <w:r>
              <w:rPr>
                <w:rFonts w:ascii="Times New Roman" w:hAnsi="Times New Roman"/>
                <w:sz w:val="28"/>
                <w:szCs w:val="28"/>
                <w:lang w:val="kk-KZ"/>
              </w:rPr>
              <w:t>..................................</w:t>
            </w:r>
          </w:p>
        </w:tc>
        <w:tc>
          <w:tcPr>
            <w:tcW w:w="709" w:type="dxa"/>
            <w:shd w:val="clear" w:color="auto" w:fill="auto"/>
          </w:tcPr>
          <w:p w:rsidR="005118AF" w:rsidRDefault="00EF60C3">
            <w:pPr>
              <w:pStyle w:val="af"/>
              <w:rPr>
                <w:rFonts w:ascii="Times New Roman" w:hAnsi="Times New Roman"/>
                <w:sz w:val="28"/>
                <w:szCs w:val="28"/>
                <w:lang w:val="kk-KZ"/>
              </w:rPr>
            </w:pPr>
            <w:r>
              <w:rPr>
                <w:rFonts w:ascii="Times New Roman" w:hAnsi="Times New Roman"/>
                <w:sz w:val="28"/>
                <w:szCs w:val="28"/>
                <w:lang w:val="kk-KZ"/>
              </w:rPr>
              <w:t>147</w:t>
            </w:r>
          </w:p>
        </w:tc>
      </w:tr>
      <w:tr w:rsidR="005118AF">
        <w:tc>
          <w:tcPr>
            <w:tcW w:w="9180" w:type="dxa"/>
            <w:shd w:val="clear" w:color="auto" w:fill="auto"/>
          </w:tcPr>
          <w:p w:rsidR="005118AF" w:rsidRDefault="00EF60C3">
            <w:pPr>
              <w:pStyle w:val="af"/>
              <w:jc w:val="both"/>
              <w:rPr>
                <w:rFonts w:ascii="Times New Roman" w:hAnsi="Times New Roman"/>
                <w:sz w:val="28"/>
                <w:szCs w:val="28"/>
              </w:rPr>
            </w:pPr>
            <w:r>
              <w:rPr>
                <w:rFonts w:ascii="Times New Roman" w:hAnsi="Times New Roman"/>
                <w:b/>
                <w:sz w:val="28"/>
                <w:szCs w:val="28"/>
                <w:lang w:val="kk-KZ"/>
              </w:rPr>
              <w:t>Қ</w:t>
            </w:r>
            <w:r>
              <w:rPr>
                <w:rFonts w:ascii="Times New Roman" w:hAnsi="Times New Roman"/>
                <w:b/>
                <w:sz w:val="28"/>
                <w:szCs w:val="28"/>
              </w:rPr>
              <w:t>ОСЫМША</w:t>
            </w:r>
            <w:r>
              <w:rPr>
                <w:rFonts w:ascii="Times New Roman" w:hAnsi="Times New Roman"/>
                <w:b/>
                <w:sz w:val="28"/>
                <w:szCs w:val="28"/>
                <w:lang w:val="kk-KZ"/>
              </w:rPr>
              <w:t xml:space="preserve"> Ә</w:t>
            </w:r>
            <w:r>
              <w:rPr>
                <w:rFonts w:ascii="Times New Roman" w:hAnsi="Times New Roman"/>
                <w:sz w:val="28"/>
                <w:szCs w:val="28"/>
              </w:rPr>
              <w:t xml:space="preserve"> ‒ </w:t>
            </w:r>
            <w:r>
              <w:rPr>
                <w:rFonts w:ascii="Times New Roman" w:hAnsi="Times New Roman"/>
                <w:bCs/>
                <w:sz w:val="28"/>
                <w:szCs w:val="28"/>
                <w:lang w:val="kk-KZ"/>
              </w:rPr>
              <w:t>Ғалымдар</w:t>
            </w:r>
            <w:r>
              <w:rPr>
                <w:rFonts w:ascii="Times New Roman" w:hAnsi="Times New Roman"/>
                <w:bCs/>
                <w:sz w:val="28"/>
                <w:szCs w:val="28"/>
                <w:lang w:val="kk-KZ"/>
              </w:rPr>
              <w:t xml:space="preserve"> еңбектеріндегі инновация және инновациялық даму ұғымдарының түсіндірмелері.........................................</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rPr>
              <w:t>1</w:t>
            </w:r>
            <w:r>
              <w:rPr>
                <w:rFonts w:ascii="Times New Roman" w:hAnsi="Times New Roman"/>
                <w:sz w:val="28"/>
                <w:szCs w:val="28"/>
                <w:lang w:val="kk-KZ"/>
              </w:rPr>
              <w:t>50</w:t>
            </w:r>
          </w:p>
        </w:tc>
      </w:tr>
      <w:tr w:rsidR="005118AF">
        <w:tc>
          <w:tcPr>
            <w:tcW w:w="9180" w:type="dxa"/>
            <w:shd w:val="clear" w:color="auto" w:fill="auto"/>
          </w:tcPr>
          <w:p w:rsidR="005118AF" w:rsidRDefault="00EF60C3">
            <w:pPr>
              <w:pStyle w:val="af"/>
              <w:jc w:val="both"/>
              <w:rPr>
                <w:rFonts w:ascii="Times New Roman" w:hAnsi="Times New Roman"/>
                <w:sz w:val="28"/>
                <w:szCs w:val="28"/>
                <w:lang w:val="kk-KZ"/>
              </w:rPr>
            </w:pPr>
            <w:r>
              <w:rPr>
                <w:rFonts w:ascii="Times New Roman" w:eastAsia="DengXian" w:hAnsi="Times New Roman"/>
                <w:b/>
                <w:sz w:val="28"/>
                <w:szCs w:val="28"/>
                <w:lang w:val="kk-KZ"/>
              </w:rPr>
              <w:t>ҚОСЫМША</w:t>
            </w:r>
            <w:r>
              <w:rPr>
                <w:rFonts w:ascii="Times New Roman" w:eastAsia="DengXian" w:hAnsi="Times New Roman"/>
                <w:b/>
                <w:sz w:val="28"/>
                <w:szCs w:val="28"/>
                <w:lang w:val="kk-KZ"/>
              </w:rPr>
              <w:t xml:space="preserve"> Б</w:t>
            </w:r>
            <w:r>
              <w:rPr>
                <w:rFonts w:ascii="Times New Roman" w:eastAsia="DengXian" w:hAnsi="Times New Roman"/>
                <w:sz w:val="28"/>
                <w:szCs w:val="28"/>
                <w:lang w:val="kk-KZ"/>
              </w:rPr>
              <w:t xml:space="preserve"> ‒ </w:t>
            </w:r>
            <w:r>
              <w:rPr>
                <w:rFonts w:ascii="Times New Roman" w:hAnsi="Times New Roman"/>
                <w:sz w:val="28"/>
                <w:szCs w:val="28"/>
                <w:lang w:val="kk-KZ"/>
              </w:rPr>
              <w:t>Азық-түлік инновацияларының жаһандық индексі көрсеткіштерінің</w:t>
            </w:r>
            <w:r>
              <w:rPr>
                <w:rFonts w:ascii="Times New Roman" w:hAnsi="Times New Roman"/>
                <w:sz w:val="28"/>
                <w:szCs w:val="28"/>
                <w:lang w:val="kk-KZ"/>
              </w:rPr>
              <w:t xml:space="preserve"> Сипаттамалары......................................................................</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151</w:t>
            </w:r>
          </w:p>
        </w:tc>
      </w:tr>
      <w:tr w:rsidR="005118AF">
        <w:tc>
          <w:tcPr>
            <w:tcW w:w="9180" w:type="dxa"/>
            <w:shd w:val="clear" w:color="auto" w:fill="auto"/>
          </w:tcPr>
          <w:p w:rsidR="005118AF" w:rsidRDefault="00EF60C3">
            <w:pPr>
              <w:pStyle w:val="af"/>
              <w:jc w:val="both"/>
              <w:rPr>
                <w:rFonts w:ascii="Times New Roman" w:hAnsi="Times New Roman"/>
                <w:sz w:val="28"/>
                <w:szCs w:val="28"/>
                <w:lang w:val="kk-KZ"/>
              </w:rPr>
            </w:pPr>
            <w:r>
              <w:rPr>
                <w:rFonts w:ascii="Times New Roman" w:hAnsi="Times New Roman"/>
                <w:b/>
                <w:sz w:val="28"/>
                <w:szCs w:val="28"/>
                <w:lang w:val="kk-KZ"/>
              </w:rPr>
              <w:t>ҚОСЫМША</w:t>
            </w:r>
            <w:r>
              <w:rPr>
                <w:rFonts w:ascii="Times New Roman" w:hAnsi="Times New Roman"/>
                <w:b/>
                <w:sz w:val="28"/>
                <w:szCs w:val="28"/>
                <w:lang w:val="kk-KZ"/>
              </w:rPr>
              <w:t xml:space="preserve"> В</w:t>
            </w:r>
            <w:r>
              <w:rPr>
                <w:rFonts w:ascii="Times New Roman" w:hAnsi="Times New Roman"/>
                <w:sz w:val="28"/>
                <w:szCs w:val="28"/>
                <w:lang w:val="kk-KZ"/>
              </w:rPr>
              <w:t xml:space="preserve"> ‒ </w:t>
            </w:r>
            <w:r>
              <w:rPr>
                <w:rFonts w:ascii="Times New Roman" w:hAnsi="Times New Roman"/>
                <w:sz w:val="28"/>
                <w:szCs w:val="28"/>
              </w:rPr>
              <w:t xml:space="preserve">Тамақ өнеркәсібі кәсіпорындарының инновациялық әлеуетін, ынтымақтастық дәрежесін және </w:t>
            </w:r>
            <w:r>
              <w:rPr>
                <w:rFonts w:ascii="Times New Roman" w:hAnsi="Times New Roman"/>
                <w:sz w:val="28"/>
                <w:szCs w:val="28"/>
                <w:lang w:val="en-US"/>
              </w:rPr>
              <w:t>ESG</w:t>
            </w:r>
            <w:r>
              <w:rPr>
                <w:rFonts w:ascii="Times New Roman" w:hAnsi="Times New Roman"/>
                <w:sz w:val="28"/>
                <w:szCs w:val="28"/>
              </w:rPr>
              <w:t xml:space="preserve"> бағытындағы инновациялык басымдылы</w:t>
            </w:r>
            <w:r>
              <w:rPr>
                <w:rFonts w:ascii="Times New Roman" w:hAnsi="Times New Roman"/>
                <w:sz w:val="28"/>
                <w:szCs w:val="28"/>
                <w:lang w:val="kk-KZ"/>
              </w:rPr>
              <w:t>қ</w:t>
            </w:r>
            <w:r>
              <w:rPr>
                <w:rFonts w:ascii="Times New Roman" w:hAnsi="Times New Roman"/>
                <w:sz w:val="28"/>
                <w:szCs w:val="28"/>
              </w:rPr>
              <w:t xml:space="preserve">тарын бағалау бойынша </w:t>
            </w:r>
            <w:r>
              <w:rPr>
                <w:rFonts w:ascii="Times New Roman" w:hAnsi="Times New Roman"/>
                <w:sz w:val="28"/>
                <w:szCs w:val="28"/>
              </w:rPr>
              <w:t>сауалнама сұра</w:t>
            </w:r>
            <w:r>
              <w:rPr>
                <w:rFonts w:ascii="Times New Roman" w:hAnsi="Times New Roman"/>
                <w:sz w:val="28"/>
                <w:szCs w:val="28"/>
                <w:lang w:val="kk-KZ"/>
              </w:rPr>
              <w:t>қ</w:t>
            </w:r>
            <w:r>
              <w:rPr>
                <w:rFonts w:ascii="Times New Roman" w:hAnsi="Times New Roman"/>
                <w:sz w:val="28"/>
                <w:szCs w:val="28"/>
              </w:rPr>
              <w:t>тары.</w:t>
            </w:r>
          </w:p>
        </w:tc>
        <w:tc>
          <w:tcPr>
            <w:tcW w:w="709" w:type="dxa"/>
            <w:shd w:val="clear" w:color="auto" w:fill="auto"/>
          </w:tcPr>
          <w:p w:rsidR="005118AF" w:rsidRDefault="005118AF">
            <w:pPr>
              <w:pStyle w:val="af"/>
              <w:rPr>
                <w:rFonts w:ascii="Times New Roman" w:hAnsi="Times New Roman"/>
                <w:sz w:val="28"/>
                <w:szCs w:val="28"/>
                <w:lang w:val="kk-KZ"/>
              </w:rPr>
            </w:pPr>
          </w:p>
          <w:p w:rsidR="005118AF" w:rsidRDefault="00EF60C3">
            <w:pPr>
              <w:pStyle w:val="af"/>
              <w:rPr>
                <w:rFonts w:ascii="Times New Roman" w:hAnsi="Times New Roman"/>
                <w:sz w:val="28"/>
                <w:szCs w:val="28"/>
                <w:lang w:val="kk-KZ"/>
              </w:rPr>
            </w:pPr>
            <w:r>
              <w:rPr>
                <w:rFonts w:ascii="Times New Roman" w:hAnsi="Times New Roman"/>
                <w:sz w:val="28"/>
                <w:szCs w:val="28"/>
                <w:lang w:val="kk-KZ"/>
              </w:rPr>
              <w:t>158</w:t>
            </w:r>
          </w:p>
        </w:tc>
      </w:tr>
    </w:tbl>
    <w:p w:rsidR="005118AF" w:rsidRDefault="005118AF">
      <w:pPr>
        <w:pStyle w:val="10"/>
        <w:jc w:val="center"/>
        <w:rPr>
          <w:rFonts w:ascii="Times New Roman" w:hAnsi="Times New Roman"/>
          <w:b/>
          <w:sz w:val="28"/>
          <w:szCs w:val="28"/>
        </w:rPr>
      </w:pPr>
    </w:p>
    <w:p w:rsidR="005118AF" w:rsidRDefault="005118AF">
      <w:pPr>
        <w:pStyle w:val="10"/>
        <w:jc w:val="center"/>
        <w:rPr>
          <w:rFonts w:ascii="Times New Roman" w:hAnsi="Times New Roman"/>
          <w:b/>
          <w:sz w:val="28"/>
          <w:szCs w:val="28"/>
        </w:rPr>
      </w:pPr>
    </w:p>
    <w:p w:rsidR="005118AF" w:rsidRDefault="005118AF">
      <w:pPr>
        <w:pStyle w:val="10"/>
        <w:jc w:val="center"/>
        <w:rPr>
          <w:rFonts w:ascii="Times New Roman" w:hAnsi="Times New Roman"/>
          <w:b/>
          <w:sz w:val="28"/>
          <w:szCs w:val="28"/>
          <w:lang w:val="kk-KZ"/>
        </w:rPr>
        <w:sectPr w:rsidR="005118AF">
          <w:footerReference w:type="default" r:id="rId8"/>
          <w:pgSz w:w="11906" w:h="16838"/>
          <w:pgMar w:top="1134" w:right="567" w:bottom="1134" w:left="1701" w:header="709" w:footer="709" w:gutter="0"/>
          <w:pgNumType w:start="5"/>
          <w:cols w:space="708"/>
          <w:docGrid w:linePitch="360"/>
        </w:sectPr>
      </w:pPr>
    </w:p>
    <w:p w:rsidR="005118AF" w:rsidRDefault="00EF60C3">
      <w:pPr>
        <w:pStyle w:val="10"/>
        <w:jc w:val="center"/>
        <w:rPr>
          <w:rFonts w:ascii="Times New Roman" w:hAnsi="Times New Roman"/>
          <w:b/>
          <w:sz w:val="28"/>
          <w:szCs w:val="28"/>
          <w:lang w:val="kk-KZ"/>
        </w:rPr>
      </w:pPr>
      <w:r>
        <w:rPr>
          <w:rFonts w:ascii="Times New Roman" w:hAnsi="Times New Roman"/>
          <w:b/>
          <w:sz w:val="28"/>
          <w:szCs w:val="28"/>
          <w:lang w:val="kk-KZ"/>
        </w:rPr>
        <w:t>НОРМАТИВТІК СІЛТЕМЕЛЕР</w:t>
      </w:r>
    </w:p>
    <w:p w:rsidR="005118AF" w:rsidRDefault="005118AF">
      <w:pPr>
        <w:pStyle w:val="10"/>
        <w:ind w:firstLine="709"/>
        <w:jc w:val="both"/>
        <w:rPr>
          <w:rFonts w:ascii="Times New Roman" w:hAnsi="Times New Roman"/>
          <w:sz w:val="28"/>
          <w:szCs w:val="28"/>
          <w:lang w:val="kk-KZ"/>
        </w:rPr>
      </w:pPr>
    </w:p>
    <w:p w:rsidR="005118AF" w:rsidRDefault="00EF60C3">
      <w:pPr>
        <w:pStyle w:val="10"/>
        <w:ind w:firstLine="709"/>
        <w:jc w:val="both"/>
        <w:rPr>
          <w:lang w:val="kk-KZ"/>
        </w:rPr>
      </w:pPr>
      <w:r>
        <w:rPr>
          <w:rFonts w:ascii="Times New Roman" w:eastAsia="Calibri" w:hAnsi="Times New Roman"/>
          <w:sz w:val="28"/>
          <w:szCs w:val="28"/>
          <w:lang w:val="kk-KZ"/>
        </w:rPr>
        <w:t>Диссертациялық жұмыста келесідей мемлекеттік үлгіқалыптарға сілтемелер жасалды</w:t>
      </w:r>
      <w:r>
        <w:rPr>
          <w:rFonts w:ascii="Times New Roman" w:hAnsi="Times New Roman"/>
          <w:sz w:val="28"/>
          <w:szCs w:val="28"/>
          <w:lang w:val="kk-KZ"/>
        </w:rPr>
        <w:t>:</w:t>
      </w:r>
    </w:p>
    <w:p w:rsidR="005118AF" w:rsidRDefault="00EF60C3">
      <w:pPr>
        <w:pStyle w:val="10"/>
        <w:ind w:firstLine="709"/>
        <w:jc w:val="both"/>
        <w:rPr>
          <w:rFonts w:ascii="Times New Roman" w:hAnsi="Times New Roman"/>
          <w:sz w:val="28"/>
          <w:szCs w:val="28"/>
          <w:lang w:val="kk-KZ"/>
        </w:rPr>
      </w:pPr>
      <w:r>
        <w:rPr>
          <w:rFonts w:ascii="Times New Roman" w:hAnsi="Times New Roman"/>
          <w:sz w:val="28"/>
          <w:szCs w:val="28"/>
          <w:lang w:val="kk-KZ"/>
        </w:rPr>
        <w:t xml:space="preserve">Қазақстан Республикасының </w:t>
      </w:r>
      <w:r>
        <w:rPr>
          <w:rFonts w:ascii="Times New Roman" w:hAnsi="Times New Roman"/>
          <w:sz w:val="28"/>
          <w:szCs w:val="28"/>
          <w:lang w:val="kk-KZ"/>
        </w:rPr>
        <w:t>Кодексі. Қазақстан Республикасының Кәсіпкерлік кодексі: 2015 жылдың 29 қазанда, №375-V ҚРЗ қабылданған.</w:t>
      </w:r>
    </w:p>
    <w:p w:rsidR="005118AF" w:rsidRDefault="00EF60C3">
      <w:pPr>
        <w:pStyle w:val="10"/>
        <w:ind w:firstLine="709"/>
        <w:jc w:val="both"/>
        <w:rPr>
          <w:rFonts w:ascii="Times New Roman" w:hAnsi="Times New Roman"/>
          <w:sz w:val="28"/>
          <w:szCs w:val="28"/>
          <w:lang w:val="kk-KZ"/>
        </w:rPr>
      </w:pPr>
      <w:r>
        <w:rPr>
          <w:rFonts w:ascii="Times New Roman" w:hAnsi="Times New Roman"/>
          <w:sz w:val="28"/>
          <w:szCs w:val="28"/>
          <w:lang w:val="kk-KZ"/>
        </w:rPr>
        <w:t>Қазақстан Республикасының Кодексі. Қазақстан Республикасының Экология Кодексі: 2021 жылдың 2 қаңтарда, №400-VI ҚРЗ қабылданған.</w:t>
      </w:r>
    </w:p>
    <w:p w:rsidR="005118AF" w:rsidRDefault="00EF60C3">
      <w:pPr>
        <w:pStyle w:val="10"/>
        <w:ind w:firstLine="709"/>
        <w:jc w:val="both"/>
        <w:rPr>
          <w:rFonts w:ascii="Times New Roman" w:hAnsi="Times New Roman"/>
          <w:sz w:val="28"/>
          <w:szCs w:val="28"/>
          <w:lang w:val="kk-KZ"/>
        </w:rPr>
      </w:pPr>
      <w:r>
        <w:rPr>
          <w:rFonts w:ascii="Times New Roman" w:hAnsi="Times New Roman"/>
          <w:sz w:val="28"/>
          <w:szCs w:val="28"/>
          <w:lang w:val="kk-KZ"/>
        </w:rPr>
        <w:t>Қазақстан Республикасыны</w:t>
      </w:r>
      <w:r>
        <w:rPr>
          <w:rFonts w:ascii="Times New Roman" w:hAnsi="Times New Roman"/>
          <w:sz w:val="28"/>
          <w:szCs w:val="28"/>
          <w:lang w:val="kk-KZ"/>
        </w:rPr>
        <w:t>ң Заңы. Ерлер мен әйелдердің тең құқықтарының және тең мүмкіндіктерінің мемлекеттік кепілдіктері туралы: 2009 жылдың 8 желтоқсанда, №223-IV қабылданған.</w:t>
      </w:r>
    </w:p>
    <w:p w:rsidR="005118AF" w:rsidRDefault="00EF60C3">
      <w:pPr>
        <w:pStyle w:val="10"/>
        <w:ind w:firstLine="709"/>
        <w:jc w:val="both"/>
        <w:rPr>
          <w:lang w:val="kk-KZ"/>
        </w:rPr>
      </w:pPr>
      <w:r>
        <w:rPr>
          <w:rFonts w:ascii="Times New Roman" w:hAnsi="Times New Roman"/>
          <w:sz w:val="28"/>
          <w:szCs w:val="28"/>
          <w:lang w:val="kk-KZ"/>
        </w:rPr>
        <w:t>Қазақстан Республикасы Үкіметінің Қаулысы. "Қазақстан Республикасын индустриялық-инновациялық дамытудың</w:t>
      </w:r>
      <w:r>
        <w:rPr>
          <w:rFonts w:ascii="Times New Roman" w:hAnsi="Times New Roman"/>
          <w:sz w:val="28"/>
          <w:szCs w:val="28"/>
          <w:lang w:val="kk-KZ"/>
        </w:rPr>
        <w:t xml:space="preserve"> 2021-2025 жылдарға арналған тұжырымдамасын бекіту туралы" Қазақстан Республикасы Үкіметінің 2018 жылғы 20 желтоқсандағы №846 қаулысына өзгерістер енгізу туралы: 2023 жылдың 28 наурызда, №259 бекітілген. </w:t>
      </w:r>
    </w:p>
    <w:p w:rsidR="005118AF" w:rsidRDefault="00EF60C3">
      <w:pPr>
        <w:pStyle w:val="10"/>
        <w:ind w:firstLine="709"/>
        <w:jc w:val="both"/>
        <w:rPr>
          <w:lang w:val="kk-KZ"/>
        </w:rPr>
      </w:pPr>
      <w:r>
        <w:rPr>
          <w:rFonts w:ascii="Times New Roman" w:hAnsi="Times New Roman"/>
          <w:sz w:val="28"/>
          <w:szCs w:val="28"/>
          <w:lang w:val="kk-KZ"/>
        </w:rPr>
        <w:t>Қазақстан Республикасы Президентінің Жарлығы. Мемле</w:t>
      </w:r>
      <w:r>
        <w:rPr>
          <w:rFonts w:ascii="Times New Roman" w:hAnsi="Times New Roman"/>
          <w:sz w:val="28"/>
          <w:szCs w:val="28"/>
          <w:lang w:val="kk-KZ"/>
        </w:rPr>
        <w:t>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шаралар туралы: 2025 жылдың 13 қазанда, №1042 бекіті</w:t>
      </w:r>
      <w:r>
        <w:rPr>
          <w:rFonts w:ascii="Times New Roman" w:hAnsi="Times New Roman"/>
          <w:sz w:val="28"/>
          <w:szCs w:val="28"/>
          <w:lang w:val="kk-KZ"/>
        </w:rPr>
        <w:t>лген.</w:t>
      </w:r>
    </w:p>
    <w:p w:rsidR="005118AF" w:rsidRDefault="00EF60C3">
      <w:pPr>
        <w:pStyle w:val="10"/>
        <w:ind w:firstLine="709"/>
        <w:jc w:val="both"/>
        <w:rPr>
          <w:rFonts w:ascii="Times New Roman" w:hAnsi="Times New Roman"/>
          <w:sz w:val="28"/>
          <w:szCs w:val="28"/>
          <w:lang w:val="kk-KZ"/>
        </w:rPr>
      </w:pPr>
      <w:r>
        <w:rPr>
          <w:rFonts w:ascii="Times New Roman" w:hAnsi="Times New Roman"/>
          <w:sz w:val="28"/>
          <w:szCs w:val="28"/>
          <w:lang w:val="kk-KZ"/>
        </w:rPr>
        <w:t>Қазақстан Республикасының Үкіметінің қаулысы. Елішілік құндылықты және экспортқа бағдарланған өндірістерді дамыту бағдарламасын бекіту туралы: 2022 жылды 30 маусымда, №452 бекітілген.</w:t>
      </w:r>
    </w:p>
    <w:p w:rsidR="005118AF" w:rsidRDefault="00EF60C3">
      <w:pPr>
        <w:pStyle w:val="10"/>
        <w:ind w:firstLine="709"/>
        <w:jc w:val="both"/>
        <w:rPr>
          <w:rFonts w:ascii="Times New Roman" w:hAnsi="Times New Roman"/>
          <w:sz w:val="28"/>
          <w:szCs w:val="28"/>
          <w:lang w:val="kk-KZ"/>
        </w:rPr>
      </w:pPr>
      <w:r>
        <w:rPr>
          <w:rFonts w:ascii="Times New Roman" w:hAnsi="Times New Roman"/>
          <w:sz w:val="28"/>
          <w:szCs w:val="28"/>
          <w:lang w:val="kk-KZ"/>
        </w:rPr>
        <w:t>Қазақстан Республикасы Үкіметінің Қаулысы. Ауыл шаруашылығы өнімде</w:t>
      </w:r>
      <w:r>
        <w:rPr>
          <w:rFonts w:ascii="Times New Roman" w:hAnsi="Times New Roman"/>
          <w:sz w:val="28"/>
          <w:szCs w:val="28"/>
          <w:lang w:val="kk-KZ"/>
        </w:rPr>
        <w:t>рін өңдеуді дамыту жөніндегі 2024-2028 жылдарға арналған кешенді жоспарды бекіту туралы: 2024 жылдың 28 маусымда, №512 бекітілген.</w:t>
      </w: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bCs/>
          <w:sz w:val="28"/>
          <w:szCs w:val="28"/>
          <w:shd w:val="clear" w:color="auto" w:fill="FFFFFF"/>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5118AF">
      <w:pPr>
        <w:pStyle w:val="10"/>
        <w:ind w:firstLine="709"/>
        <w:jc w:val="both"/>
        <w:rPr>
          <w:rFonts w:ascii="Times New Roman" w:hAnsi="Times New Roman"/>
          <w:sz w:val="28"/>
          <w:szCs w:val="28"/>
          <w:lang w:val="kk-KZ"/>
        </w:rPr>
      </w:pPr>
    </w:p>
    <w:p w:rsidR="005118AF" w:rsidRDefault="00EF60C3">
      <w:pPr>
        <w:pStyle w:val="10"/>
        <w:jc w:val="center"/>
      </w:pPr>
      <w:r>
        <w:rPr>
          <w:rFonts w:ascii="Times New Roman" w:hAnsi="Times New Roman"/>
          <w:b/>
          <w:sz w:val="28"/>
          <w:szCs w:val="28"/>
          <w:lang w:val="kk-KZ"/>
        </w:rPr>
        <w:t>БЕЛГІЛЕУЛЕР МЕН ҚЫСҚАРТУЛАР</w:t>
      </w:r>
    </w:p>
    <w:p w:rsidR="005118AF" w:rsidRDefault="005118AF">
      <w:pPr>
        <w:pStyle w:val="10"/>
        <w:ind w:firstLine="709"/>
        <w:jc w:val="right"/>
        <w:rPr>
          <w:rFonts w:ascii="Times New Roman" w:hAnsi="Times New Roman"/>
          <w:b/>
          <w:bCs/>
          <w:sz w:val="28"/>
          <w:szCs w:val="28"/>
        </w:rPr>
      </w:pPr>
    </w:p>
    <w:tbl>
      <w:tblPr>
        <w:tblW w:w="9767" w:type="dxa"/>
        <w:tblLayout w:type="fixed"/>
        <w:tblLook w:val="04A0" w:firstRow="1" w:lastRow="0" w:firstColumn="1" w:lastColumn="0" w:noHBand="0" w:noVBand="1"/>
      </w:tblPr>
      <w:tblGrid>
        <w:gridCol w:w="1508"/>
        <w:gridCol w:w="8259"/>
      </w:tblGrid>
      <w:tr w:rsidR="005118AF">
        <w:tc>
          <w:tcPr>
            <w:tcW w:w="1508" w:type="dxa"/>
            <w:shd w:val="clear" w:color="auto" w:fill="auto"/>
          </w:tcPr>
          <w:p w:rsidR="005118AF" w:rsidRDefault="00EF60C3">
            <w:pPr>
              <w:pStyle w:val="10"/>
              <w:rPr>
                <w:rFonts w:ascii="Times New Roman" w:hAnsi="Times New Roman"/>
                <w:sz w:val="28"/>
                <w:szCs w:val="28"/>
                <w:lang w:val="en-US"/>
              </w:rPr>
            </w:pPr>
            <w:r>
              <w:rPr>
                <w:rFonts w:ascii="Times New Roman" w:hAnsi="Times New Roman"/>
                <w:sz w:val="28"/>
                <w:szCs w:val="28"/>
                <w:lang w:val="kk-KZ"/>
              </w:rPr>
              <w:t xml:space="preserve">АИ </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lang w:val="kk-KZ"/>
              </w:rPr>
              <w:t>Ашық инновациялар</w:t>
            </w:r>
          </w:p>
        </w:tc>
      </w:tr>
      <w:tr w:rsidR="005118AF">
        <w:tc>
          <w:tcPr>
            <w:tcW w:w="1508" w:type="dxa"/>
            <w:shd w:val="clear" w:color="auto" w:fill="auto"/>
          </w:tcPr>
          <w:p w:rsidR="005118AF" w:rsidRDefault="00EF60C3">
            <w:pPr>
              <w:pStyle w:val="10"/>
              <w:rPr>
                <w:rFonts w:ascii="Times New Roman" w:hAnsi="Times New Roman"/>
                <w:sz w:val="28"/>
                <w:szCs w:val="28"/>
                <w:lang w:val="kk-KZ"/>
              </w:rPr>
            </w:pPr>
            <w:r>
              <w:rPr>
                <w:rFonts w:ascii="Times New Roman" w:hAnsi="Times New Roman"/>
                <w:sz w:val="28"/>
                <w:szCs w:val="28"/>
                <w:lang w:val="kk-KZ"/>
              </w:rPr>
              <w:t>АӨК</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lang w:val="kk-KZ"/>
              </w:rPr>
              <w:t>Агроөнеркәсіптік кешен</w:t>
            </w:r>
          </w:p>
        </w:tc>
      </w:tr>
      <w:tr w:rsidR="005118AF">
        <w:trPr>
          <w:trHeight w:val="365"/>
        </w:trPr>
        <w:tc>
          <w:tcPr>
            <w:tcW w:w="1508" w:type="dxa"/>
            <w:shd w:val="clear" w:color="auto" w:fill="auto"/>
          </w:tcPr>
          <w:p w:rsidR="005118AF" w:rsidRDefault="00EF60C3">
            <w:pPr>
              <w:pStyle w:val="10"/>
              <w:rPr>
                <w:rFonts w:ascii="Times New Roman" w:hAnsi="Times New Roman"/>
                <w:sz w:val="28"/>
                <w:szCs w:val="28"/>
                <w:lang w:val="kk-KZ"/>
              </w:rPr>
            </w:pPr>
            <w:r>
              <w:rPr>
                <w:rFonts w:ascii="Times New Roman" w:hAnsi="Times New Roman"/>
                <w:sz w:val="28"/>
                <w:szCs w:val="28"/>
                <w:lang w:val="kk-KZ"/>
              </w:rPr>
              <w:t>БҰҰ</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lang w:val="kk-KZ"/>
              </w:rPr>
              <w:t>Біріккен Ұлттар Ұйымы</w:t>
            </w:r>
          </w:p>
        </w:tc>
      </w:tr>
      <w:tr w:rsidR="005118AF">
        <w:trPr>
          <w:trHeight w:val="365"/>
        </w:trPr>
        <w:tc>
          <w:tcPr>
            <w:tcW w:w="1508" w:type="dxa"/>
            <w:shd w:val="clear" w:color="auto" w:fill="auto"/>
          </w:tcPr>
          <w:p w:rsidR="005118AF" w:rsidRDefault="00EF60C3">
            <w:pPr>
              <w:pStyle w:val="10"/>
              <w:rPr>
                <w:rFonts w:ascii="Times New Roman" w:hAnsi="Times New Roman"/>
                <w:sz w:val="28"/>
                <w:szCs w:val="28"/>
                <w:lang w:val="kk-KZ"/>
              </w:rPr>
            </w:pPr>
            <w:r>
              <w:rPr>
                <w:rFonts w:ascii="Times New Roman" w:hAnsi="Times New Roman"/>
                <w:sz w:val="28"/>
                <w:szCs w:val="28"/>
                <w:lang w:val="kk-KZ"/>
              </w:rPr>
              <w:t>ЕО</w:t>
            </w:r>
          </w:p>
        </w:tc>
        <w:tc>
          <w:tcPr>
            <w:tcW w:w="8259" w:type="dxa"/>
            <w:shd w:val="clear" w:color="auto" w:fill="auto"/>
          </w:tcPr>
          <w:p w:rsidR="005118AF" w:rsidRDefault="00EF60C3">
            <w:pPr>
              <w:pStyle w:val="10"/>
              <w:numPr>
                <w:ilvl w:val="0"/>
                <w:numId w:val="2"/>
              </w:numPr>
              <w:tabs>
                <w:tab w:val="left" w:pos="367"/>
              </w:tabs>
              <w:ind w:left="368" w:hanging="316"/>
              <w:rPr>
                <w:rFonts w:ascii="Times New Roman" w:hAnsi="Times New Roman"/>
                <w:sz w:val="28"/>
                <w:szCs w:val="28"/>
                <w:lang w:val="kk-KZ"/>
              </w:rPr>
            </w:pPr>
            <w:r>
              <w:rPr>
                <w:rFonts w:ascii="Times New Roman" w:hAnsi="Times New Roman"/>
                <w:sz w:val="28"/>
                <w:szCs w:val="28"/>
                <w:lang w:val="kk-KZ"/>
              </w:rPr>
              <w:t>Еуропалық Одақ</w:t>
            </w:r>
          </w:p>
        </w:tc>
      </w:tr>
      <w:tr w:rsidR="005118AF">
        <w:trPr>
          <w:trHeight w:val="365"/>
        </w:trPr>
        <w:tc>
          <w:tcPr>
            <w:tcW w:w="1508" w:type="dxa"/>
            <w:shd w:val="clear" w:color="auto" w:fill="auto"/>
          </w:tcPr>
          <w:p w:rsidR="005118AF" w:rsidRDefault="00EF60C3">
            <w:pPr>
              <w:pStyle w:val="10"/>
              <w:rPr>
                <w:lang w:val="kk-KZ"/>
              </w:rPr>
            </w:pPr>
            <w:r>
              <w:rPr>
                <w:rFonts w:ascii="Times New Roman" w:hAnsi="Times New Roman"/>
                <w:sz w:val="28"/>
                <w:szCs w:val="28"/>
                <w:lang w:val="kk-KZ"/>
              </w:rPr>
              <w:t>ҒТП</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lang w:val="kk-KZ"/>
              </w:rPr>
              <w:t xml:space="preserve">ғылыми-техникалық прогресс </w:t>
            </w:r>
          </w:p>
        </w:tc>
      </w:tr>
      <w:tr w:rsidR="005118AF">
        <w:trPr>
          <w:trHeight w:val="365"/>
        </w:trPr>
        <w:tc>
          <w:tcPr>
            <w:tcW w:w="1508" w:type="dxa"/>
            <w:shd w:val="clear" w:color="auto" w:fill="auto"/>
          </w:tcPr>
          <w:p w:rsidR="005118AF" w:rsidRDefault="00EF60C3">
            <w:pPr>
              <w:pStyle w:val="10"/>
              <w:rPr>
                <w:lang w:val="kk-KZ"/>
              </w:rPr>
            </w:pPr>
            <w:r>
              <w:rPr>
                <w:rFonts w:ascii="Times New Roman" w:hAnsi="Times New Roman"/>
                <w:sz w:val="28"/>
                <w:szCs w:val="28"/>
                <w:lang w:val="kk-KZ"/>
              </w:rPr>
              <w:t>ҒЗТКЖ</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lang w:val="kk-KZ"/>
              </w:rPr>
              <w:t>Ғылыми</w:t>
            </w:r>
            <w:r>
              <w:rPr>
                <w:rFonts w:ascii="Times New Roman" w:hAnsi="Times New Roman"/>
                <w:sz w:val="28"/>
                <w:szCs w:val="28"/>
              </w:rPr>
              <w:t>-</w:t>
            </w:r>
            <w:r>
              <w:rPr>
                <w:rFonts w:ascii="Times New Roman" w:hAnsi="Times New Roman"/>
                <w:sz w:val="28"/>
                <w:szCs w:val="28"/>
                <w:lang w:val="kk-KZ"/>
              </w:rPr>
              <w:t>зерттеу тәжірибелік конструкторлық жұмыстар</w:t>
            </w:r>
          </w:p>
        </w:tc>
      </w:tr>
      <w:tr w:rsidR="005118AF">
        <w:tc>
          <w:tcPr>
            <w:tcW w:w="1508" w:type="dxa"/>
            <w:shd w:val="clear" w:color="auto" w:fill="auto"/>
          </w:tcPr>
          <w:p w:rsidR="005118AF" w:rsidRDefault="00EF60C3">
            <w:pPr>
              <w:pStyle w:val="10"/>
              <w:rPr>
                <w:rFonts w:ascii="Times New Roman" w:hAnsi="Times New Roman"/>
                <w:sz w:val="28"/>
                <w:szCs w:val="28"/>
                <w:lang w:val="kk-KZ"/>
              </w:rPr>
            </w:pPr>
            <w:r>
              <w:rPr>
                <w:rFonts w:ascii="Times New Roman" w:hAnsi="Times New Roman"/>
                <w:sz w:val="28"/>
                <w:szCs w:val="28"/>
                <w:lang w:val="kk-KZ"/>
              </w:rPr>
              <w:t>ЖИ</w:t>
            </w:r>
          </w:p>
        </w:tc>
        <w:tc>
          <w:tcPr>
            <w:tcW w:w="8259" w:type="dxa"/>
            <w:shd w:val="clear" w:color="auto" w:fill="auto"/>
          </w:tcPr>
          <w:p w:rsidR="005118AF" w:rsidRDefault="00EF60C3">
            <w:pPr>
              <w:pStyle w:val="10"/>
              <w:numPr>
                <w:ilvl w:val="0"/>
                <w:numId w:val="2"/>
              </w:numPr>
              <w:tabs>
                <w:tab w:val="left" w:pos="367"/>
              </w:tabs>
              <w:ind w:left="368" w:hanging="316"/>
              <w:rPr>
                <w:rFonts w:ascii="Times New Roman" w:hAnsi="Times New Roman"/>
                <w:sz w:val="28"/>
                <w:szCs w:val="28"/>
              </w:rPr>
            </w:pPr>
            <w:r>
              <w:rPr>
                <w:rFonts w:ascii="Times New Roman" w:hAnsi="Times New Roman"/>
                <w:sz w:val="28"/>
                <w:szCs w:val="28"/>
                <w:lang w:val="kk-KZ"/>
              </w:rPr>
              <w:t>Жасанды интеллект</w:t>
            </w:r>
          </w:p>
        </w:tc>
      </w:tr>
      <w:tr w:rsidR="005118AF">
        <w:tc>
          <w:tcPr>
            <w:tcW w:w="1508" w:type="dxa"/>
            <w:shd w:val="clear" w:color="auto" w:fill="auto"/>
          </w:tcPr>
          <w:p w:rsidR="005118AF" w:rsidRDefault="00EF60C3">
            <w:pPr>
              <w:pStyle w:val="10"/>
              <w:rPr>
                <w:rFonts w:ascii="Times New Roman" w:hAnsi="Times New Roman"/>
                <w:sz w:val="28"/>
                <w:szCs w:val="28"/>
                <w:lang w:val="kk-KZ"/>
              </w:rPr>
            </w:pPr>
            <w:r>
              <w:rPr>
                <w:rFonts w:ascii="Times New Roman" w:hAnsi="Times New Roman"/>
                <w:sz w:val="28"/>
                <w:szCs w:val="28"/>
                <w:lang w:val="kk-KZ"/>
              </w:rPr>
              <w:t>КСРО</w:t>
            </w:r>
          </w:p>
        </w:tc>
        <w:tc>
          <w:tcPr>
            <w:tcW w:w="8259" w:type="dxa"/>
            <w:shd w:val="clear" w:color="auto" w:fill="auto"/>
          </w:tcPr>
          <w:p w:rsidR="005118AF" w:rsidRDefault="00EF60C3">
            <w:pPr>
              <w:pStyle w:val="10"/>
              <w:numPr>
                <w:ilvl w:val="0"/>
                <w:numId w:val="2"/>
              </w:numPr>
              <w:tabs>
                <w:tab w:val="left" w:pos="367"/>
              </w:tabs>
              <w:ind w:left="368" w:hanging="316"/>
              <w:rPr>
                <w:rFonts w:ascii="Times New Roman" w:hAnsi="Times New Roman"/>
                <w:sz w:val="28"/>
                <w:szCs w:val="28"/>
                <w:lang w:val="kk-KZ"/>
              </w:rPr>
            </w:pPr>
            <w:r>
              <w:rPr>
                <w:rFonts w:ascii="Times New Roman" w:hAnsi="Times New Roman"/>
                <w:sz w:val="28"/>
                <w:szCs w:val="28"/>
              </w:rPr>
              <w:t>Ке</w:t>
            </w:r>
            <w:r>
              <w:rPr>
                <w:rFonts w:ascii="Times New Roman" w:hAnsi="Times New Roman"/>
                <w:sz w:val="28"/>
                <w:szCs w:val="28"/>
                <w:lang w:val="kk-KZ"/>
              </w:rPr>
              <w:t>ңестік Социалистік Республткалар Одағы</w:t>
            </w:r>
          </w:p>
        </w:tc>
      </w:tr>
      <w:tr w:rsidR="005118AF">
        <w:tc>
          <w:tcPr>
            <w:tcW w:w="1508" w:type="dxa"/>
            <w:shd w:val="clear" w:color="auto" w:fill="auto"/>
          </w:tcPr>
          <w:p w:rsidR="005118AF" w:rsidRDefault="00EF60C3">
            <w:pPr>
              <w:pStyle w:val="10"/>
              <w:jc w:val="both"/>
            </w:pPr>
            <w:r>
              <w:rPr>
                <w:rFonts w:ascii="Times New Roman" w:hAnsi="Times New Roman"/>
                <w:sz w:val="28"/>
                <w:szCs w:val="28"/>
                <w:lang w:val="kk-KZ"/>
              </w:rPr>
              <w:t>ТАЖ</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lang w:val="kk-KZ"/>
              </w:rPr>
              <w:t>Тұрақты ашық жүйелер</w:t>
            </w:r>
          </w:p>
        </w:tc>
      </w:tr>
      <w:tr w:rsidR="005118AF">
        <w:tc>
          <w:tcPr>
            <w:tcW w:w="1508" w:type="dxa"/>
            <w:shd w:val="clear" w:color="auto" w:fill="auto"/>
          </w:tcPr>
          <w:p w:rsidR="005118AF" w:rsidRDefault="00EF60C3">
            <w:pPr>
              <w:pStyle w:val="10"/>
              <w:jc w:val="both"/>
              <w:rPr>
                <w:lang w:val="en-US"/>
              </w:rPr>
            </w:pPr>
            <w:r>
              <w:rPr>
                <w:rFonts w:ascii="Times New Roman" w:hAnsi="Times New Roman"/>
                <w:sz w:val="28"/>
                <w:szCs w:val="28"/>
              </w:rPr>
              <w:t>ТАИ</w:t>
            </w:r>
            <w:r>
              <w:rPr>
                <w:rFonts w:ascii="Times New Roman" w:hAnsi="Times New Roman"/>
                <w:sz w:val="28"/>
                <w:szCs w:val="28"/>
                <w:lang w:val="kk-KZ"/>
              </w:rPr>
              <w:t xml:space="preserve"> </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rPr>
              <w:t>Т</w:t>
            </w:r>
            <w:r>
              <w:rPr>
                <w:rFonts w:ascii="Times New Roman" w:hAnsi="Times New Roman"/>
                <w:sz w:val="28"/>
                <w:szCs w:val="28"/>
                <w:lang w:val="kk-KZ"/>
              </w:rPr>
              <w:t>ұрақты ашық инновациялар</w:t>
            </w:r>
          </w:p>
        </w:tc>
      </w:tr>
      <w:tr w:rsidR="005118AF">
        <w:tc>
          <w:tcPr>
            <w:tcW w:w="1508" w:type="dxa"/>
            <w:shd w:val="clear" w:color="auto" w:fill="auto"/>
          </w:tcPr>
          <w:p w:rsidR="005118AF" w:rsidRDefault="00EF60C3">
            <w:pPr>
              <w:pStyle w:val="10"/>
              <w:jc w:val="both"/>
              <w:rPr>
                <w:lang w:val="kk-KZ"/>
              </w:rPr>
            </w:pPr>
            <w:r>
              <w:rPr>
                <w:rFonts w:ascii="Times New Roman" w:hAnsi="Times New Roman"/>
                <w:sz w:val="28"/>
                <w:szCs w:val="28"/>
              </w:rPr>
              <w:t>Т</w:t>
            </w:r>
            <w:r>
              <w:rPr>
                <w:rFonts w:ascii="Times New Roman" w:hAnsi="Times New Roman"/>
                <w:sz w:val="28"/>
                <w:szCs w:val="28"/>
                <w:lang w:val="kk-KZ"/>
              </w:rPr>
              <w:t>ДМ</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rPr>
              <w:t>Т</w:t>
            </w:r>
            <w:r>
              <w:rPr>
                <w:rFonts w:ascii="Times New Roman" w:hAnsi="Times New Roman"/>
                <w:sz w:val="28"/>
                <w:szCs w:val="28"/>
                <w:lang w:val="kk-KZ"/>
              </w:rPr>
              <w:t xml:space="preserve">ұрақты даму </w:t>
            </w:r>
            <w:r>
              <w:rPr>
                <w:rFonts w:ascii="Times New Roman" w:hAnsi="Times New Roman"/>
                <w:sz w:val="28"/>
                <w:szCs w:val="28"/>
                <w:lang w:val="kk-KZ"/>
              </w:rPr>
              <w:t>мақсаттары</w:t>
            </w:r>
          </w:p>
        </w:tc>
      </w:tr>
      <w:tr w:rsidR="005118AF">
        <w:tc>
          <w:tcPr>
            <w:tcW w:w="1508" w:type="dxa"/>
            <w:shd w:val="clear" w:color="auto" w:fill="auto"/>
          </w:tcPr>
          <w:p w:rsidR="005118AF" w:rsidRDefault="00EF60C3">
            <w:pPr>
              <w:pStyle w:val="10"/>
              <w:jc w:val="both"/>
              <w:rPr>
                <w:rFonts w:ascii="Times New Roman" w:hAnsi="Times New Roman"/>
                <w:sz w:val="28"/>
                <w:szCs w:val="28"/>
                <w:lang w:val="kk-KZ"/>
              </w:rPr>
            </w:pPr>
            <w:r>
              <w:rPr>
                <w:rFonts w:ascii="Times New Roman" w:hAnsi="Times New Roman"/>
                <w:sz w:val="28"/>
                <w:szCs w:val="28"/>
                <w:lang w:val="kk-KZ"/>
              </w:rPr>
              <w:t>ТИСБ</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lang w:val="kk-KZ"/>
              </w:rPr>
              <w:t>Тұрақты инновацияларға стратегиялық бағыт</w:t>
            </w:r>
          </w:p>
        </w:tc>
      </w:tr>
      <w:tr w:rsidR="005118AF">
        <w:tc>
          <w:tcPr>
            <w:tcW w:w="1508" w:type="dxa"/>
            <w:shd w:val="clear" w:color="auto" w:fill="auto"/>
          </w:tcPr>
          <w:p w:rsidR="005118AF" w:rsidRDefault="00EF60C3">
            <w:pPr>
              <w:pStyle w:val="10"/>
              <w:rPr>
                <w:rFonts w:ascii="Times New Roman" w:eastAsia="DengXian" w:hAnsi="Times New Roman"/>
                <w:sz w:val="28"/>
                <w:szCs w:val="28"/>
                <w:lang w:val="kk-KZ"/>
              </w:rPr>
            </w:pPr>
            <w:r>
              <w:rPr>
                <w:rFonts w:ascii="Times New Roman" w:eastAsia="DengXian" w:hAnsi="Times New Roman"/>
                <w:sz w:val="28"/>
                <w:szCs w:val="28"/>
                <w:lang w:val="kk-KZ"/>
              </w:rPr>
              <w:t>ТБИ</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color w:val="000000"/>
                <w:sz w:val="28"/>
                <w:szCs w:val="28"/>
                <w:lang w:val="kk-KZ"/>
              </w:rPr>
              <w:t>Тұтыну бағасының индексі</w:t>
            </w:r>
          </w:p>
        </w:tc>
      </w:tr>
      <w:tr w:rsidR="005118AF">
        <w:tc>
          <w:tcPr>
            <w:tcW w:w="1508" w:type="dxa"/>
            <w:shd w:val="clear" w:color="auto" w:fill="auto"/>
          </w:tcPr>
          <w:p w:rsidR="005118AF" w:rsidRDefault="00EF60C3">
            <w:pPr>
              <w:pStyle w:val="10"/>
              <w:rPr>
                <w:rFonts w:ascii="Times New Roman" w:eastAsia="DengXian" w:hAnsi="Times New Roman"/>
                <w:sz w:val="28"/>
                <w:szCs w:val="28"/>
                <w:lang w:val="kk-KZ"/>
              </w:rPr>
            </w:pPr>
            <w:r>
              <w:rPr>
                <w:rFonts w:ascii="Times New Roman" w:eastAsia="DengXian" w:hAnsi="Times New Roman"/>
                <w:sz w:val="28"/>
                <w:szCs w:val="28"/>
                <w:lang w:val="kk-KZ"/>
              </w:rPr>
              <w:t>ТШИ</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color w:val="000000"/>
                <w:sz w:val="28"/>
                <w:szCs w:val="28"/>
                <w:lang w:val="kk-KZ"/>
              </w:rPr>
              <w:t>Тікелей шетелдік инвестициялар</w:t>
            </w:r>
          </w:p>
        </w:tc>
      </w:tr>
      <w:tr w:rsidR="005118AF">
        <w:tc>
          <w:tcPr>
            <w:tcW w:w="1508" w:type="dxa"/>
            <w:shd w:val="clear" w:color="auto" w:fill="auto"/>
          </w:tcPr>
          <w:p w:rsidR="005118AF" w:rsidRDefault="00EF60C3">
            <w:pPr>
              <w:pStyle w:val="10"/>
              <w:jc w:val="both"/>
              <w:rPr>
                <w:rFonts w:ascii="Times New Roman" w:hAnsi="Times New Roman"/>
                <w:sz w:val="28"/>
                <w:szCs w:val="28"/>
                <w:lang w:val="en-US"/>
              </w:rPr>
            </w:pPr>
            <w:r>
              <w:rPr>
                <w:rFonts w:ascii="Times New Roman" w:hAnsi="Times New Roman"/>
                <w:sz w:val="28"/>
                <w:szCs w:val="28"/>
                <w:lang w:val="kk-KZ"/>
              </w:rPr>
              <w:t>ШОК</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lang w:val="kk-KZ"/>
              </w:rPr>
              <w:t>Шағын және орта кәсіпорындар</w:t>
            </w:r>
          </w:p>
        </w:tc>
      </w:tr>
      <w:tr w:rsidR="005118AF">
        <w:tc>
          <w:tcPr>
            <w:tcW w:w="1508" w:type="dxa"/>
            <w:shd w:val="clear" w:color="auto" w:fill="auto"/>
          </w:tcPr>
          <w:p w:rsidR="005118AF" w:rsidRDefault="00EF60C3">
            <w:pPr>
              <w:pStyle w:val="10"/>
              <w:tabs>
                <w:tab w:val="left" w:pos="367"/>
              </w:tabs>
              <w:rPr>
                <w:rFonts w:ascii="Times New Roman" w:hAnsi="Times New Roman"/>
                <w:sz w:val="28"/>
                <w:szCs w:val="28"/>
                <w:lang w:val="kk-KZ"/>
              </w:rPr>
            </w:pPr>
            <w:r>
              <w:rPr>
                <w:rFonts w:ascii="Times New Roman" w:hAnsi="Times New Roman"/>
                <w:sz w:val="28"/>
                <w:szCs w:val="28"/>
                <w:lang w:val="kk-KZ"/>
              </w:rPr>
              <w:t>ҰИЖ</w:t>
            </w:r>
          </w:p>
        </w:tc>
        <w:tc>
          <w:tcPr>
            <w:tcW w:w="8259" w:type="dxa"/>
            <w:shd w:val="clear" w:color="auto" w:fill="auto"/>
          </w:tcPr>
          <w:p w:rsidR="005118AF" w:rsidRDefault="00EF60C3">
            <w:pPr>
              <w:pStyle w:val="10"/>
              <w:numPr>
                <w:ilvl w:val="0"/>
                <w:numId w:val="2"/>
              </w:numPr>
              <w:tabs>
                <w:tab w:val="left" w:pos="367"/>
              </w:tabs>
              <w:ind w:left="368" w:hanging="316"/>
              <w:rPr>
                <w:rFonts w:ascii="Times New Roman" w:hAnsi="Times New Roman"/>
                <w:sz w:val="28"/>
                <w:szCs w:val="28"/>
                <w:lang w:val="kk-KZ"/>
              </w:rPr>
            </w:pPr>
            <w:r>
              <w:rPr>
                <w:rFonts w:ascii="Times New Roman" w:hAnsi="Times New Roman"/>
                <w:sz w:val="28"/>
                <w:szCs w:val="28"/>
                <w:lang w:val="kk-KZ"/>
              </w:rPr>
              <w:t>Ұлттық инновациялық жүйелер</w:t>
            </w:r>
          </w:p>
        </w:tc>
      </w:tr>
      <w:tr w:rsidR="005118AF">
        <w:tc>
          <w:tcPr>
            <w:tcW w:w="1508" w:type="dxa"/>
            <w:shd w:val="clear" w:color="auto" w:fill="auto"/>
          </w:tcPr>
          <w:p w:rsidR="005118AF" w:rsidRDefault="00EF60C3">
            <w:pPr>
              <w:pStyle w:val="10"/>
            </w:pPr>
            <w:r>
              <w:rPr>
                <w:rFonts w:ascii="Times New Roman" w:hAnsi="Times New Roman"/>
                <w:sz w:val="28"/>
                <w:szCs w:val="28"/>
                <w:lang w:val="kk-KZ"/>
              </w:rPr>
              <w:t>ЭЫДҰ</w:t>
            </w:r>
          </w:p>
        </w:tc>
        <w:tc>
          <w:tcPr>
            <w:tcW w:w="8259" w:type="dxa"/>
            <w:shd w:val="clear" w:color="auto" w:fill="auto"/>
          </w:tcPr>
          <w:p w:rsidR="005118AF" w:rsidRDefault="00EF60C3">
            <w:pPr>
              <w:pStyle w:val="10"/>
              <w:numPr>
                <w:ilvl w:val="0"/>
                <w:numId w:val="2"/>
              </w:numPr>
              <w:tabs>
                <w:tab w:val="left" w:pos="367"/>
              </w:tabs>
              <w:ind w:left="368" w:hanging="316"/>
            </w:pPr>
            <w:r>
              <w:rPr>
                <w:rFonts w:ascii="Times New Roman" w:hAnsi="Times New Roman"/>
                <w:sz w:val="28"/>
                <w:szCs w:val="28"/>
                <w:lang w:val="kk-KZ"/>
              </w:rPr>
              <w:t>Экономикалық ынтымақтастық және даму ұйымы</w:t>
            </w:r>
          </w:p>
        </w:tc>
      </w:tr>
      <w:tr w:rsidR="005118AF">
        <w:tc>
          <w:tcPr>
            <w:tcW w:w="1508" w:type="dxa"/>
            <w:shd w:val="clear" w:color="auto" w:fill="auto"/>
          </w:tcPr>
          <w:p w:rsidR="005118AF" w:rsidRDefault="00EF60C3">
            <w:pPr>
              <w:pStyle w:val="10"/>
              <w:rPr>
                <w:rFonts w:ascii="Times New Roman" w:hAnsi="Times New Roman"/>
                <w:iCs/>
                <w:color w:val="000000"/>
                <w:sz w:val="28"/>
                <w:szCs w:val="28"/>
                <w:lang w:val="kk-KZ"/>
              </w:rPr>
            </w:pPr>
            <w:r>
              <w:rPr>
                <w:rFonts w:ascii="Times New Roman" w:hAnsi="Times New Roman"/>
                <w:iCs/>
                <w:color w:val="000000"/>
                <w:sz w:val="28"/>
                <w:szCs w:val="28"/>
                <w:lang w:val="en-US"/>
              </w:rPr>
              <w:t>AgTech</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lang w:val="kk-KZ"/>
              </w:rPr>
              <w:t>Ауылшаруашылығы технологиялары</w:t>
            </w:r>
          </w:p>
        </w:tc>
      </w:tr>
      <w:tr w:rsidR="005118AF" w:rsidRPr="008D1DAE">
        <w:tc>
          <w:tcPr>
            <w:tcW w:w="1508" w:type="dxa"/>
            <w:shd w:val="clear" w:color="auto" w:fill="auto"/>
          </w:tcPr>
          <w:p w:rsidR="005118AF" w:rsidRDefault="00EF60C3">
            <w:pPr>
              <w:pStyle w:val="10"/>
              <w:rPr>
                <w:rFonts w:ascii="Times New Roman" w:eastAsia="DengXian" w:hAnsi="Times New Roman"/>
                <w:sz w:val="28"/>
                <w:szCs w:val="28"/>
                <w:lang w:val="en-US"/>
              </w:rPr>
            </w:pPr>
            <w:r>
              <w:rPr>
                <w:rFonts w:ascii="Times New Roman" w:eastAsia="DengXian" w:hAnsi="Times New Roman"/>
                <w:sz w:val="28"/>
                <w:szCs w:val="28"/>
                <w:lang w:val="en-US"/>
              </w:rPr>
              <w:t>B Corp</w:t>
            </w:r>
          </w:p>
        </w:tc>
        <w:tc>
          <w:tcPr>
            <w:tcW w:w="8259" w:type="dxa"/>
            <w:shd w:val="clear" w:color="auto" w:fill="auto"/>
          </w:tcPr>
          <w:p w:rsidR="005118AF" w:rsidRDefault="00EF60C3">
            <w:pPr>
              <w:pStyle w:val="10"/>
              <w:numPr>
                <w:ilvl w:val="0"/>
                <w:numId w:val="2"/>
              </w:numPr>
              <w:tabs>
                <w:tab w:val="left" w:pos="367"/>
              </w:tabs>
              <w:ind w:left="368" w:hanging="316"/>
              <w:rPr>
                <w:lang w:val="en-US"/>
              </w:rPr>
            </w:pPr>
            <w:r>
              <w:rPr>
                <w:rFonts w:ascii="Times New Roman" w:hAnsi="Times New Roman"/>
                <w:color w:val="000000"/>
                <w:sz w:val="28"/>
                <w:szCs w:val="28"/>
                <w:lang w:val="en-US"/>
              </w:rPr>
              <w:t>B Corporation - B Lab</w:t>
            </w:r>
            <w:r>
              <w:rPr>
                <w:rFonts w:ascii="Times New Roman" w:hAnsi="Times New Roman"/>
                <w:color w:val="000000"/>
                <w:sz w:val="28"/>
                <w:szCs w:val="28"/>
                <w:lang w:val="kk-KZ"/>
              </w:rPr>
              <w:t xml:space="preserve"> коммерциялық емес жаһандық ұйымның коммерциялық компанияларға арналған жеке сертификаты</w:t>
            </w:r>
          </w:p>
        </w:tc>
      </w:tr>
      <w:tr w:rsidR="005118AF">
        <w:tc>
          <w:tcPr>
            <w:tcW w:w="1508" w:type="dxa"/>
            <w:shd w:val="clear" w:color="auto" w:fill="auto"/>
          </w:tcPr>
          <w:p w:rsidR="005118AF" w:rsidRDefault="00EF60C3">
            <w:pPr>
              <w:pStyle w:val="10"/>
              <w:jc w:val="both"/>
              <w:rPr>
                <w:rFonts w:ascii="Times New Roman" w:hAnsi="Times New Roman"/>
                <w:sz w:val="28"/>
                <w:szCs w:val="28"/>
                <w:lang w:val="kk-KZ"/>
              </w:rPr>
            </w:pPr>
            <w:r>
              <w:rPr>
                <w:rFonts w:ascii="Times New Roman" w:hAnsi="Times New Roman"/>
                <w:sz w:val="28"/>
                <w:szCs w:val="28"/>
                <w:lang w:val="en-US"/>
              </w:rPr>
              <w:t>ESG</w:t>
            </w:r>
          </w:p>
        </w:tc>
        <w:tc>
          <w:tcPr>
            <w:tcW w:w="8259" w:type="dxa"/>
            <w:shd w:val="clear" w:color="auto" w:fill="auto"/>
          </w:tcPr>
          <w:p w:rsidR="005118AF" w:rsidRDefault="00EF60C3">
            <w:pPr>
              <w:pStyle w:val="10"/>
              <w:numPr>
                <w:ilvl w:val="0"/>
                <w:numId w:val="2"/>
              </w:numPr>
              <w:tabs>
                <w:tab w:val="left" w:pos="367"/>
              </w:tabs>
              <w:ind w:left="368" w:hanging="316"/>
              <w:rPr>
                <w:lang w:val="en-US"/>
              </w:rPr>
            </w:pPr>
            <w:r>
              <w:rPr>
                <w:rFonts w:ascii="Times New Roman" w:hAnsi="Times New Roman"/>
                <w:sz w:val="28"/>
                <w:szCs w:val="28"/>
                <w:lang w:val="kk-KZ"/>
              </w:rPr>
              <w:t>Экологиялық, Экономикалық, Әлеуметтік</w:t>
            </w:r>
          </w:p>
        </w:tc>
      </w:tr>
      <w:tr w:rsidR="005118AF" w:rsidRPr="008D1DAE">
        <w:tc>
          <w:tcPr>
            <w:tcW w:w="1508" w:type="dxa"/>
            <w:shd w:val="clear" w:color="auto" w:fill="auto"/>
          </w:tcPr>
          <w:p w:rsidR="005118AF" w:rsidRDefault="00EF60C3">
            <w:pPr>
              <w:pStyle w:val="10"/>
              <w:rPr>
                <w:rFonts w:ascii="Times New Roman" w:eastAsia="DengXian" w:hAnsi="Times New Roman"/>
                <w:sz w:val="28"/>
                <w:szCs w:val="28"/>
                <w:lang w:val="en-US"/>
              </w:rPr>
            </w:pPr>
            <w:r>
              <w:rPr>
                <w:rFonts w:ascii="Times New Roman" w:eastAsia="DengXian" w:hAnsi="Times New Roman"/>
                <w:sz w:val="28"/>
                <w:szCs w:val="28"/>
                <w:lang w:val="kk-KZ"/>
              </w:rPr>
              <w:t>ERAs</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eastAsia="DengXian" w:hAnsi="Times New Roman"/>
                <w:sz w:val="28"/>
                <w:szCs w:val="28"/>
                <w:lang w:val="kk-KZ"/>
              </w:rPr>
              <w:t>Қоршаған</w:t>
            </w:r>
            <w:r>
              <w:rPr>
                <w:rFonts w:ascii="Times New Roman" w:eastAsia="DengXian" w:hAnsi="Times New Roman"/>
                <w:sz w:val="28"/>
                <w:szCs w:val="28"/>
                <w:lang w:val="kk-KZ"/>
              </w:rPr>
              <w:t xml:space="preserve"> ортаның тәуекелдерін бағалау (Environmental risk </w:t>
            </w:r>
            <w:r>
              <w:rPr>
                <w:rFonts w:ascii="Times New Roman" w:eastAsia="DengXian" w:hAnsi="Times New Roman"/>
                <w:sz w:val="28"/>
                <w:szCs w:val="28"/>
                <w:lang w:val="kk-KZ"/>
              </w:rPr>
              <w:t>assessments</w:t>
            </w:r>
            <w:r>
              <w:rPr>
                <w:rFonts w:ascii="Times New Roman" w:hAnsi="Times New Roman"/>
                <w:sz w:val="28"/>
                <w:szCs w:val="28"/>
                <w:lang w:val="kk-KZ"/>
              </w:rPr>
              <w:t>)</w:t>
            </w:r>
          </w:p>
        </w:tc>
      </w:tr>
      <w:tr w:rsidR="005118AF" w:rsidRPr="008D1DAE">
        <w:tc>
          <w:tcPr>
            <w:tcW w:w="1508" w:type="dxa"/>
            <w:shd w:val="clear" w:color="auto" w:fill="auto"/>
          </w:tcPr>
          <w:p w:rsidR="005118AF" w:rsidRDefault="00EF60C3">
            <w:pPr>
              <w:pStyle w:val="10"/>
              <w:rPr>
                <w:rFonts w:ascii="Times New Roman" w:eastAsia="DengXian" w:hAnsi="Times New Roman"/>
                <w:sz w:val="28"/>
                <w:szCs w:val="28"/>
                <w:lang w:val="en-US"/>
              </w:rPr>
            </w:pPr>
            <w:r>
              <w:rPr>
                <w:rFonts w:ascii="Times New Roman" w:eastAsia="DengXian" w:hAnsi="Times New Roman"/>
                <w:sz w:val="28"/>
                <w:szCs w:val="28"/>
                <w:lang w:val="en-US"/>
              </w:rPr>
              <w:t>EPA</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eastAsia="DengXian" w:hAnsi="Times New Roman"/>
                <w:sz w:val="28"/>
                <w:szCs w:val="28"/>
                <w:lang w:val="kk-KZ"/>
              </w:rPr>
              <w:t>АҚ</w:t>
            </w:r>
            <w:r>
              <w:rPr>
                <w:rFonts w:ascii="Times New Roman" w:eastAsia="DengXian" w:hAnsi="Times New Roman"/>
                <w:sz w:val="28"/>
                <w:szCs w:val="28"/>
              </w:rPr>
              <w:t>Ш</w:t>
            </w:r>
            <w:r>
              <w:rPr>
                <w:rFonts w:ascii="Times New Roman" w:eastAsia="DengXian" w:hAnsi="Times New Roman"/>
                <w:sz w:val="28"/>
                <w:szCs w:val="28"/>
                <w:lang w:val="en-US"/>
              </w:rPr>
              <w:t>-</w:t>
            </w:r>
            <w:r>
              <w:rPr>
                <w:rFonts w:ascii="Times New Roman" w:eastAsia="DengXian" w:hAnsi="Times New Roman"/>
                <w:sz w:val="28"/>
                <w:szCs w:val="28"/>
                <w:lang w:val="kk-KZ"/>
              </w:rPr>
              <w:t>тың Қоршаған ортаны қорғау агенттігі</w:t>
            </w:r>
            <w:r>
              <w:rPr>
                <w:rFonts w:ascii="Times New Roman" w:eastAsia="DengXian" w:hAnsi="Times New Roman"/>
                <w:sz w:val="28"/>
                <w:szCs w:val="28"/>
                <w:lang w:val="en-US"/>
              </w:rPr>
              <w:t xml:space="preserve"> </w:t>
            </w:r>
            <w:r>
              <w:rPr>
                <w:rFonts w:ascii="Times New Roman" w:eastAsia="DengXian" w:hAnsi="Times New Roman"/>
                <w:sz w:val="28"/>
                <w:szCs w:val="28"/>
                <w:lang w:val="kk-KZ"/>
              </w:rPr>
              <w:t>(Environment</w:t>
            </w:r>
            <w:r>
              <w:rPr>
                <w:rFonts w:ascii="Times New Roman" w:eastAsia="DengXian" w:hAnsi="Times New Roman"/>
                <w:sz w:val="28"/>
                <w:szCs w:val="28"/>
                <w:lang w:val="en-US"/>
              </w:rPr>
              <w:t xml:space="preserve">al Protection Agency) </w:t>
            </w:r>
          </w:p>
        </w:tc>
      </w:tr>
      <w:tr w:rsidR="005118AF" w:rsidRPr="008D1DAE">
        <w:tc>
          <w:tcPr>
            <w:tcW w:w="1508" w:type="dxa"/>
            <w:shd w:val="clear" w:color="auto" w:fill="auto"/>
          </w:tcPr>
          <w:p w:rsidR="005118AF" w:rsidRDefault="00EF60C3">
            <w:pPr>
              <w:pStyle w:val="10"/>
              <w:rPr>
                <w:rFonts w:ascii="Times New Roman" w:eastAsia="DengXian" w:hAnsi="Times New Roman"/>
                <w:sz w:val="28"/>
                <w:szCs w:val="28"/>
                <w:lang w:val="en-US"/>
              </w:rPr>
            </w:pPr>
            <w:r>
              <w:rPr>
                <w:rFonts w:ascii="Times New Roman" w:eastAsia="DengXian" w:hAnsi="Times New Roman"/>
                <w:sz w:val="28"/>
                <w:szCs w:val="28"/>
                <w:lang w:val="en-US"/>
              </w:rPr>
              <w:t>GRAS</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eastAsia="DengXian" w:hAnsi="Times New Roman"/>
                <w:sz w:val="28"/>
                <w:szCs w:val="28"/>
                <w:lang w:val="en-US"/>
              </w:rPr>
              <w:t>Gemerally Recognized As Safe</w:t>
            </w:r>
            <w:r>
              <w:rPr>
                <w:rFonts w:ascii="Times New Roman" w:eastAsia="DengXian" w:hAnsi="Times New Roman"/>
                <w:sz w:val="28"/>
                <w:szCs w:val="28"/>
                <w:lang w:val="kk-KZ"/>
              </w:rPr>
              <w:t xml:space="preserve"> (Жалпы қауіпсіз деп танылған</w:t>
            </w:r>
            <w:r>
              <w:rPr>
                <w:rFonts w:ascii="Times New Roman" w:eastAsia="DengXian" w:hAnsi="Times New Roman"/>
                <w:sz w:val="28"/>
                <w:szCs w:val="28"/>
                <w:lang w:val="en-US"/>
              </w:rPr>
              <w:t xml:space="preserve">) </w:t>
            </w:r>
          </w:p>
        </w:tc>
      </w:tr>
      <w:tr w:rsidR="005118AF" w:rsidRPr="008D1DAE">
        <w:tc>
          <w:tcPr>
            <w:tcW w:w="1508" w:type="dxa"/>
            <w:shd w:val="clear" w:color="auto" w:fill="auto"/>
          </w:tcPr>
          <w:p w:rsidR="005118AF" w:rsidRDefault="00EF60C3">
            <w:pPr>
              <w:pStyle w:val="10"/>
              <w:rPr>
                <w:rFonts w:ascii="Times New Roman" w:hAnsi="Times New Roman"/>
                <w:sz w:val="28"/>
                <w:szCs w:val="28"/>
                <w:lang w:val="en-US"/>
              </w:rPr>
            </w:pPr>
            <w:r>
              <w:rPr>
                <w:rFonts w:ascii="Times New Roman" w:hAnsi="Times New Roman"/>
                <w:sz w:val="28"/>
                <w:szCs w:val="28"/>
                <w:lang w:val="kk-KZ"/>
              </w:rPr>
              <w:t>Food-EPI</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lang w:val="kk-KZ"/>
              </w:rPr>
              <w:t>Food Environment Policy Index - салауатты азық-түлік ортасы саясатының индексі</w:t>
            </w:r>
          </w:p>
        </w:tc>
      </w:tr>
      <w:tr w:rsidR="005118AF" w:rsidRPr="008D1DAE">
        <w:tc>
          <w:tcPr>
            <w:tcW w:w="1508" w:type="dxa"/>
            <w:shd w:val="clear" w:color="auto" w:fill="auto"/>
          </w:tcPr>
          <w:p w:rsidR="005118AF" w:rsidRDefault="00EF60C3">
            <w:pPr>
              <w:pStyle w:val="10"/>
              <w:rPr>
                <w:lang w:val="en-US"/>
              </w:rPr>
            </w:pPr>
            <w:r>
              <w:rPr>
                <w:rFonts w:ascii="Times New Roman" w:eastAsia="DengXian" w:hAnsi="Times New Roman"/>
                <w:sz w:val="28"/>
                <w:szCs w:val="28"/>
                <w:lang w:val="en-US"/>
              </w:rPr>
              <w:t>HACCP</w:t>
            </w:r>
          </w:p>
        </w:tc>
        <w:tc>
          <w:tcPr>
            <w:tcW w:w="8259" w:type="dxa"/>
            <w:shd w:val="clear" w:color="auto" w:fill="auto"/>
          </w:tcPr>
          <w:p w:rsidR="005118AF" w:rsidRDefault="00EF60C3">
            <w:pPr>
              <w:pStyle w:val="10"/>
              <w:numPr>
                <w:ilvl w:val="0"/>
                <w:numId w:val="2"/>
              </w:numPr>
              <w:tabs>
                <w:tab w:val="left" w:pos="367"/>
              </w:tabs>
              <w:ind w:left="368" w:hanging="316"/>
              <w:rPr>
                <w:lang w:val="en-US"/>
              </w:rPr>
            </w:pPr>
            <w:r>
              <w:rPr>
                <w:rFonts w:ascii="Times New Roman" w:eastAsia="DengXian" w:hAnsi="Times New Roman"/>
                <w:sz w:val="28"/>
                <w:szCs w:val="28"/>
                <w:lang w:val="kk-KZ"/>
              </w:rPr>
              <w:t>Қауіпті</w:t>
            </w:r>
            <w:r>
              <w:rPr>
                <w:rFonts w:ascii="Times New Roman" w:eastAsia="DengXian" w:hAnsi="Times New Roman"/>
                <w:sz w:val="28"/>
                <w:szCs w:val="28"/>
                <w:lang w:val="kk-KZ"/>
              </w:rPr>
              <w:t xml:space="preserve"> және критикалық нүстелерді талдау </w:t>
            </w:r>
          </w:p>
        </w:tc>
      </w:tr>
      <w:tr w:rsidR="005118AF">
        <w:tc>
          <w:tcPr>
            <w:tcW w:w="1508" w:type="dxa"/>
            <w:shd w:val="clear" w:color="auto" w:fill="auto"/>
          </w:tcPr>
          <w:p w:rsidR="005118AF" w:rsidRDefault="00EF60C3">
            <w:pPr>
              <w:pStyle w:val="10"/>
              <w:rPr>
                <w:lang w:val="en-US"/>
              </w:rPr>
            </w:pPr>
            <w:r>
              <w:rPr>
                <w:rFonts w:ascii="Times New Roman" w:hAnsi="Times New Roman"/>
                <w:sz w:val="28"/>
                <w:szCs w:val="28"/>
                <w:lang w:val="kk-KZ"/>
              </w:rPr>
              <w:t>LMT</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lang w:val="kk-KZ"/>
              </w:rPr>
              <w:t>төмен немесе орта технологиялық</w:t>
            </w:r>
          </w:p>
        </w:tc>
      </w:tr>
      <w:tr w:rsidR="005118AF">
        <w:tc>
          <w:tcPr>
            <w:tcW w:w="1508" w:type="dxa"/>
            <w:shd w:val="clear" w:color="auto" w:fill="auto"/>
          </w:tcPr>
          <w:p w:rsidR="005118AF" w:rsidRDefault="00EF60C3">
            <w:pPr>
              <w:pStyle w:val="10"/>
              <w:rPr>
                <w:lang w:val="en-US"/>
              </w:rPr>
            </w:pPr>
            <w:r>
              <w:rPr>
                <w:rFonts w:ascii="Times New Roman" w:hAnsi="Times New Roman"/>
                <w:sz w:val="28"/>
                <w:szCs w:val="28"/>
                <w:lang w:val="kk-KZ"/>
              </w:rPr>
              <w:t>R&amp;D</w:t>
            </w:r>
          </w:p>
        </w:tc>
        <w:tc>
          <w:tcPr>
            <w:tcW w:w="8259" w:type="dxa"/>
            <w:shd w:val="clear" w:color="auto" w:fill="auto"/>
          </w:tcPr>
          <w:p w:rsidR="005118AF" w:rsidRDefault="00EF60C3">
            <w:pPr>
              <w:pStyle w:val="10"/>
              <w:numPr>
                <w:ilvl w:val="0"/>
                <w:numId w:val="2"/>
              </w:numPr>
              <w:tabs>
                <w:tab w:val="left" w:pos="367"/>
              </w:tabs>
              <w:ind w:left="368" w:hanging="316"/>
              <w:rPr>
                <w:lang w:val="kk-KZ"/>
              </w:rPr>
            </w:pPr>
            <w:r>
              <w:rPr>
                <w:rFonts w:ascii="Times New Roman" w:hAnsi="Times New Roman"/>
                <w:sz w:val="28"/>
                <w:szCs w:val="28"/>
              </w:rPr>
              <w:t xml:space="preserve">Зерттеулер мен </w:t>
            </w:r>
            <w:r>
              <w:rPr>
                <w:rFonts w:ascii="Times New Roman" w:hAnsi="Times New Roman"/>
                <w:sz w:val="28"/>
                <w:szCs w:val="28"/>
                <w:lang w:val="kk-KZ"/>
              </w:rPr>
              <w:t>әзірлемелер</w:t>
            </w:r>
          </w:p>
        </w:tc>
      </w:tr>
      <w:tr w:rsidR="005118AF">
        <w:tc>
          <w:tcPr>
            <w:tcW w:w="1508" w:type="dxa"/>
            <w:shd w:val="clear" w:color="auto" w:fill="auto"/>
          </w:tcPr>
          <w:p w:rsidR="005118AF" w:rsidRDefault="00EF60C3">
            <w:pPr>
              <w:pStyle w:val="10"/>
              <w:rPr>
                <w:rFonts w:ascii="Times New Roman" w:hAnsi="Times New Roman"/>
                <w:iCs/>
                <w:color w:val="000000"/>
                <w:sz w:val="28"/>
                <w:szCs w:val="28"/>
                <w:lang w:val="en-US"/>
              </w:rPr>
            </w:pPr>
            <w:r>
              <w:rPr>
                <w:rFonts w:ascii="Times New Roman" w:hAnsi="Times New Roman"/>
                <w:iCs/>
                <w:color w:val="000000"/>
                <w:sz w:val="28"/>
                <w:szCs w:val="28"/>
                <w:lang w:val="en-US"/>
              </w:rPr>
              <w:t>SiW</w:t>
            </w:r>
          </w:p>
        </w:tc>
        <w:tc>
          <w:tcPr>
            <w:tcW w:w="8259" w:type="dxa"/>
            <w:shd w:val="clear" w:color="auto" w:fill="auto"/>
          </w:tcPr>
          <w:p w:rsidR="005118AF" w:rsidRDefault="00EF60C3">
            <w:pPr>
              <w:pStyle w:val="10"/>
              <w:numPr>
                <w:ilvl w:val="0"/>
                <w:numId w:val="2"/>
              </w:numPr>
              <w:tabs>
                <w:tab w:val="left" w:pos="367"/>
              </w:tabs>
              <w:ind w:left="368" w:hanging="316"/>
              <w:rPr>
                <w:lang w:val="en-US"/>
              </w:rPr>
            </w:pPr>
            <w:r>
              <w:rPr>
                <w:rFonts w:ascii="Times New Roman" w:hAnsi="Times New Roman"/>
                <w:color w:val="000000"/>
                <w:sz w:val="28"/>
                <w:szCs w:val="28"/>
                <w:lang w:val="kk-KZ"/>
              </w:rPr>
              <w:t>Sharing is Winning</w:t>
            </w:r>
          </w:p>
        </w:tc>
      </w:tr>
      <w:tr w:rsidR="005118AF" w:rsidRPr="008D1DAE">
        <w:tc>
          <w:tcPr>
            <w:tcW w:w="1508" w:type="dxa"/>
            <w:shd w:val="clear" w:color="auto" w:fill="auto"/>
          </w:tcPr>
          <w:p w:rsidR="005118AF" w:rsidRDefault="00EF60C3">
            <w:pPr>
              <w:pStyle w:val="10"/>
              <w:rPr>
                <w:rFonts w:ascii="Times New Roman" w:hAnsi="Times New Roman"/>
                <w:iCs/>
                <w:color w:val="000000"/>
                <w:sz w:val="28"/>
                <w:szCs w:val="28"/>
                <w:lang w:val="en-US"/>
              </w:rPr>
            </w:pPr>
            <w:r>
              <w:rPr>
                <w:rFonts w:ascii="Times New Roman" w:hAnsi="Times New Roman"/>
                <w:iCs/>
                <w:color w:val="000000"/>
                <w:sz w:val="28"/>
                <w:szCs w:val="28"/>
                <w:lang w:val="kk-KZ"/>
              </w:rPr>
              <w:t>WFGM</w:t>
            </w:r>
          </w:p>
        </w:tc>
        <w:tc>
          <w:tcPr>
            <w:tcW w:w="8259" w:type="dxa"/>
            <w:shd w:val="clear" w:color="auto" w:fill="auto"/>
          </w:tcPr>
          <w:p w:rsidR="005118AF" w:rsidRDefault="00EF60C3">
            <w:pPr>
              <w:pStyle w:val="10"/>
              <w:numPr>
                <w:ilvl w:val="0"/>
                <w:numId w:val="2"/>
              </w:numPr>
              <w:tabs>
                <w:tab w:val="left" w:pos="367"/>
              </w:tabs>
              <w:ind w:left="368" w:hanging="316"/>
              <w:rPr>
                <w:rFonts w:ascii="Times New Roman" w:hAnsi="Times New Roman"/>
                <w:color w:val="000000"/>
                <w:sz w:val="28"/>
                <w:szCs w:val="28"/>
                <w:lang w:val="en-US"/>
              </w:rPr>
            </w:pPr>
            <w:r>
              <w:rPr>
                <w:rFonts w:ascii="Times New Roman" w:hAnsi="Times New Roman"/>
                <w:color w:val="000000"/>
                <w:sz w:val="28"/>
                <w:szCs w:val="28"/>
                <w:lang w:val="kk-KZ"/>
              </w:rPr>
              <w:t>The Want, Find, Get, Manage</w:t>
            </w:r>
          </w:p>
        </w:tc>
      </w:tr>
      <w:tr w:rsidR="005118AF" w:rsidRPr="008D1DAE">
        <w:trPr>
          <w:trHeight w:val="90"/>
        </w:trPr>
        <w:tc>
          <w:tcPr>
            <w:tcW w:w="1508" w:type="dxa"/>
            <w:shd w:val="clear" w:color="auto" w:fill="auto"/>
          </w:tcPr>
          <w:p w:rsidR="005118AF" w:rsidRDefault="00EF60C3">
            <w:pPr>
              <w:pStyle w:val="10"/>
              <w:rPr>
                <w:rFonts w:ascii="Times New Roman" w:hAnsi="Times New Roman"/>
                <w:iCs/>
                <w:color w:val="000000"/>
                <w:sz w:val="28"/>
                <w:szCs w:val="28"/>
                <w:lang w:val="kk-KZ"/>
              </w:rPr>
            </w:pPr>
            <w:r>
              <w:rPr>
                <w:rFonts w:ascii="Times New Roman" w:hAnsi="Times New Roman"/>
                <w:iCs/>
                <w:color w:val="000000"/>
                <w:sz w:val="28"/>
                <w:szCs w:val="28"/>
                <w:lang w:val="en-US"/>
              </w:rPr>
              <w:t>WIPO</w:t>
            </w:r>
          </w:p>
        </w:tc>
        <w:tc>
          <w:tcPr>
            <w:tcW w:w="8259" w:type="dxa"/>
            <w:shd w:val="clear" w:color="auto" w:fill="auto"/>
          </w:tcPr>
          <w:p w:rsidR="005118AF" w:rsidRDefault="00EF60C3">
            <w:pPr>
              <w:pStyle w:val="10"/>
              <w:numPr>
                <w:ilvl w:val="0"/>
                <w:numId w:val="2"/>
              </w:numPr>
              <w:tabs>
                <w:tab w:val="left" w:pos="367"/>
              </w:tabs>
              <w:ind w:left="368" w:hanging="316"/>
              <w:rPr>
                <w:rFonts w:ascii="Times New Roman" w:hAnsi="Times New Roman"/>
                <w:color w:val="000000"/>
                <w:sz w:val="28"/>
                <w:szCs w:val="28"/>
                <w:lang w:val="kk-KZ"/>
              </w:rPr>
            </w:pPr>
            <w:r>
              <w:rPr>
                <w:rFonts w:ascii="Times New Roman" w:hAnsi="Times New Roman"/>
                <w:color w:val="000000"/>
                <w:sz w:val="28"/>
                <w:szCs w:val="28"/>
                <w:lang w:val="en-US"/>
              </w:rPr>
              <w:t>World Intellectual Property Organization (</w:t>
            </w:r>
            <w:r>
              <w:rPr>
                <w:rFonts w:ascii="Times New Roman" w:hAnsi="Times New Roman"/>
                <w:color w:val="000000"/>
                <w:sz w:val="28"/>
                <w:szCs w:val="28"/>
                <w:lang w:val="kk-KZ"/>
              </w:rPr>
              <w:t xml:space="preserve">Зияткерлік меншік жөніндегі </w:t>
            </w:r>
            <w:r>
              <w:rPr>
                <w:rFonts w:ascii="Times New Roman" w:hAnsi="Times New Roman"/>
                <w:color w:val="000000"/>
                <w:sz w:val="28"/>
                <w:szCs w:val="28"/>
                <w:lang w:val="kk-KZ"/>
              </w:rPr>
              <w:t>Дүниежүзілік ұйым)</w:t>
            </w:r>
          </w:p>
        </w:tc>
      </w:tr>
    </w:tbl>
    <w:p w:rsidR="005118AF" w:rsidRDefault="005118AF">
      <w:pPr>
        <w:rPr>
          <w:lang w:val="en-US"/>
        </w:rPr>
      </w:pPr>
    </w:p>
    <w:p w:rsidR="005118AF" w:rsidRDefault="005118AF">
      <w:pPr>
        <w:rPr>
          <w:lang w:val="en-US"/>
        </w:rPr>
      </w:pPr>
    </w:p>
    <w:p w:rsidR="005118AF" w:rsidRDefault="005118AF">
      <w:pPr>
        <w:rPr>
          <w:lang w:val="en-US"/>
        </w:rPr>
      </w:pPr>
    </w:p>
    <w:p w:rsidR="005118AF" w:rsidRDefault="005118AF">
      <w:pPr>
        <w:rPr>
          <w:lang w:val="kk-KZ"/>
        </w:rPr>
      </w:pPr>
    </w:p>
    <w:p w:rsidR="005118AF" w:rsidRDefault="005118AF">
      <w:pPr>
        <w:rPr>
          <w:lang w:val="kk-KZ"/>
        </w:rPr>
      </w:pPr>
    </w:p>
    <w:p w:rsidR="005118AF" w:rsidRDefault="00EF60C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КІРІСПЕ</w:t>
      </w:r>
    </w:p>
    <w:p w:rsidR="005118AF" w:rsidRDefault="005118AF">
      <w:pPr>
        <w:tabs>
          <w:tab w:val="left" w:pos="951"/>
        </w:tabs>
        <w:spacing w:after="0" w:line="240" w:lineRule="auto"/>
        <w:ind w:firstLine="567"/>
        <w:jc w:val="both"/>
        <w:rPr>
          <w:rFonts w:ascii="Times New Roman" w:hAnsi="Times New Roman" w:cs="Times New Roman"/>
          <w:b/>
          <w:sz w:val="28"/>
          <w:szCs w:val="28"/>
          <w:lang w:val="kk-KZ"/>
        </w:rPr>
      </w:pP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тақырыбының өзектілігі</w:t>
      </w:r>
      <w:r>
        <w:rPr>
          <w:rFonts w:ascii="Times New Roman" w:hAnsi="Times New Roman" w:cs="Times New Roman"/>
          <w:sz w:val="28"/>
          <w:szCs w:val="28"/>
          <w:lang w:val="kk-KZ"/>
        </w:rPr>
        <w:t>. Қазақстанның тамақ өнеркәсібі - ұлт денсаулығы мен мемлекеттің азық-түлік қауіпсіздігін қамтамасыз ететін экономиканың стратегиялық саласы болып табылады. Халықтың сапалы және қол жетімді тамақ өнімдеріне деген қажеттіліктерін қанағаттандыру халықтың өмі</w:t>
      </w:r>
      <w:r>
        <w:rPr>
          <w:rFonts w:ascii="Times New Roman" w:hAnsi="Times New Roman" w:cs="Times New Roman"/>
          <w:sz w:val="28"/>
          <w:szCs w:val="28"/>
          <w:lang w:val="kk-KZ"/>
        </w:rPr>
        <w:t>р сүру деңгейінің маңызды көрсеткіштерінің бірі болып табылады. Азық-түлік тауарларының сапасын жақсарту, ассортиментін кеңейту, сақтау мерзімін ұзарту, экологиялық қауіпсіздігі көбінесе ұлттың денсаулығын, өмір сүру ұзақтығы мен халықтың белсенділігін аны</w:t>
      </w:r>
      <w:r>
        <w:rPr>
          <w:rFonts w:ascii="Times New Roman" w:hAnsi="Times New Roman" w:cs="Times New Roman"/>
          <w:sz w:val="28"/>
          <w:szCs w:val="28"/>
          <w:lang w:val="kk-KZ"/>
        </w:rPr>
        <w:t>қтайды</w:t>
      </w:r>
      <w:r>
        <w:rPr>
          <w:rFonts w:ascii="Times New Roman" w:hAnsi="Times New Roman" w:cs="Times New Roman"/>
          <w:sz w:val="28"/>
          <w:szCs w:val="28"/>
          <w:lang w:val="kk-KZ"/>
        </w:rPr>
        <w:t xml:space="preserve">.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«Қазақстан-2050» Стратегиясында еліміздің әлемдік азық-түлік нарығының көшбасшысы болуы және ауыл шаруашылығы өндірісін арттыру Қазақстанның басты басымдықтарының бірі деп атап көрсетілген [1].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таңда әлемдің азық-түлік жүйесі егістік жерл</w:t>
      </w:r>
      <w:r>
        <w:rPr>
          <w:rFonts w:ascii="Times New Roman" w:hAnsi="Times New Roman" w:cs="Times New Roman"/>
          <w:sz w:val="28"/>
          <w:szCs w:val="28"/>
          <w:lang w:val="kk-KZ"/>
        </w:rPr>
        <w:t>ерінің азаюы және халық санының өсуі сияқты күрделі мәселелермен бетпе-беп кездесіп отыр. 2050 жылға қарай топырақтың 90%-дан астамының тозу қаупі бар, бұл азық-түлік өндірісін 10%-ға қысқартады [2]. Сонымен қатар, халық санының және калория тұтынудың тұра</w:t>
      </w:r>
      <w:r>
        <w:rPr>
          <w:rFonts w:ascii="Times New Roman" w:hAnsi="Times New Roman" w:cs="Times New Roman"/>
          <w:sz w:val="28"/>
          <w:szCs w:val="28"/>
          <w:lang w:val="kk-KZ"/>
        </w:rPr>
        <w:t>қты</w:t>
      </w:r>
      <w:r>
        <w:rPr>
          <w:rFonts w:ascii="Times New Roman" w:hAnsi="Times New Roman" w:cs="Times New Roman"/>
          <w:sz w:val="28"/>
          <w:szCs w:val="28"/>
          <w:lang w:val="kk-KZ"/>
        </w:rPr>
        <w:t xml:space="preserve"> өсуіне байланысты (сәйкесінше 0,86% және 0,39%), 2030 жылы өндіріс көлемін арттыру қажеттілігі туады. Ресурстарды көп қажет ету және қалдықтардың көбеюі жағдайды одан әрі ушықтыруда. Мысалы, қазіргі уақытта тұтастай алғанда азық-түлік жүйесі әлемдік па</w:t>
      </w:r>
      <w:r>
        <w:rPr>
          <w:rFonts w:ascii="Times New Roman" w:hAnsi="Times New Roman" w:cs="Times New Roman"/>
          <w:sz w:val="28"/>
          <w:szCs w:val="28"/>
          <w:lang w:val="kk-KZ"/>
        </w:rPr>
        <w:t>рникті газ шығындарының үштен бірін және тұщы суды тұтынудың 70%-ын қамтып отыр [3, 4]. Осы орайда, осы жағдайларды жақсарту үшін кешенді және шұғыл шаралар қабылдау өзекті болып тұр. Бұл мәселені шешу азық-түлік жүйелеріне инновацияларды енгізу арқылы мүм</w:t>
      </w:r>
      <w:r>
        <w:rPr>
          <w:rFonts w:ascii="Times New Roman" w:hAnsi="Times New Roman" w:cs="Times New Roman"/>
          <w:sz w:val="28"/>
          <w:szCs w:val="28"/>
          <w:lang w:val="kk-KZ"/>
        </w:rPr>
        <w:t xml:space="preserve">кін болып отыр.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 отандық тамақ өнеркәсібі кәсіпорындары азық-түлік қауіпсіздігін қамтамасыз ету, нарықтағы бәсекелестіктің артуы, тұтынушылар тарапынан өнімдерге деген талаптардың жоғарылауы және экологиялық тұрақтылық сияқты күрделі қиындықтарм</w:t>
      </w:r>
      <w:r>
        <w:rPr>
          <w:rFonts w:ascii="Times New Roman" w:hAnsi="Times New Roman" w:cs="Times New Roman"/>
          <w:sz w:val="28"/>
          <w:szCs w:val="28"/>
          <w:lang w:val="kk-KZ"/>
        </w:rPr>
        <w:t>ен беппе-бет келуде. Осы тұрғыдан алғанда, тамақ өнімдерін өндіруші кәсіпорындардың нарықта аман қалуының шешуші жолы ретінде инновациялық даму жолына өту деп санауға негіз бар.  Бұл саладағы инновациялардың маңыздылығының артуы, бір жағынан, салада орын а</w:t>
      </w:r>
      <w:r>
        <w:rPr>
          <w:rFonts w:ascii="Times New Roman" w:hAnsi="Times New Roman" w:cs="Times New Roman"/>
          <w:sz w:val="28"/>
          <w:szCs w:val="28"/>
          <w:lang w:val="kk-KZ"/>
        </w:rPr>
        <w:t xml:space="preserve">лып жатқан өзгерістерге, екінші жағынан, қазіргі уақыттағы Заттар интернетінің және Үлкен деректер сияқты бұзушы технологиялардың енгізілуімен байланысты туындаған жаңа міндеттерге жауап беру қажеттілігімен негізделеді [5].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әлемдік және ұлттық э</w:t>
      </w:r>
      <w:r>
        <w:rPr>
          <w:rFonts w:ascii="Times New Roman" w:hAnsi="Times New Roman" w:cs="Times New Roman"/>
          <w:sz w:val="28"/>
          <w:szCs w:val="28"/>
          <w:lang w:val="kk-KZ"/>
        </w:rPr>
        <w:t xml:space="preserve">кономиканың трансформациялық процесстері қазіргі заманғы инновациялық тамақ технологиялары мен цифрлық шешімдер негізінде отандық кәсіпорындар мен тамақ өнеркәсібі кәсіпорындарының инновациялық дамуының драйвері әрі қазіргі уақытта азық-түлік қауіпсіздігі </w:t>
      </w:r>
      <w:r>
        <w:rPr>
          <w:rFonts w:ascii="Times New Roman" w:hAnsi="Times New Roman" w:cs="Times New Roman"/>
          <w:sz w:val="28"/>
          <w:szCs w:val="28"/>
          <w:lang w:val="kk-KZ"/>
        </w:rPr>
        <w:t xml:space="preserve">мен Қазақстанның тәуелсіздігінің ұзақ-мерзімді дамуын қаматамасыз ету үшін аса маңызды басым бағытына айналып отыр.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таңда орын алған күрделі экономикалық даму шарттарында еліміздің азық-түлік нарығын отандық өндірістің сапалы өнімдерімен толықтыру</w:t>
      </w:r>
      <w:r>
        <w:rPr>
          <w:rFonts w:ascii="Times New Roman" w:hAnsi="Times New Roman" w:cs="Times New Roman"/>
          <w:sz w:val="28"/>
          <w:szCs w:val="28"/>
          <w:lang w:val="kk-KZ"/>
        </w:rPr>
        <w:t xml:space="preserve"> үшін Қазақстанның тамақ өнеркәсібі кәсіпорындарының қызмет ету тиімділігін арттырудың әлеуметтік-экономикалық және саяси маңызы зор. Жетілген нарықтық қатынастардың және ішкі азық-түлік нарығындағы бәсекелестіктің жоғарылығы жағдайында тамақ өнеркәсібі кә</w:t>
      </w:r>
      <w:r>
        <w:rPr>
          <w:rFonts w:ascii="Times New Roman" w:hAnsi="Times New Roman" w:cs="Times New Roman"/>
          <w:sz w:val="28"/>
          <w:szCs w:val="28"/>
          <w:lang w:val="kk-KZ"/>
        </w:rPr>
        <w:t xml:space="preserve">сіпорындарын тек дәстүрлі ресурстарға ғана емес, сонымен қатар технология және инновацияға негізделген жаңа тәсілдермен дамыту қажет.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мәселенің шешімі тамақ өнеркәсібінің кәсіпорындарының инновациялық белсенділігін арттырып, өнімнің жаңа түрлерін өнді</w:t>
      </w:r>
      <w:r>
        <w:rPr>
          <w:rFonts w:ascii="Times New Roman" w:hAnsi="Times New Roman" w:cs="Times New Roman"/>
          <w:sz w:val="28"/>
          <w:szCs w:val="28"/>
          <w:lang w:val="kk-KZ"/>
        </w:rPr>
        <w:t>руді қамтамасыз ете отырып, сақтаудың жаңа түрлерін және жеткізудің тиімді нұсқаларын дамыту жолымен ғана мүмкін болады.</w:t>
      </w:r>
    </w:p>
    <w:p w:rsidR="005118AF" w:rsidRDefault="00EF60C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Тамақ өнеркәсібі кәсіпорындары маңызды әлеуметтік және экономикалық  рөл атқарады. Елдің өнеркәсіптік секторының тиімді дамуын қамтамасыз ету инновациялық даму моделіне өтуі және кәсіпорындардың жоғары инновациялық белсенділігі нәтижесінде мүмкін болып оты</w:t>
      </w:r>
      <w:r>
        <w:rPr>
          <w:rFonts w:ascii="Times New Roman" w:hAnsi="Times New Roman"/>
          <w:sz w:val="28"/>
          <w:szCs w:val="28"/>
          <w:lang w:val="kk-KZ"/>
        </w:rPr>
        <w:t>р. Инновациялардың қалыптасуы және оларды қолданылу үдерісі тамақ өнеркәсібі саласының кәсіпорындарында өзіндік ерекшеліктерге ие. Тамақ өнеркәсібінде инновациялық әлеуетті дамыту мен арттыру – ұзақ мерзімді сипаттағы стратегиялық міндет болып табылады. Ин</w:t>
      </w:r>
      <w:r>
        <w:rPr>
          <w:rFonts w:ascii="Times New Roman" w:hAnsi="Times New Roman"/>
          <w:sz w:val="28"/>
          <w:szCs w:val="28"/>
          <w:lang w:val="kk-KZ"/>
        </w:rPr>
        <w:t xml:space="preserve">новацияларды енгізе отырып, кәсіпорындар өндіріс шығындарын азайтады, сол арқылы нарықта үлкен үлеске ие болып, бәсекеге қабілеттілігін арттыра алады.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Тамақ өнеркәсібінде, кез-келген басқа саладағы сияқты, жаңа өнім немесе процессті дамыту бизнес стратеги</w:t>
      </w:r>
      <w:r>
        <w:rPr>
          <w:rFonts w:ascii="Times New Roman" w:hAnsi="Times New Roman"/>
          <w:sz w:val="28"/>
          <w:szCs w:val="28"/>
          <w:lang w:val="kk-KZ"/>
        </w:rPr>
        <w:t>ясының өте маңызды - тіпті шешуші бөлігі болып табылады. Жаңа немесе жетілдірілген тауар өндіру</w:t>
      </w:r>
      <w:r>
        <w:rPr>
          <w:rFonts w:ascii="Times New Roman" w:hAnsi="Times New Roman"/>
          <w:sz w:val="28"/>
          <w:szCs w:val="28"/>
          <w:lang w:val="kk-KZ"/>
        </w:rPr>
        <w:t xml:space="preserve"> процесстерін</w:t>
      </w:r>
      <w:r>
        <w:rPr>
          <w:rFonts w:ascii="Times New Roman" w:hAnsi="Times New Roman"/>
          <w:sz w:val="28"/>
          <w:szCs w:val="28"/>
          <w:lang w:val="kk-KZ"/>
        </w:rPr>
        <w:t xml:space="preserve"> дамытпаған жағдайда, кәсіпорын нарықта тек баға бойынша ғана бәсекелесетін болады. Бұл өз кезегінде еңбек күші, жер және т.б. факторларының құнының</w:t>
      </w:r>
      <w:r>
        <w:rPr>
          <w:rFonts w:ascii="Times New Roman" w:hAnsi="Times New Roman"/>
          <w:sz w:val="28"/>
          <w:szCs w:val="28"/>
          <w:lang w:val="kk-KZ"/>
        </w:rPr>
        <w:t xml:space="preserve"> төмен болуын қажет етеді. Төмен құнды стратегияны енгізу тұтас экономикаға күтпеген салдар алып келуі мүмкін, себебі нарыққа құн бойынша одан да төмен өзге елдің кәсіпорындары енеді. Бұл отандық кәсіпорындардың нарықтан шығуына алып келеді. Бұндай сценари</w:t>
      </w:r>
      <w:r>
        <w:rPr>
          <w:rFonts w:ascii="Times New Roman" w:hAnsi="Times New Roman"/>
          <w:sz w:val="28"/>
          <w:szCs w:val="28"/>
          <w:lang w:val="kk-KZ"/>
        </w:rPr>
        <w:t>й тамақ өнеркәсібінде орын алған жағдайда экономикамыз үшін өте қауіпті. Себебі, егер еліміз 80% азық-түлік өнімін сыртқы елдерден алатын болса, азық-түлік қауіпсіздігі туындайды.</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Диссертацияның ғылыми зерттелу дәрежесі</w:t>
      </w:r>
      <w:r>
        <w:rPr>
          <w:rFonts w:ascii="Times New Roman" w:hAnsi="Times New Roman"/>
          <w:sz w:val="28"/>
          <w:szCs w:val="28"/>
          <w:lang w:val="kk-KZ"/>
        </w:rPr>
        <w:t xml:space="preserve">: </w:t>
      </w:r>
    </w:p>
    <w:p w:rsidR="005118AF" w:rsidRDefault="00EF60C3">
      <w:pPr>
        <w:tabs>
          <w:tab w:val="left" w:pos="951"/>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Соңғы онжылдықтардағы экономикалық</w:t>
      </w:r>
      <w:r>
        <w:rPr>
          <w:rFonts w:ascii="Times New Roman" w:hAnsi="Times New Roman"/>
          <w:bCs/>
          <w:sz w:val="28"/>
          <w:szCs w:val="28"/>
          <w:lang w:val="kk-KZ"/>
        </w:rPr>
        <w:t xml:space="preserve"> әдебиеттерде әртүрлі экономикалық жүйелердегі инновациялық менеджменттің тұжырымдамалық және қолданбалы мәселелеріне көп көңіл бөлінді.</w:t>
      </w:r>
    </w:p>
    <w:p w:rsidR="005118AF" w:rsidRDefault="00EF60C3">
      <w:pPr>
        <w:tabs>
          <w:tab w:val="left" w:pos="951"/>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Инновациялар теориясы мен кәсіпорындардағы инновациялық процесстерді Дж. Шумпетер, К.Фриман, В. Лундвал, Р. Нельсон, Дж</w:t>
      </w:r>
      <w:r>
        <w:rPr>
          <w:rFonts w:ascii="Times New Roman" w:hAnsi="Times New Roman"/>
          <w:bCs/>
          <w:sz w:val="28"/>
          <w:szCs w:val="28"/>
          <w:lang w:val="kk-KZ"/>
        </w:rPr>
        <w:t xml:space="preserve">. Тис, Г. Пизано және Э. Шуэн, ал ашық инновациялық үлгілерді Г. Чесбро, О. Гассман және т.б. ғалымдармен зерттелген. </w:t>
      </w:r>
    </w:p>
    <w:p w:rsidR="005118AF" w:rsidRDefault="00EF60C3">
      <w:pPr>
        <w:tabs>
          <w:tab w:val="left" w:pos="951"/>
        </w:tabs>
        <w:spacing w:after="0" w:line="240" w:lineRule="auto"/>
        <w:ind w:firstLineChars="285" w:firstLine="798"/>
        <w:jc w:val="both"/>
        <w:rPr>
          <w:rFonts w:ascii="Times New Roman" w:hAnsi="Times New Roman"/>
          <w:bCs/>
          <w:sz w:val="28"/>
          <w:szCs w:val="28"/>
          <w:lang w:val="kk-KZ"/>
        </w:rPr>
      </w:pPr>
      <w:r>
        <w:rPr>
          <w:rFonts w:ascii="Times New Roman" w:hAnsi="Times New Roman"/>
          <w:bCs/>
          <w:sz w:val="28"/>
          <w:szCs w:val="28"/>
          <w:lang w:val="kk-KZ"/>
        </w:rPr>
        <w:t>Шетелдік авторлардың арасында Б. Билгиарди, А. Коста және В. Джонген, М. Монтойя азық-түлік жүйесіндегі негізгі инновациялық үлгілерді зе</w:t>
      </w:r>
      <w:r>
        <w:rPr>
          <w:rFonts w:ascii="Times New Roman" w:hAnsi="Times New Roman"/>
          <w:bCs/>
          <w:sz w:val="28"/>
          <w:szCs w:val="28"/>
          <w:lang w:val="kk-KZ"/>
        </w:rPr>
        <w:t xml:space="preserve">рттесе, Дж. Ингрэм, А. Матис еңбектерінде тұрақты азық-түлік жүйелеріне өтуді негіздеу бойынша зерттеулер жүргізген. </w:t>
      </w:r>
    </w:p>
    <w:p w:rsidR="005118AF" w:rsidRDefault="00EF60C3">
      <w:pPr>
        <w:tabs>
          <w:tab w:val="left" w:pos="951"/>
        </w:tabs>
        <w:spacing w:after="0" w:line="240" w:lineRule="auto"/>
        <w:ind w:firstLineChars="285" w:firstLine="798"/>
        <w:jc w:val="both"/>
        <w:rPr>
          <w:rFonts w:ascii="Times New Roman" w:hAnsi="Times New Roman"/>
          <w:bCs/>
          <w:sz w:val="28"/>
          <w:szCs w:val="28"/>
          <w:lang w:val="kk-KZ"/>
        </w:rPr>
      </w:pPr>
      <w:r>
        <w:rPr>
          <w:rFonts w:ascii="Times New Roman" w:hAnsi="Times New Roman"/>
          <w:bCs/>
          <w:sz w:val="28"/>
          <w:szCs w:val="28"/>
          <w:lang w:val="kk-KZ"/>
        </w:rPr>
        <w:t>Қазіргі</w:t>
      </w:r>
      <w:r>
        <w:rPr>
          <w:rFonts w:ascii="Times New Roman" w:hAnsi="Times New Roman"/>
          <w:bCs/>
          <w:sz w:val="28"/>
          <w:szCs w:val="28"/>
          <w:lang w:val="kk-KZ"/>
        </w:rPr>
        <w:t xml:space="preserve"> таңдағы отандық тамақ өнеркәсібінің экономикалық дамуының негізгі мәселелеріне Садырова</w:t>
      </w:r>
      <w:r>
        <w:rPr>
          <w:rFonts w:ascii="Times New Roman" w:hAnsi="Times New Roman"/>
          <w:bCs/>
          <w:sz w:val="28"/>
          <w:szCs w:val="28"/>
          <w:lang w:val="kk-KZ"/>
        </w:rPr>
        <w:t xml:space="preserve"> М., Юсупов К., Иманбекова Б.,           Абдыгаппарова С., Байжолова Р., Рахимова С. және</w:t>
      </w:r>
      <w:r>
        <w:rPr>
          <w:rFonts w:ascii="Times New Roman" w:hAnsi="Times New Roman"/>
          <w:bCs/>
          <w:sz w:val="28"/>
          <w:szCs w:val="28"/>
          <w:lang w:val="kk-KZ"/>
        </w:rPr>
        <w:t xml:space="preserve"> Толысбаев Б.</w:t>
      </w:r>
      <w:r w:rsidRPr="008D1DAE">
        <w:rPr>
          <w:rFonts w:ascii="Times New Roman" w:hAnsi="Times New Roman"/>
          <w:bCs/>
          <w:sz w:val="28"/>
          <w:szCs w:val="28"/>
          <w:lang w:val="kk-KZ"/>
        </w:rPr>
        <w:t xml:space="preserve"> </w:t>
      </w:r>
      <w:r>
        <w:rPr>
          <w:rFonts w:ascii="Times New Roman" w:hAnsi="Times New Roman"/>
          <w:bCs/>
          <w:sz w:val="28"/>
          <w:szCs w:val="28"/>
          <w:lang w:val="kk-KZ"/>
        </w:rPr>
        <w:t xml:space="preserve"> сияқты отандық ғалымдарымыздың еңбектері арналған.  </w:t>
      </w:r>
    </w:p>
    <w:p w:rsidR="005118AF" w:rsidRDefault="00EF60C3">
      <w:pPr>
        <w:tabs>
          <w:tab w:val="left" w:pos="951"/>
        </w:tabs>
        <w:spacing w:after="0" w:line="240" w:lineRule="auto"/>
        <w:ind w:firstLineChars="285" w:firstLine="798"/>
        <w:jc w:val="both"/>
        <w:rPr>
          <w:rFonts w:ascii="Times New Roman" w:hAnsi="Times New Roman"/>
          <w:bCs/>
          <w:sz w:val="28"/>
          <w:szCs w:val="28"/>
          <w:lang w:val="kk-KZ"/>
        </w:rPr>
      </w:pPr>
      <w:r>
        <w:rPr>
          <w:rFonts w:ascii="Times New Roman" w:hAnsi="Times New Roman"/>
          <w:bCs/>
          <w:sz w:val="28"/>
          <w:szCs w:val="28"/>
          <w:lang w:val="kk-KZ"/>
        </w:rPr>
        <w:t>Сонымен қатар, отандық зерттеушілердің қатарында Олейник Л., Мухаметжанова Ж. Қазақстанның тамақ өн</w:t>
      </w:r>
      <w:r>
        <w:rPr>
          <w:rFonts w:ascii="Times New Roman" w:hAnsi="Times New Roman"/>
          <w:bCs/>
          <w:sz w:val="28"/>
          <w:szCs w:val="28"/>
          <w:lang w:val="kk-KZ"/>
        </w:rPr>
        <w:t>еркәсібінің дамуына инновациялардың әсері мен оларды енгізудегі кедергілер мен мүмкіндіктерін зерттеген. Ал, бұл ретте, елімізде ашық инновация тұжырымдамасын зерттеген ғалымдардың қатарына Уталиева Р., Карамулдина А. және Тагайбекова Н. жұмыстарын атап өт</w:t>
      </w:r>
      <w:r>
        <w:rPr>
          <w:rFonts w:ascii="Times New Roman" w:hAnsi="Times New Roman"/>
          <w:bCs/>
          <w:sz w:val="28"/>
          <w:szCs w:val="28"/>
          <w:lang w:val="kk-KZ"/>
        </w:rPr>
        <w:t xml:space="preserve">уге болады. </w:t>
      </w:r>
    </w:p>
    <w:p w:rsidR="005118AF" w:rsidRDefault="00EF60C3">
      <w:pPr>
        <w:tabs>
          <w:tab w:val="left" w:pos="951"/>
        </w:tabs>
        <w:spacing w:after="0" w:line="240" w:lineRule="auto"/>
        <w:ind w:firstLineChars="285" w:firstLine="798"/>
        <w:jc w:val="both"/>
        <w:rPr>
          <w:rFonts w:ascii="Times New Roman" w:eastAsia="DengXian" w:hAnsi="Times New Roman" w:cs="Times New Roman"/>
          <w:bCs/>
          <w:sz w:val="28"/>
          <w:szCs w:val="28"/>
          <w:lang w:val="kk-KZ"/>
        </w:rPr>
      </w:pPr>
      <w:r>
        <w:rPr>
          <w:rFonts w:ascii="Times New Roman" w:hAnsi="Times New Roman"/>
          <w:sz w:val="28"/>
          <w:szCs w:val="28"/>
          <w:lang w:val="kk-KZ"/>
        </w:rPr>
        <w:t>Алайда тамақ өнеркәсібінің инновациялық дамуын зерттеу бойынша іс-жүзінде ғылыми жұмыстар санаулы және осы саланың инновациялық дамуын күшейту үшін жағдай жасау мәселесі тиісті деңгейде зерттелменен. Осыған байланысты, тамақ өнеркәсібі кәсіпор</w:t>
      </w:r>
      <w:r>
        <w:rPr>
          <w:rFonts w:ascii="Times New Roman" w:hAnsi="Times New Roman"/>
          <w:sz w:val="28"/>
          <w:szCs w:val="28"/>
          <w:lang w:val="kk-KZ"/>
        </w:rPr>
        <w:t xml:space="preserve">ындардың инновациялық дамуын басқаруды жетілдіру бойынша мәселе қою қажеттілігін өзекті және уақтылы деп санаймыз. </w:t>
      </w:r>
    </w:p>
    <w:p w:rsidR="005118AF" w:rsidRDefault="00EF60C3">
      <w:pPr>
        <w:spacing w:after="0" w:line="240" w:lineRule="auto"/>
        <w:ind w:firstLineChars="250" w:firstLine="700"/>
        <w:jc w:val="both"/>
        <w:rPr>
          <w:rFonts w:ascii="Times New Roman" w:hAnsi="Times New Roman" w:cs="Times New Roman"/>
          <w:sz w:val="28"/>
          <w:szCs w:val="28"/>
          <w:lang w:val="kk-KZ"/>
        </w:rPr>
      </w:pPr>
      <w:r>
        <w:rPr>
          <w:rFonts w:ascii="Times New Roman" w:hAnsi="Times New Roman" w:cs="Times New Roman"/>
          <w:b/>
          <w:sz w:val="28"/>
          <w:szCs w:val="28"/>
          <w:lang w:val="kk-KZ"/>
        </w:rPr>
        <w:t>Диссертациялық жұмыстың мақсаты</w:t>
      </w:r>
      <w:r>
        <w:rPr>
          <w:rFonts w:ascii="Times New Roman" w:hAnsi="Times New Roman" w:cs="Times New Roman"/>
          <w:sz w:val="28"/>
          <w:szCs w:val="28"/>
          <w:lang w:val="kk-KZ"/>
        </w:rPr>
        <w:t xml:space="preserve"> - тамақ өнеркәсібі кәсіпорындарының инновациялық дамуын тұрақты ашық инновациялар тұжырымдамасы негізінде ба</w:t>
      </w:r>
      <w:r>
        <w:rPr>
          <w:rFonts w:ascii="Times New Roman" w:hAnsi="Times New Roman" w:cs="Times New Roman"/>
          <w:sz w:val="28"/>
          <w:szCs w:val="28"/>
          <w:lang w:val="kk-KZ"/>
        </w:rPr>
        <w:t xml:space="preserve">сқарудың қолданбалы механизмдерін әзірлеу болып табылады.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міндеттері.</w:t>
      </w:r>
      <w:r>
        <w:rPr>
          <w:rFonts w:ascii="Times New Roman" w:hAnsi="Times New Roman" w:cs="Times New Roman"/>
          <w:sz w:val="28"/>
          <w:szCs w:val="28"/>
          <w:lang w:val="kk-KZ"/>
        </w:rPr>
        <w:t xml:space="preserve"> Алға қойылған мақсатты жүзеге асыру келесі міндеттерді шешуді қажет етті:</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 және “инновациялық даму” ұғымдарын және теориялық негіздерін зерделеу.</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Ашық инновациялар </w:t>
      </w:r>
      <w:r>
        <w:rPr>
          <w:rFonts w:ascii="Times New Roman" w:hAnsi="Times New Roman" w:cs="Times New Roman"/>
          <w:sz w:val="28"/>
          <w:szCs w:val="28"/>
          <w:lang w:val="kk-KZ"/>
        </w:rPr>
        <w:t>теориясы негізінде тамақ өнеркәсібінің тұрақты дамуының басқарушылық механизмдерін зерттеу.</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Тамақ өнеркәсібі кәсіпорындарының инновациялық дамуын басқарудың халықаралық тәжірибесін зерделеу.</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Республикасының тамақ өнеркәсібінің дамуының қазіргі жа</w:t>
      </w:r>
      <w:r>
        <w:rPr>
          <w:rFonts w:ascii="Times New Roman" w:hAnsi="Times New Roman" w:cs="Times New Roman"/>
          <w:sz w:val="28"/>
          <w:szCs w:val="28"/>
          <w:lang w:val="kk-KZ"/>
        </w:rPr>
        <w:t>ғдайын</w:t>
      </w:r>
      <w:r>
        <w:rPr>
          <w:rFonts w:ascii="Times New Roman" w:hAnsi="Times New Roman" w:cs="Times New Roman"/>
          <w:sz w:val="28"/>
          <w:szCs w:val="28"/>
          <w:lang w:val="kk-KZ"/>
        </w:rPr>
        <w:t xml:space="preserve"> және кәсіпорындарының инновациялық қызметін талдау.</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Республикасының тамақ өнеркәсібі кәсіпорындарының стратегиялық дамуын заманауи инновациялық әдіснамалар негізінде зерттеу және бағалау.</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Республикасының тамақ өнеркәсібінің иннов</w:t>
      </w:r>
      <w:r>
        <w:rPr>
          <w:rFonts w:ascii="Times New Roman" w:hAnsi="Times New Roman" w:cs="Times New Roman"/>
          <w:sz w:val="28"/>
          <w:szCs w:val="28"/>
          <w:lang w:val="kk-KZ"/>
        </w:rPr>
        <w:t>ациялық дамуының заманауи құрылымын қалыптастыру және әзірлеу.</w:t>
      </w:r>
    </w:p>
    <w:p w:rsidR="005118AF" w:rsidRDefault="00EF60C3">
      <w:pPr>
        <w:pStyle w:val="af0"/>
        <w:numPr>
          <w:ilvl w:val="0"/>
          <w:numId w:val="3"/>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Тамақ өнеркәсібі кәсіпорындарының инновациялық дамуының ұйымдастырушылық-басқарушылық механизмдерін әзірлеу. </w:t>
      </w:r>
    </w:p>
    <w:p w:rsidR="005118AF" w:rsidRDefault="00EF60C3">
      <w:pPr>
        <w:pStyle w:val="af0"/>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объектісі</w:t>
      </w:r>
      <w:r>
        <w:rPr>
          <w:rFonts w:ascii="Times New Roman" w:hAnsi="Times New Roman" w:cs="Times New Roman"/>
          <w:sz w:val="28"/>
          <w:szCs w:val="28"/>
          <w:lang w:val="kk-KZ"/>
        </w:rPr>
        <w:t>: Қазақстан Республикасының тамақ өнеркәсібі кәсіпорындары және ол</w:t>
      </w:r>
      <w:r>
        <w:rPr>
          <w:rFonts w:ascii="Times New Roman" w:hAnsi="Times New Roman" w:cs="Times New Roman"/>
          <w:sz w:val="28"/>
          <w:szCs w:val="28"/>
          <w:lang w:val="kk-KZ"/>
        </w:rPr>
        <w:t xml:space="preserve">ардың инновациялық даму үдерісі. </w:t>
      </w:r>
    </w:p>
    <w:p w:rsidR="005118AF" w:rsidRDefault="00EF60C3">
      <w:pPr>
        <w:pStyle w:val="af0"/>
        <w:tabs>
          <w:tab w:val="left" w:pos="851"/>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пәні:</w:t>
      </w:r>
      <w:r>
        <w:rPr>
          <w:rFonts w:ascii="Times New Roman" w:hAnsi="Times New Roman" w:cs="Times New Roman"/>
          <w:sz w:val="28"/>
          <w:szCs w:val="28"/>
          <w:lang w:val="kk-KZ"/>
        </w:rPr>
        <w:t xml:space="preserve"> Тамақ өнеркәсібі кәсіпорындарының инновациялық дамуын басқарудың теориялық-әдістемелік негіздері, тетіктері мен құралдары, сондай-ақ тұрақы ашық инновацияларды енгізуге қатысты туындайтын әлеуметтік-экономика</w:t>
      </w:r>
      <w:r>
        <w:rPr>
          <w:rFonts w:ascii="Times New Roman" w:hAnsi="Times New Roman" w:cs="Times New Roman"/>
          <w:sz w:val="28"/>
          <w:szCs w:val="28"/>
          <w:lang w:val="kk-KZ"/>
        </w:rPr>
        <w:t xml:space="preserve">лық қатынастар. </w:t>
      </w:r>
    </w:p>
    <w:p w:rsidR="005118AF" w:rsidRDefault="00EF60C3">
      <w:pPr>
        <w:tabs>
          <w:tab w:val="left" w:pos="951"/>
        </w:tabs>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 xml:space="preserve">Зерттеудің теориялық және әдіснамалық негіздері </w:t>
      </w:r>
    </w:p>
    <w:p w:rsidR="005118AF" w:rsidRDefault="00EF60C3">
      <w:pPr>
        <w:tabs>
          <w:tab w:val="left" w:pos="951"/>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Зерттеудің теориялық негізі инновация мен инновациялық дамуды басқардың теориялық тәсілдерінің эволюциясына, соның ішінде, тамақ өнеркәсібі саласының ерекшеліктерін ескере отырып, ашық иннов</w:t>
      </w:r>
      <w:r>
        <w:rPr>
          <w:rFonts w:ascii="Times New Roman" w:hAnsi="Times New Roman"/>
          <w:bCs/>
          <w:sz w:val="28"/>
          <w:szCs w:val="28"/>
          <w:lang w:val="kk-KZ"/>
        </w:rPr>
        <w:t>ациялық теориядан тұрақты ашық инновациялық дамуы тәсілдеріне өтуге қатысты отандық және шетелдік ғылыми әдебиеттерге шолу жасау арқылы қалыптастырылды. Бұл ретте классикалық және заманауи ғалымдардың теориялары жүйеленді. Жұмыстың ақпараттық базасы ретінд</w:t>
      </w:r>
      <w:r>
        <w:rPr>
          <w:rFonts w:ascii="Times New Roman" w:hAnsi="Times New Roman"/>
          <w:bCs/>
          <w:sz w:val="28"/>
          <w:szCs w:val="28"/>
          <w:lang w:val="kk-KZ"/>
        </w:rPr>
        <w:t xml:space="preserve">е халықаралық Scopus базасындағы және басқа да ғылыми деректер қорындағы соңғы жарияланымдарға жасалған талдау пайдаланылды. </w:t>
      </w:r>
    </w:p>
    <w:p w:rsidR="005118AF" w:rsidRDefault="00EF60C3">
      <w:pPr>
        <w:tabs>
          <w:tab w:val="left" w:pos="951"/>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Диссертациялық жұмыстың әдіснамалық негізі қойылған міндеттерді шешуге бағытталған кешенді тәсілдерді қамтиды. Атап айтқанда, Қаза</w:t>
      </w:r>
      <w:r>
        <w:rPr>
          <w:rFonts w:ascii="Times New Roman" w:hAnsi="Times New Roman"/>
          <w:bCs/>
          <w:sz w:val="28"/>
          <w:szCs w:val="28"/>
          <w:lang w:val="kk-KZ"/>
        </w:rPr>
        <w:t>қстанның</w:t>
      </w:r>
      <w:r>
        <w:rPr>
          <w:rFonts w:ascii="Times New Roman" w:hAnsi="Times New Roman"/>
          <w:bCs/>
          <w:sz w:val="28"/>
          <w:szCs w:val="28"/>
          <w:lang w:val="kk-KZ"/>
        </w:rPr>
        <w:t xml:space="preserve"> тамақ өнеркәсібі саласындағы инновациялық қызметті әлемнің басқа да озық, дамыған елдерімен салыстыру арқылы объективті бағалауға мүмкіндік беретін бенчмаркинг әдісіне негізделген азық-түлік инновацияларының жаһандық индексі әдістемесі қолданылды.</w:t>
      </w:r>
      <w:r>
        <w:rPr>
          <w:rFonts w:ascii="Times New Roman" w:hAnsi="Times New Roman"/>
          <w:bCs/>
          <w:sz w:val="28"/>
          <w:szCs w:val="28"/>
          <w:lang w:val="kk-KZ"/>
        </w:rPr>
        <w:t xml:space="preserve"> Сонымен қатар, Қазақстанның тамақ өнеркәсібі кәсіпорындарының стратегиялық дамуындағы ашық инновацияларды қолдану дәрежесін бағалау үшін зерттеудің талдау бөлігінде </w:t>
      </w:r>
      <w:r>
        <w:rPr>
          <w:rFonts w:ascii="Times New Roman" w:eastAsia="DengXian" w:hAnsi="Times New Roman"/>
          <w:sz w:val="28"/>
          <w:szCs w:val="28"/>
          <w:lang w:val="kk-KZ"/>
        </w:rPr>
        <w:t>құрылымдық</w:t>
      </w:r>
      <w:r>
        <w:rPr>
          <w:rFonts w:ascii="Times New Roman" w:eastAsia="DengXian" w:hAnsi="Times New Roman"/>
          <w:sz w:val="28"/>
          <w:szCs w:val="28"/>
          <w:lang w:val="kk-KZ"/>
        </w:rPr>
        <w:t xml:space="preserve"> сауалнама жүргізілді. Алынған деректерді талдауда сандық және сапалық әдістерді</w:t>
      </w:r>
      <w:r>
        <w:rPr>
          <w:rFonts w:ascii="Times New Roman" w:eastAsia="DengXian" w:hAnsi="Times New Roman"/>
          <w:sz w:val="28"/>
          <w:szCs w:val="28"/>
          <w:lang w:val="kk-KZ"/>
        </w:rPr>
        <w:t>ң</w:t>
      </w:r>
      <w:r>
        <w:rPr>
          <w:rFonts w:ascii="Times New Roman" w:eastAsia="DengXian" w:hAnsi="Times New Roman"/>
          <w:sz w:val="28"/>
          <w:szCs w:val="28"/>
          <w:lang w:val="kk-KZ"/>
        </w:rPr>
        <w:t xml:space="preserve"> үлгілері қолданылды. Ал диссертациялық жұмыстың ұсыныс бөлімінде ұсынылған тұрақты ашық инновация үлгілері  стратегиялық талдау қағидаттарына сүйеніп, үлгідегі айнымалылар арасындағы күрделі байланысты дәлелдеу үшін медиация және модерация әдістері негіз</w:t>
      </w:r>
      <w:r>
        <w:rPr>
          <w:rFonts w:ascii="Times New Roman" w:eastAsia="DengXian" w:hAnsi="Times New Roman"/>
          <w:sz w:val="28"/>
          <w:szCs w:val="28"/>
          <w:lang w:val="kk-KZ"/>
        </w:rPr>
        <w:t xml:space="preserve">інде әзірленді. Осы әдіснамалық құралдардың жиынтығы диссертацияның теориялық тұжырымдамаларын дәлелдеп, қолданбалы ұсыныстарды негіздеуге мүмкіндік берді.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Диссертациялық жұмыстың ғылыми жаңалығы.</w:t>
      </w:r>
      <w:r>
        <w:rPr>
          <w:rFonts w:ascii="Times New Roman" w:hAnsi="Times New Roman"/>
          <w:bCs/>
          <w:sz w:val="28"/>
          <w:szCs w:val="28"/>
          <w:lang w:val="kk-KZ"/>
        </w:rPr>
        <w:t xml:space="preserve"> </w:t>
      </w:r>
      <w:r>
        <w:rPr>
          <w:rFonts w:ascii="Times New Roman" w:hAnsi="Times New Roman"/>
          <w:sz w:val="28"/>
          <w:szCs w:val="28"/>
          <w:lang w:val="kk-KZ"/>
        </w:rPr>
        <w:t xml:space="preserve"> </w:t>
      </w:r>
    </w:p>
    <w:p w:rsidR="005118AF" w:rsidRDefault="00EF60C3">
      <w:pPr>
        <w:tabs>
          <w:tab w:val="left" w:pos="951"/>
        </w:tabs>
        <w:spacing w:after="0" w:line="240" w:lineRule="auto"/>
        <w:ind w:firstLine="709"/>
        <w:jc w:val="both"/>
        <w:rPr>
          <w:rFonts w:ascii="Times New Roman" w:hAnsi="Times New Roman"/>
          <w:bCs/>
          <w:sz w:val="28"/>
          <w:szCs w:val="28"/>
          <w:lang w:val="kk-KZ"/>
        </w:rPr>
      </w:pPr>
      <w:r>
        <w:rPr>
          <w:rFonts w:ascii="Times New Roman" w:hAnsi="Times New Roman"/>
          <w:bCs/>
          <w:sz w:val="28"/>
          <w:szCs w:val="28"/>
          <w:lang w:val="kk-KZ"/>
        </w:rPr>
        <w:t xml:space="preserve">Диссертациялық жұмыстың теориялық және әдіснамалық негіздерді дамытуға қосқан ғылыми жаңалығы, сондай-ақ практикалық мәселелерді шешудегі үлесі мына төмендегі тұжырымдармен айқындалды: </w:t>
      </w:r>
    </w:p>
    <w:p w:rsidR="005118AF" w:rsidRDefault="00EF60C3">
      <w:pPr>
        <w:pStyle w:val="af0"/>
        <w:numPr>
          <w:ilvl w:val="0"/>
          <w:numId w:val="4"/>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Ашық инновациялар теориясының жүйеленген тұжырымдамасын ұсыну: Ашық ин</w:t>
      </w:r>
      <w:r>
        <w:rPr>
          <w:rFonts w:ascii="Times New Roman" w:hAnsi="Times New Roman" w:cs="Times New Roman"/>
          <w:sz w:val="28"/>
          <w:szCs w:val="28"/>
          <w:lang w:val="kk-KZ"/>
        </w:rPr>
        <w:t>новация теориясының классикалық үлгілерінен бастап қазіргі заманғы тұрақты ашық инновация тұжырымдамасына дейінгі даму кезеңдерін сипаттау арқылы тамақ өнеркәсібі кәсіпорындарының тұрақты дамуы үшін инновациялық басқарудың теориялық-әдіснамалық негізі жүйе</w:t>
      </w:r>
      <w:r>
        <w:rPr>
          <w:rFonts w:ascii="Times New Roman" w:hAnsi="Times New Roman" w:cs="Times New Roman"/>
          <w:sz w:val="28"/>
          <w:szCs w:val="28"/>
          <w:lang w:val="kk-KZ"/>
        </w:rPr>
        <w:t>ленді және тереңдетілді.</w:t>
      </w:r>
    </w:p>
    <w:p w:rsidR="005118AF" w:rsidRDefault="00EF60C3">
      <w:pPr>
        <w:pStyle w:val="af0"/>
        <w:numPr>
          <w:ilvl w:val="0"/>
          <w:numId w:val="4"/>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Авторлық бағалау құралын қалыптастыру: қолданыстағы әдістемелік тәсілдерді жетілдіру негізінде Қазақстан Республикасындағы тамақ өнеркәсібі кәсіпорындарының инновациялық қызметін бағалауға арналған Азық-түлік инновацияларының жаһан</w:t>
      </w:r>
      <w:r>
        <w:rPr>
          <w:rFonts w:ascii="Times New Roman" w:hAnsi="Times New Roman" w:cs="Times New Roman"/>
          <w:sz w:val="28"/>
          <w:szCs w:val="28"/>
          <w:lang w:val="kk-KZ"/>
        </w:rPr>
        <w:t>дық индексі атты авторлық бағалау құралы қалыптастырылды.</w:t>
      </w:r>
    </w:p>
    <w:p w:rsidR="005118AF" w:rsidRDefault="00EF60C3">
      <w:pPr>
        <w:pStyle w:val="af0"/>
        <w:numPr>
          <w:ilvl w:val="0"/>
          <w:numId w:val="4"/>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Тамақ өнеркәсібі кәсіпорындарының стратегиялық дамуындағы ашық инновацияларды қолдану дәрежесін бағалау әдістемесін негіздеу: бұл бағалау әдістемесі тамақ өнеркәсібі кәсіпорындарының инновациялық әлеуеті, ашық инновацияларға дайындық дәрежесі мен тұрақты д</w:t>
      </w:r>
      <w:r>
        <w:rPr>
          <w:rFonts w:ascii="Times New Roman" w:hAnsi="Times New Roman" w:cs="Times New Roman"/>
          <w:sz w:val="28"/>
          <w:szCs w:val="28"/>
          <w:lang w:val="kk-KZ"/>
        </w:rPr>
        <w:t xml:space="preserve">аму бойынша стратегиялық басымдылықтарын бағалаудың жаңа әдістемесі ретінде негізделді. </w:t>
      </w:r>
    </w:p>
    <w:p w:rsidR="005118AF" w:rsidRDefault="00EF60C3">
      <w:pPr>
        <w:pStyle w:val="af0"/>
        <w:numPr>
          <w:ilvl w:val="0"/>
          <w:numId w:val="4"/>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sz w:val="28"/>
          <w:szCs w:val="28"/>
          <w:lang w:val="kk-KZ"/>
        </w:rPr>
        <w:t>ҚР</w:t>
      </w:r>
      <w:r>
        <w:rPr>
          <w:rFonts w:ascii="Times New Roman" w:hAnsi="Times New Roman"/>
          <w:sz w:val="28"/>
          <w:szCs w:val="28"/>
          <w:lang w:val="kk-KZ"/>
        </w:rPr>
        <w:t xml:space="preserve"> тамақ өнеркәсібінің инновациялық дамуының интеграциялық құрылымын қалыптастыру тетігін ұсыну: ол еліміздің тамақ өнеркәсібінің инновациялық дамуының тиімділігін арт</w:t>
      </w:r>
      <w:r>
        <w:rPr>
          <w:rFonts w:ascii="Times New Roman" w:hAnsi="Times New Roman"/>
          <w:sz w:val="28"/>
          <w:szCs w:val="28"/>
          <w:lang w:val="kk-KZ"/>
        </w:rPr>
        <w:t>тыруға бағытталған макродеңгейдегі  платформа қағидаттарына негізделе ұсынылған.</w:t>
      </w:r>
    </w:p>
    <w:p w:rsidR="005118AF" w:rsidRDefault="00EF60C3">
      <w:pPr>
        <w:pStyle w:val="af0"/>
        <w:numPr>
          <w:ilvl w:val="0"/>
          <w:numId w:val="4"/>
        </w:numPr>
        <w:tabs>
          <w:tab w:val="left" w:pos="851"/>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Тұрақты ашық инновациялардың сараланған үлгілерін әзірлеу: тұрақты даму қағидаларының инновациялық стратегияның міндетті компоненті ретінде кіріктірілуге негізделген тамақ өне</w:t>
      </w:r>
      <w:r>
        <w:rPr>
          <w:rFonts w:ascii="Times New Roman" w:hAnsi="Times New Roman" w:cs="Times New Roman"/>
          <w:sz w:val="28"/>
          <w:szCs w:val="28"/>
          <w:lang w:val="kk-KZ"/>
        </w:rPr>
        <w:t>ркәсібі кәсіпорындарының  Тұрақты ашық инновациялық тұжырымдамалық үлгілері ұсынылды. Сонымен қатар, осы сараланған үлгілерді енгізудің тиімділігін бағалауға мүмкіндік беретін модерация және медиация әдістеріне негізделген тиімділік көрсеткіштерінің әдісте</w:t>
      </w:r>
      <w:r>
        <w:rPr>
          <w:rFonts w:ascii="Times New Roman" w:hAnsi="Times New Roman" w:cs="Times New Roman"/>
          <w:sz w:val="28"/>
          <w:szCs w:val="28"/>
          <w:lang w:val="kk-KZ"/>
        </w:rPr>
        <w:t xml:space="preserve">месі ұсынылды. Аталмыш үлгілердің жаңалығы - олардың тамақ өнеркәсібі саласының ірі бизнес және ШОК үшін сараланған құрылымға ие болуында. </w:t>
      </w:r>
    </w:p>
    <w:p w:rsidR="005118AF" w:rsidRDefault="00EF60C3">
      <w:pPr>
        <w:tabs>
          <w:tab w:val="left" w:pos="951"/>
        </w:tabs>
        <w:spacing w:after="0" w:line="240" w:lineRule="auto"/>
        <w:ind w:firstLine="709"/>
        <w:jc w:val="both"/>
        <w:rPr>
          <w:rFonts w:ascii="Times New Roman" w:hAnsi="Times New Roman" w:cs="Times New Roman"/>
          <w:sz w:val="28"/>
          <w:szCs w:val="28"/>
          <w:lang w:val="kk-KZ"/>
        </w:rPr>
      </w:pPr>
      <w:r>
        <w:rPr>
          <w:rFonts w:ascii="Times New Roman" w:hAnsi="Times New Roman"/>
          <w:b/>
          <w:bCs/>
          <w:sz w:val="28"/>
          <w:szCs w:val="28"/>
          <w:lang w:val="kk-KZ"/>
        </w:rPr>
        <w:t>Қорғауға</w:t>
      </w:r>
      <w:r>
        <w:rPr>
          <w:rFonts w:ascii="Times New Roman" w:hAnsi="Times New Roman"/>
          <w:b/>
          <w:bCs/>
          <w:sz w:val="28"/>
          <w:szCs w:val="28"/>
          <w:lang w:val="kk-KZ"/>
        </w:rPr>
        <w:t xml:space="preserve"> ұсынылатын ғылыми нәтижелер: </w:t>
      </w:r>
    </w:p>
    <w:p w:rsidR="005118AF" w:rsidRDefault="00EF60C3">
      <w:pPr>
        <w:pStyle w:val="af0"/>
        <w:tabs>
          <w:tab w:val="left" w:pos="851"/>
        </w:tabs>
        <w:spacing w:after="0" w:line="240" w:lineRule="auto"/>
        <w:ind w:left="0" w:firstLineChars="253" w:firstLine="708"/>
        <w:jc w:val="both"/>
        <w:rPr>
          <w:rFonts w:ascii="Times New Roman" w:hAnsi="Times New Roman" w:cs="Times New Roman"/>
          <w:sz w:val="28"/>
          <w:szCs w:val="28"/>
          <w:lang w:val="kk-KZ"/>
        </w:rPr>
      </w:pPr>
      <w:r>
        <w:rPr>
          <w:rFonts w:ascii="Times New Roman" w:hAnsi="Times New Roman" w:cs="Times New Roman"/>
          <w:sz w:val="28"/>
          <w:szCs w:val="28"/>
          <w:lang w:val="kk-KZ"/>
        </w:rPr>
        <w:t>1 нәтиже. Ашық инновациялар теориясының қалыптасу кезеңдерінен бастап тұрақты</w:t>
      </w:r>
      <w:r>
        <w:rPr>
          <w:rFonts w:ascii="Times New Roman" w:hAnsi="Times New Roman" w:cs="Times New Roman"/>
          <w:sz w:val="28"/>
          <w:szCs w:val="28"/>
          <w:lang w:val="kk-KZ"/>
        </w:rPr>
        <w:t xml:space="preserve"> ашық инновацияға өтуді сипаттау арқылы тамақ өнеркәсібі кәсіпорындарының тұрақты дамуы үшін инновацияны басқарудың теориялық-әдіснамалық негізін жүйелеу. Бұл отандық ғылымда инновациялық менеджменттің теориялық аппаратын нақтылауға және жаңа тұжырымдамасы</w:t>
      </w:r>
      <w:r>
        <w:rPr>
          <w:rFonts w:ascii="Times New Roman" w:hAnsi="Times New Roman" w:cs="Times New Roman"/>
          <w:sz w:val="28"/>
          <w:szCs w:val="28"/>
          <w:lang w:val="kk-KZ"/>
        </w:rPr>
        <w:t>н әзірлеуге мүмкіндік береді.</w:t>
      </w:r>
    </w:p>
    <w:p w:rsidR="005118AF" w:rsidRDefault="00EF60C3">
      <w:pPr>
        <w:pStyle w:val="af0"/>
        <w:tabs>
          <w:tab w:val="left" w:pos="851"/>
        </w:tabs>
        <w:spacing w:after="0" w:line="240" w:lineRule="auto"/>
        <w:ind w:left="0" w:firstLineChars="253" w:firstLine="708"/>
        <w:jc w:val="both"/>
        <w:rPr>
          <w:rFonts w:ascii="Times New Roman" w:hAnsi="Times New Roman" w:cs="Times New Roman"/>
          <w:sz w:val="28"/>
          <w:szCs w:val="28"/>
          <w:lang w:val="kk-KZ"/>
        </w:rPr>
      </w:pPr>
      <w:r>
        <w:rPr>
          <w:rFonts w:ascii="Times New Roman" w:hAnsi="Times New Roman" w:cs="Times New Roman"/>
          <w:sz w:val="28"/>
          <w:szCs w:val="28"/>
          <w:lang w:val="kk-KZ"/>
        </w:rPr>
        <w:t>2-нәтиже. Тамақ өнеркәсібі саласының ерекшеліктерін ескере отырып, қолданыстағы әдіснамалық тәсілдерді жетілдіру негізінде Азық-түлік инновацияларының жаһандық индексі атты авторлық бағалау құралын қалыптастыру және оны қолдан</w:t>
      </w:r>
      <w:r>
        <w:rPr>
          <w:rFonts w:ascii="Times New Roman" w:hAnsi="Times New Roman" w:cs="Times New Roman"/>
          <w:sz w:val="28"/>
          <w:szCs w:val="28"/>
          <w:lang w:val="kk-KZ"/>
        </w:rPr>
        <w:t>у әдістемесін ұсыну. Бұл индекс Қазақстанның тамақ өнеркәсібінің инновациялық қызметін дамыған елдермен салыстырмалы түрде кешенді бағалауға арналған.</w:t>
      </w:r>
    </w:p>
    <w:p w:rsidR="005118AF" w:rsidRDefault="00EF60C3">
      <w:pPr>
        <w:pStyle w:val="af0"/>
        <w:numPr>
          <w:ilvl w:val="0"/>
          <w:numId w:val="5"/>
        </w:numPr>
        <w:tabs>
          <w:tab w:val="left" w:pos="851"/>
        </w:tabs>
        <w:spacing w:after="0" w:line="240" w:lineRule="auto"/>
        <w:ind w:left="0" w:firstLineChars="253"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нәтиже. Тамақ өнеркәсібі кәсіпорындарындағы ашық инновацияларды қолдану дәрежесін негіздеу және апробация</w:t>
      </w:r>
      <w:r>
        <w:rPr>
          <w:rFonts w:ascii="Times New Roman" w:hAnsi="Times New Roman" w:cs="Times New Roman"/>
          <w:sz w:val="28"/>
          <w:szCs w:val="28"/>
          <w:lang w:val="kk-KZ"/>
        </w:rPr>
        <w:t>лау. Әдістеменің жаңалығы - оның кәсіпорынның дәстүрлі ішкі ресурстық көрсеткіштерінен (мысалы, ғылыми-зерттеу жұмыстарына инвестиция сияқты) басқа, сырқы және ішкі инновациялық белсенділікті енгізуге дайындық дәрежесін ескеруінде және тұрақты даму мақсатт</w:t>
      </w:r>
      <w:r>
        <w:rPr>
          <w:rFonts w:ascii="Times New Roman" w:hAnsi="Times New Roman" w:cs="Times New Roman"/>
          <w:sz w:val="28"/>
          <w:szCs w:val="28"/>
          <w:lang w:val="kk-KZ"/>
        </w:rPr>
        <w:t xml:space="preserve">ары аясындағы стратегиялық басымдылықтармен үйлестіре зерттеуінде. </w:t>
      </w:r>
    </w:p>
    <w:p w:rsidR="005118AF" w:rsidRDefault="00EF60C3">
      <w:pPr>
        <w:pStyle w:val="af0"/>
        <w:numPr>
          <w:ilvl w:val="0"/>
          <w:numId w:val="5"/>
        </w:numPr>
        <w:tabs>
          <w:tab w:val="left" w:pos="851"/>
        </w:tabs>
        <w:spacing w:after="0" w:line="240" w:lineRule="auto"/>
        <w:ind w:left="0" w:firstLineChars="253"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нәтиже. Тамақ өнеркәсібіндегі инновациялық нәтижелілікті арттыруға бағытталған Қазақстан Республикасындағы тамақ өнеркәсібі кәсіпорындарының инновациялық дамуының интеграциялық құрылымын қ</w:t>
      </w:r>
      <w:r>
        <w:rPr>
          <w:rFonts w:ascii="Times New Roman" w:hAnsi="Times New Roman" w:cs="Times New Roman"/>
          <w:sz w:val="28"/>
          <w:szCs w:val="28"/>
          <w:lang w:val="kk-KZ"/>
        </w:rPr>
        <w:t>алыптастыру механизмін ұсыну. Механизмнің маңыздылығы оның макродеңгейдегі платформа ретінде ғылыми орта, бизнес және мемлекеттік құрылымдар арасындағы ғылыми-зерттеу жұмыстары бойынша ортақ ынтымақтастықты ұйымдастырудың институционалдық тетіктерін қамтуы</w:t>
      </w:r>
      <w:r>
        <w:rPr>
          <w:rFonts w:ascii="Times New Roman" w:hAnsi="Times New Roman" w:cs="Times New Roman"/>
          <w:sz w:val="28"/>
          <w:szCs w:val="28"/>
          <w:lang w:val="kk-KZ"/>
        </w:rPr>
        <w:t xml:space="preserve">нда. </w:t>
      </w:r>
    </w:p>
    <w:p w:rsidR="005118AF" w:rsidRDefault="00EF60C3">
      <w:pPr>
        <w:pStyle w:val="af0"/>
        <w:numPr>
          <w:ilvl w:val="0"/>
          <w:numId w:val="5"/>
        </w:numPr>
        <w:tabs>
          <w:tab w:val="left" w:pos="851"/>
        </w:tabs>
        <w:spacing w:after="0" w:line="240" w:lineRule="auto"/>
        <w:ind w:left="0" w:firstLineChars="253"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 Тамақ өнеркәсібі кәсіпорындарының инновациялық үдерістерінің тиімділігін арттыру және тұрақты даму мақсаттарына жету үшін Тұрақты ашық инновациялардың тұжырымдамалық үлгілері қалыптастырылды. Үлгілердің жаңашылдығы олардың кәсіпорын ауқымына </w:t>
      </w:r>
      <w:r>
        <w:rPr>
          <w:rFonts w:ascii="Times New Roman" w:hAnsi="Times New Roman" w:cs="Times New Roman"/>
          <w:sz w:val="28"/>
          <w:szCs w:val="28"/>
          <w:lang w:val="kk-KZ"/>
        </w:rPr>
        <w:t>қатай</w:t>
      </w:r>
      <w:r>
        <w:rPr>
          <w:rFonts w:ascii="Times New Roman" w:hAnsi="Times New Roman" w:cs="Times New Roman"/>
          <w:sz w:val="28"/>
          <w:szCs w:val="28"/>
          <w:lang w:val="kk-KZ"/>
        </w:rPr>
        <w:t xml:space="preserve"> (ірі кәсіпорын және ШОК) сараланған құрылымдарының болуында, сондай-ақ инновациялық стратегияның компоненті ретінде тұрақтылық қағидасының ескерілуінде. Сонымен қатар, инновациялық белсенділік пен тұрақтылық нәтижелері арасындағы себеп-салдардың байл</w:t>
      </w:r>
      <w:r>
        <w:rPr>
          <w:rFonts w:ascii="Times New Roman" w:hAnsi="Times New Roman" w:cs="Times New Roman"/>
          <w:sz w:val="28"/>
          <w:szCs w:val="28"/>
          <w:lang w:val="kk-KZ"/>
        </w:rPr>
        <w:t xml:space="preserve">аныстарды ғылыми тұрғыдан негіздеуге мүмкіндік беретін модерация және медиация әдістеріне негізделген тиімділік көрсеткіштерінің әдістемесі әзірленді. </w:t>
      </w:r>
    </w:p>
    <w:p w:rsidR="005118AF" w:rsidRDefault="00EF60C3">
      <w:pPr>
        <w:pStyle w:val="af0"/>
        <w:tabs>
          <w:tab w:val="left" w:pos="851"/>
        </w:tabs>
        <w:spacing w:after="0" w:line="240" w:lineRule="auto"/>
        <w:ind w:left="0" w:firstLineChars="250" w:firstLine="700"/>
        <w:jc w:val="both"/>
        <w:rPr>
          <w:rFonts w:ascii="Times New Roman" w:hAnsi="Times New Roman"/>
          <w:sz w:val="28"/>
          <w:szCs w:val="28"/>
          <w:lang w:val="kk-KZ"/>
        </w:rPr>
      </w:pPr>
      <w:r>
        <w:rPr>
          <w:rFonts w:ascii="Times New Roman" w:hAnsi="Times New Roman"/>
          <w:b/>
          <w:sz w:val="28"/>
          <w:szCs w:val="28"/>
          <w:lang w:val="kk-KZ"/>
        </w:rPr>
        <w:t xml:space="preserve">Зерттеудің практикалық маңыздылығы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Диссертациялық жұмыстың негізгі нәтижелері Қазақстан Республикасында</w:t>
      </w:r>
      <w:r>
        <w:rPr>
          <w:rFonts w:ascii="Times New Roman" w:hAnsi="Times New Roman"/>
          <w:sz w:val="28"/>
          <w:szCs w:val="28"/>
          <w:lang w:val="kk-KZ"/>
        </w:rPr>
        <w:t>ғы</w:t>
      </w:r>
      <w:r>
        <w:rPr>
          <w:rFonts w:ascii="Times New Roman" w:hAnsi="Times New Roman"/>
          <w:sz w:val="28"/>
          <w:szCs w:val="28"/>
          <w:lang w:val="kk-KZ"/>
        </w:rPr>
        <w:t xml:space="preserve"> тамақ өнеркәсібі кәсіпорындарының инновациялық дамуын басқаруды жетілдіруге бағытталған және олардың практикалық маңыздылығын бірнеше деңгейде және бағыттарда сипаттауға болады:</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Біріншіден, макродеңгейде диссертациялық зерттеу қорытындылары ҚР Ауыл шаруашылыңы министрлігі, ҚР Ғылым және жоғары білім министрлігі сияқты орталық мемлекеттік органдар мен “Атамекен” Қазақстан Республикасының Ұлттық Кәсіпкерлер Палатасы коммерциялық еме</w:t>
      </w:r>
      <w:r>
        <w:rPr>
          <w:rFonts w:ascii="Times New Roman" w:hAnsi="Times New Roman"/>
          <w:sz w:val="28"/>
          <w:szCs w:val="28"/>
          <w:lang w:val="kk-KZ"/>
        </w:rPr>
        <w:t>с ұйымдары үшін құнды ұсыныстар береді. Атап айтқанда, зерттеу нәтижесінде ұсынылған инновациялық дамытудың интеграциялық құрылымын қалыптастыру тетігі ғылыми-академиялық орта, мемлекет пен тамақ өнеркәсібі кәсіпорындары арасындағы ғылыми-зерттеу саласында</w:t>
      </w:r>
      <w:r>
        <w:rPr>
          <w:rFonts w:ascii="Times New Roman" w:hAnsi="Times New Roman"/>
          <w:sz w:val="28"/>
          <w:szCs w:val="28"/>
          <w:lang w:val="kk-KZ"/>
        </w:rPr>
        <w:t>ғы</w:t>
      </w:r>
      <w:r>
        <w:rPr>
          <w:rFonts w:ascii="Times New Roman" w:hAnsi="Times New Roman"/>
          <w:sz w:val="28"/>
          <w:szCs w:val="28"/>
          <w:lang w:val="kk-KZ"/>
        </w:rPr>
        <w:t xml:space="preserve"> ынтымақтастығын дамытудың мемлекеттік бағдарламаларын әзірлеуде және жетілдіруде қолданылуы мүмкін. Ал азық-түлік инновациялрының жаһандық индексі атты авторлық бағалау құралы стратегиялық жоспарлау органдары үшін саланың инновациялық қызметін кешенді б</w:t>
      </w:r>
      <w:r>
        <w:rPr>
          <w:rFonts w:ascii="Times New Roman" w:hAnsi="Times New Roman"/>
          <w:sz w:val="28"/>
          <w:szCs w:val="28"/>
          <w:lang w:val="kk-KZ"/>
        </w:rPr>
        <w:t xml:space="preserve">ағалау мен мониторингілеу мақсатында пайдаланыла алады.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Екіншіден, диссертациялық зерттеу нәтижелері кәсіпорын деңгейінде  тікелей тамақ өнеркәсібі кәсіпорындарының қызметінде қолдануға арналған нақты құралдар ұсынады. Ірі және ШОК-ге бейімделіп ұсынылған</w:t>
      </w:r>
      <w:r>
        <w:rPr>
          <w:rFonts w:ascii="Times New Roman" w:hAnsi="Times New Roman"/>
          <w:sz w:val="28"/>
          <w:szCs w:val="28"/>
          <w:lang w:val="kk-KZ"/>
        </w:rPr>
        <w:t xml:space="preserve"> Тұрақты ашық инновациялардың тұжырымдамалық үлгілері кәсіпорындардың инновациялық даму стратегияларын әзірлеуде және олардың тұрақты даму қағидаларына өтеге негіз ретінде пайдаланылады. Оған қоса, ұсынылған стратегиялық дамуда ашық инновациялар тәжірибесі</w:t>
      </w:r>
      <w:r>
        <w:rPr>
          <w:rFonts w:ascii="Times New Roman" w:hAnsi="Times New Roman"/>
          <w:sz w:val="28"/>
          <w:szCs w:val="28"/>
          <w:lang w:val="kk-KZ"/>
        </w:rPr>
        <w:t xml:space="preserve">н қолдану дәрежесін бағалау әдістемесі кәсіпорын басшылығына инновациялық аутсорсинге немесе ішкі ресурстарға негізделген оңтайлы басқарушылық шешімдер қабылдауға көмектеседі.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Үшіншіден</w:t>
      </w:r>
      <w:r>
        <w:rPr>
          <w:rFonts w:ascii="Times New Roman" w:hAnsi="Times New Roman"/>
          <w:sz w:val="28"/>
          <w:szCs w:val="28"/>
          <w:lang w:val="kk-KZ"/>
        </w:rPr>
        <w:t>, диссертациялық жұмыстың теориялық қорытындылары мен жүйелеулері жоға</w:t>
      </w:r>
      <w:r>
        <w:rPr>
          <w:rFonts w:ascii="Times New Roman" w:hAnsi="Times New Roman"/>
          <w:sz w:val="28"/>
          <w:szCs w:val="28"/>
          <w:lang w:val="kk-KZ"/>
        </w:rPr>
        <w:t xml:space="preserve">ры оқу орындарында оқу-әдістемелік құрал ретінде қолданыла алады (Қосымша А). </w:t>
      </w:r>
    </w:p>
    <w:p w:rsidR="005118AF" w:rsidRDefault="00EF60C3">
      <w:pPr>
        <w:tabs>
          <w:tab w:val="left" w:pos="951"/>
        </w:tabs>
        <w:spacing w:after="0" w:line="240" w:lineRule="auto"/>
        <w:ind w:firstLine="709"/>
        <w:jc w:val="both"/>
        <w:rPr>
          <w:rFonts w:ascii="Times New Roman" w:hAnsi="Times New Roman"/>
          <w:b/>
          <w:sz w:val="28"/>
          <w:szCs w:val="28"/>
          <w:lang w:val="kk-KZ"/>
        </w:rPr>
      </w:pPr>
      <w:r>
        <w:rPr>
          <w:rFonts w:ascii="Times New Roman" w:hAnsi="Times New Roman"/>
          <w:b/>
          <w:bCs/>
          <w:sz w:val="28"/>
          <w:szCs w:val="28"/>
          <w:lang w:val="kk-KZ"/>
        </w:rPr>
        <w:t>Зерттеудің ақпараттық базасы</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Диссертациялық зерттеудің теориялық, әдіснамалық және эмпирикалық негіздемелері жан-жақты ақпараттық базаға сүйенеді. Жұмыстың нормативтік-құықтық н</w:t>
      </w:r>
      <w:r>
        <w:rPr>
          <w:rFonts w:ascii="Times New Roman" w:hAnsi="Times New Roman"/>
          <w:sz w:val="28"/>
          <w:szCs w:val="28"/>
          <w:lang w:val="kk-KZ"/>
        </w:rPr>
        <w:t xml:space="preserve">егізін Қазақстан Республикасының заңнамалық актілері, Президент Жолдаулары мен мемлекеттік бағдарламалары құрады.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Ал жұмыстың талдамалық қорытындылары ҚР Стратегиялық жоспарлау реформалау агенттігі Ұлттық Статистика Бюросының, ҚР Ауыл шаруашылығы министрл</w:t>
      </w:r>
      <w:r>
        <w:rPr>
          <w:rFonts w:ascii="Times New Roman" w:hAnsi="Times New Roman"/>
          <w:sz w:val="28"/>
          <w:szCs w:val="28"/>
          <w:lang w:val="kk-KZ"/>
        </w:rPr>
        <w:t>ігінің ресми есептері мен статистикалық деректеріне сүйене отырып жасалды. Зерттеудің халықаралық контекстін дәлелдеу үшін Дүниежүзілік банк, Экономикалық Ынтымақтастық және даму ұйымы, Дүниежүзілік зияткерлік меншік ұйымы сияқты халықаралық ұйымдардың жән</w:t>
      </w:r>
      <w:r>
        <w:rPr>
          <w:rFonts w:ascii="Times New Roman" w:hAnsi="Times New Roman"/>
          <w:sz w:val="28"/>
          <w:szCs w:val="28"/>
          <w:lang w:val="kk-KZ"/>
        </w:rPr>
        <w:t xml:space="preserve">е салалық ұйымдардың ресми сайттарының ақпараттық-талдау материалдары пайдаланылды.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Диссертациялық зерттеудің теориялық негізін қалыптастыру үшін отандық және шетелдік жетекші ғалымдардың еңбектері, сондай-ақ Scopus және Web of Science деректер базаларынд</w:t>
      </w:r>
      <w:r>
        <w:rPr>
          <w:rFonts w:ascii="Times New Roman" w:hAnsi="Times New Roman"/>
          <w:sz w:val="28"/>
          <w:szCs w:val="28"/>
          <w:lang w:val="kk-KZ"/>
        </w:rPr>
        <w:t xml:space="preserve">ағы ғылыми басылымдарға шолу жасалды. Эмпирикалық талдаудың сенімділігін қамтамасыз ету үшін диссертация автордың тікелей қатысуымен жүргізілген құрылымдық сауалнаманың және эконометрикалық үлгілеудің бастапқы деректері қолданылды.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b/>
          <w:bCs/>
          <w:sz w:val="28"/>
          <w:szCs w:val="28"/>
          <w:lang w:val="kk-KZ"/>
        </w:rPr>
        <w:t>Зерттеу</w:t>
      </w:r>
      <w:r>
        <w:rPr>
          <w:rFonts w:ascii="Times New Roman" w:hAnsi="Times New Roman"/>
          <w:b/>
          <w:bCs/>
          <w:sz w:val="28"/>
          <w:szCs w:val="28"/>
          <w:lang w:val="kk-KZ"/>
        </w:rPr>
        <w:t xml:space="preserve"> нәтижелерін апп</w:t>
      </w:r>
      <w:r>
        <w:rPr>
          <w:rFonts w:ascii="Times New Roman" w:hAnsi="Times New Roman"/>
          <w:b/>
          <w:bCs/>
          <w:sz w:val="28"/>
          <w:szCs w:val="28"/>
          <w:lang w:val="kk-KZ"/>
        </w:rPr>
        <w:t>робациялау.</w:t>
      </w:r>
      <w:r>
        <w:rPr>
          <w:rFonts w:ascii="Times New Roman" w:hAnsi="Times New Roman"/>
          <w:sz w:val="28"/>
          <w:szCs w:val="28"/>
          <w:lang w:val="kk-KZ"/>
        </w:rPr>
        <w:t xml:space="preserve">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Диссертациялық жұмыстың негізгі ережелері Л.Н. Гумилев атындағы Еуразия ұлттық университетінің “Менеджмент” кафедрасының ғылыми</w:t>
      </w:r>
      <w:r w:rsidRPr="008D1DAE">
        <w:rPr>
          <w:rFonts w:ascii="Times New Roman" w:hAnsi="Times New Roman"/>
          <w:sz w:val="28"/>
          <w:szCs w:val="28"/>
          <w:lang w:val="kk-KZ"/>
        </w:rPr>
        <w:t>-</w:t>
      </w:r>
      <w:r>
        <w:rPr>
          <w:rFonts w:ascii="Times New Roman" w:hAnsi="Times New Roman"/>
          <w:sz w:val="28"/>
          <w:szCs w:val="28"/>
          <w:lang w:val="kk-KZ"/>
        </w:rPr>
        <w:t>әдістемелік</w:t>
      </w:r>
      <w:r>
        <w:rPr>
          <w:rFonts w:ascii="Times New Roman" w:hAnsi="Times New Roman"/>
          <w:sz w:val="28"/>
          <w:szCs w:val="28"/>
          <w:lang w:val="kk-KZ"/>
        </w:rPr>
        <w:t xml:space="preserve"> семинары мен кеңейтілген отырысында талқыланды.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диссертациялық зерттеудің негізгі </w:t>
      </w:r>
      <w:r>
        <w:rPr>
          <w:rFonts w:ascii="Times New Roman" w:hAnsi="Times New Roman"/>
          <w:sz w:val="28"/>
          <w:szCs w:val="28"/>
          <w:lang w:val="kk-KZ"/>
        </w:rPr>
        <w:t>нәтижелері келесі іс</w:t>
      </w:r>
      <w:r w:rsidRPr="008D1DAE">
        <w:rPr>
          <w:rFonts w:ascii="Times New Roman" w:hAnsi="Times New Roman"/>
          <w:sz w:val="28"/>
          <w:szCs w:val="28"/>
          <w:lang w:val="kk-KZ"/>
        </w:rPr>
        <w:t>-</w:t>
      </w:r>
      <w:r>
        <w:rPr>
          <w:rFonts w:ascii="Times New Roman" w:hAnsi="Times New Roman"/>
          <w:sz w:val="28"/>
          <w:szCs w:val="28"/>
          <w:lang w:val="kk-KZ"/>
        </w:rPr>
        <w:t>шараларды баяндалып, ұсынылды: “Агроөнеркәсіптік кешенді дамыту перспективалары: өңірлік және мемлекетаралық аспектілер” атты халықаралық ғылыми конференциясында (Краснообск, Новосібір облысы, Ресей Федерациясы); “</w:t>
      </w:r>
      <w:r w:rsidRPr="008D1DAE">
        <w:rPr>
          <w:rFonts w:ascii="Times New Roman" w:hAnsi="Times New Roman"/>
          <w:sz w:val="28"/>
          <w:szCs w:val="28"/>
          <w:lang w:val="kk-KZ"/>
        </w:rPr>
        <w:t>ESG-</w:t>
      </w:r>
      <w:r>
        <w:rPr>
          <w:rFonts w:ascii="Times New Roman" w:hAnsi="Times New Roman"/>
          <w:sz w:val="28"/>
          <w:szCs w:val="28"/>
          <w:lang w:val="kk-KZ"/>
        </w:rPr>
        <w:t>факторларын корпо</w:t>
      </w:r>
      <w:r>
        <w:rPr>
          <w:rFonts w:ascii="Times New Roman" w:hAnsi="Times New Roman"/>
          <w:sz w:val="28"/>
          <w:szCs w:val="28"/>
          <w:lang w:val="kk-KZ"/>
        </w:rPr>
        <w:t>ративтік басқаруға интеграциялау” тақырыбындағы дөңгелек үстелде (Астана, Қазақстан).</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Қорғауға</w:t>
      </w:r>
      <w:r>
        <w:rPr>
          <w:rFonts w:ascii="Times New Roman" w:hAnsi="Times New Roman"/>
          <w:sz w:val="28"/>
          <w:szCs w:val="28"/>
          <w:lang w:val="kk-KZ"/>
        </w:rPr>
        <w:t xml:space="preserve"> ұсынылған нәтижелер мен тұжырымдар </w:t>
      </w:r>
      <w:r w:rsidRPr="008D1DAE">
        <w:rPr>
          <w:rFonts w:ascii="Times New Roman" w:hAnsi="Times New Roman"/>
          <w:sz w:val="28"/>
          <w:szCs w:val="28"/>
          <w:lang w:val="kk-KZ"/>
        </w:rPr>
        <w:t xml:space="preserve">14 </w:t>
      </w:r>
      <w:r>
        <w:rPr>
          <w:rFonts w:ascii="Times New Roman" w:hAnsi="Times New Roman"/>
          <w:sz w:val="28"/>
          <w:szCs w:val="28"/>
          <w:lang w:val="kk-KZ"/>
        </w:rPr>
        <w:t>ғылыми</w:t>
      </w:r>
      <w:r>
        <w:rPr>
          <w:rFonts w:ascii="Times New Roman" w:hAnsi="Times New Roman"/>
          <w:sz w:val="28"/>
          <w:szCs w:val="28"/>
          <w:lang w:val="kk-KZ"/>
        </w:rPr>
        <w:t xml:space="preserve"> басылымдарда көрініс тапты. Оның ішінде, </w:t>
      </w:r>
      <w:r w:rsidRPr="008D1DAE">
        <w:rPr>
          <w:rFonts w:ascii="Times New Roman" w:hAnsi="Times New Roman"/>
          <w:sz w:val="28"/>
          <w:szCs w:val="28"/>
          <w:lang w:val="kk-KZ"/>
        </w:rPr>
        <w:t xml:space="preserve">Scopus </w:t>
      </w:r>
      <w:r>
        <w:rPr>
          <w:rFonts w:ascii="Times New Roman" w:hAnsi="Times New Roman"/>
          <w:sz w:val="28"/>
          <w:szCs w:val="28"/>
          <w:lang w:val="kk-KZ"/>
        </w:rPr>
        <w:t xml:space="preserve">халықаралық ғылымиметриялық дерекқорында индекстелген басылымдарда </w:t>
      </w:r>
      <w:r w:rsidRPr="008D1DAE">
        <w:rPr>
          <w:rFonts w:ascii="Times New Roman" w:hAnsi="Times New Roman"/>
          <w:sz w:val="28"/>
          <w:szCs w:val="28"/>
          <w:lang w:val="kk-KZ"/>
        </w:rPr>
        <w:t>2</w:t>
      </w:r>
      <w:r w:rsidRPr="008D1DAE">
        <w:rPr>
          <w:rFonts w:ascii="Times New Roman" w:hAnsi="Times New Roman"/>
          <w:sz w:val="28"/>
          <w:szCs w:val="28"/>
          <w:lang w:val="kk-KZ"/>
        </w:rPr>
        <w:t xml:space="preserve"> </w:t>
      </w:r>
      <w:r>
        <w:rPr>
          <w:rFonts w:ascii="Times New Roman" w:hAnsi="Times New Roman"/>
          <w:sz w:val="28"/>
          <w:szCs w:val="28"/>
          <w:lang w:val="kk-KZ"/>
        </w:rPr>
        <w:t xml:space="preserve">мақала,  Қазақстан Республикасы Ғылым және жоғары білім министрлігі ұсынған рецензияланатын басылымдарда </w:t>
      </w:r>
      <w:r w:rsidRPr="008D1DAE">
        <w:rPr>
          <w:rFonts w:ascii="Times New Roman" w:hAnsi="Times New Roman"/>
          <w:sz w:val="28"/>
          <w:szCs w:val="28"/>
          <w:lang w:val="kk-KZ"/>
        </w:rPr>
        <w:t xml:space="preserve">5 </w:t>
      </w:r>
      <w:r>
        <w:rPr>
          <w:rFonts w:ascii="Times New Roman" w:hAnsi="Times New Roman"/>
          <w:sz w:val="28"/>
          <w:szCs w:val="28"/>
          <w:lang w:val="kk-KZ"/>
        </w:rPr>
        <w:t>мақала және халықаралық ғылыми</w:t>
      </w:r>
      <w:r w:rsidRPr="008D1DAE">
        <w:rPr>
          <w:rFonts w:ascii="Times New Roman" w:hAnsi="Times New Roman"/>
          <w:sz w:val="28"/>
          <w:szCs w:val="28"/>
          <w:lang w:val="kk-KZ"/>
        </w:rPr>
        <w:t>-</w:t>
      </w:r>
      <w:r>
        <w:rPr>
          <w:rFonts w:ascii="Times New Roman" w:hAnsi="Times New Roman"/>
          <w:sz w:val="28"/>
          <w:szCs w:val="28"/>
          <w:lang w:val="kk-KZ"/>
        </w:rPr>
        <w:t xml:space="preserve">практикалық конференциялардың еңбектер жинағында </w:t>
      </w:r>
      <w:r w:rsidRPr="008D1DAE">
        <w:rPr>
          <w:rFonts w:ascii="Times New Roman" w:hAnsi="Times New Roman"/>
          <w:sz w:val="28"/>
          <w:szCs w:val="28"/>
          <w:lang w:val="kk-KZ"/>
        </w:rPr>
        <w:t xml:space="preserve">7 </w:t>
      </w:r>
      <w:r>
        <w:rPr>
          <w:rFonts w:ascii="Times New Roman" w:hAnsi="Times New Roman"/>
          <w:sz w:val="28"/>
          <w:szCs w:val="28"/>
          <w:lang w:val="kk-KZ"/>
        </w:rPr>
        <w:t xml:space="preserve">мақала жарық көрді.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cs="Times New Roman"/>
          <w:b/>
          <w:color w:val="000000" w:themeColor="text1"/>
          <w:sz w:val="28"/>
          <w:szCs w:val="28"/>
          <w:lang w:val="kk-KZ"/>
        </w:rPr>
        <w:t>Зерттеу жұмысының құрылымы.</w:t>
      </w:r>
      <w:r>
        <w:rPr>
          <w:rFonts w:ascii="Times New Roman" w:hAnsi="Times New Roman" w:cs="Times New Roman"/>
          <w:color w:val="000000" w:themeColor="text1"/>
          <w:sz w:val="28"/>
          <w:szCs w:val="28"/>
          <w:lang w:val="kk-KZ"/>
        </w:rPr>
        <w:t xml:space="preserve"> Диссертациялық</w:t>
      </w:r>
      <w:r>
        <w:rPr>
          <w:rFonts w:ascii="Times New Roman" w:hAnsi="Times New Roman" w:cs="Times New Roman"/>
          <w:color w:val="000000" w:themeColor="text1"/>
          <w:sz w:val="28"/>
          <w:szCs w:val="28"/>
          <w:lang w:val="kk-KZ"/>
        </w:rPr>
        <w:t xml:space="preserve"> жұ</w:t>
      </w:r>
      <w:r>
        <w:rPr>
          <w:rFonts w:ascii="Times New Roman" w:hAnsi="Times New Roman" w:cs="Times New Roman"/>
          <w:color w:val="000000" w:themeColor="text1"/>
          <w:sz w:val="28"/>
          <w:szCs w:val="28"/>
          <w:lang w:val="kk-KZ"/>
        </w:rPr>
        <w:t xml:space="preserve">мыс кіріспеден, үш тараудан, қорытындыдан, пайдаланылған дереккөздер тізімінен және қосымшалардан тұрады. Негізгі мәтін </w:t>
      </w:r>
      <w:r w:rsidRPr="008D1DAE">
        <w:rPr>
          <w:rFonts w:ascii="Times New Roman" w:hAnsi="Times New Roman" w:cs="Times New Roman"/>
          <w:color w:val="000000" w:themeColor="text1"/>
          <w:sz w:val="28"/>
          <w:szCs w:val="28"/>
          <w:lang w:val="kk-KZ"/>
        </w:rPr>
        <w:t xml:space="preserve">132 </w:t>
      </w:r>
      <w:r>
        <w:rPr>
          <w:rFonts w:ascii="Times New Roman" w:hAnsi="Times New Roman" w:cs="Times New Roman"/>
          <w:color w:val="000000" w:themeColor="text1"/>
          <w:sz w:val="28"/>
          <w:szCs w:val="28"/>
          <w:lang w:val="kk-KZ"/>
        </w:rPr>
        <w:t xml:space="preserve">беттен тұрады. Диссертацияда </w:t>
      </w:r>
      <w:r w:rsidRPr="008D1DAE">
        <w:rPr>
          <w:rFonts w:ascii="Times New Roman" w:hAnsi="Times New Roman" w:cs="Times New Roman"/>
          <w:color w:val="000000" w:themeColor="text1"/>
          <w:sz w:val="28"/>
          <w:szCs w:val="28"/>
          <w:lang w:val="kk-KZ"/>
        </w:rPr>
        <w:t xml:space="preserve">26 сурет, 45 </w:t>
      </w:r>
      <w:r>
        <w:rPr>
          <w:rFonts w:ascii="Times New Roman" w:hAnsi="Times New Roman" w:cs="Times New Roman"/>
          <w:color w:val="000000" w:themeColor="text1"/>
          <w:sz w:val="28"/>
          <w:szCs w:val="28"/>
          <w:lang w:val="kk-KZ"/>
        </w:rPr>
        <w:t xml:space="preserve">кесте берілген. Пайдаланылған әдебиеттер тізімі </w:t>
      </w:r>
      <w:r w:rsidRPr="008D1DAE">
        <w:rPr>
          <w:rFonts w:ascii="Times New Roman" w:hAnsi="Times New Roman" w:cs="Times New Roman"/>
          <w:color w:val="000000" w:themeColor="text1"/>
          <w:sz w:val="28"/>
          <w:szCs w:val="28"/>
          <w:lang w:val="kk-KZ"/>
        </w:rPr>
        <w:t xml:space="preserve">278 </w:t>
      </w:r>
      <w:r>
        <w:rPr>
          <w:rFonts w:ascii="Times New Roman" w:hAnsi="Times New Roman" w:cs="Times New Roman"/>
          <w:color w:val="000000" w:themeColor="text1"/>
          <w:sz w:val="28"/>
          <w:szCs w:val="28"/>
          <w:lang w:val="kk-KZ"/>
        </w:rPr>
        <w:t xml:space="preserve">атауды қамтиды. </w:t>
      </w:r>
      <w:r>
        <w:rPr>
          <w:rFonts w:ascii="Times New Roman" w:hAnsi="Times New Roman"/>
          <w:sz w:val="28"/>
          <w:szCs w:val="28"/>
          <w:lang w:val="kk-KZ"/>
        </w:rPr>
        <w:t xml:space="preserve"> </w:t>
      </w:r>
    </w:p>
    <w:p w:rsidR="005118AF" w:rsidRDefault="005118AF">
      <w:pPr>
        <w:tabs>
          <w:tab w:val="left" w:pos="951"/>
        </w:tabs>
        <w:spacing w:after="0" w:line="240" w:lineRule="auto"/>
        <w:ind w:firstLine="709"/>
        <w:jc w:val="both"/>
        <w:rPr>
          <w:rStyle w:val="rynqvb"/>
          <w:rFonts w:ascii="Times New Roman" w:hAnsi="Times New Roman" w:cs="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5118AF">
      <w:pPr>
        <w:tabs>
          <w:tab w:val="left" w:pos="951"/>
        </w:tabs>
        <w:spacing w:after="0" w:line="240" w:lineRule="auto"/>
        <w:ind w:firstLine="567"/>
        <w:jc w:val="both"/>
        <w:rPr>
          <w:rFonts w:ascii="Times New Roman" w:hAnsi="Times New Roman"/>
          <w:sz w:val="28"/>
          <w:szCs w:val="28"/>
          <w:lang w:val="kk-KZ"/>
        </w:rPr>
      </w:pPr>
    </w:p>
    <w:p w:rsidR="005118AF" w:rsidRDefault="00EF60C3">
      <w:pPr>
        <w:tabs>
          <w:tab w:val="left" w:pos="0"/>
          <w:tab w:val="left" w:pos="993"/>
        </w:tabs>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t xml:space="preserve">1 </w:t>
      </w:r>
      <w:r>
        <w:rPr>
          <w:rFonts w:ascii="Times New Roman" w:hAnsi="Times New Roman"/>
          <w:b/>
          <w:bCs/>
          <w:sz w:val="28"/>
          <w:szCs w:val="28"/>
          <w:lang w:val="kk-KZ"/>
        </w:rPr>
        <w:t>ТАМАҚ ӨНЕРКӘСІБІ КӘСІПОРЫНДАРЫНЫҢ ИННОВАЦИЯЛЫҚ ДАМУЫН БАСҚАРУДЫҢ ТЕОРИЯЛЫҚ-ӘДІСНАМАЛЫҚ НЕГІЗДЕРІ</w:t>
      </w:r>
    </w:p>
    <w:p w:rsidR="005118AF" w:rsidRDefault="005118AF">
      <w:pPr>
        <w:tabs>
          <w:tab w:val="left" w:pos="0"/>
          <w:tab w:val="left" w:pos="993"/>
        </w:tabs>
        <w:spacing w:after="0" w:line="240" w:lineRule="auto"/>
        <w:ind w:firstLine="709"/>
        <w:jc w:val="both"/>
        <w:rPr>
          <w:rFonts w:ascii="Times New Roman" w:hAnsi="Times New Roman"/>
          <w:b/>
          <w:bCs/>
          <w:sz w:val="28"/>
          <w:szCs w:val="28"/>
          <w:lang w:val="kk-KZ"/>
        </w:rPr>
      </w:pPr>
    </w:p>
    <w:p w:rsidR="005118AF" w:rsidRDefault="00EF60C3">
      <w:pPr>
        <w:tabs>
          <w:tab w:val="left" w:pos="0"/>
          <w:tab w:val="left" w:pos="993"/>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1.1 Инновациялар және инновациялық дамудың теориялық негіздері</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 ‒ компания жетістігінің негізгі қозғаушы  күші әрі маңызды элементі ретінде танылады. Ол өнімділікті арттыруда және ұйымның нарықтағы тұрақтылығы мен бәсекеге қабілеттілігін қамтамасыз етуде іргелі рөл атқарады. Жалпы алғанда, компания қабылдаған</w:t>
      </w:r>
      <w:r>
        <w:rPr>
          <w:rFonts w:ascii="Times New Roman" w:hAnsi="Times New Roman" w:cs="Times New Roman"/>
          <w:sz w:val="28"/>
          <w:szCs w:val="28"/>
          <w:lang w:val="kk-KZ"/>
        </w:rPr>
        <w:t xml:space="preserve"> немесе ензігізген кез келген жаңа әзірлеме инновация болып есептеледі. Бұл тұрғыда инновация нарық сұранысын қанағаттандыру үшін өнімдер мен қызметтерді жасауды немесе қайта құруды, өнімділікті арттыруға бағытталған жаңа процестерді енгізуді, сондай-ақ оп</w:t>
      </w:r>
      <w:r>
        <w:rPr>
          <w:rFonts w:ascii="Times New Roman" w:hAnsi="Times New Roman" w:cs="Times New Roman"/>
          <w:sz w:val="28"/>
          <w:szCs w:val="28"/>
          <w:lang w:val="kk-KZ"/>
        </w:rPr>
        <w:t xml:space="preserve">ерациялық тиімділікті жақсарту мақсатында жаңа маркетингтік әдістерді және басқару жүйелерінің жаңа формаларын әзірлеуді немесе қолдануды қамтуы мүмкін [6]. </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 Даманпур мен М. Шнайдердің зерттеулеріне сәйкес, инновацияның туындауына сыртқы ортаның қысымы </w:t>
      </w:r>
      <w:r>
        <w:rPr>
          <w:rFonts w:ascii="Times New Roman" w:hAnsi="Times New Roman" w:cs="Times New Roman"/>
          <w:sz w:val="28"/>
          <w:szCs w:val="28"/>
          <w:lang w:val="kk-KZ"/>
        </w:rPr>
        <w:t>тікелей әсер етеді. Атап айтқанда, бәсекелестік, ресурстардың тапшылығы және тұтынушы сұранысы сияқты факторлар кәсіпорынды өзгерістер енгізуге итермелейді. Осы сыртқы қысымдарға жауап ретінде кәсіпорын өзінің мінез-құлқын және ұйымдастырушылық құрылымын ө</w:t>
      </w:r>
      <w:r>
        <w:rPr>
          <w:rFonts w:ascii="Times New Roman" w:hAnsi="Times New Roman" w:cs="Times New Roman"/>
          <w:sz w:val="28"/>
          <w:szCs w:val="28"/>
          <w:lang w:val="kk-KZ"/>
        </w:rPr>
        <w:t xml:space="preserve">згертуге мәжбүр болады. Бұл өзгерістер кәсіпорынның өнімділік деңгейін сақтау немесе жақсарту және нарықтағы бәсекелестерінен озып, бәсекеге қабілеттілігін арттыру үшін аса маңызды болып табылады [7].  </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 ұғымы және оның экономикалық дамудағы рөлі </w:t>
      </w:r>
      <w:r>
        <w:rPr>
          <w:rFonts w:ascii="Times New Roman" w:hAnsi="Times New Roman" w:cs="Times New Roman"/>
          <w:sz w:val="28"/>
          <w:szCs w:val="28"/>
          <w:lang w:val="kk-KZ"/>
        </w:rPr>
        <w:t>өткен</w:t>
      </w:r>
      <w:r>
        <w:rPr>
          <w:rFonts w:ascii="Times New Roman" w:hAnsi="Times New Roman" w:cs="Times New Roman"/>
          <w:sz w:val="28"/>
          <w:szCs w:val="28"/>
          <w:lang w:val="kk-KZ"/>
        </w:rPr>
        <w:t xml:space="preserve"> ғасырда елеулі эволюциядан өтті. Технологиялық серпілістерге негізделген ерте идеялардан бастап экожүйелерге, білім ағындарына және әлеуметтік-институционалдық контексттерге баса назар аударатын заманауи құрылымдарға дейін теориялық тәсілдер әртүрлі </w:t>
      </w:r>
      <w:r>
        <w:rPr>
          <w:rFonts w:ascii="Times New Roman" w:hAnsi="Times New Roman" w:cs="Times New Roman"/>
          <w:sz w:val="28"/>
          <w:szCs w:val="28"/>
          <w:lang w:val="kk-KZ"/>
        </w:rPr>
        <w:t xml:space="preserve">салалар мен елдерде инновацияны қалай түсінетінін және қалай қолданылатынын қалыптастырды. </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тарауда стратегиялық маңызды, бірақ өзінің инновациялық тәжірибесінде дәстүрлі түрде консервативті сектор болып табылатын Қазақстанның тамақ өнеркәсібі шындығы </w:t>
      </w:r>
      <w:r>
        <w:rPr>
          <w:rFonts w:ascii="Times New Roman" w:hAnsi="Times New Roman" w:cs="Times New Roman"/>
          <w:sz w:val="28"/>
          <w:szCs w:val="28"/>
          <w:lang w:val="kk-KZ"/>
        </w:rPr>
        <w:t xml:space="preserve">аясында контекстке келтіре отырып, осы тәсілдердің эволюциясы қарастырылады. </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Экономикалық категория ретінде «инновация» терминін алғаш рет экономист </w:t>
      </w:r>
      <w:r>
        <w:rPr>
          <w:rFonts w:ascii="Times New Roman" w:hAnsi="Times New Roman" w:cs="Times New Roman"/>
          <w:sz w:val="28"/>
          <w:szCs w:val="28"/>
        </w:rPr>
        <w:t>Йозеф Шумпетер</w:t>
      </w:r>
      <w:r>
        <w:rPr>
          <w:rFonts w:ascii="Times New Roman" w:hAnsi="Times New Roman" w:cs="Times New Roman"/>
          <w:sz w:val="28"/>
          <w:szCs w:val="28"/>
          <w:lang w:val="kk-KZ"/>
        </w:rPr>
        <w:t xml:space="preserve"> қолданған. Ол өзінің 1912 жылы жарыққа шыққан «Экономикалық өсу теориясы» атты еңбегінде ин</w:t>
      </w:r>
      <w:r>
        <w:rPr>
          <w:rFonts w:ascii="Times New Roman" w:hAnsi="Times New Roman" w:cs="Times New Roman"/>
          <w:sz w:val="28"/>
          <w:szCs w:val="28"/>
          <w:lang w:val="kk-KZ"/>
        </w:rPr>
        <w:t>новацияны (жаңа комбинация) кәсіпкерліктің табыс табу құралы деп қарастырды. Автор қызметтері жаңа комбинацияларды жүзеге асыру болып табылатын шаруашылық субъектілерін кәсіпкерлер деп атаған. Кейінірек 1930 жылдары Й. Шумпетер экономикалық дамудағы бес тү</w:t>
      </w:r>
      <w:r>
        <w:rPr>
          <w:rFonts w:ascii="Times New Roman" w:hAnsi="Times New Roman" w:cs="Times New Roman"/>
          <w:sz w:val="28"/>
          <w:szCs w:val="28"/>
          <w:lang w:val="kk-KZ"/>
        </w:rPr>
        <w:t>рлі өзгерістерді бөліп қарастырды [8]:</w:t>
      </w:r>
    </w:p>
    <w:p w:rsidR="005118AF" w:rsidRDefault="00EF60C3">
      <w:pPr>
        <w:numPr>
          <w:ilvl w:val="0"/>
          <w:numId w:val="6"/>
        </w:numPr>
        <w:tabs>
          <w:tab w:val="left" w:pos="993"/>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жаңа техниканы, технологиялық үдерістерді немесе жаңа өндірісті нарықтық қамтамасыз етуді қолдану;</w:t>
      </w:r>
    </w:p>
    <w:p w:rsidR="005118AF" w:rsidRDefault="00EF60C3">
      <w:pPr>
        <w:numPr>
          <w:ilvl w:val="0"/>
          <w:numId w:val="6"/>
        </w:numPr>
        <w:tabs>
          <w:tab w:val="left" w:pos="993"/>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жаңа қасиеттерге ие өнімдерді енгізу;</w:t>
      </w:r>
    </w:p>
    <w:p w:rsidR="005118AF" w:rsidRDefault="00EF60C3">
      <w:pPr>
        <w:numPr>
          <w:ilvl w:val="0"/>
          <w:numId w:val="6"/>
        </w:numPr>
        <w:tabs>
          <w:tab w:val="left" w:pos="993"/>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жаңа шикізат түрлерін қолдану;</w:t>
      </w:r>
    </w:p>
    <w:p w:rsidR="005118AF" w:rsidRDefault="00EF60C3">
      <w:pPr>
        <w:numPr>
          <w:ilvl w:val="0"/>
          <w:numId w:val="6"/>
        </w:numPr>
        <w:tabs>
          <w:tab w:val="left" w:pos="993"/>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w:t>
      </w:r>
      <w:r>
        <w:rPr>
          <w:rFonts w:ascii="Times New Roman" w:hAnsi="Times New Roman" w:cs="Times New Roman"/>
          <w:sz w:val="28"/>
          <w:szCs w:val="28"/>
          <w:lang w:val="kk-KZ"/>
        </w:rPr>
        <w:t xml:space="preserve"> ұйымдастыру мен оның материалдық-техник</w:t>
      </w:r>
      <w:r>
        <w:rPr>
          <w:rFonts w:ascii="Times New Roman" w:hAnsi="Times New Roman" w:cs="Times New Roman"/>
          <w:sz w:val="28"/>
          <w:szCs w:val="28"/>
          <w:lang w:val="kk-KZ"/>
        </w:rPr>
        <w:t>алық қамтамасыз етілуіндегі өзгерістер;</w:t>
      </w:r>
    </w:p>
    <w:p w:rsidR="005118AF" w:rsidRDefault="00EF60C3">
      <w:pPr>
        <w:numPr>
          <w:ilvl w:val="0"/>
          <w:numId w:val="6"/>
        </w:numPr>
        <w:tabs>
          <w:tab w:val="left" w:pos="993"/>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жаңа сату нарықтарының пайда болуы.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Шумпетердің идеялары кәсіпорынның инновациясын динамикалық және көп қырлы процесс ретінде кейінгі түсіндірулердің негізін қалады.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Шумпетердің идеясына сүйене отырып, Фриман, Нель</w:t>
      </w:r>
      <w:r>
        <w:rPr>
          <w:rFonts w:ascii="Times New Roman" w:hAnsi="Times New Roman"/>
          <w:sz w:val="28"/>
          <w:szCs w:val="28"/>
          <w:lang w:val="kk-KZ"/>
        </w:rPr>
        <w:t xml:space="preserve">сон және Винтер және Лудвалл сияқты нео-Шумпетериандық теоретиктер оқу процестеріне, тәртіптерге және ұлттық инновациялық жүйелерге баса назар аудару үшін инновациялық теорияны кеңейтті [8, р. 4-380]. Эволюциялық экономикалық көзқарас инновацияны фирманың </w:t>
      </w:r>
      <w:r>
        <w:rPr>
          <w:rFonts w:ascii="Times New Roman" w:hAnsi="Times New Roman"/>
          <w:sz w:val="28"/>
          <w:szCs w:val="28"/>
          <w:lang w:val="kk-KZ"/>
        </w:rPr>
        <w:t xml:space="preserve">мінез-құлқы мен институционалдық жағдайларға енгізілген жинақталған және тәуекелі жоғары процесс ретінде қарастырды.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Бұл тәсілдің негізгі элементтеріне мыналар жатады: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инновация бір серпіліс емес, күнделікті негізделген оқу процесі ретінде;</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фирмалар с</w:t>
      </w:r>
      <w:r>
        <w:rPr>
          <w:rFonts w:ascii="Times New Roman" w:hAnsi="Times New Roman"/>
          <w:sz w:val="28"/>
          <w:szCs w:val="28"/>
          <w:lang w:val="kk-KZ"/>
        </w:rPr>
        <w:t>ынақ және қателіктерге бейімделу арқылы дамиды;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институционалдық құрылымдар (білім беру, қаржы, саясат) инновациялық әлеуетті сыни тұрғыдан қалыптастырады.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XX ғасырдың аяғында ғалымдар инновацияны фирмалар, мекемелер және саясаттар желілеріне енгізілген жүйелі құбылыс ретінде түсіндірді. Фриман, Лундвалл және Нельсон әзірлген Ұлттық инновациялық жүйе тұжырымдамасы елдің инновацияларды енгізу қабілеті кәсіпоры</w:t>
      </w:r>
      <w:r>
        <w:rPr>
          <w:rFonts w:ascii="Times New Roman" w:hAnsi="Times New Roman"/>
          <w:sz w:val="28"/>
          <w:szCs w:val="28"/>
          <w:lang w:val="kk-KZ"/>
        </w:rPr>
        <w:t xml:space="preserve">ндар, университтер, мемлекеттік органдар және қаржы институттары арасындағы өзара әрекеттестікке байланысты екенін ұсынады [9].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Бұл тәсілдің негізгі идеялары: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инновация ішкі мүмкіндіктерге ғана емес, сонымен қатар сыртқы байланыстарға да қатысты;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саяс</w:t>
      </w:r>
      <w:r>
        <w:rPr>
          <w:rFonts w:ascii="Times New Roman" w:hAnsi="Times New Roman"/>
          <w:sz w:val="28"/>
          <w:szCs w:val="28"/>
          <w:lang w:val="kk-KZ"/>
        </w:rPr>
        <w:t>ат, инфрақұрылым және адами капитал маңызды мүмкіндіктер болып табылады;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мекемеаралық ынтымақтастықтың сапасы инновациялық нәтижелерді анықтайды.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Басқа да ойлар ағыны, атап айтқанда, Ресурсқа негізделген көзқарас  және динамикалық мүмкіндіктер теориясы,</w:t>
      </w:r>
      <w:r>
        <w:rPr>
          <w:rFonts w:ascii="Times New Roman" w:hAnsi="Times New Roman"/>
          <w:sz w:val="28"/>
          <w:szCs w:val="28"/>
          <w:lang w:val="kk-KZ"/>
        </w:rPr>
        <w:t xml:space="preserve"> тұрақты инновацияның негізі ішкі ресурстар мен құзыреттеріне баса назар аударады. Ресурсқа бағытталған көзқарас теориясын ең алғашқы болып Пенроуз [10] ұсынған, кейін Барни [11] бұл теорияны танымал етуге үлесін қосты. 1980 жылдардың ортасынан бастап ресу</w:t>
      </w:r>
      <w:r>
        <w:rPr>
          <w:rFonts w:ascii="Times New Roman" w:hAnsi="Times New Roman"/>
          <w:sz w:val="28"/>
          <w:szCs w:val="28"/>
          <w:lang w:val="kk-KZ"/>
        </w:rPr>
        <w:t>рсқа бағытталған көзқарасқа деген ғалымдардың қызығушылығы арта бастады және ол стратегиялық менеджменттің бірден бір маңызды теориясына айналды [12]. Бірқатар ғалымдар оның тұжырымдамалық және теориялық дамуына айтарлықтай үлестерін қосты. Ресурсқа бағытт</w:t>
      </w:r>
      <w:r>
        <w:rPr>
          <w:rFonts w:ascii="Times New Roman" w:hAnsi="Times New Roman"/>
          <w:sz w:val="28"/>
          <w:szCs w:val="28"/>
          <w:lang w:val="kk-KZ"/>
        </w:rPr>
        <w:t>алған көзқарастың негізгі ғылыми тұжырымы - әртүрлі стратегиялық ресурстарға иелік ететін немесе басқаратын фирмалар өздерінің бәсекелестеріне қарағанда бәсекеге қабілетті болуы мүмкін. Ресурсқа бағытталған теорияның негізгі идеясы фирмаларда әртүрлі ресур</w:t>
      </w:r>
      <w:r>
        <w:rPr>
          <w:rFonts w:ascii="Times New Roman" w:hAnsi="Times New Roman"/>
          <w:sz w:val="28"/>
          <w:szCs w:val="28"/>
          <w:lang w:val="kk-KZ"/>
        </w:rPr>
        <w:t>стар мен мүмкіндіктердің жиынтығы бар екендігі болып табылады. Теорияға сәйкес компанияның бәсекелестік артықшылығы сол компанияның ішінде жиналған ресурстарға тікелей тәуелді болып табылады. Ұйымның ішкі ресурстары мен мүкіндіктерін қарастыра отырып, реср</w:t>
      </w:r>
      <w:r>
        <w:rPr>
          <w:rFonts w:ascii="Times New Roman" w:hAnsi="Times New Roman"/>
          <w:sz w:val="28"/>
          <w:szCs w:val="28"/>
          <w:lang w:val="kk-KZ"/>
        </w:rPr>
        <w:t>усқа бағытталған көзқарас бір маңызды түсіндірмені ұсынады: егер компанияда әртүрлі ресурстар жиынтығы бар болса, онда ол фирманың бәсекелестік артықшылығы оның осы ерекше ресурстары негізінде орын алады [12, р. 745-767].</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Бұл тәсілдердегі негізгі тұжырымда</w:t>
      </w:r>
      <w:r>
        <w:rPr>
          <w:rFonts w:ascii="Times New Roman" w:hAnsi="Times New Roman"/>
          <w:sz w:val="28"/>
          <w:szCs w:val="28"/>
          <w:lang w:val="kk-KZ"/>
        </w:rPr>
        <w:t xml:space="preserve">р: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инновациялық мүмкіндіктерге сіңіру қабілеті, білімді басқару және икемділік жатады;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фирмалар өзгермелі ортаға бейімделу мақсатында ресурстарын қайта құрылымдау керек;</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w:t>
      </w:r>
      <w:r>
        <w:rPr>
          <w:rFonts w:ascii="Times New Roman" w:hAnsi="Times New Roman"/>
          <w:sz w:val="28"/>
          <w:szCs w:val="28"/>
          <w:lang w:val="kk-KZ"/>
        </w:rPr>
        <w:t xml:space="preserve"> ұйымдастыру мәдениеті, көшбасшылық және оқу инновациялық табысқа жетуде өте маң</w:t>
      </w:r>
      <w:r>
        <w:rPr>
          <w:rFonts w:ascii="Times New Roman" w:hAnsi="Times New Roman"/>
          <w:sz w:val="28"/>
          <w:szCs w:val="28"/>
          <w:lang w:val="kk-KZ"/>
        </w:rPr>
        <w:t>ызды.</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Инновация теориясының жаңа бағыты ретінде, 2000 жылдардың басында Генри Чесбро қалыптастырған Ашық инновация концепциясын атап өтуге болады. Бұл теорияға сәкес фирмалар енді тек ішкі ҒЗТКЖ-ға ғана сене алмайды, сонымен қатар сыртқы идеялар мен серікт</w:t>
      </w:r>
      <w:r>
        <w:rPr>
          <w:rFonts w:ascii="Times New Roman" w:hAnsi="Times New Roman"/>
          <w:sz w:val="28"/>
          <w:szCs w:val="28"/>
          <w:lang w:val="kk-KZ"/>
        </w:rPr>
        <w:t xml:space="preserve">естіктерді де қолдануы керек деп тұжырымдайды. Бұл теорияның негізгі мүмкіндіктеріне инновацияны бөлінген үдеріс ретінде қарастыруды, сондай-ақ клиенттермен, жеткізушілермен, стартаптармен және университтермен ынтымақтастықтың маңызын ашуды және де жабық, </w:t>
      </w:r>
      <w:r>
        <w:rPr>
          <w:rFonts w:ascii="Times New Roman" w:hAnsi="Times New Roman"/>
          <w:sz w:val="28"/>
          <w:szCs w:val="28"/>
          <w:lang w:val="kk-KZ"/>
        </w:rPr>
        <w:t>меншікті үлгілермен платформаға негізделген инновацияларға ауысуды қарастыру жатады [13]. Ал экожүйелік тәсіл инновацияны бірлескен құнды құруға ықпал ететін көптеген субъектілер арасындағы үйлестірілген күш ретінде қарастыру арқылы оны одан әрі нақтылайды</w:t>
      </w:r>
      <w:r>
        <w:rPr>
          <w:rFonts w:ascii="Times New Roman" w:hAnsi="Times New Roman"/>
          <w:sz w:val="28"/>
          <w:szCs w:val="28"/>
          <w:lang w:val="kk-KZ"/>
        </w:rPr>
        <w:t xml:space="preserve"> [14]. </w:t>
      </w:r>
    </w:p>
    <w:p w:rsidR="005118AF" w:rsidRDefault="00EF60C3">
      <w:pPr>
        <w:tabs>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Қазақстанның</w:t>
      </w:r>
      <w:r>
        <w:rPr>
          <w:rFonts w:ascii="Times New Roman" w:hAnsi="Times New Roman"/>
          <w:sz w:val="28"/>
          <w:szCs w:val="28"/>
          <w:lang w:val="kk-KZ"/>
        </w:rPr>
        <w:t xml:space="preserve"> тамақ өнеркәсібінде экожүйеге негізделген инновациялардың әлеуеті жоғары, бірақ толық негізде қалыптаспаған деп атап өтуге болады. Жалпы экожүйелік ойлауға ауысу арқылы ауқымды шектеулер, біліктіліктің жетіспеушілігі және бөлшектелген жеткізу </w:t>
      </w:r>
      <w:r>
        <w:rPr>
          <w:rFonts w:ascii="Times New Roman" w:hAnsi="Times New Roman"/>
          <w:sz w:val="28"/>
          <w:szCs w:val="28"/>
          <w:lang w:val="kk-KZ"/>
        </w:rPr>
        <w:t xml:space="preserve">тізбегі сияқты кедергілерді жеңу мүмкіндігі бар [15]. </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Тамақ өнеркәсібіндегі инновациялар жоғары технологиялық секторлардан ерекшеленеді, сондықтан бұл сектордағы инновациялар негізінен ҒЗТКЖ-ға емес нарыққа негізделген, сонымен қатар, басым жағдайда проце</w:t>
      </w:r>
      <w:r>
        <w:rPr>
          <w:rFonts w:ascii="Times New Roman" w:hAnsi="Times New Roman" w:cs="Times New Roman"/>
          <w:sz w:val="28"/>
          <w:szCs w:val="28"/>
          <w:lang w:val="kk-KZ"/>
        </w:rPr>
        <w:t xml:space="preserve">сс тиімділігі, сақтау мерзімін ұзарту, орау және денсаулық/қауіпсіздік стандарттарына назар аударады, ал тұтынушылар мен бөлшек саудагерлер инновациялық бағытты анықтауда үлкен рөл атқарады [16]. </w:t>
      </w:r>
    </w:p>
    <w:p w:rsidR="005118AF" w:rsidRDefault="00EF60C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w:t>
      </w:r>
      <w:r>
        <w:rPr>
          <w:rFonts w:ascii="Times New Roman" w:hAnsi="Times New Roman" w:cs="Times New Roman"/>
          <w:sz w:val="28"/>
          <w:szCs w:val="28"/>
          <w:lang w:val="kk-KZ"/>
        </w:rPr>
        <w:t xml:space="preserve"> заманғы инновациялық теориялар көптеген перспектива</w:t>
      </w:r>
      <w:r>
        <w:rPr>
          <w:rFonts w:ascii="Times New Roman" w:hAnsi="Times New Roman" w:cs="Times New Roman"/>
          <w:sz w:val="28"/>
          <w:szCs w:val="28"/>
          <w:lang w:val="kk-KZ"/>
        </w:rPr>
        <w:t xml:space="preserve">ларды, мысалы, ішкі ресурстарға негізделу, ұлттық инновациялық жүйелер қалыптастыру арқылы институционалдық қолдау, нарық динамикасына негізделген салалық жүйелер, сондай-ақ экожүйелік ынтымақтастықты (ашық инновациялар) біріктіруге негізделеді. 1-кестеде </w:t>
      </w:r>
      <w:r>
        <w:rPr>
          <w:rFonts w:ascii="Times New Roman" w:hAnsi="Times New Roman"/>
          <w:sz w:val="28"/>
          <w:szCs w:val="28"/>
          <w:lang w:val="kk-KZ"/>
        </w:rPr>
        <w:t>«Инновация» терминін түсіндіру тәсілдерінің эволюциялық сипаттамасы келтірілген.</w:t>
      </w:r>
    </w:p>
    <w:p w:rsidR="005118AF" w:rsidRDefault="005118AF">
      <w:pPr>
        <w:spacing w:after="0" w:line="20" w:lineRule="atLeast"/>
        <w:ind w:firstLine="567"/>
        <w:jc w:val="both"/>
        <w:rPr>
          <w:rFonts w:ascii="Times New Roman" w:hAnsi="Times New Roman" w:cs="Times New Roman"/>
          <w:sz w:val="28"/>
          <w:szCs w:val="28"/>
          <w:lang w:val="kk-KZ"/>
        </w:rPr>
      </w:pPr>
    </w:p>
    <w:p w:rsidR="005118AF" w:rsidRDefault="005118AF">
      <w:pPr>
        <w:spacing w:after="0" w:line="20" w:lineRule="atLeast"/>
        <w:ind w:firstLine="567"/>
        <w:jc w:val="both"/>
        <w:rPr>
          <w:rFonts w:ascii="Times New Roman" w:hAnsi="Times New Roman" w:cs="Times New Roman"/>
          <w:sz w:val="28"/>
          <w:szCs w:val="28"/>
          <w:lang w:val="kk-KZ"/>
        </w:rPr>
      </w:pPr>
    </w:p>
    <w:p w:rsidR="005118AF" w:rsidRDefault="005118AF">
      <w:pPr>
        <w:spacing w:after="0" w:line="20" w:lineRule="atLeast"/>
        <w:ind w:firstLine="567"/>
        <w:jc w:val="both"/>
        <w:rPr>
          <w:rFonts w:ascii="Times New Roman" w:hAnsi="Times New Roman" w:cs="Times New Roman"/>
          <w:sz w:val="28"/>
          <w:szCs w:val="28"/>
          <w:lang w:val="kk-KZ"/>
        </w:rPr>
      </w:pPr>
    </w:p>
    <w:p w:rsidR="005118AF" w:rsidRDefault="005118AF">
      <w:pPr>
        <w:spacing w:after="0" w:line="20" w:lineRule="atLeast"/>
        <w:ind w:firstLine="567"/>
        <w:jc w:val="both"/>
        <w:rPr>
          <w:rFonts w:ascii="Times New Roman" w:hAnsi="Times New Roman" w:cs="Times New Roman"/>
          <w:sz w:val="28"/>
          <w:szCs w:val="28"/>
          <w:lang w:val="kk-KZ"/>
        </w:rPr>
      </w:pPr>
    </w:p>
    <w:p w:rsidR="005118AF" w:rsidRDefault="00EF60C3">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Кесте 1 </w:t>
      </w:r>
      <w:r>
        <w:rPr>
          <w:rFonts w:ascii="Times New Roman" w:hAnsi="Times New Roman" w:cs="Times New Roman"/>
          <w:sz w:val="28"/>
          <w:szCs w:val="28"/>
          <w:lang w:val="kk-KZ"/>
        </w:rPr>
        <w:t>‒</w:t>
      </w:r>
      <w:r>
        <w:rPr>
          <w:rFonts w:ascii="Times New Roman" w:hAnsi="Times New Roman"/>
          <w:sz w:val="28"/>
          <w:szCs w:val="28"/>
          <w:lang w:val="kk-KZ"/>
        </w:rPr>
        <w:t xml:space="preserve"> «Инновация» терминін түсіндіру тәсілдерінің эволюциясы </w:t>
      </w:r>
    </w:p>
    <w:p w:rsidR="005118AF" w:rsidRDefault="005118AF">
      <w:pPr>
        <w:spacing w:after="0" w:line="240" w:lineRule="auto"/>
        <w:ind w:firstLine="567"/>
        <w:jc w:val="both"/>
        <w:rPr>
          <w:rFonts w:ascii="Times New Roman" w:hAnsi="Times New Roman"/>
          <w:sz w:val="16"/>
          <w:szCs w:val="16"/>
          <w:lang w:val="kk-KZ"/>
        </w:rPr>
      </w:pPr>
    </w:p>
    <w:tbl>
      <w:tblPr>
        <w:tblStyle w:val="ae"/>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2126"/>
        <w:gridCol w:w="5893"/>
      </w:tblGrid>
      <w:tr w:rsidR="005118AF">
        <w:trPr>
          <w:trHeight w:val="620"/>
          <w:jc w:val="center"/>
        </w:trPr>
        <w:tc>
          <w:tcPr>
            <w:tcW w:w="1501" w:type="dxa"/>
            <w:vAlign w:val="center"/>
          </w:tcPr>
          <w:p w:rsidR="005118AF" w:rsidRDefault="00EF60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Өкілдері</w:t>
            </w:r>
          </w:p>
        </w:tc>
        <w:tc>
          <w:tcPr>
            <w:tcW w:w="2126" w:type="dxa"/>
            <w:vAlign w:val="center"/>
          </w:tcPr>
          <w:p w:rsidR="005118AF" w:rsidRDefault="00EF60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Тәсіл атауы</w:t>
            </w:r>
          </w:p>
        </w:tc>
        <w:tc>
          <w:tcPr>
            <w:tcW w:w="5893" w:type="dxa"/>
            <w:vAlign w:val="center"/>
          </w:tcPr>
          <w:p w:rsidR="005118AF" w:rsidRDefault="00EF60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Сипаттамасы</w:t>
            </w:r>
          </w:p>
        </w:tc>
      </w:tr>
      <w:tr w:rsidR="005118AF" w:rsidRPr="008D1DAE">
        <w:trPr>
          <w:jc w:val="center"/>
        </w:trPr>
        <w:tc>
          <w:tcPr>
            <w:tcW w:w="1501"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Джозеф Шумпетер</w:t>
            </w:r>
          </w:p>
        </w:tc>
        <w:tc>
          <w:tcPr>
            <w:tcW w:w="2126"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Инновация теориясының классикалық негіздері</w:t>
            </w:r>
          </w:p>
        </w:tc>
        <w:tc>
          <w:tcPr>
            <w:tcW w:w="5893"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Инновация салаларды түрлендіретін және өсуді ынталандыратын “шығармашылық жойылу” про цесі ретінде анықталды. Шумпетер инновацияның бес түрін ұсынды: өнім, процесс, нарық, ұсыныс және ұйымдастырушылық инновациялар </w:t>
            </w:r>
          </w:p>
        </w:tc>
      </w:tr>
      <w:tr w:rsidR="005118AF" w:rsidRPr="008D1DAE">
        <w:trPr>
          <w:jc w:val="center"/>
        </w:trPr>
        <w:tc>
          <w:tcPr>
            <w:tcW w:w="1501"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 xml:space="preserve">Фриман (1987), Нельсон және Винтер </w:t>
            </w:r>
            <w:r>
              <w:rPr>
                <w:rFonts w:ascii="Times New Roman" w:hAnsi="Times New Roman"/>
                <w:sz w:val="24"/>
                <w:szCs w:val="24"/>
                <w:lang w:val="kk-KZ"/>
              </w:rPr>
              <w:t>(1982) және Лундвалл (1992)</w:t>
            </w:r>
          </w:p>
        </w:tc>
        <w:tc>
          <w:tcPr>
            <w:tcW w:w="2126"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Нео-Шумпете риандық және эволюциялық экономика тәсілдері</w:t>
            </w:r>
          </w:p>
        </w:tc>
        <w:tc>
          <w:tcPr>
            <w:tcW w:w="5893"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Инновациядағы білімнің, оқудың және институт тардың рөлін атап өтті. Эволюциялық экономикалық көзқарас инновацияны күнделікті тәртіп, оқу және бейімдеу арқылы қалыптасатын</w:t>
            </w:r>
            <w:r>
              <w:rPr>
                <w:rFonts w:ascii="Times New Roman" w:hAnsi="Times New Roman" w:cs="Times New Roman"/>
                <w:sz w:val="24"/>
                <w:szCs w:val="24"/>
                <w:lang w:val="kk-KZ"/>
              </w:rPr>
              <w:t xml:space="preserve"> жолға тәуелді және жинақталған процесс ретінде қарастырды. Фирмалар тарих, салалалық құры лым және институционалдық контекст арқылы қалыптасқан инновациялық нәтижелермен сынақ және қателік эксперименттері арқылы уақыт өте келе дамиды </w:t>
            </w:r>
          </w:p>
        </w:tc>
      </w:tr>
      <w:tr w:rsidR="005118AF" w:rsidRPr="008D1DAE">
        <w:trPr>
          <w:jc w:val="center"/>
        </w:trPr>
        <w:tc>
          <w:tcPr>
            <w:tcW w:w="1501"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Фриман, Лундвалл жә</w:t>
            </w:r>
            <w:r>
              <w:rPr>
                <w:rFonts w:ascii="Times New Roman" w:hAnsi="Times New Roman"/>
                <w:sz w:val="24"/>
                <w:szCs w:val="24"/>
                <w:lang w:val="kk-KZ"/>
              </w:rPr>
              <w:t>не Нельсон</w:t>
            </w:r>
          </w:p>
        </w:tc>
        <w:tc>
          <w:tcPr>
            <w:tcW w:w="2126"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Жүйелік және институционал дық тәсілдер</w:t>
            </w:r>
          </w:p>
          <w:p w:rsidR="005118AF" w:rsidRDefault="005118AF">
            <w:pPr>
              <w:spacing w:after="0" w:line="240" w:lineRule="auto"/>
              <w:jc w:val="both"/>
              <w:rPr>
                <w:rFonts w:ascii="Times New Roman" w:hAnsi="Times New Roman" w:cs="Times New Roman"/>
                <w:sz w:val="24"/>
                <w:szCs w:val="24"/>
                <w:lang w:val="kk-KZ"/>
              </w:rPr>
            </w:pPr>
          </w:p>
        </w:tc>
        <w:tc>
          <w:tcPr>
            <w:tcW w:w="5893"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Сыртқы желілердің, мемлекеттік саясаттың және білім беру жүйелерінің маңыздылығын атап көрсете отырып, инновациялық ұлттық жүйелерін қамту үшін инновацияның ауқымын кеңейтті </w:t>
            </w:r>
          </w:p>
        </w:tc>
      </w:tr>
      <w:tr w:rsidR="005118AF" w:rsidRPr="008D1DAE">
        <w:trPr>
          <w:jc w:val="center"/>
        </w:trPr>
        <w:tc>
          <w:tcPr>
            <w:tcW w:w="1501"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Тис, </w:t>
            </w:r>
          </w:p>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Г. Пизано және </w:t>
            </w:r>
          </w:p>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Э. </w:t>
            </w:r>
            <w:r>
              <w:rPr>
                <w:rFonts w:ascii="Times New Roman" w:hAnsi="Times New Roman"/>
                <w:sz w:val="24"/>
                <w:szCs w:val="24"/>
                <w:lang w:val="kk-KZ"/>
              </w:rPr>
              <w:t>Шуэн</w:t>
            </w:r>
          </w:p>
        </w:tc>
        <w:tc>
          <w:tcPr>
            <w:tcW w:w="2126"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Ресурсқа негіз делген және мүм кіндіктерге негіз делген тәсілдер</w:t>
            </w:r>
          </w:p>
        </w:tc>
        <w:tc>
          <w:tcPr>
            <w:tcW w:w="5893"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Әртүрлі</w:t>
            </w:r>
            <w:r>
              <w:rPr>
                <w:rFonts w:ascii="Times New Roman" w:hAnsi="Times New Roman"/>
                <w:sz w:val="24"/>
                <w:szCs w:val="24"/>
                <w:lang w:val="kk-KZ"/>
              </w:rPr>
              <w:t xml:space="preserve"> стратегиялық ресурстарға иелік ететін немесе басқаратын фирмалар өздерінің бәсекелестеріне қарағанда бәсекеге қабілетті болуы мүмкін </w:t>
            </w:r>
          </w:p>
        </w:tc>
      </w:tr>
      <w:tr w:rsidR="005118AF" w:rsidRPr="008D1DAE">
        <w:trPr>
          <w:jc w:val="center"/>
        </w:trPr>
        <w:tc>
          <w:tcPr>
            <w:tcW w:w="1501"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Генри Чесбро (2003), Аднер (2006)</w:t>
            </w:r>
          </w:p>
          <w:p w:rsidR="005118AF" w:rsidRDefault="005118AF">
            <w:pPr>
              <w:spacing w:after="0" w:line="240" w:lineRule="auto"/>
              <w:jc w:val="both"/>
              <w:rPr>
                <w:rFonts w:ascii="Times New Roman" w:hAnsi="Times New Roman" w:cs="Times New Roman"/>
                <w:sz w:val="24"/>
                <w:szCs w:val="24"/>
                <w:lang w:val="kk-KZ"/>
              </w:rPr>
            </w:pPr>
          </w:p>
        </w:tc>
        <w:tc>
          <w:tcPr>
            <w:tcW w:w="2126"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Ашық инн</w:t>
            </w:r>
            <w:r>
              <w:rPr>
                <w:rFonts w:ascii="Times New Roman" w:hAnsi="Times New Roman"/>
                <w:sz w:val="24"/>
                <w:szCs w:val="24"/>
                <w:lang w:val="kk-KZ"/>
              </w:rPr>
              <w:t>овациялар мен экожүйеге негізделген перспективалар</w:t>
            </w:r>
          </w:p>
        </w:tc>
        <w:tc>
          <w:tcPr>
            <w:tcW w:w="5893"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Ашық инновациялар моделі фирмалар инно вациялық өнімділікті арттыру үшін сыртқы идея ларды, серіктестіктерді және бірлескен құрылым дар құруды қолдануды ұсынды. Сонымен қатар, инновациялық экожүйе құрылымы</w:t>
            </w:r>
            <w:r>
              <w:rPr>
                <w:rFonts w:ascii="Times New Roman" w:hAnsi="Times New Roman" w:cs="Times New Roman"/>
                <w:sz w:val="24"/>
                <w:szCs w:val="24"/>
                <w:lang w:val="kk-KZ"/>
              </w:rPr>
              <w:t xml:space="preserve"> фирмалар, жеткізушілер, тұтынушылар, университеттер және реттеуші органдар арасындағы өзара тәуелділікті көрсетеді</w:t>
            </w:r>
            <w:r>
              <w:rPr>
                <w:rFonts w:ascii="Times New Roman" w:hAnsi="Times New Roman"/>
                <w:sz w:val="24"/>
                <w:szCs w:val="24"/>
                <w:lang w:val="kk-KZ"/>
              </w:rPr>
              <w:t xml:space="preserve">. Кәсіпорын инновациялық ресурстарды ынтымақтастықтан және реттеуден пайда болатын кеңірек құнды желілердің бөлігі ретінде қарастырады </w:t>
            </w:r>
          </w:p>
        </w:tc>
      </w:tr>
      <w:tr w:rsidR="005118AF" w:rsidRPr="008D1DAE">
        <w:trPr>
          <w:jc w:val="center"/>
        </w:trPr>
        <w:tc>
          <w:tcPr>
            <w:tcW w:w="1501"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(Prahalad, 2004. Менрад (2004) және Traill &amp; Meulenberg (2002)</w:t>
            </w:r>
          </w:p>
        </w:tc>
        <w:tc>
          <w:tcPr>
            <w:tcW w:w="2126"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sz w:val="24"/>
                <w:szCs w:val="24"/>
                <w:lang w:val="kk-KZ"/>
              </w:rPr>
              <w:t>Салалық тәсілдер: тамақ өнеркәсібін дегі инновациялар</w:t>
            </w:r>
          </w:p>
          <w:p w:rsidR="005118AF" w:rsidRDefault="005118AF">
            <w:pPr>
              <w:spacing w:after="0" w:line="240" w:lineRule="auto"/>
              <w:jc w:val="both"/>
              <w:rPr>
                <w:rFonts w:ascii="Times New Roman" w:hAnsi="Times New Roman" w:cs="Times New Roman"/>
                <w:sz w:val="24"/>
                <w:szCs w:val="24"/>
                <w:lang w:val="kk-KZ"/>
              </w:rPr>
            </w:pPr>
          </w:p>
        </w:tc>
        <w:tc>
          <w:tcPr>
            <w:tcW w:w="5893"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Инновациялық дамуды түсіндіру елдер мен салалар бойынша әртүрлі. Экономикасы дамыған елдерде инно вациялар көбінесе жоғары технологиялық с</w:t>
            </w:r>
            <w:r>
              <w:rPr>
                <w:rFonts w:ascii="Times New Roman" w:hAnsi="Times New Roman" w:cs="Times New Roman"/>
                <w:sz w:val="24"/>
                <w:szCs w:val="24"/>
                <w:lang w:val="kk-KZ"/>
              </w:rPr>
              <w:t>екторлар мен ғылыми-зерттеу институттарының ықпалымен жүзеге асырады, ал дамушы нарықтарда ресурста рындың шектеулілігінен бейресми білімнен немесе үнемді инновациялардын туындауы мүмкін. Тамақ өнеркәсібіндегі инновациялар бойынша зерттеулер, мысалы, норма</w:t>
            </w:r>
            <w:r>
              <w:rPr>
                <w:rFonts w:ascii="Times New Roman" w:hAnsi="Times New Roman" w:cs="Times New Roman"/>
                <w:sz w:val="24"/>
                <w:szCs w:val="24"/>
                <w:lang w:val="kk-KZ"/>
              </w:rPr>
              <w:t>тивтік талаптарға сәйкестік, ҒЗТКЖ-ға төмен инвестициялар және өнімдердің түбегейлі өзгерістеріне қатысты технологиялық және орау инновацияларының басымдылығы сияқты қиындық тарды көрсетеді</w:t>
            </w:r>
          </w:p>
        </w:tc>
      </w:tr>
      <w:tr w:rsidR="005118AF" w:rsidRPr="008D1DAE">
        <w:trPr>
          <w:jc w:val="center"/>
        </w:trPr>
        <w:tc>
          <w:tcPr>
            <w:tcW w:w="9520" w:type="dxa"/>
            <w:gridSpan w:val="3"/>
          </w:tcPr>
          <w:p w:rsidR="005118AF" w:rsidRDefault="00EF60C3">
            <w:pPr>
              <w:spacing w:after="0" w:line="240" w:lineRule="auto"/>
              <w:ind w:firstLine="542"/>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Ескер</w:t>
            </w:r>
            <w:r>
              <w:rPr>
                <w:rFonts w:ascii="Times New Roman" w:eastAsia="Calibri" w:hAnsi="Times New Roman" w:cs="Times New Roman"/>
                <w:sz w:val="24"/>
                <w:szCs w:val="24"/>
                <w:lang w:val="kk-KZ"/>
              </w:rPr>
              <w:t>ту</w:t>
            </w:r>
            <w:r>
              <w:rPr>
                <w:rFonts w:ascii="Times New Roman" w:eastAsia="Calibri" w:hAnsi="Times New Roman" w:cs="Times New Roman"/>
                <w:sz w:val="24"/>
                <w:szCs w:val="24"/>
                <w:lang w:val="kk-KZ"/>
              </w:rPr>
              <w:t xml:space="preserve"> –</w:t>
            </w:r>
            <w:r>
              <w:rPr>
                <w:rFonts w:ascii="Times New Roman" w:eastAsia="Calibri" w:hAnsi="Times New Roman" w:cs="Times New Roman"/>
                <w:bCs/>
                <w:sz w:val="24"/>
                <w:szCs w:val="24"/>
                <w:lang w:val="kk-KZ"/>
              </w:rPr>
              <w:t xml:space="preserve"> Әдебиет негізінде құралған </w:t>
            </w:r>
            <w:r>
              <w:rPr>
                <w:rFonts w:ascii="Times New Roman" w:hAnsi="Times New Roman"/>
                <w:sz w:val="24"/>
                <w:szCs w:val="24"/>
                <w:lang w:val="kk-KZ"/>
              </w:rPr>
              <w:t>[8, р. 6-8; 9, р. 351; 13, р</w:t>
            </w:r>
            <w:r>
              <w:rPr>
                <w:rFonts w:ascii="Times New Roman" w:hAnsi="Times New Roman"/>
                <w:sz w:val="24"/>
                <w:szCs w:val="24"/>
                <w:lang w:val="kk-KZ"/>
              </w:rPr>
              <w:t>. 13; 14, р. 307; 16, р. 846; 17-19]</w:t>
            </w:r>
          </w:p>
        </w:tc>
      </w:tr>
    </w:tbl>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Қазақстанның</w:t>
      </w:r>
      <w:r>
        <w:rPr>
          <w:rFonts w:ascii="Times New Roman" w:hAnsi="Times New Roman" w:cs="Times New Roman"/>
          <w:sz w:val="28"/>
          <w:szCs w:val="28"/>
          <w:lang w:val="kk-KZ"/>
        </w:rPr>
        <w:t xml:space="preserve"> тамақ өнеркәсібі үшін бұл инновациялық дамуға гибридті көзқарасты талап етеді, ол:</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kk-KZ"/>
        </w:rPr>
        <w:t xml:space="preserve"> үздіксіз жетілдіру үшін ішкі әлеуетті қалыптастырады;</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kk-KZ"/>
        </w:rPr>
        <w:t xml:space="preserve"> ғылыми-зерттеу мекемелерімен байланысты нығайтады;</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инновациялық инфрақүрылымды мемлекеттік қолдауды күшейтеді;</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kk-KZ"/>
        </w:rPr>
        <w:t xml:space="preserve"> аймақтық және жаһандық ынтымақтастықты ынталандырады.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 экономиканың нарықтық жағдайында инновацияларға жүйелі түрде сипаттама берудің әдіснамасы халықаралық стандарттармен де анық</w:t>
      </w:r>
      <w:r>
        <w:rPr>
          <w:rFonts w:ascii="Times New Roman" w:hAnsi="Times New Roman" w:cs="Times New Roman"/>
          <w:sz w:val="28"/>
          <w:szCs w:val="28"/>
          <w:lang w:val="kk-KZ"/>
        </w:rPr>
        <w:t xml:space="preserve">талған. Бұндай стандарттар инновациялық қызметті тиімді басқару жүйесін құру, олардың көрініс табу нысандарын жақсырақ түсіну және экономикалық өсумен өзара байланыстын айқындау үшін маңызды болып табылады. Инновациялық үдерістер мен олардың параметрлерін </w:t>
      </w:r>
      <w:r>
        <w:rPr>
          <w:rFonts w:ascii="Times New Roman" w:hAnsi="Times New Roman" w:cs="Times New Roman"/>
          <w:sz w:val="28"/>
          <w:szCs w:val="28"/>
          <w:lang w:val="kk-KZ"/>
        </w:rPr>
        <w:t>өлшеу</w:t>
      </w:r>
      <w:r>
        <w:rPr>
          <w:rFonts w:ascii="Times New Roman" w:hAnsi="Times New Roman" w:cs="Times New Roman"/>
          <w:sz w:val="28"/>
          <w:szCs w:val="28"/>
          <w:lang w:val="kk-KZ"/>
        </w:rPr>
        <w:t xml:space="preserve"> саласындағы халықаралық стандарттар бірнеше маңызды құжаттармен анықталады. Олардың қатарында Фраскати Басшылығы деп аталатын Экономикалық ынтымақтастық және даму ұйымының (ЭЫДҰ) құжаттары, сондай-ақ Осло Басшылығы бар [20]. </w:t>
      </w:r>
    </w:p>
    <w:p w:rsidR="005118AF" w:rsidRDefault="00EF60C3">
      <w:pPr>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ЭЫДҰ аясында ғылым мен </w:t>
      </w:r>
      <w:r>
        <w:rPr>
          <w:rFonts w:ascii="Times New Roman" w:hAnsi="Times New Roman" w:cs="Times New Roman"/>
          <w:sz w:val="28"/>
          <w:szCs w:val="28"/>
          <w:lang w:val="kk-KZ"/>
        </w:rPr>
        <w:t>техника көрсеткіштері бойынша ұлттық сарапшылар тобымен әзірленген - «Зерттеулер жүргізу мен экспериментальды әзірлемелер үшін ұсынылатын стандартты практика» құжаты немесе Фраскати Басшылығы алғаш 1963 жылы жарық көрді. Бұл құжатта технологиялық инновация</w:t>
      </w:r>
      <w:r>
        <w:rPr>
          <w:rFonts w:ascii="Times New Roman" w:hAnsi="Times New Roman" w:cs="Times New Roman"/>
          <w:sz w:val="28"/>
          <w:szCs w:val="28"/>
          <w:lang w:val="kk-KZ"/>
        </w:rPr>
        <w:t>лардың қалыптасу көзі болып саналатын  Зерттеулер мен әзірлемелер ("R&amp;D", халықаралық терминология бойынша ағылшынның Research and Development) үдерісінің мәні, оның кезеңдері мен басқа да ұқсас қызметтерден айырмашылығы анықталады. Екінші құжат - «Техноло</w:t>
      </w:r>
      <w:r>
        <w:rPr>
          <w:rFonts w:ascii="Times New Roman" w:hAnsi="Times New Roman" w:cs="Times New Roman"/>
          <w:sz w:val="28"/>
          <w:szCs w:val="28"/>
          <w:lang w:val="kk-KZ"/>
        </w:rPr>
        <w:t>гиялық инновациялар туралы мәліметтер жинау және түсіндірудің ұсынылған басқарушылық қағидалары» немесе Осло Басшылығы. Бұл құжат 1992 жылы қабылданған және онда инновациялар мен инновациялық үдерістің базалық анықтамалары келтірілген, сонымен қатар иннова</w:t>
      </w:r>
      <w:r>
        <w:rPr>
          <w:rFonts w:ascii="Times New Roman" w:hAnsi="Times New Roman" w:cs="Times New Roman"/>
          <w:sz w:val="28"/>
          <w:szCs w:val="28"/>
          <w:lang w:val="kk-KZ"/>
        </w:rPr>
        <w:t>циялық үдерістің сандық өлшемдері, инновациялық шығындарды есептеу механизмі мен зерттеулер жүргізу рәсімдері қамтылған.  Алайда, аталған құжаттың 2005 жылы жарыққа шыққан соңғы басылымы басқаша атауға ие - «Инновациялар туралы мәліметтерді жинау мен түсін</w:t>
      </w:r>
      <w:r>
        <w:rPr>
          <w:rFonts w:ascii="Times New Roman" w:hAnsi="Times New Roman" w:cs="Times New Roman"/>
          <w:sz w:val="28"/>
          <w:szCs w:val="28"/>
          <w:lang w:val="kk-KZ"/>
        </w:rPr>
        <w:t>дірудің басқарушылық қағидалары» және ол бұрынғы атауларынан айтарлықтай ерекшеленеді, себебі алдыңғы құжаттарда тек қана технологиялық инновациялар туралы ғана қарастырылған болатын. Ол құжаттарда өнімдер мен қызметтер тек ғылыми-техника нәтижелерін енгіз</w:t>
      </w:r>
      <w:r>
        <w:rPr>
          <w:rFonts w:ascii="Times New Roman" w:hAnsi="Times New Roman" w:cs="Times New Roman"/>
          <w:sz w:val="28"/>
          <w:szCs w:val="28"/>
          <w:lang w:val="kk-KZ"/>
        </w:rPr>
        <w:t>умен байланысты болса ғана инновациялық деп қарастырылды. Ал технологиялық емес инновациялар, нақтырақ айтсақ, ұйымдастырушылық және басқарушылық инновациялар кәсіпорынның инновациялық қызметінің құрамы ретінде егер олар тек белгілі бер технологиялық аспек</w:t>
      </w:r>
      <w:r>
        <w:rPr>
          <w:rFonts w:ascii="Times New Roman" w:hAnsi="Times New Roman" w:cs="Times New Roman"/>
          <w:sz w:val="28"/>
          <w:szCs w:val="28"/>
          <w:lang w:val="kk-KZ"/>
        </w:rPr>
        <w:t>тісі бар болса ғана (мысалы, компьютерлік техника мен ақпараттық технологияға негізделген автоматтандырылған шешім қабылдау жүйесін енгізу) ескерілген болатын [20, р. 3-164].</w:t>
      </w:r>
      <w:r>
        <w:rPr>
          <w:rFonts w:ascii="Times New Roman" w:hAnsi="Times New Roman" w:cs="Times New Roman"/>
          <w:color w:val="FF0000"/>
          <w:sz w:val="28"/>
          <w:szCs w:val="28"/>
          <w:lang w:val="kk-KZ"/>
        </w:rPr>
        <w:t xml:space="preserve">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Осло Басшылығына сәйкес, инновациялар - бұл жаңа немесе жетілдірілген </w:t>
      </w:r>
      <w:r>
        <w:rPr>
          <w:rFonts w:ascii="Times New Roman" w:hAnsi="Times New Roman" w:cs="Times New Roman"/>
          <w:sz w:val="28"/>
          <w:szCs w:val="28"/>
          <w:lang w:val="kk-KZ"/>
        </w:rPr>
        <w:t>өнім</w:t>
      </w:r>
      <w:r>
        <w:rPr>
          <w:rFonts w:ascii="Times New Roman" w:hAnsi="Times New Roman" w:cs="Times New Roman"/>
          <w:sz w:val="28"/>
          <w:szCs w:val="28"/>
          <w:lang w:val="kk-KZ"/>
        </w:rPr>
        <w:t xml:space="preserve"> (тауар, жұмыс, қызмет), өндірістік процесс, бизнесті жүргізудегі, жаңа жұмыс орындарын ұйымдастыру, сыртқы байланыстар орнатудағы жаңа маркетингтік немесе ұйымдастырушылық әдіс түрінде жүзеге асырылатын инновациялық қызметтің соңғы нәтижесі [21].</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w:t>
      </w:r>
      <w:r>
        <w:rPr>
          <w:rFonts w:ascii="Times New Roman" w:hAnsi="Times New Roman" w:cs="Times New Roman"/>
          <w:sz w:val="28"/>
          <w:szCs w:val="28"/>
          <w:lang w:val="kk-KZ"/>
        </w:rPr>
        <w:t>вациялар – бұл білімнің жаңа өнімдерге, қызметтерге немесе өндіріс пен өңдеудің жаңа жетілдірілген әдістеріне айналуын, шығарылуын және нарыққа таратыруын қамтитын күрделі ұғым [22].</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 термині отандық экономисттердің зерттеулерінде экономиканың н</w:t>
      </w:r>
      <w:r>
        <w:rPr>
          <w:rFonts w:ascii="Times New Roman" w:hAnsi="Times New Roman" w:cs="Times New Roman"/>
          <w:sz w:val="28"/>
          <w:szCs w:val="28"/>
          <w:lang w:val="kk-KZ"/>
        </w:rPr>
        <w:t xml:space="preserve">арықтық қатынастарға өтумен байланысты кеңінен қолданыла бастады. Оған дейін экономикалық әдебеиеттерде жаңалықтардың енгізу мәселесі ғылыми-техникалық прогресс (ҒТП) зерттеулері, ғылым мен техниканың дамуы аясында айтылып келді.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Ағылшынның терминологиялы</w:t>
      </w:r>
      <w:r>
        <w:rPr>
          <w:rFonts w:ascii="Times New Roman" w:hAnsi="Times New Roman" w:cs="Times New Roman"/>
          <w:sz w:val="28"/>
          <w:szCs w:val="28"/>
          <w:lang w:val="kk-KZ"/>
        </w:rPr>
        <w:t>қ</w:t>
      </w:r>
      <w:r>
        <w:rPr>
          <w:rFonts w:ascii="Times New Roman" w:hAnsi="Times New Roman" w:cs="Times New Roman"/>
          <w:sz w:val="28"/>
          <w:szCs w:val="28"/>
          <w:lang w:val="kk-KZ"/>
        </w:rPr>
        <w:t xml:space="preserve"> сөздіктерінде «инновация» термині өнертабыспен синонимдес болып табылады. Алайда көптеген ғалымдар инновацияны өнертабыстан ерекше деп есептейді, себебі олар инновацияны идеялар немесе өнертабыстардың коммерциялық, тәжірибелік қолданылуымен байланыстырад</w:t>
      </w:r>
      <w:r>
        <w:rPr>
          <w:rFonts w:ascii="Times New Roman" w:hAnsi="Times New Roman" w:cs="Times New Roman"/>
          <w:sz w:val="28"/>
          <w:szCs w:val="28"/>
          <w:lang w:val="kk-KZ"/>
        </w:rPr>
        <w:t>ы. Осылайша, өнертабыс – бұл идея тұжырымдамасы, ал инновация – өнертабыстың одан кейінгі экономикаға енуі. Төмендегі қарапайым теңдеу екі ұғым арасындағы байланысты көрсете алады [22]:</w:t>
      </w:r>
    </w:p>
    <w:p w:rsidR="005118AF" w:rsidRDefault="005118AF">
      <w:pPr>
        <w:spacing w:after="0" w:line="240" w:lineRule="auto"/>
        <w:ind w:firstLine="567"/>
        <w:jc w:val="both"/>
        <w:rPr>
          <w:rFonts w:ascii="Times New Roman" w:hAnsi="Times New Roman" w:cs="Times New Roman"/>
          <w:sz w:val="28"/>
          <w:szCs w:val="28"/>
          <w:lang w:val="kk-KZ"/>
        </w:rPr>
      </w:pPr>
    </w:p>
    <w:p w:rsidR="005118AF" w:rsidRDefault="00EF60C3">
      <w:pPr>
        <w:spacing w:after="0" w:line="240" w:lineRule="auto"/>
        <w:jc w:val="center"/>
        <w:rPr>
          <w:rFonts w:ascii="Times New Roman" w:hAnsi="Times New Roman" w:cs="Times New Roman"/>
          <w:i/>
          <w:sz w:val="28"/>
          <w:szCs w:val="28"/>
          <w:lang w:val="kk-KZ"/>
        </w:rPr>
      </w:pPr>
      <w:r>
        <w:rPr>
          <w:rFonts w:ascii="Times New Roman" w:hAnsi="Times New Roman" w:cs="Times New Roman"/>
          <w:i/>
          <w:sz w:val="28"/>
          <w:szCs w:val="28"/>
          <w:lang w:val="kk-KZ"/>
        </w:rPr>
        <w:t>Инновация = теориялық тұжырымдама + техникалық өнертабыс + коммерцилы</w:t>
      </w:r>
      <w:r>
        <w:rPr>
          <w:rFonts w:ascii="Times New Roman" w:hAnsi="Times New Roman" w:cs="Times New Roman"/>
          <w:i/>
          <w:sz w:val="28"/>
          <w:szCs w:val="28"/>
          <w:lang w:val="kk-KZ"/>
        </w:rPr>
        <w:t>қ</w:t>
      </w:r>
      <w:r>
        <w:rPr>
          <w:rFonts w:ascii="Times New Roman" w:hAnsi="Times New Roman" w:cs="Times New Roman"/>
          <w:i/>
          <w:sz w:val="28"/>
          <w:szCs w:val="28"/>
          <w:lang w:val="kk-KZ"/>
        </w:rPr>
        <w:t xml:space="preserve"> пайдалану</w:t>
      </w:r>
    </w:p>
    <w:p w:rsidR="005118AF" w:rsidRDefault="005118AF">
      <w:pPr>
        <w:spacing w:after="0" w:line="240" w:lineRule="auto"/>
        <w:ind w:firstLine="567"/>
        <w:jc w:val="both"/>
        <w:rPr>
          <w:rFonts w:ascii="Times New Roman" w:hAnsi="Times New Roman" w:cs="Times New Roman"/>
          <w:sz w:val="28"/>
          <w:szCs w:val="28"/>
          <w:lang w:val="kk-KZ"/>
        </w:rPr>
      </w:pP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теңдеудегі жаңа идеялар тұжырымдамасы инновацияның бастау көзі болып табылады. Жаңа идея қызық болуына қарамастан өздігінен өнертабыс та инновация да болып саналмайды, бұл тек қана тұжырымдама, ой немесе ойлардың жиынтығы болып табылады. З</w:t>
      </w:r>
      <w:r>
        <w:rPr>
          <w:rFonts w:ascii="Times New Roman" w:hAnsi="Times New Roman" w:cs="Times New Roman"/>
          <w:sz w:val="28"/>
          <w:szCs w:val="28"/>
          <w:lang w:val="kk-KZ"/>
        </w:rPr>
        <w:t>ияткерлік ойдың жаңа сезілетін артефактіге (әдетте өнім немесе үдеріске) айналу үдерісін өнертабыс деп атаймыз. Дәл осы жерде ғылым мен техника өте маңызды рөл ойнайды.  Бұл кезеңде өнертабысты оны өнімдерге ауыстыру үшін қызмет еткен көптеген адамдардың қ</w:t>
      </w:r>
      <w:r>
        <w:rPr>
          <w:rFonts w:ascii="Times New Roman" w:hAnsi="Times New Roman" w:cs="Times New Roman"/>
          <w:sz w:val="28"/>
          <w:szCs w:val="28"/>
          <w:lang w:val="kk-KZ"/>
        </w:rPr>
        <w:t xml:space="preserve">ажырлы еңбегімен үйлестіру қажет. Бұл жерден ұғатынымыз, инновация – бұл бірқатар ерекше сипаттамалары бар және оларды басқарылуды талап ететін процесс.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 терминіне отандық ғалым С.Б. Абдыгаппаров шаруашылық жүргізуші субъектілермен зерттемелерді,</w:t>
      </w:r>
      <w:r>
        <w:rPr>
          <w:rFonts w:ascii="Times New Roman" w:hAnsi="Times New Roman" w:cs="Times New Roman"/>
          <w:sz w:val="28"/>
          <w:szCs w:val="28"/>
          <w:lang w:val="kk-KZ"/>
        </w:rPr>
        <w:t xml:space="preserve"> әзірлемелерді ғылыми негізделген идеяларды енгізуді қамтитын, мемлекеттік және нарықтық реттеу арқылы қоғамның өмір сүру деңгейін жоғарылатуға бағытталған нәтижеге жету үдерісі деген анықтама берген [23].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sz w:val="28"/>
          <w:szCs w:val="28"/>
          <w:lang w:val="kk-KZ"/>
        </w:rPr>
        <w:t>Сонымен қатар, Фатхутдинов Р.А. инновацияны тиімд</w:t>
      </w:r>
      <w:r>
        <w:rPr>
          <w:rFonts w:ascii="Times New Roman" w:hAnsi="Times New Roman"/>
          <w:sz w:val="28"/>
          <w:szCs w:val="28"/>
          <w:lang w:val="kk-KZ"/>
        </w:rPr>
        <w:t xml:space="preserve">ілікке жету үшін басқару объектісіне экономикалық, әлеуметтік, экологиялық, ғылыми-техникалық және басқа да қызмет салалаларына енгізу нәтижесінде пайда болатын әсерді түсіндіреді [24].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инновация – бұл идеяларды қалыптастыру, технологияларды әзі</w:t>
      </w:r>
      <w:r>
        <w:rPr>
          <w:rFonts w:ascii="Times New Roman" w:hAnsi="Times New Roman" w:cs="Times New Roman"/>
          <w:sz w:val="28"/>
          <w:szCs w:val="28"/>
          <w:lang w:val="kk-KZ"/>
        </w:rPr>
        <w:t>рлеу, жаңа өнімдерді, жаңа (жетілдірілген) өндірістік процесс немесе құралдарды өндіру немесе сатумен байланысты барлық қызметтерді басқару дегенді білдіреді. (Қосымша Ә)-да отандық және шетелдік ғалымдардың инновация түсінігіне берген анықтамалары келтірі</w:t>
      </w:r>
      <w:r>
        <w:rPr>
          <w:rFonts w:ascii="Times New Roman" w:hAnsi="Times New Roman" w:cs="Times New Roman"/>
          <w:sz w:val="28"/>
          <w:szCs w:val="28"/>
          <w:lang w:val="kk-KZ"/>
        </w:rPr>
        <w:t xml:space="preserve">лген.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Инновацияларды енгізу объектінің немесе жүйенің инновациялық дамуын анықтайды. Бұл мәселені зерттеген шетелдік  ғалымдарға А. Машалл, М. Портер, Т.Ф. Паллиді және отандық ғалымдардың қатарына Ж.Б. Рахметтуллина, А.А. Алимбаев, М. Садырованың  және т</w:t>
      </w:r>
      <w:r>
        <w:rPr>
          <w:rFonts w:ascii="Times New Roman" w:hAnsi="Times New Roman" w:cs="Times New Roman"/>
          <w:sz w:val="28"/>
          <w:szCs w:val="28"/>
          <w:lang w:val="kk-KZ"/>
        </w:rPr>
        <w:t xml:space="preserve">.б. жатқызуға болады.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Портер бойынша инновациялық даму бәсекеге қабілеттілікті арттырудың негізгі факторларының бірі болып табылады. Жалпы алғанда М. Портер үш деңгейді: ұлттық бәсекеге қабілеттілік, салалардың бәсекеге қабілеттілігі және кәсіпкерлік құр</w:t>
      </w:r>
      <w:r>
        <w:rPr>
          <w:rFonts w:ascii="Times New Roman" w:hAnsi="Times New Roman" w:cs="Times New Roman"/>
          <w:sz w:val="28"/>
          <w:szCs w:val="28"/>
          <w:lang w:val="kk-KZ"/>
        </w:rPr>
        <w:t xml:space="preserve">ылымдардың бәсекеге қабілеттілігі [25].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Инновациялық дамуды микродеңгейде қарастыратын неоклассикалық экономикалық мектептің негізін салушы А. Маршалл инновацииялық даму мүмкіндігін бес бағытта анықтаған: жаңа игілік жасау; шикізаттың жаңа түрін пайдалану</w:t>
      </w:r>
      <w:r>
        <w:rPr>
          <w:rFonts w:ascii="Times New Roman" w:hAnsi="Times New Roman" w:cs="Times New Roman"/>
          <w:sz w:val="28"/>
          <w:szCs w:val="28"/>
          <w:lang w:val="kk-KZ"/>
        </w:rPr>
        <w:t xml:space="preserve">; өндірістің жаңа әдісін енгізу; жаңа тауарды өткізудің жаңа нарығын басып алу; бизнесті ұйымдастырудың жаңа әдісін немесе формасын енгізу [26].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Кейбір авторлар инновациялық дамуды инновациялық әлеует тұрғысынан қарастырады, мысалы, Т.Ф. Палей инновациялы</w:t>
      </w:r>
      <w:r>
        <w:rPr>
          <w:rFonts w:ascii="Times New Roman" w:hAnsi="Times New Roman" w:cs="Times New Roman"/>
          <w:sz w:val="28"/>
          <w:szCs w:val="28"/>
          <w:lang w:val="kk-KZ"/>
        </w:rPr>
        <w:t>қ</w:t>
      </w:r>
      <w:r>
        <w:rPr>
          <w:rFonts w:ascii="Times New Roman" w:hAnsi="Times New Roman" w:cs="Times New Roman"/>
          <w:sz w:val="28"/>
          <w:szCs w:val="28"/>
          <w:lang w:val="kk-KZ"/>
        </w:rPr>
        <w:t xml:space="preserve"> даму деп инновациялық үдеріс пен инновациялық әлеуетті жүзеге асыруға бағытталған жүйедегі инновациялық жағдайлар мен факторларды дамытудың синергиясы ретінде санайды [27].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инновациялық даму ұзақ мерзімді перспективада кәсіпорынның табыстылығы</w:t>
      </w:r>
      <w:r>
        <w:rPr>
          <w:rFonts w:ascii="Times New Roman" w:hAnsi="Times New Roman" w:cs="Times New Roman"/>
          <w:sz w:val="28"/>
          <w:szCs w:val="28"/>
          <w:lang w:val="kk-KZ"/>
        </w:rPr>
        <w:t xml:space="preserve"> мен өсімін қамтамасыз ету мақсатында оның барлық қызмет салаларында инновацияларды жүйелі және кешенді пайдалануға бағытталады.  </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даму инновациялық қызметтің нәтижесі болғандықтан, отандық және шетелдік ғалымдардың инновациялық қызмет ұғымы мен оның құрамдас бөліктеріне берген анықтамаларына талдау жасаған дұрыс.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Инновациялық қызмет әртүрлі инновациялық шешімдерге негіз</w:t>
      </w:r>
      <w:r>
        <w:rPr>
          <w:rFonts w:ascii="Times New Roman" w:eastAsia="Times New Roman" w:hAnsi="Times New Roman"/>
          <w:color w:val="000000"/>
          <w:sz w:val="28"/>
          <w:szCs w:val="28"/>
          <w:lang w:val="kk-KZ"/>
        </w:rPr>
        <w:t xml:space="preserve">деледі, олардың бірқатары мақсатқа бағытталған және үздіксіз үдеріс негізінде сипатталады.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Инновациялық қызмет – бұл ғылыми зерттеу және әзірлемелердің нәтижелерін немесе ғылыми-техниканың жетістіктерінің нарықтағы жаңа, жетілдірілген өнімге немесе тәжірибелік қызметте қолданылатын технологиялық процеске айналуға бағытталған үдеріс [28].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w:t>
      </w:r>
      <w:r>
        <w:rPr>
          <w:rFonts w:ascii="Times New Roman" w:eastAsia="Times New Roman" w:hAnsi="Times New Roman"/>
          <w:color w:val="000000"/>
          <w:sz w:val="28"/>
          <w:szCs w:val="28"/>
          <w:lang w:val="kk-KZ"/>
        </w:rPr>
        <w:t>циялық қызмет кәсіпорынның инновациялық дамуын қамтамасыз ететін негізгі бизнес-үдеріс болып табылады. Инновациялық қызмет инновацияларды қалыптастыру, игеру, тарату және қолдану процесін сипаттайды және де кәсіпорын қызметінің қаржылық-экономикалық, техно</w:t>
      </w:r>
      <w:r>
        <w:rPr>
          <w:rFonts w:ascii="Times New Roman" w:eastAsia="Times New Roman" w:hAnsi="Times New Roman"/>
          <w:color w:val="000000"/>
          <w:sz w:val="28"/>
          <w:szCs w:val="28"/>
          <w:lang w:val="kk-KZ"/>
        </w:rPr>
        <w:t>логтиялық, экологиялық және әлеуметтік мақсаттарының олардың жүйелік байланысы тұрғысындағы үйлесіміне бағытталады.</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Инновациялық үдеріс – бұл ғылыми білімнің инновацияларға айналу процесі. Инновацилық үдеріс «ғылым – техника (технология) – өндіріс – тұтыну</w:t>
      </w:r>
      <w:r>
        <w:rPr>
          <w:rFonts w:ascii="Times New Roman" w:eastAsia="Times New Roman" w:hAnsi="Times New Roman"/>
          <w:color w:val="000000"/>
          <w:sz w:val="28"/>
          <w:szCs w:val="28"/>
          <w:lang w:val="kk-KZ"/>
        </w:rPr>
        <w:t>» кезеңдерінен тұрады. Тамақ өнеркәсібіне қатысты инновациялық процесті ғылыми зерттеулер мен әзірлемелердің жаңа немесе жетілдірілген тамақ өніміне, жаңа өндіріс технологияға, өндірісті ұйымдастыру мен басқарудың жаңа нысандарына айналуы деп сипаттауға бо</w:t>
      </w:r>
      <w:r>
        <w:rPr>
          <w:rFonts w:ascii="Times New Roman" w:eastAsia="Times New Roman" w:hAnsi="Times New Roman"/>
          <w:color w:val="000000"/>
          <w:sz w:val="28"/>
          <w:szCs w:val="28"/>
          <w:lang w:val="kk-KZ"/>
        </w:rPr>
        <w:t>лады [29].</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Инновациялық қызмет, сондай-ақ инновациялық даму бір күйден (ескіден) сапалы жаңа күйге өтуде делдалдық қызмет атқарады және дәстүрлі қызметпен салыстырғанда өзгеше құндылықтарға негізделген, жаңа құзыреттерді, дағдылар мен біліктіліктерді талап</w:t>
      </w:r>
      <w:r>
        <w:rPr>
          <w:rFonts w:ascii="Times New Roman" w:eastAsia="Times New Roman" w:hAnsi="Times New Roman"/>
          <w:color w:val="000000"/>
          <w:sz w:val="28"/>
          <w:szCs w:val="28"/>
          <w:lang w:val="kk-KZ"/>
        </w:rPr>
        <w:t xml:space="preserve"> етеді.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Инновациялық қызметтің маңызды мәселелерінің біріне осы қызметті ұйымдастыру қызметін жатқызуға болады, яғни басқару мәселесі. Кез келген кәсіпорынның қызметінде басқарудың сапасы ерекше маңызға ие екендігі белгілі.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Қаржылық жобалармен салыстырға</w:t>
      </w:r>
      <w:r>
        <w:rPr>
          <w:rFonts w:ascii="Times New Roman" w:eastAsia="Times New Roman" w:hAnsi="Times New Roman"/>
          <w:color w:val="000000"/>
          <w:sz w:val="28"/>
          <w:szCs w:val="28"/>
          <w:lang w:val="kk-KZ"/>
        </w:rPr>
        <w:t>да инновациялық жобаларда басқаруды талап ететін факторлар саны өте көп, бұл факторлар жобаның инвестициялық тартымдылығын түбегейлі өзгертуге қабілетті. Олардың қатарына: басқару тәсілін, персоналдың біліктілігін және менеджердің тәжірибесін жатқызуға бол</w:t>
      </w:r>
      <w:r>
        <w:rPr>
          <w:rFonts w:ascii="Times New Roman" w:eastAsia="Times New Roman" w:hAnsi="Times New Roman"/>
          <w:color w:val="000000"/>
          <w:sz w:val="28"/>
          <w:szCs w:val="28"/>
          <w:lang w:val="kk-KZ"/>
        </w:rPr>
        <w:t xml:space="preserve">ады. Осылайша, басқару мәселесі инновациялық қызметте шешуші болып табылады.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Осылайша, инновациялар қатарына тек қана жоғары технологияларды пайдалануды ғана емес, сонымен қатар басқарушылық шешім қабылдау саласындағы да инновацияларды жатқызуға болады. К</w:t>
      </w:r>
      <w:r>
        <w:rPr>
          <w:rFonts w:ascii="Times New Roman" w:eastAsia="Times New Roman" w:hAnsi="Times New Roman"/>
          <w:color w:val="000000"/>
          <w:sz w:val="28"/>
          <w:szCs w:val="28"/>
          <w:lang w:val="kk-KZ"/>
        </w:rPr>
        <w:t xml:space="preserve">әсіпорынға бәсекелестік ортада икемді әрі тиімді қызмет етуі үшін басқарудың инновациялық тәсілдерін қолдану қажет.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Инновациялық</w:t>
      </w:r>
      <w:r>
        <w:rPr>
          <w:rFonts w:ascii="Times New Roman" w:eastAsia="Times New Roman" w:hAnsi="Times New Roman"/>
          <w:color w:val="000000"/>
          <w:sz w:val="28"/>
          <w:szCs w:val="28"/>
          <w:lang w:val="kk-KZ"/>
        </w:rPr>
        <w:t xml:space="preserve"> процесстерді басқару </w:t>
      </w:r>
      <w:r w:rsidRPr="008D1DAE">
        <w:rPr>
          <w:rFonts w:ascii="Times New Roman" w:eastAsia="Times New Roman" w:hAnsi="Times New Roman"/>
          <w:color w:val="000000"/>
          <w:sz w:val="28"/>
          <w:szCs w:val="28"/>
          <w:lang w:val="kk-KZ"/>
        </w:rPr>
        <w:t>-</w:t>
      </w:r>
      <w:r w:rsidRPr="008D1DAE">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lang w:val="kk-KZ"/>
        </w:rPr>
        <w:t>инновациялық жүйенің барлық субъектілері тарапынан жүзеге асырылатын, барлық деңгейде (жоспарлау, ұйы</w:t>
      </w:r>
      <w:r>
        <w:rPr>
          <w:rFonts w:ascii="Times New Roman" w:eastAsia="Times New Roman" w:hAnsi="Times New Roman"/>
          <w:color w:val="000000"/>
          <w:sz w:val="28"/>
          <w:szCs w:val="28"/>
          <w:lang w:val="kk-KZ"/>
        </w:rPr>
        <w:t>мдастыру, ынталандыру, бақылау және реттеу) үйлестірілген іс</w:t>
      </w:r>
      <w:r w:rsidRPr="008D1DAE">
        <w:rPr>
          <w:rFonts w:ascii="Times New Roman" w:eastAsia="Times New Roman" w:hAnsi="Times New Roman"/>
          <w:color w:val="000000"/>
          <w:sz w:val="28"/>
          <w:szCs w:val="28"/>
          <w:lang w:val="kk-KZ"/>
        </w:rPr>
        <w:t>-</w:t>
      </w:r>
      <w:r>
        <w:rPr>
          <w:rFonts w:ascii="Times New Roman" w:eastAsia="Times New Roman" w:hAnsi="Times New Roman"/>
          <w:color w:val="000000"/>
          <w:sz w:val="28"/>
          <w:szCs w:val="28"/>
          <w:lang w:val="kk-KZ"/>
        </w:rPr>
        <w:t xml:space="preserve">қимылдар жиынтығы. </w:t>
      </w:r>
      <w:r>
        <w:rPr>
          <w:rFonts w:ascii="Times New Roman" w:eastAsia="Times New Roman" w:hAnsi="Times New Roman"/>
          <w:color w:val="000000"/>
          <w:sz w:val="28"/>
          <w:szCs w:val="28"/>
          <w:lang w:val="kk-KZ"/>
        </w:rPr>
        <w:t xml:space="preserve">Бұның негізінде осы үдерістің басты қатысушылары – инноватор, мемлекет және бизнес арасындағы байланыстардың жиынтығы жатады [30].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Инновацияларды басқару процесінде мемлекетті</w:t>
      </w:r>
      <w:r>
        <w:rPr>
          <w:rFonts w:ascii="Times New Roman" w:eastAsia="Times New Roman" w:hAnsi="Times New Roman"/>
          <w:color w:val="000000"/>
          <w:sz w:val="28"/>
          <w:szCs w:val="28"/>
          <w:lang w:val="kk-KZ"/>
        </w:rPr>
        <w:t>ң мақсаты – макро- және мезодеңгейде инновациялық қызмет үшін қолайды орта қалыптастыру: инфрақұрылым және тиімді қызмет ететін даму институттары, ынталантыру және жеңілдіктер жүйесіе қалыптастыру.</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Ал инновацияларды басқарудағы бизнестің мақсаты – көптеген</w:t>
      </w:r>
      <w:r>
        <w:rPr>
          <w:rFonts w:ascii="Times New Roman" w:eastAsia="Times New Roman" w:hAnsi="Times New Roman"/>
          <w:color w:val="000000"/>
          <w:sz w:val="28"/>
          <w:szCs w:val="28"/>
          <w:lang w:val="kk-KZ"/>
        </w:rPr>
        <w:t xml:space="preserve"> дәстүрді және арнайы басқарушылық функциялар мен элементтерді қолдана отырып инновациялық жобаны әзірлеуден бастап оның коммерциялизациялануына дейінгі кезеңдердегі процестер мен қарым-қатынастардың тиімді жүйесін қалыптастыру, жаңа өнімді нарыққа шығару,</w:t>
      </w:r>
      <w:r>
        <w:rPr>
          <w:rFonts w:ascii="Times New Roman" w:eastAsia="Times New Roman" w:hAnsi="Times New Roman"/>
          <w:color w:val="000000"/>
          <w:sz w:val="28"/>
          <w:szCs w:val="28"/>
          <w:lang w:val="kk-KZ"/>
        </w:rPr>
        <w:t xml:space="preserve"> бизнестің құнын арттыру болып табылады [29, р. 3-362].  </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Бұл классикалық негіз Қазақстанның тамақ өнеркәсібі үшін инновация тек жаңа технологияларды ойлап табу ғана емес, сонымен қатар ұйымдастырушылық және нарықтық өзгерістерді түсіну үшін өзекті болып т</w:t>
      </w:r>
      <w:r>
        <w:rPr>
          <w:rFonts w:ascii="Times New Roman" w:eastAsia="Times New Roman" w:hAnsi="Times New Roman"/>
          <w:color w:val="000000"/>
          <w:sz w:val="28"/>
          <w:szCs w:val="28"/>
          <w:lang w:val="kk-KZ"/>
        </w:rPr>
        <w:t>абылады. Қазақстандағы көптеген азық-түлік кәсіпорындары үшін инновация нөлден жаңа өнімдерді жасаудың орнына жетілдірілген өндіріс әдістерін, сертификаттау стандарттарын және логистикалық жүйелерді қабылдауды қамтиды.</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olor w:val="000000"/>
          <w:sz w:val="28"/>
          <w:szCs w:val="28"/>
          <w:lang w:val="kk-KZ"/>
        </w:rPr>
        <w:t>Тамақ өнеркәсібі еліміздің ірі өнеркә</w:t>
      </w:r>
      <w:r>
        <w:rPr>
          <w:rFonts w:ascii="Times New Roman" w:eastAsia="Times New Roman" w:hAnsi="Times New Roman"/>
          <w:color w:val="000000"/>
          <w:sz w:val="28"/>
          <w:szCs w:val="28"/>
          <w:lang w:val="kk-KZ"/>
        </w:rPr>
        <w:t>сіптік секторы болып табылады және өзінің үлкен экономикалық өнімділігі мен жұмысбастылық бойынша маңызды рөл атқаруына байланысты экономиканың маңызды драйвері болып саналады. Тамақ өнеркәсібі елдің азық-түлік қауіпсіздігін қамтамасыз етілуінің кепілі рет</w:t>
      </w:r>
      <w:r>
        <w:rPr>
          <w:rFonts w:ascii="Times New Roman" w:eastAsia="Times New Roman" w:hAnsi="Times New Roman"/>
          <w:color w:val="000000"/>
          <w:sz w:val="28"/>
          <w:szCs w:val="28"/>
          <w:lang w:val="kk-KZ"/>
        </w:rPr>
        <w:t>інде қарастырылады және тұрғындарды сапасы, құрамы мен құрылымы бойынша қаж</w:t>
      </w:r>
      <w:r>
        <w:rPr>
          <w:rFonts w:ascii="Times New Roman" w:hAnsi="Times New Roman" w:cs="Times New Roman"/>
          <w:sz w:val="28"/>
          <w:szCs w:val="28"/>
          <w:lang w:val="kk-KZ"/>
        </w:rPr>
        <w:t>етті деңгейдегі азық-түлік өнімдерімен тұрақты және үздіксіз қамтамасыз ететін стратегиялық маңызды сала болып табылады. Еліміздің тамақ өнеркәсібі елдің азық-түлік қауіпсіздігін қа</w:t>
      </w:r>
      <w:r>
        <w:rPr>
          <w:rFonts w:ascii="Times New Roman" w:hAnsi="Times New Roman" w:cs="Times New Roman"/>
          <w:sz w:val="28"/>
          <w:szCs w:val="28"/>
          <w:lang w:val="kk-KZ"/>
        </w:rPr>
        <w:t>мтамасыз етуі және әлемдік кеңістіктегі бәсекеге қабілеттілігін артыруы үшін қоғамда орын алып жатқан тамақ өнімдерін өндіру мен жылжытудағы техникалық және экономикалық өзгерістерге жауап беруі қажет. Бұл аталған өзгерістер ауыл шаруашылығы өндірісінен ба</w:t>
      </w:r>
      <w:r>
        <w:rPr>
          <w:rFonts w:ascii="Times New Roman" w:hAnsi="Times New Roman" w:cs="Times New Roman"/>
          <w:sz w:val="28"/>
          <w:szCs w:val="28"/>
          <w:lang w:val="kk-KZ"/>
        </w:rPr>
        <w:t>стап, тамақ өнімдерінің өндірісі, сондай-ақ оларды соңғы тұтынушыға дейін жеткізуді қамтитын тұтас өндірістік шынжырды бойлай жалғасады. Сәйкесінше, инновациялар сала кәсіпорындарының бәсекеге қабілеттілігін арттыратын маңызды факторлардың бірі болып табыл</w:t>
      </w:r>
      <w:r>
        <w:rPr>
          <w:rFonts w:ascii="Times New Roman" w:hAnsi="Times New Roman" w:cs="Times New Roman"/>
          <w:sz w:val="28"/>
          <w:szCs w:val="28"/>
          <w:lang w:val="kk-KZ"/>
        </w:rPr>
        <w:t>ады.</w:t>
      </w:r>
    </w:p>
    <w:p w:rsidR="005118AF" w:rsidRDefault="00EF60C3">
      <w:pPr>
        <w:spacing w:after="0" w:line="240" w:lineRule="auto"/>
        <w:ind w:firstLine="709"/>
        <w:jc w:val="both"/>
        <w:rPr>
          <w:rFonts w:ascii="Times New Roman" w:hAnsi="Times New Roman" w:cs="Times New Roman"/>
          <w:sz w:val="28"/>
          <w:szCs w:val="28"/>
          <w:lang w:val="kk-KZ"/>
        </w:rPr>
      </w:pPr>
      <w:r>
        <w:rPr>
          <w:rFonts w:ascii="Times New Roman" w:hAnsi="Times New Roman"/>
          <w:sz w:val="28"/>
          <w:szCs w:val="28"/>
          <w:lang w:val="kk-KZ"/>
        </w:rPr>
        <w:t xml:space="preserve">ЭЫДҰ-ның өңдеу салаларының технологиялылық деңгейі бойынша жіктемесіне сәйкес </w:t>
      </w:r>
      <w:r>
        <w:rPr>
          <w:rFonts w:ascii="Times New Roman" w:hAnsi="Times New Roman"/>
          <w:i/>
          <w:sz w:val="28"/>
          <w:szCs w:val="28"/>
          <w:lang w:val="kk-KZ"/>
        </w:rPr>
        <w:t xml:space="preserve">тамақ өнеркәсібі төмен технологиялық (low-tech) салаға </w:t>
      </w:r>
      <w:r>
        <w:rPr>
          <w:rFonts w:ascii="Times New Roman" w:hAnsi="Times New Roman"/>
          <w:sz w:val="28"/>
          <w:szCs w:val="28"/>
          <w:lang w:val="kk-KZ"/>
        </w:rPr>
        <w:t xml:space="preserve">жатады. Жалпы ЭЫДҰ ұсынған бұл жіктемесі сала ұйымдарының ҒЗТКЖ қарқындылығы негізінде анықталады. Кәсіпорынның Ғылым </w:t>
      </w:r>
      <w:r>
        <w:rPr>
          <w:rFonts w:ascii="Times New Roman" w:hAnsi="Times New Roman"/>
          <w:sz w:val="28"/>
          <w:szCs w:val="28"/>
          <w:lang w:val="kk-KZ"/>
        </w:rPr>
        <w:t>мен дамуының (R&amp;D</w:t>
      </w:r>
      <w:r>
        <w:rPr>
          <w:rFonts w:ascii="Times New Roman" w:hAnsi="Times New Roman" w:cs="Times New Roman"/>
          <w:sz w:val="28"/>
          <w:szCs w:val="28"/>
          <w:lang w:val="kk-KZ"/>
        </w:rPr>
        <w:t>) қарқындылығы кәсіпорындағы оған жұмсалған орташа инвестиция деңгейін көрсетеді. Осы критерийге сәйкес төмендегідей шектер анықталған (2-кесте).</w:t>
      </w:r>
    </w:p>
    <w:p w:rsidR="005118AF" w:rsidRDefault="005118AF">
      <w:pPr>
        <w:spacing w:after="0" w:line="240" w:lineRule="auto"/>
        <w:ind w:firstLine="567"/>
        <w:jc w:val="both"/>
        <w:rPr>
          <w:rFonts w:ascii="Times New Roman" w:hAnsi="Times New Roman"/>
          <w:sz w:val="28"/>
          <w:szCs w:val="28"/>
          <w:lang w:val="kk-KZ"/>
        </w:rPr>
      </w:pPr>
    </w:p>
    <w:p w:rsidR="005118AF" w:rsidRDefault="00EF60C3">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Кесте 2 </w:t>
      </w:r>
      <w:r>
        <w:rPr>
          <w:rFonts w:ascii="Times New Roman" w:hAnsi="Times New Roman" w:cs="Times New Roman"/>
          <w:sz w:val="28"/>
          <w:szCs w:val="28"/>
          <w:lang w:val="kk-KZ"/>
        </w:rPr>
        <w:t>‒</w:t>
      </w:r>
      <w:r>
        <w:rPr>
          <w:rFonts w:ascii="Times New Roman" w:hAnsi="Times New Roman"/>
          <w:sz w:val="28"/>
          <w:szCs w:val="28"/>
          <w:lang w:val="kk-KZ"/>
        </w:rPr>
        <w:t xml:space="preserve"> ЭЫДҰ ұсынған өңдеуші өнеркәсіп салаларының технологиялық қарқындылығына байланысты жіктемесі </w:t>
      </w:r>
    </w:p>
    <w:p w:rsidR="005118AF" w:rsidRDefault="005118AF">
      <w:pPr>
        <w:spacing w:after="0" w:line="240" w:lineRule="auto"/>
        <w:jc w:val="center"/>
        <w:rPr>
          <w:rFonts w:ascii="Times New Roman" w:hAnsi="Times New Roman"/>
          <w:sz w:val="16"/>
          <w:szCs w:val="16"/>
          <w:lang w:val="kk-KZ"/>
        </w:rPr>
      </w:pPr>
    </w:p>
    <w:tbl>
      <w:tblPr>
        <w:tblStyle w:val="ae"/>
        <w:tblW w:w="9463" w:type="dxa"/>
        <w:jc w:val="center"/>
        <w:tblLayout w:type="fixed"/>
        <w:tblLook w:val="04A0" w:firstRow="1" w:lastRow="0" w:firstColumn="1" w:lastColumn="0" w:noHBand="0" w:noVBand="1"/>
      </w:tblPr>
      <w:tblGrid>
        <w:gridCol w:w="2093"/>
        <w:gridCol w:w="1572"/>
        <w:gridCol w:w="5798"/>
      </w:tblGrid>
      <w:tr w:rsidR="005118AF">
        <w:trPr>
          <w:trHeight w:val="555"/>
          <w:jc w:val="center"/>
        </w:trPr>
        <w:tc>
          <w:tcPr>
            <w:tcW w:w="2093" w:type="dxa"/>
            <w:vAlign w:val="center"/>
          </w:tcPr>
          <w:p w:rsidR="005118AF" w:rsidRDefault="00EF60C3">
            <w:pPr>
              <w:spacing w:after="0" w:line="240" w:lineRule="auto"/>
              <w:jc w:val="center"/>
              <w:rPr>
                <w:rFonts w:ascii="Times New Roman" w:hAnsi="Times New Roman"/>
                <w:sz w:val="24"/>
                <w:szCs w:val="24"/>
                <w:lang w:val="kk-KZ"/>
              </w:rPr>
            </w:pPr>
            <w:r>
              <w:rPr>
                <w:rFonts w:ascii="Times New Roman" w:hAnsi="Times New Roman"/>
                <w:sz w:val="24"/>
                <w:szCs w:val="24"/>
                <w:lang w:val="kk-KZ"/>
              </w:rPr>
              <w:t>Өңдеуші</w:t>
            </w:r>
            <w:r>
              <w:rPr>
                <w:rFonts w:ascii="Times New Roman" w:hAnsi="Times New Roman"/>
                <w:sz w:val="24"/>
                <w:szCs w:val="24"/>
                <w:lang w:val="kk-KZ"/>
              </w:rPr>
              <w:t xml:space="preserve"> өнеркәсіп түрлері</w:t>
            </w:r>
          </w:p>
        </w:tc>
        <w:tc>
          <w:tcPr>
            <w:tcW w:w="1572" w:type="dxa"/>
            <w:vAlign w:val="center"/>
          </w:tcPr>
          <w:p w:rsidR="005118AF" w:rsidRDefault="00EF60C3">
            <w:pPr>
              <w:spacing w:after="0" w:line="240" w:lineRule="auto"/>
              <w:jc w:val="center"/>
              <w:rPr>
                <w:rFonts w:ascii="Times New Roman" w:hAnsi="Times New Roman"/>
                <w:sz w:val="24"/>
                <w:szCs w:val="24"/>
                <w:lang w:val="kk-KZ"/>
              </w:rPr>
            </w:pPr>
            <w:r>
              <w:rPr>
                <w:rFonts w:ascii="Times New Roman" w:hAnsi="Times New Roman" w:cs="Times New Roman"/>
                <w:sz w:val="24"/>
                <w:szCs w:val="24"/>
                <w:lang w:val="kk-KZ"/>
              </w:rPr>
              <w:t>R&amp;D қарқын дылығы</w:t>
            </w:r>
          </w:p>
        </w:tc>
        <w:tc>
          <w:tcPr>
            <w:tcW w:w="5798" w:type="dxa"/>
            <w:vAlign w:val="center"/>
          </w:tcPr>
          <w:p w:rsidR="005118AF" w:rsidRDefault="00EF60C3">
            <w:pPr>
              <w:spacing w:after="0" w:line="240" w:lineRule="auto"/>
              <w:jc w:val="center"/>
              <w:rPr>
                <w:rFonts w:ascii="Times New Roman" w:hAnsi="Times New Roman"/>
                <w:sz w:val="24"/>
                <w:szCs w:val="24"/>
                <w:lang w:val="kk-KZ"/>
              </w:rPr>
            </w:pPr>
            <w:r>
              <w:rPr>
                <w:rFonts w:ascii="Times New Roman" w:hAnsi="Times New Roman"/>
                <w:sz w:val="24"/>
                <w:szCs w:val="24"/>
                <w:lang w:val="kk-KZ"/>
              </w:rPr>
              <w:t>Салалар</w:t>
            </w:r>
          </w:p>
        </w:tc>
      </w:tr>
      <w:tr w:rsidR="005118AF">
        <w:trPr>
          <w:jc w:val="center"/>
        </w:trPr>
        <w:tc>
          <w:tcPr>
            <w:tcW w:w="2093" w:type="dxa"/>
            <w:vAlign w:val="center"/>
          </w:tcPr>
          <w:p w:rsidR="005118AF" w:rsidRDefault="00EF60C3">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572" w:type="dxa"/>
            <w:vAlign w:val="center"/>
          </w:tcPr>
          <w:p w:rsidR="005118AF" w:rsidRDefault="00EF60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98" w:type="dxa"/>
            <w:vAlign w:val="center"/>
          </w:tcPr>
          <w:p w:rsidR="005118AF" w:rsidRDefault="00EF60C3">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r>
      <w:tr w:rsidR="005118AF">
        <w:trPr>
          <w:jc w:val="center"/>
        </w:trPr>
        <w:tc>
          <w:tcPr>
            <w:tcW w:w="2093"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Жоғары технологиялық (</w:t>
            </w:r>
            <w:r>
              <w:rPr>
                <w:rFonts w:ascii="Times New Roman" w:hAnsi="Times New Roman" w:cs="Times New Roman"/>
                <w:sz w:val="24"/>
                <w:szCs w:val="24"/>
                <w:lang w:val="en-GB"/>
              </w:rPr>
              <w:t>high</w:t>
            </w:r>
            <w:r>
              <w:rPr>
                <w:rFonts w:ascii="Times New Roman" w:hAnsi="Times New Roman" w:cs="Times New Roman"/>
                <w:sz w:val="24"/>
                <w:szCs w:val="24"/>
              </w:rPr>
              <w:t>-</w:t>
            </w:r>
            <w:r>
              <w:rPr>
                <w:rFonts w:ascii="Times New Roman" w:hAnsi="Times New Roman" w:cs="Times New Roman"/>
                <w:sz w:val="24"/>
                <w:szCs w:val="24"/>
                <w:lang w:val="en-GB"/>
              </w:rPr>
              <w:t>tech</w:t>
            </w:r>
            <w:r>
              <w:rPr>
                <w:rFonts w:ascii="Times New Roman" w:hAnsi="Times New Roman" w:cs="Times New Roman"/>
                <w:sz w:val="24"/>
                <w:szCs w:val="24"/>
                <w:lang w:val="kk-KZ"/>
              </w:rPr>
              <w:t>)</w:t>
            </w:r>
          </w:p>
        </w:tc>
        <w:tc>
          <w:tcPr>
            <w:tcW w:w="1572"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7%-дан жоғары</w:t>
            </w:r>
          </w:p>
        </w:tc>
        <w:tc>
          <w:tcPr>
            <w:tcW w:w="5798" w:type="dxa"/>
          </w:tcPr>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медициналық, дәлдік және оптикалық құрылғылар;</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фармацептика;</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радио, теледидар және байланыс құралдары;</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кеңсе, есептеу және электронды есептеу техникасы;</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ұшақ</w:t>
            </w:r>
            <w:r>
              <w:rPr>
                <w:rFonts w:ascii="Times New Roman" w:hAnsi="Times New Roman" w:cs="Times New Roman"/>
                <w:sz w:val="24"/>
                <w:szCs w:val="24"/>
                <w:lang w:val="kk-KZ"/>
              </w:rPr>
              <w:t xml:space="preserve"> және ғарыш кемесі</w:t>
            </w:r>
          </w:p>
        </w:tc>
      </w:tr>
      <w:tr w:rsidR="005118AF">
        <w:trPr>
          <w:jc w:val="center"/>
        </w:trPr>
        <w:tc>
          <w:tcPr>
            <w:tcW w:w="2093"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Орташа-жоғарытехнологиялық (medium high-tech)</w:t>
            </w:r>
          </w:p>
        </w:tc>
        <w:tc>
          <w:tcPr>
            <w:tcW w:w="1572"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2,5%-дан 7% аралығында</w:t>
            </w:r>
          </w:p>
        </w:tc>
        <w:tc>
          <w:tcPr>
            <w:tcW w:w="5798" w:type="dxa"/>
          </w:tcPr>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электр машиналары мен аппараттары;</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автомобильдер, </w:t>
            </w:r>
            <w:r>
              <w:rPr>
                <w:rFonts w:ascii="Times New Roman" w:hAnsi="Times New Roman" w:cs="Times New Roman"/>
                <w:sz w:val="24"/>
                <w:szCs w:val="24"/>
                <w:lang w:val="kk-KZ"/>
              </w:rPr>
              <w:t>тіркемелер және жартылай тіркемелер;</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фармацевтикалық емес басқа химиялық заттар;</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теміржол және көлік техникасына арналған жабдық; </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машиналар мен жабдықтар (ISIC 29)</w:t>
            </w:r>
          </w:p>
        </w:tc>
      </w:tr>
      <w:tr w:rsidR="005118AF">
        <w:trPr>
          <w:jc w:val="center"/>
        </w:trPr>
        <w:tc>
          <w:tcPr>
            <w:tcW w:w="2093"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Орташа-төментехнологиялық (medium-low-tech)</w:t>
            </w:r>
          </w:p>
        </w:tc>
        <w:tc>
          <w:tcPr>
            <w:tcW w:w="1572" w:type="dxa"/>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1,0%-дан 2,5%- аралығында</w:t>
            </w:r>
          </w:p>
        </w:tc>
        <w:tc>
          <w:tcPr>
            <w:tcW w:w="5798" w:type="dxa"/>
          </w:tcPr>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кокс және тазартылға</w:t>
            </w:r>
            <w:r>
              <w:rPr>
                <w:rFonts w:ascii="Times New Roman" w:hAnsi="Times New Roman" w:cs="Times New Roman"/>
                <w:sz w:val="24"/>
                <w:szCs w:val="24"/>
                <w:lang w:val="kk-KZ"/>
              </w:rPr>
              <w:t>н мұнай өнімдерін өндіру;</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резеңке және пластмасса бұйымдарын өндіру;</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өзге</w:t>
            </w:r>
            <w:r>
              <w:rPr>
                <w:rFonts w:ascii="Times New Roman" w:hAnsi="Times New Roman" w:cs="Times New Roman"/>
                <w:sz w:val="24"/>
                <w:szCs w:val="24"/>
                <w:lang w:val="kk-KZ"/>
              </w:rPr>
              <w:t xml:space="preserve"> металл емес минералды өнімдер өндірісі;</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негізгі металдар өндірісі;</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машиналар мен жабдықтардан басқа дайын металл бұйымдарын өндіру;</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машиналар мен жабдықтарды жөндеу және монтаждау.</w:t>
            </w:r>
          </w:p>
        </w:tc>
      </w:tr>
      <w:tr w:rsidR="005118AF">
        <w:trPr>
          <w:jc w:val="center"/>
        </w:trPr>
        <w:tc>
          <w:tcPr>
            <w:tcW w:w="2093" w:type="dxa"/>
            <w:tcBorders>
              <w:bottom w:val="nil"/>
            </w:tcBorders>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Төмен технология лық (</w:t>
            </w:r>
            <w:r>
              <w:rPr>
                <w:rFonts w:ascii="Times New Roman" w:hAnsi="Times New Roman" w:cs="Times New Roman"/>
                <w:sz w:val="24"/>
                <w:szCs w:val="24"/>
                <w:lang w:val="en-GB"/>
              </w:rPr>
              <w:t>low</w:t>
            </w:r>
            <w:r>
              <w:rPr>
                <w:rFonts w:ascii="Times New Roman" w:hAnsi="Times New Roman" w:cs="Times New Roman"/>
                <w:sz w:val="24"/>
                <w:szCs w:val="24"/>
              </w:rPr>
              <w:t>-</w:t>
            </w:r>
            <w:r>
              <w:rPr>
                <w:rFonts w:ascii="Times New Roman" w:hAnsi="Times New Roman" w:cs="Times New Roman"/>
                <w:sz w:val="24"/>
                <w:szCs w:val="24"/>
                <w:lang w:val="en-GB"/>
              </w:rPr>
              <w:t>tech</w:t>
            </w:r>
            <w:r>
              <w:rPr>
                <w:rFonts w:ascii="Times New Roman" w:hAnsi="Times New Roman" w:cs="Times New Roman"/>
                <w:sz w:val="24"/>
                <w:szCs w:val="24"/>
                <w:lang w:val="kk-KZ"/>
              </w:rPr>
              <w:t>)</w:t>
            </w:r>
          </w:p>
        </w:tc>
        <w:tc>
          <w:tcPr>
            <w:tcW w:w="1572" w:type="dxa"/>
            <w:tcBorders>
              <w:bottom w:val="nil"/>
            </w:tcBorders>
          </w:tcPr>
          <w:p w:rsidR="005118AF" w:rsidRDefault="00EF60C3">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 xml:space="preserve">1,0%-дан төмен – </w:t>
            </w:r>
          </w:p>
        </w:tc>
        <w:tc>
          <w:tcPr>
            <w:tcW w:w="5798" w:type="dxa"/>
            <w:tcBorders>
              <w:bottom w:val="nil"/>
            </w:tcBorders>
          </w:tcPr>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тамақ өнімдерін өндіру;</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сусындар өндірісі;</w:t>
            </w:r>
          </w:p>
        </w:tc>
      </w:tr>
      <w:tr w:rsidR="005118AF">
        <w:trPr>
          <w:jc w:val="center"/>
        </w:trPr>
        <w:tc>
          <w:tcPr>
            <w:tcW w:w="9463" w:type="dxa"/>
            <w:gridSpan w:val="3"/>
            <w:tcBorders>
              <w:top w:val="nil"/>
              <w:left w:val="nil"/>
              <w:right w:val="nil"/>
            </w:tcBorders>
          </w:tcPr>
          <w:p w:rsidR="005118AF" w:rsidRDefault="00EF60C3">
            <w:pPr>
              <w:tabs>
                <w:tab w:val="left" w:pos="427"/>
              </w:tabs>
              <w:spacing w:after="0" w:line="240" w:lineRule="auto"/>
              <w:ind w:left="139" w:hanging="25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2-кестенің жалғасы</w:t>
            </w:r>
          </w:p>
          <w:p w:rsidR="005118AF" w:rsidRDefault="005118AF">
            <w:pPr>
              <w:tabs>
                <w:tab w:val="left" w:pos="427"/>
              </w:tabs>
              <w:spacing w:after="0" w:line="240" w:lineRule="auto"/>
              <w:ind w:left="139" w:hanging="250"/>
              <w:contextualSpacing/>
              <w:jc w:val="both"/>
              <w:rPr>
                <w:rFonts w:ascii="Times New Roman" w:hAnsi="Times New Roman" w:cs="Times New Roman"/>
                <w:sz w:val="16"/>
                <w:szCs w:val="16"/>
                <w:lang w:val="kk-KZ"/>
              </w:rPr>
            </w:pPr>
          </w:p>
        </w:tc>
      </w:tr>
      <w:tr w:rsidR="005118AF">
        <w:trPr>
          <w:jc w:val="center"/>
        </w:trPr>
        <w:tc>
          <w:tcPr>
            <w:tcW w:w="2093" w:type="dxa"/>
          </w:tcPr>
          <w:p w:rsidR="005118AF" w:rsidRDefault="00EF60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2" w:type="dxa"/>
          </w:tcPr>
          <w:p w:rsidR="005118AF" w:rsidRDefault="00EF60C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98" w:type="dxa"/>
          </w:tcPr>
          <w:p w:rsidR="005118AF" w:rsidRDefault="00EF60C3">
            <w:pPr>
              <w:tabs>
                <w:tab w:val="left" w:pos="427"/>
              </w:tabs>
              <w:spacing w:after="0" w:line="240" w:lineRule="auto"/>
              <w:ind w:left="139"/>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5118AF" w:rsidRPr="008D1DAE">
        <w:trPr>
          <w:jc w:val="center"/>
        </w:trPr>
        <w:tc>
          <w:tcPr>
            <w:tcW w:w="2093" w:type="dxa"/>
          </w:tcPr>
          <w:p w:rsidR="005118AF" w:rsidRDefault="005118AF">
            <w:pPr>
              <w:spacing w:after="0" w:line="240" w:lineRule="auto"/>
              <w:jc w:val="both"/>
              <w:rPr>
                <w:rFonts w:ascii="Times New Roman" w:hAnsi="Times New Roman" w:cs="Times New Roman"/>
                <w:sz w:val="24"/>
                <w:szCs w:val="24"/>
                <w:lang w:val="kk-KZ"/>
              </w:rPr>
            </w:pPr>
          </w:p>
        </w:tc>
        <w:tc>
          <w:tcPr>
            <w:tcW w:w="1572" w:type="dxa"/>
          </w:tcPr>
          <w:p w:rsidR="005118AF" w:rsidRDefault="00EF60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төмен техно логиялық</w:t>
            </w:r>
          </w:p>
        </w:tc>
        <w:tc>
          <w:tcPr>
            <w:tcW w:w="5798" w:type="dxa"/>
          </w:tcPr>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темекі бұйымдарын өндіру;</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тоқыма өндірісі;</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киім өндірісі;</w:t>
            </w:r>
          </w:p>
          <w:p w:rsidR="005118AF" w:rsidRDefault="00EF60C3">
            <w:pPr>
              <w:numPr>
                <w:ilvl w:val="0"/>
                <w:numId w:val="6"/>
              </w:numPr>
              <w:tabs>
                <w:tab w:val="left" w:pos="427"/>
              </w:tabs>
              <w:spacing w:after="0" w:line="240" w:lineRule="auto"/>
              <w:ind w:left="-2" w:firstLine="14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былғары және соған байланысты бұйымдар өндіру</w:t>
            </w:r>
          </w:p>
        </w:tc>
      </w:tr>
      <w:tr w:rsidR="005118AF">
        <w:trPr>
          <w:jc w:val="center"/>
        </w:trPr>
        <w:tc>
          <w:tcPr>
            <w:tcW w:w="9463" w:type="dxa"/>
            <w:gridSpan w:val="3"/>
          </w:tcPr>
          <w:p w:rsidR="005118AF" w:rsidRDefault="00EF60C3">
            <w:pPr>
              <w:spacing w:after="0" w:line="240" w:lineRule="auto"/>
              <w:ind w:firstLine="514"/>
              <w:jc w:val="both"/>
              <w:rPr>
                <w:rFonts w:ascii="Times New Roman" w:hAnsi="Times New Roman"/>
                <w:sz w:val="24"/>
                <w:szCs w:val="24"/>
                <w:lang w:val="kk-KZ"/>
              </w:rPr>
            </w:pPr>
            <w:r>
              <w:rPr>
                <w:rFonts w:ascii="Times New Roman" w:eastAsia="Calibri" w:hAnsi="Times New Roman" w:cs="Times New Roman"/>
                <w:sz w:val="24"/>
                <w:szCs w:val="24"/>
                <w:lang w:val="kk-KZ"/>
              </w:rPr>
              <w:t>Ескерту</w:t>
            </w:r>
            <w:r>
              <w:rPr>
                <w:rFonts w:ascii="Times New Roman" w:eastAsia="Calibri" w:hAnsi="Times New Roman" w:cs="Times New Roman"/>
                <w:sz w:val="24"/>
                <w:szCs w:val="24"/>
                <w:lang w:val="kk-KZ"/>
              </w:rPr>
              <w:t xml:space="preserve"> –</w:t>
            </w:r>
            <w:r>
              <w:rPr>
                <w:rFonts w:ascii="Times New Roman" w:eastAsia="Calibri" w:hAnsi="Times New Roman" w:cs="Times New Roman"/>
                <w:bCs/>
                <w:sz w:val="24"/>
                <w:szCs w:val="24"/>
                <w:lang w:val="kk-KZ"/>
              </w:rPr>
              <w:t xml:space="preserve"> Әдебиет негізінде құралған </w:t>
            </w:r>
            <w:r>
              <w:rPr>
                <w:rFonts w:ascii="Times New Roman" w:hAnsi="Times New Roman"/>
                <w:sz w:val="24"/>
                <w:szCs w:val="24"/>
                <w:lang w:val="kk-KZ"/>
              </w:rPr>
              <w:t>[31]</w:t>
            </w:r>
          </w:p>
        </w:tc>
      </w:tr>
    </w:tbl>
    <w:p w:rsidR="005118AF" w:rsidRDefault="005118AF">
      <w:pPr>
        <w:spacing w:after="0" w:line="240" w:lineRule="auto"/>
        <w:ind w:firstLine="567"/>
        <w:jc w:val="both"/>
        <w:rPr>
          <w:rFonts w:ascii="Times New Roman" w:hAnsi="Times New Roman"/>
          <w:sz w:val="28"/>
          <w:szCs w:val="28"/>
          <w:lang w:val="kk-KZ"/>
        </w:rPr>
      </w:pPr>
    </w:p>
    <w:p w:rsidR="005118AF" w:rsidRDefault="00EF60C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Айта кететін жайт, қазіргі уақытта өңдеу салаларын технологиялық деңгейі бойынша жіктеу әдістемесі туралы біраз пікірталастар жүруде. Алайда, ЭЫДҰ елдері, Еуропалық Одақ елдері, сонымен қатар Қазақстанда, жоғарыда аталған тізімді үкіметтік құжаттарды әзірл</w:t>
      </w:r>
      <w:r>
        <w:rPr>
          <w:rFonts w:ascii="Times New Roman" w:hAnsi="Times New Roman"/>
          <w:sz w:val="28"/>
          <w:szCs w:val="28"/>
          <w:lang w:val="kk-KZ"/>
        </w:rPr>
        <w:t xml:space="preserve">еуде, статистика жинауда және т.б. негіз ретінде қолданады. </w:t>
      </w:r>
    </w:p>
    <w:p w:rsidR="005118AF" w:rsidRDefault="00EF60C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Ғылыми</w:t>
      </w:r>
      <w:r>
        <w:rPr>
          <w:rFonts w:ascii="Times New Roman" w:hAnsi="Times New Roman"/>
          <w:sz w:val="28"/>
          <w:szCs w:val="28"/>
          <w:lang w:val="kk-KZ"/>
        </w:rPr>
        <w:t xml:space="preserve"> зерттеулердің қорытындыларына сәйкес технологиялық деңгейі төмен немесе орташа (low- and medium-thechnology (LMT)) салаларда инновациялардың дәстүрлі ғылыми-техникалық модельдері қолдануға</w:t>
      </w:r>
      <w:r>
        <w:rPr>
          <w:rFonts w:ascii="Times New Roman" w:hAnsi="Times New Roman"/>
          <w:sz w:val="28"/>
          <w:szCs w:val="28"/>
          <w:lang w:val="kk-KZ"/>
        </w:rPr>
        <w:t xml:space="preserve"> келмейді деген тұжырым жатады [32]. Сонымен қатар, Павиттің классикалық мақаласындағы фирмалардың жіктемесінде, ол «LMT салалары үдерістік, ұйымдастырушылық және нарықтық инновациялармен, ішкі инновациялық мүмкіндіктерінің төмендігімен және сыртқы ортадад</w:t>
      </w:r>
      <w:r>
        <w:rPr>
          <w:rFonts w:ascii="Times New Roman" w:hAnsi="Times New Roman"/>
          <w:sz w:val="28"/>
          <w:szCs w:val="28"/>
          <w:lang w:val="kk-KZ"/>
        </w:rPr>
        <w:t>ағы технология, құрал-жабдықтар мен бағдарламалық қамтамасыз етулерге тәуелділігінің жоғары болуымен сипатталады» деп атап көрсеткен [33]. LMT салалары экономикалық өсімде орталық маңызды рөл атқарады. Олар экономикада өндіріс көлемі, капитал салымы немесе</w:t>
      </w:r>
      <w:r>
        <w:rPr>
          <w:rFonts w:ascii="Times New Roman" w:hAnsi="Times New Roman"/>
          <w:sz w:val="28"/>
          <w:szCs w:val="28"/>
          <w:lang w:val="kk-KZ"/>
        </w:rPr>
        <w:t xml:space="preserve"> жұмыспен қамту дәрежесі бойынша өлшенгеніне қарамастан, дамыған және дамушы елдердің экономикасында басымдылық жағдайға ие болып отыр.  Қазіргі өнеркәсібі дамыған елдердегі бұл саланың басымдылығын ескере отырып, ондағы инновациялардың табиғатын жақсырақ </w:t>
      </w:r>
      <w:r>
        <w:rPr>
          <w:rFonts w:ascii="Times New Roman" w:hAnsi="Times New Roman"/>
          <w:sz w:val="28"/>
          <w:szCs w:val="28"/>
          <w:lang w:val="kk-KZ"/>
        </w:rPr>
        <w:t xml:space="preserve">түсіну мәселесі саясаткерлер мен экономисттерді қатты толғандыратыны белгілі. </w:t>
      </w:r>
    </w:p>
    <w:p w:rsidR="005118AF" w:rsidRDefault="00EF60C3">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Өнеркәсіптің</w:t>
      </w:r>
      <w:r>
        <w:rPr>
          <w:rFonts w:ascii="Times New Roman" w:hAnsi="Times New Roman"/>
          <w:sz w:val="28"/>
          <w:szCs w:val="28"/>
          <w:lang w:val="kk-KZ"/>
        </w:rPr>
        <w:t xml:space="preserve"> төмен технологиялық саласында жүргізілген зерттеулерге сәйкес бұл кәсіпорындарда инновациялар көбінесе кезең-кезеңдік және негізінен үдеріске бағытталуымен, сондай-</w:t>
      </w:r>
      <w:r>
        <w:rPr>
          <w:rFonts w:ascii="Times New Roman" w:hAnsi="Times New Roman"/>
          <w:sz w:val="28"/>
          <w:szCs w:val="28"/>
          <w:lang w:val="kk-KZ"/>
        </w:rPr>
        <w:t>ақ қопарушы инновациялардың өте сирек кездесуімен сипатталатындығы анықтаған. Азық-түлік және ауыл шаруашылығы саласында жүргізілген зерттеулер азық-түлік өнімдерімен қамтамасыз ету жүйесіндегі барлық қатысушылары арасындағы тығыз жүйелік байланыстар арқыл</w:t>
      </w:r>
      <w:r>
        <w:rPr>
          <w:rFonts w:ascii="Times New Roman" w:hAnsi="Times New Roman"/>
          <w:sz w:val="28"/>
          <w:szCs w:val="28"/>
          <w:lang w:val="kk-KZ"/>
        </w:rPr>
        <w:t xml:space="preserve">ы әріптестік орнатудың маңыздылығын көрсетіп отыр. </w:t>
      </w:r>
    </w:p>
    <w:p w:rsidR="005118AF" w:rsidRDefault="00EF60C3">
      <w:pPr>
        <w:tabs>
          <w:tab w:val="left" w:pos="993"/>
        </w:tabs>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Инновацияның ұсынылған сыныптамалары көп жағдайда өңдеуші салаларға негізделген және агроөнеркәсіптік кешен, соның ішінде тамақ өнеркәсібінде бұлайша сыныптау оңай келе бермейді. Сондықтан агроөнеркәсіп с</w:t>
      </w:r>
      <w:r>
        <w:rPr>
          <w:rFonts w:ascii="Times New Roman" w:eastAsia="Times New Roman" w:hAnsi="Times New Roman"/>
          <w:color w:val="000000"/>
          <w:sz w:val="28"/>
          <w:szCs w:val="28"/>
          <w:lang w:val="kk-KZ"/>
        </w:rPr>
        <w:t xml:space="preserve">аласындағы инновацияларды анықтау барысында салаға тән әртүрлі ерекшелік өлшемдерді ескеру қажет.  </w:t>
      </w:r>
    </w:p>
    <w:p w:rsidR="005118AF" w:rsidRDefault="00EF60C3">
      <w:pPr>
        <w:spacing w:after="0" w:line="240" w:lineRule="auto"/>
        <w:ind w:firstLine="709"/>
        <w:jc w:val="both"/>
        <w:rPr>
          <w:rFonts w:ascii="Times New Roman" w:hAnsi="Times New Roman"/>
          <w:sz w:val="28"/>
          <w:szCs w:val="28"/>
          <w:lang w:val="kk-KZ"/>
        </w:rPr>
      </w:pPr>
      <w:bookmarkStart w:id="1" w:name="_Hlk115949461"/>
      <w:r>
        <w:rPr>
          <w:rFonts w:ascii="Times New Roman" w:eastAsia="Times New Roman" w:hAnsi="Times New Roman"/>
          <w:color w:val="000000"/>
          <w:sz w:val="28"/>
          <w:szCs w:val="28"/>
          <w:lang w:val="kk-KZ"/>
        </w:rPr>
        <w:t>Инновациялық процесс экономиканың әртүрлі салаларында оның дамуы, технологиялық өзгерісі, білімдердің өзара байланысы және оларға қолжетімділік, институцион</w:t>
      </w:r>
      <w:r>
        <w:rPr>
          <w:rFonts w:ascii="Times New Roman" w:eastAsia="Times New Roman" w:hAnsi="Times New Roman"/>
          <w:color w:val="000000"/>
          <w:sz w:val="28"/>
          <w:szCs w:val="28"/>
          <w:lang w:val="kk-KZ"/>
        </w:rPr>
        <w:t xml:space="preserve">алдық құрылым, қолданатын инновациялық әдістер тұрғысынан алғанда әркелкі жүреді. </w:t>
      </w:r>
      <w:r>
        <w:rPr>
          <w:rFonts w:ascii="Times New Roman" w:hAnsi="Times New Roman"/>
          <w:sz w:val="28"/>
          <w:szCs w:val="28"/>
          <w:lang w:val="kk-KZ"/>
        </w:rPr>
        <w:t>Тамақ өнеркәсібінде инновациялық процестердің жүруі төмендегідей бірқатар ерекшелік сипаттарға ие:</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hAnsi="Times New Roman"/>
          <w:sz w:val="28"/>
          <w:szCs w:val="28"/>
          <w:lang w:val="kk-KZ"/>
        </w:rPr>
        <w:t xml:space="preserve">Жалпы ауыл шаруашылығы өнімдерінің өндірісі </w:t>
      </w:r>
      <w:r>
        <w:rPr>
          <w:rFonts w:ascii="Times New Roman" w:hAnsi="Times New Roman"/>
          <w:i/>
          <w:sz w:val="28"/>
          <w:szCs w:val="28"/>
          <w:lang w:val="kk-KZ"/>
        </w:rPr>
        <w:t>ұзақ</w:t>
      </w:r>
      <w:r>
        <w:rPr>
          <w:rFonts w:ascii="Times New Roman" w:hAnsi="Times New Roman"/>
          <w:i/>
          <w:sz w:val="28"/>
          <w:szCs w:val="28"/>
          <w:lang w:val="kk-KZ"/>
        </w:rPr>
        <w:t xml:space="preserve"> өндірістік циклдармен</w:t>
      </w:r>
      <w:r>
        <w:rPr>
          <w:rFonts w:ascii="Times New Roman" w:hAnsi="Times New Roman"/>
          <w:sz w:val="28"/>
          <w:szCs w:val="28"/>
          <w:lang w:val="kk-KZ"/>
        </w:rPr>
        <w:t xml:space="preserve"> және процестердің сериялы жүруімен сипатталады. Бұл қысқа өндірістік циклды және үздіксіз ағындық өндірістік салалармен салыстырғанда жаңа идея мен өнімнің коммерциялық тұрғыда сәтті іске қосылуы арасындағы уақыттың ұзақ мерзімге созылуын білдіреді. Инжен</w:t>
      </w:r>
      <w:r>
        <w:rPr>
          <w:rFonts w:ascii="Times New Roman" w:hAnsi="Times New Roman"/>
          <w:sz w:val="28"/>
          <w:szCs w:val="28"/>
          <w:lang w:val="kk-KZ"/>
        </w:rPr>
        <w:t>ерлік немесе механикалық инновацияларға қарағанда биологиялық  өсіру тәжірибелерінің өмірлік циклдары әдетті ұзағырақ болады. Мысалы, өсімдік шаруашылығында коммерциялық әлеуеті бар өсімдік түрін анықтауды жеделдететін гендік маркерлік технологияларды қолд</w:t>
      </w:r>
      <w:r>
        <w:rPr>
          <w:rFonts w:ascii="Times New Roman" w:hAnsi="Times New Roman"/>
          <w:sz w:val="28"/>
          <w:szCs w:val="28"/>
          <w:lang w:val="kk-KZ"/>
        </w:rPr>
        <w:t>анған күннің өзінде, анықталған инновациялық сипаттаманы өсімдік сұрыпына салуға және оны нарықта сатуға 8-10 жыл уақыт қажет етіледі. Жаңа идея мен оның коммерциялизациялануы арасындағы айырмашылық тамақ және ауыл шаруашылығы саласы кәсіпорындарының иннов</w:t>
      </w:r>
      <w:r>
        <w:rPr>
          <w:rFonts w:ascii="Times New Roman" w:hAnsi="Times New Roman"/>
          <w:sz w:val="28"/>
          <w:szCs w:val="28"/>
          <w:lang w:val="kk-KZ"/>
        </w:rPr>
        <w:t>ациялық стратегиясын қалыптастыруға ықпалын тигізеді.</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hAnsi="Times New Roman"/>
          <w:sz w:val="28"/>
          <w:szCs w:val="28"/>
          <w:lang w:val="kk-KZ"/>
        </w:rPr>
        <w:t xml:space="preserve">Тамақ өнеркәсібі саласының тағы да бір маңызды сипаттасына </w:t>
      </w:r>
      <w:r>
        <w:rPr>
          <w:rFonts w:ascii="Times New Roman" w:hAnsi="Times New Roman"/>
          <w:i/>
          <w:sz w:val="28"/>
          <w:szCs w:val="28"/>
          <w:lang w:val="kk-KZ"/>
        </w:rPr>
        <w:t>сұраныстың шектеулі, баяу өсуімен сипатталатын жетілген нарық</w:t>
      </w:r>
      <w:r>
        <w:rPr>
          <w:rFonts w:ascii="Times New Roman" w:hAnsi="Times New Roman"/>
          <w:sz w:val="28"/>
          <w:szCs w:val="28"/>
          <w:lang w:val="kk-KZ"/>
        </w:rPr>
        <w:t xml:space="preserve"> болып табылады. Тамақ өнеркәсібі нарығында инновациялар нарыққа енгенде кедергіле</w:t>
      </w:r>
      <w:r>
        <w:rPr>
          <w:rFonts w:ascii="Times New Roman" w:hAnsi="Times New Roman"/>
          <w:sz w:val="28"/>
          <w:szCs w:val="28"/>
          <w:lang w:val="kk-KZ"/>
        </w:rPr>
        <w:t>рге тап болады және өзінің нарықтағы үлесін жылдам өсіре алмайды. Ал жоғары технологиялық салаларда инновациялардың нарықта жылжуы жылдам жүруі мүмкін. Тамақ өнеркәсібі саласының бұл ерекшелік сипаттама қопарғыш инновациялардың  аз болуына және инновацияла</w:t>
      </w:r>
      <w:r>
        <w:rPr>
          <w:rFonts w:ascii="Times New Roman" w:hAnsi="Times New Roman"/>
          <w:sz w:val="28"/>
          <w:szCs w:val="28"/>
          <w:lang w:val="kk-KZ"/>
        </w:rPr>
        <w:t>рдан тәуекелділік деңгейінің жоғары болуына алып келеді.</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hAnsi="Times New Roman"/>
          <w:sz w:val="28"/>
          <w:szCs w:val="28"/>
          <w:lang w:val="kk-KZ"/>
        </w:rPr>
        <w:t xml:space="preserve">Тамақ өнеркәсібі және ауыл шаруашылығы </w:t>
      </w:r>
      <w:r>
        <w:rPr>
          <w:rFonts w:ascii="Times New Roman" w:hAnsi="Times New Roman"/>
          <w:i/>
          <w:sz w:val="28"/>
          <w:szCs w:val="28"/>
          <w:lang w:val="kk-KZ"/>
        </w:rPr>
        <w:t>жеткізу шынжырының өте күрделі болуымен</w:t>
      </w:r>
      <w:r>
        <w:rPr>
          <w:rFonts w:ascii="Times New Roman" w:hAnsi="Times New Roman"/>
          <w:sz w:val="28"/>
          <w:szCs w:val="28"/>
          <w:lang w:val="kk-KZ"/>
        </w:rPr>
        <w:t xml:space="preserve"> де сипатталады. Мысалы, жеткізу шынжырының буындары көбейген сайын олардың арасындағы байланыс логистика, ақпараттық ағы</w:t>
      </w:r>
      <w:r>
        <w:rPr>
          <w:rFonts w:ascii="Times New Roman" w:hAnsi="Times New Roman"/>
          <w:sz w:val="28"/>
          <w:szCs w:val="28"/>
          <w:lang w:val="kk-KZ"/>
        </w:rPr>
        <w:t xml:space="preserve">н тұрғысынан алғанда дұрыс реттелмейді. Бұл көбінесе өндірістік саланың тек тікелей жабдықтаушы және делдардармен байланысына назар аударуынан туындайды. Алайда, бұндай жағдайда тамақ өнеркәсібі кәсіпорындары үшін тұтас құндылықтар құру шынжырының бойында </w:t>
      </w:r>
      <w:r>
        <w:rPr>
          <w:rFonts w:ascii="Times New Roman" w:hAnsi="Times New Roman"/>
          <w:sz w:val="28"/>
          <w:szCs w:val="28"/>
          <w:lang w:val="kk-KZ"/>
        </w:rPr>
        <w:t>тұзетулер мен қабылдауларды қажет ететін  иновациялар (мысалы, жүйелік инновацияларға) туралы шешім қабалдау және оларды енгізу кезінде қиындықтар туындатады.</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hAnsi="Times New Roman"/>
          <w:sz w:val="28"/>
          <w:szCs w:val="28"/>
          <w:lang w:val="kk-KZ"/>
        </w:rPr>
        <w:t xml:space="preserve">Тамақ өнеркәсібі саласы </w:t>
      </w:r>
      <w:r>
        <w:rPr>
          <w:rFonts w:ascii="Times New Roman" w:hAnsi="Times New Roman"/>
          <w:i/>
          <w:sz w:val="28"/>
          <w:szCs w:val="28"/>
          <w:lang w:val="kk-KZ"/>
        </w:rPr>
        <w:t>мемлекет тарапынан қатаң реттелетін сала</w:t>
      </w:r>
      <w:r>
        <w:rPr>
          <w:rFonts w:ascii="Times New Roman" w:hAnsi="Times New Roman"/>
          <w:sz w:val="28"/>
          <w:szCs w:val="28"/>
          <w:lang w:val="kk-KZ"/>
        </w:rPr>
        <w:t xml:space="preserve"> болып табылады. Денсаулық сақтау</w:t>
      </w:r>
      <w:r>
        <w:rPr>
          <w:rFonts w:ascii="Times New Roman" w:hAnsi="Times New Roman"/>
          <w:sz w:val="28"/>
          <w:szCs w:val="28"/>
          <w:lang w:val="kk-KZ"/>
        </w:rPr>
        <w:t xml:space="preserve"> жне фармацептика салалары сияқты бұл сала кәсіпорындары үшін де нормативтік талаптарды орындау тек қана қаржылық қиындықтар ғана емес, сонымен қатар айтарлықтай уақыттық шектеулер және де инновацияларды бекіту кезіндегі белгісіздіктің жоғары болуы сияқты </w:t>
      </w:r>
      <w:r>
        <w:rPr>
          <w:rFonts w:ascii="Times New Roman" w:hAnsi="Times New Roman"/>
          <w:sz w:val="28"/>
          <w:szCs w:val="28"/>
          <w:lang w:val="kk-KZ"/>
        </w:rPr>
        <w:t xml:space="preserve">кедергілер туғызады. Осы аталған кедергілер өнімнің коммерциялизациялануына кері әсірін тигізуі мүмкін. Тамақ өнеркәсібі кәсіпорындары технологиялық және нарыққа енудегі белгісіздіктердің жоғары болуымен қатар нормативтік талаптарға сай келу/келмеу сияқты </w:t>
      </w:r>
      <w:r>
        <w:rPr>
          <w:rFonts w:ascii="Times New Roman" w:hAnsi="Times New Roman"/>
          <w:sz w:val="28"/>
          <w:szCs w:val="28"/>
          <w:lang w:val="kk-KZ"/>
        </w:rPr>
        <w:t>белгісіздікке де тап болады. Бұл инновацияларды әзірлеу және коммерциялизациялау кезінде ортақ кәсіпорындар, стратегиялық одақтар құру немесе лицензиялық келісім-шарттар жасау сияқты сәйкес басқару құрылымын қалыптастыруға және әртүрлі бизнес-модельдерді п</w:t>
      </w:r>
      <w:r>
        <w:rPr>
          <w:rFonts w:ascii="Times New Roman" w:hAnsi="Times New Roman"/>
          <w:sz w:val="28"/>
          <w:szCs w:val="28"/>
          <w:lang w:val="kk-KZ"/>
        </w:rPr>
        <w:t>айдалануға итермелейді.</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hAnsi="Times New Roman"/>
          <w:sz w:val="28"/>
          <w:szCs w:val="28"/>
          <w:lang w:val="kk-KZ"/>
        </w:rPr>
        <w:t xml:space="preserve">Адамдардың денсаулығын ойлау мақсатында тамақ өнеркәсібі саласының кәсіпорындары </w:t>
      </w:r>
      <w:r>
        <w:rPr>
          <w:rFonts w:ascii="Times New Roman" w:hAnsi="Times New Roman"/>
          <w:i/>
          <w:sz w:val="28"/>
          <w:szCs w:val="28"/>
          <w:lang w:val="kk-KZ"/>
        </w:rPr>
        <w:t>тамақ өнімдерінің қауіпсіздігін сақтауды қадағалау және сапа стандарттарына сай келу</w:t>
      </w:r>
      <w:r>
        <w:rPr>
          <w:rFonts w:ascii="Times New Roman" w:hAnsi="Times New Roman"/>
          <w:sz w:val="28"/>
          <w:szCs w:val="28"/>
          <w:lang w:val="kk-KZ"/>
        </w:rPr>
        <w:t xml:space="preserve"> қағидасын</w:t>
      </w:r>
      <w:r>
        <w:rPr>
          <w:rFonts w:ascii="Times New Roman" w:hAnsi="Times New Roman"/>
          <w:i/>
          <w:sz w:val="28"/>
          <w:szCs w:val="28"/>
          <w:lang w:val="kk-KZ"/>
        </w:rPr>
        <w:t xml:space="preserve"> </w:t>
      </w:r>
      <w:r>
        <w:rPr>
          <w:rFonts w:ascii="Times New Roman" w:hAnsi="Times New Roman"/>
          <w:sz w:val="28"/>
          <w:szCs w:val="28"/>
          <w:lang w:val="kk-KZ"/>
        </w:rPr>
        <w:t>ұстанады</w:t>
      </w:r>
      <w:r>
        <w:rPr>
          <w:rFonts w:ascii="Times New Roman" w:hAnsi="Times New Roman"/>
          <w:sz w:val="28"/>
          <w:szCs w:val="28"/>
          <w:lang w:val="kk-KZ"/>
        </w:rPr>
        <w:t xml:space="preserve">. Тәуекелдерді басқару мен болжау үдерістерінің </w:t>
      </w:r>
      <w:r>
        <w:rPr>
          <w:rFonts w:ascii="Times New Roman" w:hAnsi="Times New Roman"/>
          <w:sz w:val="28"/>
          <w:szCs w:val="28"/>
          <w:lang w:val="kk-KZ"/>
        </w:rPr>
        <w:t>жетілдірілген процестерін қолдану процестік инновацияларға мысал бола алады. Инженерлік және есептеу техникасының жетістіктерінің жемісі ретіндегі жаңа технологиялар мен басқару әдістерін қолдану нәтижесінде процестерді жақсарту - ауыл шаруашылығы өндірісі</w:t>
      </w:r>
      <w:r>
        <w:rPr>
          <w:rFonts w:ascii="Times New Roman" w:hAnsi="Times New Roman"/>
          <w:sz w:val="28"/>
          <w:szCs w:val="28"/>
          <w:lang w:val="kk-KZ"/>
        </w:rPr>
        <w:t>, өндеу және тарату салаларында қалыпты жағдай болып табылады.</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hAnsi="Times New Roman"/>
          <w:sz w:val="28"/>
          <w:szCs w:val="28"/>
          <w:lang w:val="kk-KZ"/>
        </w:rPr>
        <w:t xml:space="preserve">Тамақ және ауыл шаруашылығы өнеркәсібі өте динамикалық болып табылады. Бұған саланың өндірістік және нарықтық жағдайларға байланысты </w:t>
      </w:r>
      <w:r>
        <w:rPr>
          <w:rFonts w:ascii="Times New Roman" w:hAnsi="Times New Roman"/>
          <w:i/>
          <w:sz w:val="28"/>
          <w:szCs w:val="28"/>
          <w:lang w:val="kk-KZ"/>
        </w:rPr>
        <w:t>тұрақсыздығы</w:t>
      </w:r>
      <w:r>
        <w:rPr>
          <w:rFonts w:ascii="Times New Roman" w:hAnsi="Times New Roman"/>
          <w:sz w:val="28"/>
          <w:szCs w:val="28"/>
          <w:lang w:val="kk-KZ"/>
        </w:rPr>
        <w:t xml:space="preserve"> дәлел бола алады. Ауыл шаруашылығы өнімдерінің </w:t>
      </w:r>
      <w:r>
        <w:rPr>
          <w:rFonts w:ascii="Times New Roman" w:hAnsi="Times New Roman"/>
          <w:sz w:val="28"/>
          <w:szCs w:val="28"/>
          <w:lang w:val="kk-KZ"/>
        </w:rPr>
        <w:t>өндірісі</w:t>
      </w:r>
      <w:r>
        <w:rPr>
          <w:rFonts w:ascii="Times New Roman" w:hAnsi="Times New Roman"/>
          <w:sz w:val="28"/>
          <w:szCs w:val="28"/>
          <w:lang w:val="kk-KZ"/>
        </w:rPr>
        <w:t xml:space="preserve"> болжауы мүмкін емес әртүрлі ауыруларға және зиянкестердің әсеріне ұшырайды, сонымен қатар ауа-райы, құрғақшылық, жауын-шашын сияқты климаттық жағдайлардың өзгерістері салада өндірістің құбылуына алып келеді, бұның барлығы өнімділік пен тиімділік к</w:t>
      </w:r>
      <w:r>
        <w:rPr>
          <w:rFonts w:ascii="Times New Roman" w:hAnsi="Times New Roman"/>
          <w:sz w:val="28"/>
          <w:szCs w:val="28"/>
          <w:lang w:val="kk-KZ"/>
        </w:rPr>
        <w:t>өрсеткіштеріне</w:t>
      </w:r>
      <w:r>
        <w:rPr>
          <w:rFonts w:ascii="Times New Roman" w:hAnsi="Times New Roman"/>
          <w:sz w:val="28"/>
          <w:szCs w:val="28"/>
          <w:lang w:val="kk-KZ"/>
        </w:rPr>
        <w:t xml:space="preserve"> әсерін тигізеді. Осы аталған өндірістік құбылмалылық нарықтағы тамақ өнімдеріне деген икемсіз сұраныспен біріге отырып бағалардың өзгеруіне адып келеді, бұл әсіресе жеткізу шынжырының шикізаттық деңгейінде жиі көрініс табады. Саладағы жоғары</w:t>
      </w:r>
      <w:r>
        <w:rPr>
          <w:rFonts w:ascii="Times New Roman" w:hAnsi="Times New Roman"/>
          <w:sz w:val="28"/>
          <w:szCs w:val="28"/>
          <w:lang w:val="kk-KZ"/>
        </w:rPr>
        <w:t xml:space="preserve"> тұрақсыздық пен соған сәйкес болашақты болжаудың қиындығы, бүгінгі инновациялық жобалардың болашақтағы инвестициялық қайтарымдылығының тәуекелі анағұрлым жоғары болуына алып келеді. </w:t>
      </w:r>
    </w:p>
    <w:p w:rsidR="005118AF" w:rsidRDefault="00EF60C3">
      <w:pPr>
        <w:numPr>
          <w:ilvl w:val="0"/>
          <w:numId w:val="7"/>
        </w:numPr>
        <w:tabs>
          <w:tab w:val="left" w:pos="851"/>
          <w:tab w:val="left" w:pos="993"/>
        </w:tabs>
        <w:spacing w:after="0" w:line="240" w:lineRule="auto"/>
        <w:ind w:left="0" w:firstLine="709"/>
        <w:contextualSpacing/>
        <w:jc w:val="both"/>
        <w:rPr>
          <w:rFonts w:ascii="Times New Roman" w:hAnsi="Times New Roman"/>
          <w:sz w:val="28"/>
          <w:szCs w:val="28"/>
          <w:lang w:val="kk-KZ"/>
        </w:rPr>
      </w:pPr>
      <w:r>
        <w:rPr>
          <w:rFonts w:ascii="Times New Roman" w:eastAsia="Times New Roman" w:hAnsi="Times New Roman"/>
          <w:color w:val="000000"/>
          <w:sz w:val="28"/>
          <w:szCs w:val="28"/>
          <w:lang w:val="kk-KZ"/>
        </w:rPr>
        <w:t xml:space="preserve">Ауыл шаруашылық және тамақ өнеркәсібінің ерекшелік сипаттарына  </w:t>
      </w:r>
      <w:r>
        <w:rPr>
          <w:rFonts w:ascii="Times New Roman" w:eastAsia="Times New Roman" w:hAnsi="Times New Roman"/>
          <w:i/>
          <w:color w:val="000000"/>
          <w:sz w:val="28"/>
          <w:szCs w:val="28"/>
          <w:lang w:val="kk-KZ"/>
        </w:rPr>
        <w:t>тағамдық</w:t>
      </w:r>
      <w:r>
        <w:rPr>
          <w:rFonts w:ascii="Times New Roman" w:eastAsia="Times New Roman" w:hAnsi="Times New Roman"/>
          <w:i/>
          <w:color w:val="000000"/>
          <w:sz w:val="28"/>
          <w:szCs w:val="28"/>
          <w:lang w:val="kk-KZ"/>
        </w:rPr>
        <w:t xml:space="preserve"> құндылықты және өнімдердің тез бұзылуын жатқызуға</w:t>
      </w:r>
      <w:r>
        <w:rPr>
          <w:rFonts w:ascii="Times New Roman" w:eastAsia="Times New Roman" w:hAnsi="Times New Roman"/>
          <w:color w:val="000000"/>
          <w:sz w:val="28"/>
          <w:szCs w:val="28"/>
          <w:lang w:val="kk-KZ"/>
        </w:rPr>
        <w:t xml:space="preserve"> болады. Бұлар өз кезегінде тамақ өнеркәсібі кәсіпорындарына өнімдерді шығару және жеткізуді ұйымдастыру саласында инновацияларға баса назар аударуды талап етеді. Ауыл шаруашылығы ресурстарының сапасы тамақ</w:t>
      </w:r>
      <w:r>
        <w:rPr>
          <w:rFonts w:ascii="Times New Roman" w:eastAsia="Times New Roman" w:hAnsi="Times New Roman"/>
          <w:color w:val="000000"/>
          <w:sz w:val="28"/>
          <w:szCs w:val="28"/>
          <w:lang w:val="kk-KZ"/>
        </w:rPr>
        <w:t xml:space="preserve"> өнімдерін өндіруде өте үлкен маңызға ие және бұл фермерлермен тікелей </w:t>
      </w:r>
      <w:r>
        <w:rPr>
          <w:rFonts w:ascii="Times New Roman" w:eastAsia="Times New Roman" w:hAnsi="Times New Roman"/>
          <w:i/>
          <w:color w:val="000000"/>
          <w:sz w:val="28"/>
          <w:szCs w:val="28"/>
          <w:lang w:val="kk-KZ"/>
        </w:rPr>
        <w:t>интеграциялық байланыс орнатуды</w:t>
      </w:r>
      <w:r>
        <w:rPr>
          <w:rFonts w:ascii="Times New Roman" w:eastAsia="Times New Roman" w:hAnsi="Times New Roman"/>
          <w:color w:val="000000"/>
          <w:sz w:val="28"/>
          <w:szCs w:val="28"/>
          <w:lang w:val="kk-KZ"/>
        </w:rPr>
        <w:t xml:space="preserve"> қажет етеді. Осылайша, бұл байланыстар тұтас инновациялық процесске маңызды әсерін тигізеді. </w:t>
      </w:r>
      <w:r>
        <w:rPr>
          <w:rFonts w:ascii="Times New Roman" w:hAnsi="Times New Roman"/>
          <w:sz w:val="28"/>
          <w:szCs w:val="28"/>
          <w:lang w:val="kk-KZ"/>
        </w:rPr>
        <w:t>Соңғы уақытта, әлемдік тәжірибеге сәйкес, тамақ өнеркәсібінд</w:t>
      </w:r>
      <w:r>
        <w:rPr>
          <w:rFonts w:ascii="Times New Roman" w:hAnsi="Times New Roman"/>
          <w:sz w:val="28"/>
          <w:szCs w:val="28"/>
          <w:lang w:val="kk-KZ"/>
        </w:rPr>
        <w:t>е, әсіресе мал шаруашылығы өндірісі, биотехнологияларға негізделген өндірістерде, әртүрлі тұқымдық және химиялық компаниялар арасында бірлескен кәсіпорындар мен стратегиялық одақтар құру, лицензиялық келісімдер жасау сияқты контрактілік өндіріс жүйелерінің</w:t>
      </w:r>
      <w:r>
        <w:rPr>
          <w:rFonts w:ascii="Times New Roman" w:hAnsi="Times New Roman"/>
          <w:sz w:val="28"/>
          <w:szCs w:val="28"/>
          <w:lang w:val="kk-KZ"/>
        </w:rPr>
        <w:t xml:space="preserve"> әртүрлі нысандарына негізделген бизнес-модельделдік инновациялар санының өсуі байқалады. Бұл шоғырландыру- үйлестіру процесі сапа менеджменті, сценарийді талдау, кәсіпорынның тәуекелдерін басқару, теңгерімді көрсеткіштер картасы, процестерді үздіксіз жақс</w:t>
      </w:r>
      <w:r>
        <w:rPr>
          <w:rFonts w:ascii="Times New Roman" w:hAnsi="Times New Roman"/>
          <w:sz w:val="28"/>
          <w:szCs w:val="28"/>
          <w:lang w:val="kk-KZ"/>
        </w:rPr>
        <w:t>арту және өнімнің өмірлік циклін басқару сияқты толық менеджмент жүйелері түрінде ұйым немесе салада инновацияларды дамытуға ықпал етеді. Осылайша, инновация әртүрлі формада болуы мүмкін және динамикалық түрде өзгеріп отыратын тамақ өнеркәсібі мен агроөнер</w:t>
      </w:r>
      <w:r>
        <w:rPr>
          <w:rFonts w:ascii="Times New Roman" w:hAnsi="Times New Roman"/>
          <w:sz w:val="28"/>
          <w:szCs w:val="28"/>
          <w:lang w:val="kk-KZ"/>
        </w:rPr>
        <w:t>кәсіптік кешенінде кеңінен таралуда.</w:t>
      </w:r>
      <w:bookmarkEnd w:id="1"/>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Осы аталған тамақ өнеркәсібінің ерекшелік сипаттарына сүйене отырып, сонымен қатар жалпы инновациялардың анықтамасы бойынша өзгерісті көздейтіндігін ескере отырып, салада инновацияларды анықтау және бағалаудың талдамалы</w:t>
      </w:r>
      <w:r>
        <w:rPr>
          <w:rFonts w:ascii="Times New Roman" w:hAnsi="Times New Roman"/>
          <w:sz w:val="28"/>
          <w:szCs w:val="28"/>
          <w:lang w:val="kk-KZ"/>
        </w:rPr>
        <w:t>қ</w:t>
      </w:r>
      <w:r>
        <w:rPr>
          <w:rFonts w:ascii="Times New Roman" w:hAnsi="Times New Roman"/>
          <w:sz w:val="28"/>
          <w:szCs w:val="28"/>
          <w:lang w:val="kk-KZ"/>
        </w:rPr>
        <w:t xml:space="preserve"> негізі уақыт бойынша да, белгісіздік деңгейі бойынша да статикалық емес, динамикалық тұрғыда қалыптасуы тиіс деген қорытынды жасауға болады.  Инновациялар өте күрделі болып келеді және сызықты емес процесстермен, жабық емес, ашық жүйелермен, шешім қабылд</w:t>
      </w:r>
      <w:r>
        <w:rPr>
          <w:rFonts w:ascii="Times New Roman" w:hAnsi="Times New Roman"/>
          <w:sz w:val="28"/>
          <w:szCs w:val="28"/>
          <w:lang w:val="kk-KZ"/>
        </w:rPr>
        <w:t>ауда қателіктердің орын алуымен, толық емес ақпаратқа негізделуімен сипатталады. Инновацияларды бейімделгіш деп қарасытыру қажет, өйткені ол үнемі түзетулерге, өзгерістерге, сәттілік пен сәтсіздіктерге үйренуге, демек эволюциялық процестерге алып келеді.</w:t>
      </w:r>
    </w:p>
    <w:p w:rsidR="005118AF" w:rsidRDefault="00EF60C3">
      <w:pPr>
        <w:tabs>
          <w:tab w:val="left" w:pos="851"/>
        </w:tabs>
        <w:spacing w:after="0" w:line="240" w:lineRule="auto"/>
        <w:ind w:firstLine="709"/>
        <w:jc w:val="both"/>
        <w:rPr>
          <w:rFonts w:ascii="Times New Roman" w:hAnsi="Times New Roman"/>
          <w:sz w:val="28"/>
          <w:szCs w:val="28"/>
          <w:lang w:val="kk-KZ"/>
        </w:rPr>
      </w:pPr>
      <w:bookmarkStart w:id="2" w:name="_Hlk115949627"/>
      <w:r>
        <w:rPr>
          <w:rFonts w:ascii="Times New Roman" w:eastAsia="Times New Roman" w:hAnsi="Times New Roman"/>
          <w:color w:val="000000"/>
          <w:sz w:val="28"/>
          <w:szCs w:val="28"/>
          <w:lang w:val="kk-KZ"/>
        </w:rPr>
        <w:t>Т</w:t>
      </w:r>
      <w:r>
        <w:rPr>
          <w:rFonts w:ascii="Times New Roman" w:eastAsia="Times New Roman" w:hAnsi="Times New Roman"/>
          <w:color w:val="000000"/>
          <w:sz w:val="28"/>
          <w:szCs w:val="28"/>
          <w:lang w:val="kk-KZ"/>
        </w:rPr>
        <w:t>амақ өнеркәсібіне қатысты инновацияларды жаңа немесе жетілдірілген тағам өнімдерін өндіру, тамақ өндірісінде жаңа технологияларды енгізу, кәсіпорындарды ұйымдастырудың жаңа нысандары мен әдістерін енгізу бойынша зерттеу нәтижелерін шаруашылық тәжірибесінде</w:t>
      </w:r>
      <w:r>
        <w:rPr>
          <w:rFonts w:ascii="Times New Roman" w:eastAsia="Times New Roman" w:hAnsi="Times New Roman"/>
          <w:color w:val="000000"/>
          <w:sz w:val="28"/>
          <w:szCs w:val="28"/>
          <w:lang w:val="kk-KZ"/>
        </w:rPr>
        <w:t xml:space="preserve"> жүзеге асырылумен сипаттауға болады. Сонымен қатар, тамақ өнеркәсібінің инновацилярады енгізу бойынша экономиканың басқа салаларымен салыстырғандағы ерекшелігі сала кәсіпорындарының лоу-тек тобына жатуын айтамыз. Инновацияларды олардың жіктемесіна және де</w:t>
      </w:r>
      <w:r>
        <w:rPr>
          <w:rFonts w:ascii="Times New Roman" w:eastAsia="Times New Roman" w:hAnsi="Times New Roman"/>
          <w:color w:val="000000"/>
          <w:sz w:val="28"/>
          <w:szCs w:val="28"/>
          <w:lang w:val="kk-KZ"/>
        </w:rPr>
        <w:t xml:space="preserve">ңгейіне негізделе отырып енгізу жолдары жалпы алғанда өнеркәсіп және қызмет салаларында әртүрлі сипатталады. Тамақ өнеркәсібінде инновациялардың радикалды түрімен салыстырғанда жетілдірілген (инкрементальды) инновациялар түрі, яғни қолданыстағы өнімдерден </w:t>
      </w:r>
      <w:r>
        <w:rPr>
          <w:rFonts w:ascii="Times New Roman" w:eastAsia="Times New Roman" w:hAnsi="Times New Roman"/>
          <w:color w:val="000000"/>
          <w:sz w:val="28"/>
          <w:szCs w:val="28"/>
          <w:lang w:val="kk-KZ"/>
        </w:rPr>
        <w:t>же</w:t>
      </w:r>
      <w:r>
        <w:rPr>
          <w:rFonts w:ascii="Times New Roman" w:hAnsi="Times New Roman"/>
          <w:sz w:val="28"/>
          <w:szCs w:val="28"/>
          <w:lang w:val="kk-KZ"/>
        </w:rPr>
        <w:t>тілдірілген немесе өнім түрінің жаңа нұсқасын шығару сияқты инновациялар түрі басым екендігі анықталған.</w:t>
      </w:r>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Осылайша, тамақ өнеркәсібіндегі және ауыл-шаруашылығы өндірісіндегі инновацияларды тепе-теңдікке негізделген, ұйымның дәстүрлі теориясында ұсынылған </w:t>
      </w:r>
      <w:r>
        <w:rPr>
          <w:rFonts w:ascii="Times New Roman" w:hAnsi="Times New Roman"/>
          <w:sz w:val="28"/>
          <w:szCs w:val="28"/>
          <w:lang w:val="kk-KZ"/>
        </w:rPr>
        <w:t>экономикалық тұжырымдамаларымен емес, кең және күшті аналитикалық негіздеуді қажет ететін күрделі бейімделу процесі ретінде қарастырған жөн.</w:t>
      </w:r>
      <w:bookmarkEnd w:id="2"/>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Инновацияның және инновациялық даму тәсілдерінің эволюциясы жеке өнертабыстан жүйелік, бірлескен және мүмкіндіктерг</w:t>
      </w:r>
      <w:r>
        <w:rPr>
          <w:rFonts w:ascii="Times New Roman" w:hAnsi="Times New Roman"/>
          <w:sz w:val="28"/>
          <w:szCs w:val="28"/>
          <w:lang w:val="kk-KZ"/>
        </w:rPr>
        <w:t xml:space="preserve">е негізделген үлгілерге ауысу қарқынын көрсетті. Қазақстанның тамақ өнеркәсібі үшін инновацияны тек технологиялық прогресс ретінде ғана емес, сонымен бірге оқытудың бейімделудің және экожүйені кұрудың күрделі өзара әрекеті ретінде түсіну керек. </w:t>
      </w:r>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Әлемдік</w:t>
      </w:r>
      <w:r>
        <w:rPr>
          <w:rFonts w:ascii="Times New Roman" w:hAnsi="Times New Roman"/>
          <w:sz w:val="28"/>
          <w:szCs w:val="28"/>
          <w:lang w:val="kk-KZ"/>
        </w:rPr>
        <w:t xml:space="preserve"> ғы</w:t>
      </w:r>
      <w:r>
        <w:rPr>
          <w:rFonts w:ascii="Times New Roman" w:hAnsi="Times New Roman"/>
          <w:sz w:val="28"/>
          <w:szCs w:val="28"/>
          <w:lang w:val="kk-KZ"/>
        </w:rPr>
        <w:t xml:space="preserve">лыми әдебиеттерде тамақ өнеркәсібіндегі инновациялық дамуды басқару мәселесі кеңінен зерттелген. Азық-түлік секторының инновациялық дамуын зерттеу – көп деңгейлі және пәнаралық сипаттағы ғылыми бағыт болып саналады. </w:t>
      </w:r>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 Биглиарди өзінің шолу мақаласында та</w:t>
      </w:r>
      <w:r>
        <w:rPr>
          <w:rFonts w:ascii="Times New Roman" w:hAnsi="Times New Roman"/>
          <w:sz w:val="28"/>
          <w:szCs w:val="28"/>
          <w:lang w:val="kk-KZ"/>
        </w:rPr>
        <w:t>мақ өнеркәсібінде қолданылатын негізгі инновациялық үлгілерді (жабық үлгіден ашық үлгіге, содан кейін желілік үлгіге) анықтады [34]. Коста және Джонген өнімдік инновацияларды талдайды және инновациялық жобаларды басқаруға тұтынушылардың қалауларының әсерін</w:t>
      </w:r>
      <w:r>
        <w:rPr>
          <w:rFonts w:ascii="Times New Roman" w:hAnsi="Times New Roman"/>
          <w:sz w:val="28"/>
          <w:szCs w:val="28"/>
          <w:lang w:val="kk-KZ"/>
        </w:rPr>
        <w:t xml:space="preserve"> көрсетеді [35]. Рамирез-Монтойя функционалдық тамақ секторы үшін инновациялық басқару үлгілерін ұсынады, бұл зерттеулер орталықтарымен ынтымақтастықтың рөлін атап көрсетеді [36]. Мартинез-Гарсия жеткізу тізбегіндегі цифрлық технологиялар мен тұрақты тәжір</w:t>
      </w:r>
      <w:r>
        <w:rPr>
          <w:rFonts w:ascii="Times New Roman" w:hAnsi="Times New Roman"/>
          <w:sz w:val="28"/>
          <w:szCs w:val="28"/>
          <w:lang w:val="kk-KZ"/>
        </w:rPr>
        <w:t xml:space="preserve">ибелерді енгізуді зерттейді [37]. </w:t>
      </w:r>
    </w:p>
    <w:p w:rsidR="005118AF" w:rsidRDefault="00EF60C3">
      <w:pPr>
        <w:spacing w:after="0" w:line="20" w:lineRule="atLeast"/>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Сонымен қатар, соңғы онжылдықта зерттеулердің басты фокусы тұрақты азық-түлік жүйелеріне көшті. Бұл бағыттағы жетекші авторлардың бірі – Дж. Ингрэм, ол агроөнеркәсіп кешенінің қоршаған ортаға әсерін азайтуға бағытталған </w:t>
      </w:r>
      <w:r>
        <w:rPr>
          <w:rFonts w:ascii="Times New Roman" w:eastAsia="Times New Roman" w:hAnsi="Times New Roman"/>
          <w:color w:val="000000"/>
          <w:sz w:val="28"/>
          <w:szCs w:val="28"/>
          <w:lang w:val="kk-KZ"/>
        </w:rPr>
        <w:t>жүйелі инновациялардың құрылымын зерттеді [38]. Технологиялық тұрғыдан, профессор А. Матис және оның әріптестерінің Цюрихтегі Федералдық технологиялық институтта жүргізілген жұмыстары өндірістің тиімділігі мен қауіпсіздігін арттыруға бағытталған инновациял</w:t>
      </w:r>
      <w:r>
        <w:rPr>
          <w:rFonts w:ascii="Times New Roman" w:eastAsia="Times New Roman" w:hAnsi="Times New Roman"/>
          <w:color w:val="000000"/>
          <w:sz w:val="28"/>
          <w:szCs w:val="28"/>
          <w:lang w:val="kk-KZ"/>
        </w:rPr>
        <w:t>ық тамақ өңдеу технологиялары мен баламалы ақуыз көздерін әзірлеуге арналған [39].</w:t>
      </w:r>
    </w:p>
    <w:p w:rsidR="005118AF" w:rsidRDefault="00EF60C3">
      <w:pPr>
        <w:spacing w:after="0" w:line="240" w:lineRule="auto"/>
        <w:ind w:firstLine="709"/>
        <w:jc w:val="both"/>
        <w:rPr>
          <w:rFonts w:ascii="Times New Roman" w:hAnsi="Times New Roman"/>
          <w:sz w:val="28"/>
          <w:szCs w:val="28"/>
          <w:lang w:val="kk-KZ"/>
        </w:rPr>
      </w:pPr>
      <w:r>
        <w:rPr>
          <w:rFonts w:ascii="Times New Roman" w:eastAsia="Times New Roman" w:hAnsi="Times New Roman"/>
          <w:color w:val="000000"/>
          <w:sz w:val="28"/>
          <w:szCs w:val="28"/>
          <w:lang w:val="kk-KZ"/>
        </w:rPr>
        <w:t>Жалпы алғанда, әлемдік ғылыми әдебиеттер инновациялық дамуды азық-түлік секторының тұрақтылығын және бәсекеге қабілеттілігін арттырудың ажырамас құралы ретінде мойындайды, б</w:t>
      </w:r>
      <w:r>
        <w:rPr>
          <w:rFonts w:ascii="Times New Roman" w:eastAsia="Times New Roman" w:hAnsi="Times New Roman"/>
          <w:color w:val="000000"/>
          <w:sz w:val="28"/>
          <w:szCs w:val="28"/>
          <w:lang w:val="kk-KZ"/>
        </w:rPr>
        <w:t>ұл осы зерттеудің теориялық негізін нығайта түседі</w:t>
      </w:r>
      <w:r>
        <w:rPr>
          <w:rFonts w:ascii="Times New Roman" w:hAnsi="Times New Roman"/>
          <w:sz w:val="28"/>
          <w:szCs w:val="28"/>
          <w:lang w:val="kk-KZ"/>
        </w:rPr>
        <w:t xml:space="preserve">. </w:t>
      </w:r>
    </w:p>
    <w:p w:rsidR="005118AF" w:rsidRDefault="00EF60C3">
      <w:pPr>
        <w:tabs>
          <w:tab w:val="left" w:pos="9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Қазақстандық</w:t>
      </w:r>
      <w:r>
        <w:rPr>
          <w:rFonts w:ascii="Times New Roman" w:hAnsi="Times New Roman"/>
          <w:sz w:val="28"/>
          <w:szCs w:val="28"/>
          <w:lang w:val="kk-KZ"/>
        </w:rPr>
        <w:t xml:space="preserve"> ғылыми әдебиеттерде тақырып ең алдымен қолданбалы контексте ұсынылған. Олейник Л. және Ауезова К. Қазақстанның тамақ өнеркәсібінде инновацияларды енгізудегі кедергілер мен мүмкіндіктерді зер</w:t>
      </w:r>
      <w:r>
        <w:rPr>
          <w:rFonts w:ascii="Times New Roman" w:hAnsi="Times New Roman"/>
          <w:sz w:val="28"/>
          <w:szCs w:val="28"/>
          <w:lang w:val="kk-KZ"/>
        </w:rPr>
        <w:t>ттейді [40]. Уталиева Р.С., Карамулдина А.А., Тагайбекова Н.П. компанияның пайдасын барынша арттыру үшін ашық инновацилық үлгілерді қолдану мәселесін зерттеген [41]. Дегенмен, жалпы алғанда, қазақстандық зерттеулер сипаттамалық сипатпен және эмпирикалық са</w:t>
      </w:r>
      <w:r>
        <w:rPr>
          <w:rFonts w:ascii="Times New Roman" w:hAnsi="Times New Roman"/>
          <w:sz w:val="28"/>
          <w:szCs w:val="28"/>
          <w:lang w:val="kk-KZ"/>
        </w:rPr>
        <w:t>ндық үлгілердің аздығымен сипатталады. Осылайша, тақырып жаһандық деңгейде айтарлықтай тереңдетілген түрде әзірленгенмінен, Қазақстанда  тамақ өнеркәсібі кәсіпорынддарының инновациялық дамуын басқару бойынша жүйелі және эмпирикалық негізделген зерттеулер ү</w:t>
      </w:r>
      <w:r>
        <w:rPr>
          <w:rFonts w:ascii="Times New Roman" w:hAnsi="Times New Roman"/>
          <w:sz w:val="28"/>
          <w:szCs w:val="28"/>
          <w:lang w:val="kk-KZ"/>
        </w:rPr>
        <w:t xml:space="preserve">шін айқын зерттеу ұясы бар. </w:t>
      </w:r>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Алайда тамақ өнеркәсібінің инновациялық дамуын зерттеу бойынша іс жүзінде ғылыми жұмыстар өте аз және осы саланың инновациялық дамуын күшейту үшін жағдай жасау мәселесі тиісті деңгейде зерттелмеген. Осыған байланысты, осы салад</w:t>
      </w:r>
      <w:r>
        <w:rPr>
          <w:rFonts w:ascii="Times New Roman" w:hAnsi="Times New Roman"/>
          <w:sz w:val="28"/>
          <w:szCs w:val="28"/>
          <w:lang w:val="kk-KZ"/>
        </w:rPr>
        <w:t>ағы инновацияларды ынталандыру туралы мәселе қою өзекті және уақтылы болып табылады.</w:t>
      </w:r>
    </w:p>
    <w:p w:rsidR="005118AF" w:rsidRDefault="00EF60C3">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Бұл бөлімде осы дамып келе жатқан теорияларды Қазақстанда қолдану институционалдық жетілуді, салалық динамика мен кәсіпорынның дайындығын ескеру қажет ететінін көрсетті. Т</w:t>
      </w:r>
      <w:r>
        <w:rPr>
          <w:rFonts w:ascii="Times New Roman" w:hAnsi="Times New Roman"/>
          <w:sz w:val="28"/>
          <w:szCs w:val="28"/>
          <w:lang w:val="kk-KZ"/>
        </w:rPr>
        <w:t xml:space="preserve">амақ өнеркәсібінде және одан тыс жерлерде инновациялық дамуды тиімді ынталандыру үшін инновацияны көп өлшемді ұғым ретінде түсіну маңызды. </w:t>
      </w:r>
    </w:p>
    <w:p w:rsidR="005118AF" w:rsidRDefault="005118AF">
      <w:pPr>
        <w:tabs>
          <w:tab w:val="left" w:pos="1134"/>
          <w:tab w:val="left" w:pos="1800"/>
        </w:tabs>
        <w:spacing w:after="0" w:line="240" w:lineRule="auto"/>
        <w:ind w:firstLineChars="250" w:firstLine="700"/>
        <w:jc w:val="both"/>
        <w:rPr>
          <w:rFonts w:ascii="Times New Roman" w:hAnsi="Times New Roman" w:cs="Times New Roman"/>
          <w:b/>
          <w:bCs/>
          <w:sz w:val="28"/>
          <w:szCs w:val="28"/>
          <w:lang w:val="kk-KZ" w:eastAsia="zh-CN"/>
        </w:rPr>
      </w:pPr>
    </w:p>
    <w:p w:rsidR="005118AF" w:rsidRDefault="00EF60C3">
      <w:pPr>
        <w:tabs>
          <w:tab w:val="left" w:pos="1134"/>
          <w:tab w:val="left" w:pos="1800"/>
        </w:tabs>
        <w:spacing w:after="0" w:line="240" w:lineRule="auto"/>
        <w:ind w:firstLineChars="250" w:firstLine="700"/>
        <w:jc w:val="both"/>
        <w:rPr>
          <w:rFonts w:ascii="Times New Roman" w:hAnsi="Times New Roman" w:cs="Times New Roman"/>
          <w:b/>
          <w:bCs/>
          <w:sz w:val="28"/>
          <w:szCs w:val="28"/>
          <w:lang w:val="kk-KZ" w:eastAsia="zh-CN"/>
        </w:rPr>
      </w:pPr>
      <w:r>
        <w:rPr>
          <w:rFonts w:ascii="Times New Roman" w:hAnsi="Times New Roman" w:cs="Times New Roman"/>
          <w:b/>
          <w:bCs/>
          <w:sz w:val="28"/>
          <w:szCs w:val="28"/>
          <w:lang w:val="kk-KZ" w:eastAsia="zh-CN"/>
        </w:rPr>
        <w:t>1.2 Тамақ өнеркәсібі кәсіпорындарында ашық инновацияларды басқарудың әдістері мен үлгілері</w:t>
      </w:r>
    </w:p>
    <w:p w:rsidR="005118AF" w:rsidRDefault="00EF60C3">
      <w:pPr>
        <w:spacing w:after="0" w:line="240" w:lineRule="auto"/>
        <w:ind w:firstLineChars="250" w:firstLine="700"/>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Соңғы онжылдықта Ашық </w:t>
      </w:r>
      <w:r>
        <w:rPr>
          <w:rFonts w:ascii="Times New Roman" w:eastAsia="Times New Roman" w:hAnsi="Times New Roman" w:cs="Times New Roman"/>
          <w:color w:val="000000"/>
          <w:sz w:val="28"/>
          <w:szCs w:val="28"/>
          <w:lang w:val="kk-KZ" w:eastAsia="zh-CN"/>
        </w:rPr>
        <w:t>инновациялар тұжырымдамасы академиялық орта мен практиктердің назарын көбірек аударуда. Мұның себебі, бұл тұжырымдама қазіргі кезде компаниялар инновацияларды қалай енгізетінін көрсетететін көптеген байланысты идеялар мен тәжірибелерді қамтитын қолшатыр ре</w:t>
      </w:r>
      <w:r>
        <w:rPr>
          <w:rFonts w:ascii="Times New Roman" w:eastAsia="Times New Roman" w:hAnsi="Times New Roman" w:cs="Times New Roman"/>
          <w:color w:val="000000"/>
          <w:sz w:val="28"/>
          <w:szCs w:val="28"/>
          <w:lang w:val="kk-KZ" w:eastAsia="zh-CN"/>
        </w:rPr>
        <w:t>тінде қызмет етуі мүмкін. Бұл құбылыстың мысалдары ретінде ашық көзді әзірлемелер, тірі зертханалар, инновация байқаулары, краудсорсинг, краудфандинг, бірлескен шығармашылық, бірлескен ғылыми-зерттеу желілері және салааралық инновациялар сияқты тәжірибелер</w:t>
      </w:r>
      <w:r>
        <w:rPr>
          <w:rFonts w:ascii="Times New Roman" w:eastAsia="Times New Roman" w:hAnsi="Times New Roman" w:cs="Times New Roman"/>
          <w:color w:val="000000"/>
          <w:sz w:val="28"/>
          <w:szCs w:val="28"/>
          <w:lang w:val="kk-KZ" w:eastAsia="zh-CN"/>
        </w:rPr>
        <w:t xml:space="preserve"> мен тәсілдер болып табылады [42].</w:t>
      </w:r>
    </w:p>
    <w:p w:rsidR="005118AF" w:rsidRDefault="00EF60C3">
      <w:pPr>
        <w:spacing w:after="0" w:line="240" w:lineRule="auto"/>
        <w:ind w:firstLineChars="250" w:firstLine="700"/>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Ғылыми әдебиеттерде ашық инновациялар термині кеңінен зерттелген.  1.1-бөлімде айтылып өткендей, ашық инновациялар парадигмасы алғаш рет 2003 жылы Гэнри Чесбромен ұсынылып, жалпы қолданысқа енгізілді. «Ашық инновациялар» </w:t>
      </w:r>
      <w:r>
        <w:rPr>
          <w:rFonts w:ascii="Times New Roman" w:eastAsia="Times New Roman" w:hAnsi="Times New Roman" w:cs="Times New Roman"/>
          <w:color w:val="000000"/>
          <w:sz w:val="28"/>
          <w:szCs w:val="28"/>
          <w:lang w:val="kk-KZ" w:eastAsia="zh-CN"/>
        </w:rPr>
        <w:t>тәуелсіз зерттеу қызметі мен сыртқы ресурстарды (білімді) пайдалануға бейімділік арасындағы байланысты білдіреді [43].</w:t>
      </w:r>
    </w:p>
    <w:p w:rsidR="005118AF" w:rsidRDefault="00EF60C3">
      <w:pPr>
        <w:spacing w:after="0" w:line="240" w:lineRule="auto"/>
        <w:ind w:firstLineChars="250" w:firstLine="700"/>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Ашық инновациялар – бұл инновацияларды жеделдету мақсатында білімдердің кіріс және шығыс ағындарын пайдалану болып табылады. Бұл тәсіл ко</w:t>
      </w:r>
      <w:r>
        <w:rPr>
          <w:rFonts w:ascii="Times New Roman" w:eastAsia="Times New Roman" w:hAnsi="Times New Roman" w:cs="Times New Roman"/>
          <w:color w:val="000000"/>
          <w:sz w:val="28"/>
          <w:szCs w:val="28"/>
          <w:lang w:val="kk-KZ" w:eastAsia="zh-CN"/>
        </w:rPr>
        <w:t xml:space="preserve">мпанияларға өздерінің технологияларын жаңа нарыққа шығаруда ішкі идеялармен қатар сыртқы идеяларды және жолдарды қолдану тәсілін білдіреді (1-сурет).  </w:t>
      </w:r>
    </w:p>
    <w:p w:rsidR="005118AF" w:rsidRDefault="005118AF">
      <w:pPr>
        <w:spacing w:after="0" w:line="240" w:lineRule="auto"/>
        <w:jc w:val="both"/>
        <w:rPr>
          <w:rFonts w:ascii="Times New Roman" w:eastAsia="Times New Roman" w:hAnsi="Times New Roman" w:cs="Times New Roman"/>
          <w:color w:val="000000"/>
          <w:sz w:val="28"/>
          <w:szCs w:val="28"/>
          <w:lang w:val="kk-KZ" w:eastAsia="zh-CN"/>
        </w:rPr>
      </w:pPr>
    </w:p>
    <w:p w:rsidR="005118AF" w:rsidRDefault="00EF60C3">
      <w:pPr>
        <w:spacing w:after="0" w:line="240" w:lineRule="auto"/>
        <w:ind w:firstLine="567"/>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5408" behindDoc="0" locked="0" layoutInCell="1" allowOverlap="1">
                <wp:simplePos x="0" y="0"/>
                <wp:positionH relativeFrom="column">
                  <wp:posOffset>202565</wp:posOffset>
                </wp:positionH>
                <wp:positionV relativeFrom="paragraph">
                  <wp:posOffset>191770</wp:posOffset>
                </wp:positionV>
                <wp:extent cx="5892165" cy="2759710"/>
                <wp:effectExtent l="0" t="0" r="0" b="3175"/>
                <wp:wrapNone/>
                <wp:docPr id="1823708004" name="Группа 1823708004"/>
                <wp:cNvGraphicFramePr/>
                <a:graphic xmlns:a="http://schemas.openxmlformats.org/drawingml/2006/main">
                  <a:graphicData uri="http://schemas.microsoft.com/office/word/2010/wordprocessingGroup">
                    <wpg:wgp>
                      <wpg:cNvGrpSpPr/>
                      <wpg:grpSpPr>
                        <a:xfrm>
                          <a:off x="0" y="0"/>
                          <a:ext cx="5892330" cy="2759594"/>
                          <a:chOff x="0" y="0"/>
                          <a:chExt cx="5892330" cy="2759594"/>
                        </a:xfrm>
                      </wpg:grpSpPr>
                      <wps:wsp>
                        <wps:cNvPr id="1692413818" name="Овал 114"/>
                        <wps:cNvSpPr/>
                        <wps:spPr>
                          <a:xfrm>
                            <a:off x="931026" y="648392"/>
                            <a:ext cx="838200" cy="1511300"/>
                          </a:xfrm>
                          <a:prstGeom prst="ellipse">
                            <a:avLst/>
                          </a:prstGeom>
                          <a:noFill/>
                          <a:ln w="12700" cap="flat" cmpd="sng" algn="ctr">
                            <a:solidFill>
                              <a:sysClr val="windowText" lastClr="000000">
                                <a:lumMod val="95000"/>
                                <a:lumOff val="5000"/>
                              </a:sys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sz w:val="16"/>
                                  <w:szCs w:val="16"/>
                                  <w:lang w:val="kk-KZ" w:eastAsia="zh-CN"/>
                                </w:rPr>
                              </w:pPr>
                              <w:r>
                                <w:rPr>
                                  <w:rFonts w:ascii="Times New Roman" w:hAnsi="Times New Roman" w:cs="Times New Roman"/>
                                  <w:sz w:val="16"/>
                                  <w:szCs w:val="16"/>
                                  <w:lang w:val="kk-KZ" w:eastAsia="zh-CN"/>
                                </w:rPr>
                                <w:t>Жаңа технологияларды іздеу</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823708003" name="Группа 1823708003"/>
                        <wpg:cNvGrpSpPr/>
                        <wpg:grpSpPr>
                          <a:xfrm>
                            <a:off x="0" y="0"/>
                            <a:ext cx="5892330" cy="2759594"/>
                            <a:chOff x="0" y="0"/>
                            <a:chExt cx="5892330" cy="2759594"/>
                          </a:xfrm>
                        </wpg:grpSpPr>
                        <wps:wsp>
                          <wps:cNvPr id="957004035" name="Прямая со стрелкой 115"/>
                          <wps:cNvCnPr>
                            <a:cxnSpLocks noChangeShapeType="1"/>
                          </wps:cNvCnPr>
                          <wps:spPr bwMode="auto">
                            <a:xfrm>
                              <a:off x="931025" y="498763"/>
                              <a:ext cx="1758950" cy="590550"/>
                            </a:xfrm>
                            <a:prstGeom prst="straightConnector1">
                              <a:avLst/>
                            </a:prstGeom>
                            <a:noFill/>
                            <a:ln w="9525">
                              <a:solidFill>
                                <a:srgbClr val="000000"/>
                              </a:solidFill>
                              <a:prstDash val="dash"/>
                              <a:round/>
                            </a:ln>
                          </wps:spPr>
                          <wps:bodyPr/>
                        </wps:wsp>
                        <wps:wsp>
                          <wps:cNvPr id="155822415" name="Прямая со стрелкой 102"/>
                          <wps:cNvCnPr>
                            <a:cxnSpLocks noChangeShapeType="1"/>
                          </wps:cNvCnPr>
                          <wps:spPr bwMode="auto">
                            <a:xfrm flipV="1">
                              <a:off x="897774" y="1787236"/>
                              <a:ext cx="1758950" cy="444500"/>
                            </a:xfrm>
                            <a:prstGeom prst="straightConnector1">
                              <a:avLst/>
                            </a:prstGeom>
                            <a:noFill/>
                            <a:ln w="9525">
                              <a:solidFill>
                                <a:srgbClr val="000000"/>
                              </a:solidFill>
                              <a:prstDash val="dash"/>
                              <a:round/>
                            </a:ln>
                          </wps:spPr>
                          <wps:bodyPr/>
                        </wps:wsp>
                        <wps:wsp>
                          <wps:cNvPr id="138578556" name="Прямоугольник 105"/>
                          <wps:cNvSpPr>
                            <a:spLocks noChangeArrowheads="1"/>
                          </wps:cNvSpPr>
                          <wps:spPr bwMode="auto">
                            <a:xfrm>
                              <a:off x="3208712" y="1280160"/>
                              <a:ext cx="838200" cy="440055"/>
                            </a:xfrm>
                            <a:prstGeom prst="rect">
                              <a:avLst/>
                            </a:prstGeom>
                            <a:solidFill>
                              <a:srgbClr val="FFFFFF"/>
                            </a:solidFill>
                            <a:ln>
                              <a:noFill/>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Әзірлеме</w:t>
                                </w:r>
                              </w:p>
                            </w:txbxContent>
                          </wps:txbx>
                          <wps:bodyPr rot="0" vert="horz" wrap="square" lIns="91440" tIns="45720" rIns="91440" bIns="45720" anchor="t" anchorCtr="0" upright="1">
                            <a:noAutofit/>
                          </wps:bodyPr>
                        </wps:wsp>
                        <wps:wsp>
                          <wps:cNvPr id="1503877263" name="Прямая соединительная линия 111"/>
                          <wps:cNvCnPr/>
                          <wps:spPr>
                            <a:xfrm flipV="1">
                              <a:off x="3142210" y="1172094"/>
                              <a:ext cx="1898650" cy="19050"/>
                            </a:xfrm>
                            <a:prstGeom prst="line">
                              <a:avLst/>
                            </a:prstGeom>
                            <a:noFill/>
                            <a:ln w="190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2119906612" name="Прямая соединительная линия 104"/>
                          <wps:cNvCnPr/>
                          <wps:spPr>
                            <a:xfrm flipV="1">
                              <a:off x="3125585" y="1662545"/>
                              <a:ext cx="1905000" cy="19050"/>
                            </a:xfrm>
                            <a:prstGeom prst="line">
                              <a:avLst/>
                            </a:prstGeom>
                            <a:noFill/>
                            <a:ln w="190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1483105084" name="Овал 113"/>
                          <wps:cNvSpPr/>
                          <wps:spPr>
                            <a:xfrm>
                              <a:off x="1795549" y="922712"/>
                              <a:ext cx="660400" cy="979170"/>
                            </a:xfrm>
                            <a:prstGeom prst="ellipse">
                              <a:avLst/>
                            </a:prstGeom>
                            <a:noFill/>
                            <a:ln w="12700" cap="flat" cmpd="sng" algn="ctr">
                              <a:solidFill>
                                <a:sysClr val="windowText" lastClr="000000">
                                  <a:lumMod val="95000"/>
                                  <a:lumOff val="5000"/>
                                </a:sys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sz w:val="16"/>
                                    <w:szCs w:val="16"/>
                                    <w:lang w:val="kk-KZ" w:eastAsia="zh-CN"/>
                                  </w:rPr>
                                </w:pPr>
                                <w:r>
                                  <w:rPr>
                                    <w:rFonts w:ascii="Times New Roman" w:hAnsi="Times New Roman" w:cs="Times New Roman"/>
                                    <w:sz w:val="16"/>
                                    <w:szCs w:val="16"/>
                                    <w:lang w:val="kk-KZ" w:eastAsia="zh-CN"/>
                                  </w:rPr>
                                  <w:t>Прототип жасау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58974015" name="Овал 112"/>
                          <wps:cNvSpPr/>
                          <wps:spPr>
                            <a:xfrm>
                              <a:off x="2651760" y="922712"/>
                              <a:ext cx="488950" cy="1004570"/>
                            </a:xfrm>
                            <a:prstGeom prst="ellipse">
                              <a:avLst/>
                            </a:prstGeom>
                            <a:noFill/>
                            <a:ln w="12700" cap="flat" cmpd="sng" algn="ctr">
                              <a:solidFill>
                                <a:sysClr val="windowText" lastClr="000000">
                                  <a:lumMod val="95000"/>
                                  <a:lumOff val="5000"/>
                                </a:sysClr>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5118AF">
                                <w:pPr>
                                  <w:spacing w:after="0" w:line="240" w:lineRule="auto"/>
                                  <w:jc w:val="center"/>
                                  <w:rPr>
                                    <w:rFonts w:ascii="Times New Roman" w:hAnsi="Times New Roman" w:cs="Times New Roman"/>
                                    <w:sz w:val="16"/>
                                    <w:szCs w:val="16"/>
                                    <w:lang w:val="kk-KZ"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90518377" name="Прямая соединительная линия 103"/>
                          <wps:cNvCnPr/>
                          <wps:spPr>
                            <a:xfrm flipV="1">
                              <a:off x="2502130" y="1554480"/>
                              <a:ext cx="419100" cy="107950"/>
                            </a:xfrm>
                            <a:prstGeom prst="line">
                              <a:avLst/>
                            </a:prstGeom>
                            <a:noFill/>
                            <a:ln w="9525"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1291533039" name="Прямая соединительная линия 110"/>
                          <wps:cNvCnPr/>
                          <wps:spPr>
                            <a:xfrm>
                              <a:off x="2493818" y="1188720"/>
                              <a:ext cx="393700" cy="107950"/>
                            </a:xfrm>
                            <a:prstGeom prst="line">
                              <a:avLst/>
                            </a:prstGeom>
                            <a:noFill/>
                            <a:ln w="9525"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262570025" name="Прямая со стрелкой 107"/>
                          <wps:cNvCnPr/>
                          <wps:spPr>
                            <a:xfrm flipV="1">
                              <a:off x="3990109" y="1396538"/>
                              <a:ext cx="666750" cy="12700"/>
                            </a:xfrm>
                            <a:prstGeom prst="straightConnector1">
                              <a:avLst/>
                            </a:prstGeom>
                            <a:noFill/>
                            <a:ln w="12700" cap="flat" cmpd="sng" algn="ctr">
                              <a:solidFill>
                                <a:sysClr val="windowText" lastClr="000000"/>
                              </a:solidFill>
                              <a:prstDash val="solid"/>
                              <a:miter lim="800000"/>
                              <a:tailEnd type="triangle"/>
                            </a:ln>
                            <a:effectLst/>
                          </wps:spPr>
                          <wps:style>
                            <a:lnRef idx="1">
                              <a:schemeClr val="dk1"/>
                            </a:lnRef>
                            <a:fillRef idx="0">
                              <a:schemeClr val="dk1"/>
                            </a:fillRef>
                            <a:effectRef idx="0">
                              <a:schemeClr val="dk1"/>
                            </a:effectRef>
                            <a:fontRef idx="minor">
                              <a:schemeClr val="tx1"/>
                            </a:fontRef>
                          </wps:style>
                          <wps:bodyPr/>
                        </wps:wsp>
                        <wps:wsp>
                          <wps:cNvPr id="1524220843" name="Прямоугольник 106"/>
                          <wps:cNvSpPr>
                            <a:spLocks noChangeArrowheads="1"/>
                          </wps:cNvSpPr>
                          <wps:spPr bwMode="auto">
                            <a:xfrm>
                              <a:off x="4596930" y="1271847"/>
                              <a:ext cx="1295400" cy="440055"/>
                            </a:xfrm>
                            <a:prstGeom prst="rect">
                              <a:avLst/>
                            </a:prstGeom>
                            <a:noFill/>
                            <a:ln>
                              <a:noFill/>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Коммерциализация</w:t>
                                </w:r>
                              </w:p>
                            </w:txbxContent>
                          </wps:txbx>
                          <wps:bodyPr rot="0" vert="horz" wrap="square" lIns="91440" tIns="45720" rIns="91440" bIns="45720" anchor="t" anchorCtr="0" upright="1">
                            <a:noAutofit/>
                          </wps:bodyPr>
                        </wps:wsp>
                        <wps:wsp>
                          <wps:cNvPr id="194992769" name="Прямоугольник 119"/>
                          <wps:cNvSpPr/>
                          <wps:spPr>
                            <a:xfrm>
                              <a:off x="0" y="0"/>
                              <a:ext cx="1206500" cy="355600"/>
                            </a:xfrm>
                            <a:prstGeom prst="rect">
                              <a:avLst/>
                            </a:prstGeom>
                            <a:solidFill>
                              <a:schemeClr val="accent1">
                                <a:lumMod val="75000"/>
                              </a:schemeClr>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rPr>
                                    <w:rFonts w:ascii="Times New Roman" w:hAnsi="Times New Roman" w:cs="Times New Roman"/>
                                    <w:lang w:val="kk-KZ" w:eastAsia="zh-CN"/>
                                  </w:rPr>
                                </w:pPr>
                                <w:r>
                                  <w:rPr>
                                    <w:rFonts w:ascii="Times New Roman" w:hAnsi="Times New Roman" w:cs="Times New Roman"/>
                                    <w:lang w:val="en-US" w:eastAsia="zh-CN"/>
                                  </w:rPr>
                                  <w:t>C</w:t>
                                </w:r>
                                <w:r>
                                  <w:rPr>
                                    <w:rFonts w:ascii="Times New Roman" w:hAnsi="Times New Roman" w:cs="Times New Roman"/>
                                    <w:lang w:val="kk-KZ" w:eastAsia="zh-CN"/>
                                  </w:rPr>
                                  <w:t>ырттан ішке</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5305431" name="Стрелка: изогнутая 118"/>
                          <wps:cNvSpPr/>
                          <wps:spPr>
                            <a:xfrm rot="5400000">
                              <a:off x="1030778" y="232756"/>
                              <a:ext cx="508000" cy="342900"/>
                            </a:xfrm>
                            <a:prstGeom prst="bentArrow">
                              <a:avLst/>
                            </a:prstGeom>
                            <a:solidFill>
                              <a:schemeClr val="accent1">
                                <a:lumMod val="60000"/>
                                <a:lumOff val="40000"/>
                              </a:schemeClr>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2814333" name="Прямоугольник 117"/>
                          <wps:cNvSpPr/>
                          <wps:spPr>
                            <a:xfrm>
                              <a:off x="2194560" y="299258"/>
                              <a:ext cx="1206500" cy="355600"/>
                            </a:xfrm>
                            <a:prstGeom prst="rect">
                              <a:avLst/>
                            </a:prstGeom>
                            <a:solidFill>
                              <a:srgbClr val="931F91"/>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ind w:firstLineChars="100" w:firstLine="220"/>
                                  <w:rPr>
                                    <w:rFonts w:ascii="Times New Roman" w:hAnsi="Times New Roman" w:cs="Times New Roman"/>
                                    <w:lang w:val="kk-KZ" w:eastAsia="zh-CN"/>
                                  </w:rPr>
                                </w:pPr>
                                <w:r>
                                  <w:rPr>
                                    <w:rFonts w:ascii="Times New Roman" w:hAnsi="Times New Roman" w:cs="Times New Roman"/>
                                    <w:lang w:val="kk-KZ" w:eastAsia="zh-CN"/>
                                  </w:rPr>
                                  <w:t xml:space="preserve">Іштен </w:t>
                                </w:r>
                                <w:r>
                                  <w:rPr>
                                    <w:rFonts w:ascii="Times New Roman" w:hAnsi="Times New Roman" w:cs="Times New Roman"/>
                                    <w:lang w:val="kk-KZ" w:eastAsia="zh-CN"/>
                                  </w:rPr>
                                  <w:t>сыртқа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6108945" name="Стрелка: изогнутая 116"/>
                          <wps:cNvSpPr/>
                          <wps:spPr>
                            <a:xfrm rot="10800000" flipH="1" flipV="1">
                              <a:off x="1778923" y="374072"/>
                              <a:ext cx="431165" cy="370205"/>
                            </a:xfrm>
                            <a:prstGeom prst="bentArrow">
                              <a:avLst/>
                            </a:prstGeom>
                            <a:solidFill>
                              <a:schemeClr val="accent1">
                                <a:lumMod val="60000"/>
                                <a:lumOff val="40000"/>
                              </a:schemeClr>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49462758" name="Стрелка: изогнутая вправо 99"/>
                          <wps:cNvSpPr/>
                          <wps:spPr>
                            <a:xfrm>
                              <a:off x="1263534" y="2086494"/>
                              <a:ext cx="438150" cy="673100"/>
                            </a:xfrm>
                            <a:prstGeom prst="curvedRightArrow">
                              <a:avLst/>
                            </a:prstGeom>
                            <a:solidFill>
                              <a:schemeClr val="accent1">
                                <a:lumMod val="60000"/>
                                <a:lumOff val="40000"/>
                              </a:schemeClr>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63920656" name="Стрелка: изогнутая вправо 101"/>
                          <wps:cNvSpPr/>
                          <wps:spPr>
                            <a:xfrm rot="10800000">
                              <a:off x="1787236" y="2044931"/>
                              <a:ext cx="431800" cy="673100"/>
                            </a:xfrm>
                            <a:prstGeom prst="curvedRightArrow">
                              <a:avLst/>
                            </a:prstGeom>
                            <a:solidFill>
                              <a:schemeClr val="accent1">
                                <a:lumMod val="60000"/>
                                <a:lumOff val="40000"/>
                              </a:schemeClr>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5241978" name="Прямоугольник 100"/>
                          <wps:cNvSpPr/>
                          <wps:spPr>
                            <a:xfrm>
                              <a:off x="2294312" y="2177934"/>
                              <a:ext cx="1389380" cy="363855"/>
                            </a:xfrm>
                            <a:prstGeom prst="rect">
                              <a:avLst/>
                            </a:prstGeom>
                            <a:solidFill>
                              <a:srgbClr val="C00000"/>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jc w:val="center"/>
                                  <w:rPr>
                                    <w:rFonts w:ascii="Times New Roman" w:hAnsi="Times New Roman" w:cs="Times New Roman"/>
                                    <w:lang w:val="kk-KZ" w:eastAsia="zh-CN"/>
                                  </w:rPr>
                                </w:pPr>
                                <w:r>
                                  <w:rPr>
                                    <w:rFonts w:ascii="Times New Roman" w:hAnsi="Times New Roman" w:cs="Times New Roman"/>
                                    <w:lang w:val="kk-KZ" w:eastAsia="zh-CN"/>
                                  </w:rPr>
                                  <w:t>Байланыстырушы</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Группа 1823708004" o:spid="_x0000_s1026" style="position:absolute;left:0;text-align:left;margin-left:15.95pt;margin-top:15.1pt;width:463.95pt;height:217.3pt;z-index:251665408" coordsize="58923,2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">
                <v:oval id="Овал 114" o:spid="_x0000_s1027" style="position:absolute;left:9310;top:6483;width:8382;height:15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5QkMwA&#10;AADjAAAADwAAAGRycy9kb3ducmV2LnhtbESPQU/DMAyF70j8h8hI3FjaMVWlLJsmEBJIHGBsh928&#10;xksrGqdqQlf49fiAxNF+z+99Xq4n36mRhtgGNpDPMlDEdbAtOwO7j6ebElRMyBa7wGTgmyKsV5cX&#10;S6xsOPM7jdvklIRwrNBAk1JfaR3rhjzGWeiJRTuFwWOScXDaDniWcN/peZYV2mPL0tBgTw8N1Z/b&#10;L29g/zgWu6N3P3Wpj6fNy+vbwh6cMddX0+YeVKIp/Zv/rp+t4Bd380V+W+YCLT/JAvTq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fD5QkMwAAADjAAAADwAAAAAAAAAAAAAAAACY&#10;AgAAZHJzL2Rvd25yZXYueG1sUEsFBgAAAAAEAAQA9QAAAJEDAAAAAA==&#10;" filled="f" strokecolor="#0d0d0d" strokeweight="1pt">
                  <v:stroke joinstyle="miter"/>
                  <v:textbox>
                    <w:txbxContent>
                      <w:p w:rsidR="005118AF" w:rsidRDefault="00EF60C3">
                        <w:pPr>
                          <w:shd w:val="clear" w:color="auto" w:fill="FFFFFF" w:themeFill="background1"/>
                          <w:spacing w:after="0" w:line="240" w:lineRule="auto"/>
                          <w:jc w:val="center"/>
                          <w:rPr>
                            <w:rFonts w:ascii="Times New Roman" w:hAnsi="Times New Roman" w:cs="Times New Roman"/>
                            <w:sz w:val="16"/>
                            <w:szCs w:val="16"/>
                            <w:lang w:val="kk-KZ" w:eastAsia="zh-CN"/>
                          </w:rPr>
                        </w:pPr>
                        <w:r>
                          <w:rPr>
                            <w:rFonts w:ascii="Times New Roman" w:hAnsi="Times New Roman" w:cs="Times New Roman"/>
                            <w:sz w:val="16"/>
                            <w:szCs w:val="16"/>
                            <w:lang w:val="kk-KZ" w:eastAsia="zh-CN"/>
                          </w:rPr>
                          <w:t>Жаңа технологияларды іздеу</w:t>
                        </w:r>
                      </w:p>
                    </w:txbxContent>
                  </v:textbox>
                </v:oval>
                <v:group id="Группа 1823708003" o:spid="_x0000_s1028" style="position:absolute;width:58923;height:27595" coordsize="58923,27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riehbIAAAA&#10;4wAAAA8AAAAAAAAAAAAAAAAAqgIAAGRycy9kb3ducmV2LnhtbFBLBQYAAAAABAAEAPoAAACfAwAA&#10;AAA=&#10;">
                  <v:shapetype id="_x0000_t32" coordsize="21600,21600" o:spt="32" o:oned="t" path="m,l21600,21600e" filled="f">
                    <v:path arrowok="t" fillok="f" o:connecttype="none"/>
                    <o:lock v:ext="edit" shapetype="t"/>
                  </v:shapetype>
                  <v:shape id="Прямая со стрелкой 115" o:spid="_x0000_s1029" type="#_x0000_t32" style="position:absolute;left:9310;top:4987;width:17589;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0pqEZcsAAADiAAAADwAA&#10;AAAAAAAAAAAAAAChAgAAZHJzL2Rvd25yZXYueG1sUEsFBgAAAAAEAAQA+QAAAJkDAAAAAA==&#10;">
                    <v:stroke dashstyle="dash"/>
                  </v:shape>
                  <v:shape id="Прямая со стрелкой 102" o:spid="_x0000_s1030" type="#_x0000_t32" style="position:absolute;left:8977;top:17872;width:17590;height:44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vOTcgAAADiAAAADwAAAGRycy9kb3ducmV2LnhtbERPW2vCMBR+H+w/hDPY20zt1iHVKCqM&#10;KQNBN8THQ3N6cc1Jl2S2/vtlMNjjx3efLQbTigs531hWMB4lIIgLqxuuFHy8vzxMQPiArLG1TAqu&#10;5GExv72ZYa5tz3u6HEIlYgj7HBXUIXS5lL6oyaAf2Y44cqV1BkOErpLaYR/DTSvTJHmWBhuODTV2&#10;tK6p+Dx8GwWvfv91dOWq3+6Wxdt5/bjpV+VJqfu7YTkFEWgI/+I/90bH+Vk2SdOncQa/lyIGOf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HvOTcgAAADiAAAADwAAAAAA&#10;AAAAAAAAAAChAgAAZHJzL2Rvd25yZXYueG1sUEsFBgAAAAAEAAQA+QAAAJYDAAAAAA==&#10;">
                    <v:stroke dashstyle="dash"/>
                  </v:shape>
                  <v:rect id="Прямоугольник 105" o:spid="_x0000_s1031" style="position:absolute;left:32087;top:12801;width:838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TM8YA&#10;AADiAAAADwAAAGRycy9kb3ducmV2LnhtbERPXWvCMBR9F/Yfwh3sbSZTW7vOKCIIA+eDOtjrpbm2&#10;Zc1NbaLWf28GAx8P53u26G0jLtT52rGGt6ECQVw4U3Op4fuwfs1A+IBssHFMGm7kYTF/GswwN+7K&#10;O7rsQyliCPscNVQhtLmUvqjIoh+6ljhyR9dZDBF2pTQdXmO4beRIqVRarDk2VNjSqqLid3+2GjCd&#10;mNP2OP46bM4pvpe9Wic/SuuX5375ASJQHx7if/enifPHWTLNkiSFv0sRg5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ITM8YAAADiAAAADwAAAAAAAAAAAAAAAACYAgAAZHJz&#10;L2Rvd25yZXYueG1sUEsFBgAAAAAEAAQA9QAAAIsDAAAAAA==&#10;" stroked="f">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Әзірлеме</w:t>
                          </w:r>
                        </w:p>
                      </w:txbxContent>
                    </v:textbox>
                  </v:rect>
                  <v:line id="Прямая соединительная линия 111" o:spid="_x0000_s1032" style="position:absolute;flip:y;visibility:visible;mso-wrap-style:square" from="31422,11720" to="50408,1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Jx9ckAAADjAAAADwAAAGRycy9kb3ducmV2LnhtbERPT0vDMBS/C36H8ARvLnXDbnTLhghK&#10;D8K02w67PZpnG0xeShPXuk+/DASP7/f/rTajs+JEfTCeFTxOMhDEtdeGGwX73evDAkSIyBqtZ1Lw&#10;SwE269ubFRbaD/xJpyo2IoVwKFBBG2NXSBnqlhyGie+IE/fle4cxnX0jdY9DCndWTrMslw4Np4YW&#10;O3ppqf6ufpyCqjwOZm90GfNt83F+D1a/2YNS93fj8xJEpDH+i//cpU7zn7LZYj6f5jO4/pQAkOsL&#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mCcfXJAAAA4wAAAA8AAAAA&#10;AAAAAAAAAAAAoQIAAGRycy9kb3ducmV2LnhtbFBLBQYAAAAABAAEAPkAAACXAwAAAAA=&#10;" strokecolor="windowText" strokeweight="1.5pt">
                    <v:stroke joinstyle="miter"/>
                  </v:line>
                  <v:line id="Прямая соединительная линия 104" o:spid="_x0000_s1033" style="position:absolute;flip:y;visibility:visible;mso-wrap-style:square" from="31255,16625" to="50305,16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oM7OcsAAADjAAAADwAA&#10;AAAAAAAAAAAAAAChAgAAZHJzL2Rvd25yZXYueG1sUEsFBgAAAAAEAAQA+QAAAJkDAAAAAA==&#10;" strokecolor="windowText" strokeweight="1.5pt">
                    <v:stroke joinstyle="miter"/>
                  </v:line>
                  <v:oval id="Овал 113" o:spid="_x0000_s1034" style="position:absolute;left:17955;top:9227;width:6604;height:9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q8kA&#10;AADjAAAADwAAAGRycy9kb3ducmV2LnhtbERPT0/CMBS/m/gdmkfiTVp0kmVQCNGYaMJBEQ/cHuuj&#10;W1hfl7WOwaenJiYe3+//my8H14ieulB71jAZKxDEpTc1Ww3br9f7HESIyAYbz6ThTAGWi9ubORbG&#10;n/iT+k20IoVwKFBDFWNbSBnKihyGsW+JE3fwncOYzs5K0+EphbtGPig1lQ5rTg0VtvRcUXnc/DgN&#10;3y/9dLt39lLmcn9Yva8/MrOzWt+NhtUMRKQh/ov/3G8mzc/yx4l6UnkGvz8lAOTi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7Uq8kAAADjAAAADwAAAAAAAAAAAAAAAACYAgAA&#10;ZHJzL2Rvd25yZXYueG1sUEsFBgAAAAAEAAQA9QAAAI4DAAAAAA==&#10;" filled="f" strokecolor="#0d0d0d" strokeweight="1pt">
                    <v:stroke joinstyle="miter"/>
                    <v:textbox>
                      <w:txbxContent>
                        <w:p w:rsidR="005118AF" w:rsidRDefault="00EF60C3">
                          <w:pPr>
                            <w:shd w:val="clear" w:color="auto" w:fill="FFFFFF" w:themeFill="background1"/>
                            <w:spacing w:after="0" w:line="240" w:lineRule="auto"/>
                            <w:jc w:val="center"/>
                            <w:rPr>
                              <w:rFonts w:ascii="Times New Roman" w:hAnsi="Times New Roman" w:cs="Times New Roman"/>
                              <w:sz w:val="16"/>
                              <w:szCs w:val="16"/>
                              <w:lang w:val="kk-KZ" w:eastAsia="zh-CN"/>
                            </w:rPr>
                          </w:pPr>
                          <w:r>
                            <w:rPr>
                              <w:rFonts w:ascii="Times New Roman" w:hAnsi="Times New Roman" w:cs="Times New Roman"/>
                              <w:sz w:val="16"/>
                              <w:szCs w:val="16"/>
                              <w:lang w:val="kk-KZ" w:eastAsia="zh-CN"/>
                            </w:rPr>
                            <w:t>Прототип жасау</w:t>
                          </w:r>
                        </w:p>
                      </w:txbxContent>
                    </v:textbox>
                  </v:oval>
                  <v:oval id="Овал 112" o:spid="_x0000_s1035" style="position:absolute;left:26517;top:9227;width:4890;height:10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bacoA&#10;AADjAAAADwAAAGRycy9kb3ducmV2LnhtbERPS2vCQBC+F/wPywi96caiNkZXEaXQQg/Wx8HbmB03&#10;odnZkN3GtL++WxB6nO89i1VnK9FS40vHCkbDBARx7nTJRsHx8DJIQfiArLFyTAq+ycNq2XtYYKbd&#10;jT+o3QcjYgj7DBUUIdSZlD4vyKIfupo4clfXWAzxbIzUDd5iuK3kU5JMpcWSY0OBNW0Kyj/3X1bB&#10;adtOjxdrfvJUXq7rt/fdWJ+NUo/9bj0HEagL/+K7+1XH+bNJOnseJ6MJ/P0UAZ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FBW2nKAAAA4wAAAA8AAAAAAAAAAAAAAAAAmAIA&#10;AGRycy9kb3ducmV2LnhtbFBLBQYAAAAABAAEAPUAAACPAwAAAAA=&#10;" filled="f" strokecolor="#0d0d0d" strokeweight="1pt">
                    <v:stroke joinstyle="miter"/>
                    <v:textbox>
                      <w:txbxContent>
                        <w:p w:rsidR="005118AF" w:rsidRDefault="005118AF">
                          <w:pPr>
                            <w:spacing w:after="0" w:line="240" w:lineRule="auto"/>
                            <w:jc w:val="center"/>
                            <w:rPr>
                              <w:rFonts w:ascii="Times New Roman" w:hAnsi="Times New Roman" w:cs="Times New Roman"/>
                              <w:sz w:val="16"/>
                              <w:szCs w:val="16"/>
                              <w:lang w:val="kk-KZ" w:eastAsia="zh-CN"/>
                            </w:rPr>
                          </w:pPr>
                        </w:p>
                      </w:txbxContent>
                    </v:textbox>
                  </v:oval>
                  <v:line id="Прямая соединительная линия 103" o:spid="_x0000_s1036" style="position:absolute;flip:y;visibility:visible;mso-wrap-style:square" from="25021,15544" to="29212,16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28H8kAAADiAAAADwAAAGRycy9kb3ducmV2LnhtbESP3WrCQBSE7wu+w3IEb0Q36V9i6ioi&#10;CEK90OgDHLLHbGj2bMhuNb59t1Do5TAz3zDL9WBbcaPeN44VpPMEBHHldMO1gst5N8tB+ICssXVM&#10;Ch7kYb0aPS2x0O7OJ7qVoRYRwr5ABSaErpDSV4Ys+rnriKN3db3FEGVfS93jPcJtK5+T5F1abDgu&#10;GOxoa6j6Kr+tAjucUv+6Oe4PpTOfmb1MXXacKjUZD5sPEIGG8B/+a++1gnyRvKX5S5bB76V4B+Tq&#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XtvB/JAAAA4gAAAA8AAAAA&#10;AAAAAAAAAAAAoQIAAGRycy9kb3ducmV2LnhtbFBLBQYAAAAABAAEAPkAAACXAwAAAAA=&#10;" strokecolor="windowText">
                    <v:stroke joinstyle="miter"/>
                  </v:line>
                  <v:line id="Прямая соединительная линия 110" o:spid="_x0000_s1037" style="position:absolute;visibility:visible;mso-wrap-style:square" from="24938,11887" to="28875,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Lo/scAAADjAAAADwAAAGRycy9kb3ducmV2LnhtbERPS0sDMRC+C/6HMII3m7Sr0m6bFiu0&#10;Cir0fR42093FzWRJ0nb7740geJzvPZNZZxtxJh9qxxr6PQWCuHCm5lLDbrt4GIIIEdlg45g0XCnA&#10;bHp7M8HcuAuv6byJpUghHHLUUMXY5lKGoiKLoeda4sQdnbcY0+lLaTxeUrht5ECpZ2mx5tRQYUuv&#10;FRXfm5PVsH1bzePj1WfzryUtPj7Vwe+t1fr+rnsZg4jUxX/xn/vdpPmDUf8py1Q2gt+fEgBy+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Auj+xwAAAOMAAAAPAAAAAAAA&#10;AAAAAAAAAKECAABkcnMvZG93bnJldi54bWxQSwUGAAAAAAQABAD5AAAAlQMAAAAA&#10;" strokecolor="windowText">
                    <v:stroke joinstyle="miter"/>
                  </v:line>
                  <v:shape id="Прямая со стрелкой 107" o:spid="_x0000_s1038" type="#_x0000_t32" style="position:absolute;left:39901;top:13965;width:6667;height:1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DdbscAAADiAAAADwAAAGRycy9kb3ducmV2LnhtbESPS4vCMBSF98L8h3AH3GlioTp0jDII&#10;gtiVD5ztpbm2nWluShO1/nsjCC4P5/Fx5sveNuJKna8da5iMFQjiwpmaSw3Hw3r0BcIHZIONY9Jw&#10;Jw/LxcdgjplxN97RdR9KEUfYZ6ihCqHNpPRFRRb92LXE0Tu7zmKIsiul6fAWx20jE6Wm0mLNkVBh&#10;S6uKiv/9xUZInv6dLnVR7ra/hhyd8+19kms9/Ox/vkEE6sM7/GpvjIZkmqQzpZIUnpfiHZCL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8N1uxwAAAOIAAAAPAAAAAAAA&#10;AAAAAAAAAKECAABkcnMvZG93bnJldi54bWxQSwUGAAAAAAQABAD5AAAAlQMAAAAA&#10;" strokecolor="windowText" strokeweight="1pt">
                    <v:stroke endarrow="block" joinstyle="miter"/>
                  </v:shape>
                  <v:rect id="Прямоугольник 106" o:spid="_x0000_s1039" style="position:absolute;left:45969;top:12718;width:12954;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UXckA&#10;AADjAAAADwAAAGRycy9kb3ducmV2LnhtbERPS2vCQBC+C/0PywheSt00tUVSVylCaZCCND7OQ3aa&#10;BLOzMbsm8d93C4LH+d6zWA2mFh21rrKs4HkagSDOra64ULDffT7NQTiPrLG2TAqu5GC1fBgtMNG2&#10;5x/qMl+IEMIuQQWl900ipctLMuimtiEO3K9tDfpwtoXULfYh3NQyjqI3abDi0FBiQ+uS8lN2MQr6&#10;fNsdd99fcvt4TC2f0/M6O2yUmoyHj3cQngZ/F9/cqQ7zX+NZHEfz2Qv8/xQA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rUXckAAADjAAAADwAAAAAAAAAAAAAAAACYAgAA&#10;ZHJzL2Rvd25yZXYueG1sUEsFBgAAAAAEAAQA9QAAAI4DAAAAAA==&#10;" filled="f" stroked="f">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Коммерциализация</w:t>
                          </w:r>
                        </w:p>
                      </w:txbxContent>
                    </v:textbox>
                  </v:rect>
                  <v:rect id="Прямоугольник 119" o:spid="_x0000_s1040" style="position:absolute;width:12065;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US+8YA&#10;AADiAAAADwAAAGRycy9kb3ducmV2LnhtbERP3WrCMBS+H+wdwhF2N1OdqK2NsgmDbYhg7QMcmmNb&#10;bE5KErV7ezMYePnx/eebwXTiSs63lhVMxgkI4srqlmsF5fHzdQnCB2SNnWVS8EseNuvnpxwzbW98&#10;oGsRahFD2GeooAmhz6T0VUMG/dj2xJE7WWcwROhqqR3eYrjp5DRJ5tJgy7GhwZ62DVXn4mIUDKXZ&#10;tXhx3z/7j93y8FZU+8XWK/UyGt5XIAIN4SH+d3/pOD+dpel0MU/h71LE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US+8YAAADiAAAADwAAAAAAAAAAAAAAAACYAgAAZHJz&#10;L2Rvd25yZXYueG1sUEsFBgAAAAAEAAQA9QAAAIsDAAAAAA==&#10;" fillcolor="#2e74b5 [2404]" stroked="f" strokeweight=".25pt">
                    <v:textbox>
                      <w:txbxContent>
                        <w:p w:rsidR="005118AF" w:rsidRDefault="00EF60C3">
                          <w:pPr>
                            <w:rPr>
                              <w:rFonts w:ascii="Times New Roman" w:hAnsi="Times New Roman" w:cs="Times New Roman"/>
                              <w:lang w:val="kk-KZ" w:eastAsia="zh-CN"/>
                            </w:rPr>
                          </w:pPr>
                          <w:r>
                            <w:rPr>
                              <w:rFonts w:ascii="Times New Roman" w:hAnsi="Times New Roman" w:cs="Times New Roman"/>
                              <w:lang w:val="en-US" w:eastAsia="zh-CN"/>
                            </w:rPr>
                            <w:t>C</w:t>
                          </w:r>
                          <w:r>
                            <w:rPr>
                              <w:rFonts w:ascii="Times New Roman" w:hAnsi="Times New Roman" w:cs="Times New Roman"/>
                              <w:lang w:val="kk-KZ" w:eastAsia="zh-CN"/>
                            </w:rPr>
                            <w:t>ырттан ішке</w:t>
                          </w:r>
                        </w:p>
                      </w:txbxContent>
                    </v:textbox>
                  </v:rect>
                  <v:shape id="Стрелка: изогнутая 118" o:spid="_x0000_s1041" style="position:absolute;left:10308;top:2327;width:5080;height:3429;rotation:90;visibility:visible;mso-wrap-style:square;v-text-anchor:middle" coordsize="5080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SGcYA&#10;AADiAAAADwAAAGRycy9kb3ducmV2LnhtbERPXWvCMBR9H+w/hDvYi2jitCLVKEPY2KuuOHy7NndN&#10;WXNTmkzbf78IAx8P53u97V0jLtSF2rOG6USBIC69qbnSUHy+jZcgQkQ22HgmDQMF2G4eH9aYG3/l&#10;PV0OsRIphEOOGmyMbS5lKC05DBPfEifu23cOY4JdJU2H1xTuGvmi1EI6rDk1WGxpZ6n8Ofw6Derr&#10;VJ/9cT4ajoVrhvhu7WhntX5+6l9XICL18S7+d3+YND/LZiqbz6Zwu5Qw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BSGcYAAADiAAAADwAAAAAAAAAAAAAAAACYAgAAZHJz&#10;L2Rvd25yZXYueG1sUEsFBgAAAAAEAAQA9QAAAIsDAAAAAA==&#10;" path="m,342900l,192881c,110028,67166,42862,150019,42862r272256,1l422275,r85725,85725l422275,171450r,-42862l150019,128588v-35509,,-64294,28785,-64294,64294l85725,342900,,342900xe" fillcolor="#9cc2e5 [1940]" stroked="f" strokeweight="1pt">
                    <v:stroke joinstyle="miter"/>
                    <v:path arrowok="t" o:connecttype="custom" o:connectlocs="0,342900;0,192881;150019,42862;422275,42863;422275,0;508000,85725;422275,171450;422275,128588;150019,128588;85725,192882;85725,342900;0,342900" o:connectangles="0,0,0,0,0,0,0,0,0,0,0,0"/>
                  </v:shape>
                  <v:rect id="Прямоугольник 117" o:spid="_x0000_s1042" style="position:absolute;left:21945;top:2992;width:12065;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b9cQA&#10;AADhAAAADwAAAGRycy9kb3ducmV2LnhtbESP0YrCMBRE3xf8h3AXfFtTrYh0jbIIBfHN6gfcbe42&#10;ZZub0kQb/94Igo/DzJxhNrtoO3GjwbeOFcxnGQji2umWGwWXc/m1BuEDssbOMSm4k4fddvKxwUK7&#10;kU90q0IjEoR9gQpMCH0hpa8NWfQz1xMn788NFkOSQyP1gGOC204usmwlLbacFgz2tDdU/1dXq2DP&#10;pjutyqOOsTTBV5z/1iMrNf2MP98gAsXwDr/aB61guVjPl3mew/NRegN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W/XEAAAA4QAAAA8AAAAAAAAAAAAAAAAAmAIAAGRycy9k&#10;b3ducmV2LnhtbFBLBQYAAAAABAAEAPUAAACJAwAAAAA=&#10;" fillcolor="#931f91" stroked="f" strokeweight=".25pt">
                    <v:textbox>
                      <w:txbxContent>
                        <w:p w:rsidR="005118AF" w:rsidRDefault="00EF60C3">
                          <w:pPr>
                            <w:ind w:firstLineChars="100" w:firstLine="220"/>
                            <w:rPr>
                              <w:rFonts w:ascii="Times New Roman" w:hAnsi="Times New Roman" w:cs="Times New Roman"/>
                              <w:lang w:val="kk-KZ" w:eastAsia="zh-CN"/>
                            </w:rPr>
                          </w:pPr>
                          <w:r>
                            <w:rPr>
                              <w:rFonts w:ascii="Times New Roman" w:hAnsi="Times New Roman" w:cs="Times New Roman"/>
                              <w:lang w:val="kk-KZ" w:eastAsia="zh-CN"/>
                            </w:rPr>
                            <w:t xml:space="preserve">Іштен </w:t>
                          </w:r>
                          <w:r>
                            <w:rPr>
                              <w:rFonts w:ascii="Times New Roman" w:hAnsi="Times New Roman" w:cs="Times New Roman"/>
                              <w:lang w:val="kk-KZ" w:eastAsia="zh-CN"/>
                            </w:rPr>
                            <w:t>сыртқа</w:t>
                          </w:r>
                        </w:p>
                      </w:txbxContent>
                    </v:textbox>
                  </v:rect>
                  <v:shape id="Стрелка: изогнутая 116" o:spid="_x0000_s1043" style="position:absolute;left:17789;top:3740;width:4311;height:3702;rotation:180;flip:x y;visibility:visible;mso-wrap-style:square;v-text-anchor:middle" coordsize="431165,37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ZVccA&#10;AADiAAAADwAAAGRycy9kb3ducmV2LnhtbERPTWvCQBC9F/wPywi91U2qEU1dpa0UehDEKJ6H7DQJ&#10;ZmfT7DaJ/fXdguDx8b5Xm8HUoqPWVZYVxJMIBHFudcWFgtPx42kBwnlkjbVlUnAlB5v16GGFqbY9&#10;H6jLfCFCCLsUFZTeN6mULi/JoJvYhjhwX7Y16ANsC6lb7EO4qeVzFM2lwYpDQ4kNvZeUX7Ifo2A7&#10;dX3zfdmaffH7lp0T6qa7pFPqcTy8voDwNPi7+Ob+1GF+PI+jxXKWwP+lgEG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hmVXHAAAA4gAAAA8AAAAAAAAAAAAAAAAAmAIAAGRy&#10;cy9kb3ducmV2LnhtbFBLBQYAAAAABAAEAPUAAACMAwAAAAA=&#10;" path="m,370205l,208240c,118789,72514,46275,161965,46275r176649,1l338614,r92551,92551l338614,185103r,-46276l161965,138827v-38336,,-69413,31077,-69413,69413c92552,262228,92551,316217,92551,370205l,370205xe" fillcolor="#9cc2e5 [1940]" stroked="f" strokeweight="1pt">
                    <v:stroke joinstyle="miter"/>
                    <v:path arrowok="t" o:connecttype="custom" o:connectlocs="0,370205;0,208240;161965,46275;338614,46276;338614,0;431165,92551;338614,185103;338614,138827;161965,138827;92552,208240;92551,370205;0,370205" o:connectangles="0,0,0,0,0,0,0,0,0,0,0,0"/>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99" o:spid="_x0000_s1044" type="#_x0000_t102" style="position:absolute;left:12635;top:20864;width:4381;height:6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WccA&#10;AADiAAAADwAAAGRycy9kb3ducmV2LnhtbERP3WrCMBS+H+wdwhnsTlNFq+0aZY4JXshgbg9waM6a&#10;anPSJZnWtzcXwi4/vv9qPdhOnMmH1rGCyTgDQVw73XKj4PtrO1qCCBFZY+eYFFwpwHr1+FBhqd2F&#10;P+l8iI1IIRxKVGBi7EspQ23IYhi7njhxP85bjAn6RmqPlxRuOznNslxabDk1GOzpzVB9OvxZBb9Z&#10;4fe79+PEm+Ej9xTCZjNfKvX8NLy+gIg0xH/x3b3TChazYpZPF/O0OV1Kd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P71nHAAAA4gAAAA8AAAAAAAAAAAAAAAAAmAIAAGRy&#10;cy9kb3ducmV2LnhtbFBLBQYAAAAABAAEAPUAAACMAwAAAAA=&#10;" adj="14570,19843,16200" fillcolor="#9cc2e5 [1940]" stroked="f" strokeweight="1pt"/>
                  <v:shape id="Стрелка: изогнутая вправо 101" o:spid="_x0000_s1045" type="#_x0000_t102" style="position:absolute;left:17872;top:20449;width:4318;height:673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xHPMcA&#10;AADjAAAADwAAAGRycy9kb3ducmV2LnhtbERPT0vDMBS/C36H8ARvLlnFMrtlo8qE4UVcPez4aJ5t&#10;XfMSmth2394Igsf3+/82u9n2YqQhdI41LBcKBHHtTMeNho/q5W4FIkRkg71j0nChALvt9dUGC+Mm&#10;fqfxGBuRQjgUqKGN0RdShroli2HhPHHiPt1gMaZzaKQZcErhtpeZUrm02HFqaNHTc0v1+fhtNfSv&#10;aiozNbrVW+XjqXraf5V+r/XtzVyuQUSa47/4z30waX6W3z9mKn/I4fenBI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cRzzHAAAA4wAAAA8AAAAAAAAAAAAAAAAAmAIAAGRy&#10;cy9kb3ducmV2LnhtbFBLBQYAAAAABAAEAPUAAACMAwAAAAA=&#10;" adj="14672,19868,16200" fillcolor="#9cc2e5 [1940]" stroked="f" strokeweight="1pt"/>
                  <v:rect id="Прямоугольник 100" o:spid="_x0000_s1046" style="position:absolute;left:22943;top:21779;width:13893;height:3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fBYMwA&#10;AADjAAAADwAAAGRycy9kb3ducmV2LnhtbESPQUvDQBCF74L/YRnBm900WtPGbksJCKmHglFoj0N2&#10;TILZ2ZDdtvHfOwfB48x789436+3kenWhMXSeDcxnCSji2tuOGwOfH68PS1AhIlvsPZOBHwqw3dze&#10;rDG3/srvdKlioySEQ44G2hiHXOtQt+QwzPxALNqXHx1GGcdG2xGvEu56nSbJs3bYsTS0OFDRUv1d&#10;nZ2Bsnzc7w+n0654q7LyfNSLLC0GY+7vpt0LqEhT/Df/XZdW8LPlIn2arzKBlp9kAXrz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YvfBYMwAAADjAAAADwAAAAAAAAAAAAAAAACY&#10;AgAAZHJzL2Rvd25yZXYueG1sUEsFBgAAAAAEAAQA9QAAAJEDAAAAAA==&#10;" fillcolor="#c00000" stroked="f" strokeweight=".25pt">
                    <v:textbox>
                      <w:txbxContent>
                        <w:p w:rsidR="005118AF" w:rsidRDefault="00EF60C3">
                          <w:pPr>
                            <w:jc w:val="center"/>
                            <w:rPr>
                              <w:rFonts w:ascii="Times New Roman" w:hAnsi="Times New Roman" w:cs="Times New Roman"/>
                              <w:lang w:val="kk-KZ" w:eastAsia="zh-CN"/>
                            </w:rPr>
                          </w:pPr>
                          <w:r>
                            <w:rPr>
                              <w:rFonts w:ascii="Times New Roman" w:hAnsi="Times New Roman" w:cs="Times New Roman"/>
                              <w:lang w:val="kk-KZ" w:eastAsia="zh-CN"/>
                            </w:rPr>
                            <w:t>Байланыстырушы</w:t>
                          </w:r>
                        </w:p>
                      </w:txbxContent>
                    </v:textbox>
                  </v:rect>
                </v:group>
              </v:group>
            </w:pict>
          </mc:Fallback>
        </mc:AlternateContent>
      </w: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EF60C3">
      <w:pPr>
        <w:spacing w:after="0" w:line="240" w:lineRule="auto"/>
        <w:ind w:firstLine="567"/>
        <w:jc w:val="both"/>
        <w:rPr>
          <w:rFonts w:ascii="Times New Roman" w:eastAsia="Times New Roman" w:hAnsi="Times New Roman"/>
          <w:color w:val="000000"/>
          <w:sz w:val="28"/>
          <w:szCs w:val="28"/>
          <w:lang w:val="kk-KZ" w:eastAsia="zh-CN"/>
        </w:rPr>
      </w:pPr>
      <w:r>
        <w:rPr>
          <w:noProof/>
          <w:sz w:val="20"/>
          <w:szCs w:val="20"/>
        </w:rPr>
        <mc:AlternateContent>
          <mc:Choice Requires="wps">
            <w:drawing>
              <wp:anchor distT="0" distB="0" distL="114300" distR="114300" simplePos="0" relativeHeight="251664384" behindDoc="0" locked="0" layoutInCell="1" allowOverlap="1">
                <wp:simplePos x="0" y="0"/>
                <wp:positionH relativeFrom="column">
                  <wp:posOffset>3129915</wp:posOffset>
                </wp:positionH>
                <wp:positionV relativeFrom="paragraph">
                  <wp:posOffset>189230</wp:posOffset>
                </wp:positionV>
                <wp:extent cx="177800" cy="50800"/>
                <wp:effectExtent l="1270" t="15875" r="11430" b="9525"/>
                <wp:wrapNone/>
                <wp:docPr id="861827590" name="Прямая со стрелкой 109"/>
                <wp:cNvGraphicFramePr/>
                <a:graphic xmlns:a="http://schemas.openxmlformats.org/drawingml/2006/main">
                  <a:graphicData uri="http://schemas.microsoft.com/office/word/2010/wordprocessingShape">
                    <wps:wsp>
                      <wps:cNvCnPr/>
                      <wps:spPr>
                        <a:xfrm flipV="1">
                          <a:off x="0" y="0"/>
                          <a:ext cx="177800" cy="50800"/>
                        </a:xfrm>
                        <a:prstGeom prst="straightConnector1">
                          <a:avLst/>
                        </a:prstGeom>
                        <a:noFill/>
                        <a:ln w="9525" cap="flat" cmpd="sng" algn="ctr">
                          <a:solidFill>
                            <a:sysClr val="windowText" lastClr="000000"/>
                          </a:solidFill>
                          <a:prstDash val="solid"/>
                          <a:miter lim="800000"/>
                          <a:tailEnd type="triangle"/>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FCA942" id="Прямая со стрелкой 109" o:spid="_x0000_s1026" type="#_x0000_t32" style="position:absolute;margin-left:246.45pt;margin-top:14.9pt;width:14pt;height:4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" strokecolor="windowText">
                <v:stroke endarrow="block" joinstyle="miter"/>
              </v:shape>
            </w:pict>
          </mc:Fallback>
        </mc:AlternateContent>
      </w:r>
      <w:r>
        <w:rPr>
          <w:noProof/>
          <w:sz w:val="20"/>
          <w:szCs w:val="20"/>
        </w:rPr>
        <mc:AlternateContent>
          <mc:Choice Requires="wps">
            <w:drawing>
              <wp:anchor distT="0" distB="0" distL="114300" distR="114300" simplePos="0" relativeHeight="251663360" behindDoc="0" locked="0" layoutInCell="1" allowOverlap="1">
                <wp:simplePos x="0" y="0"/>
                <wp:positionH relativeFrom="column">
                  <wp:posOffset>3142615</wp:posOffset>
                </wp:positionH>
                <wp:positionV relativeFrom="paragraph">
                  <wp:posOffset>96520</wp:posOffset>
                </wp:positionV>
                <wp:extent cx="152400" cy="45720"/>
                <wp:effectExtent l="1270" t="12700" r="11430" b="17780"/>
                <wp:wrapNone/>
                <wp:docPr id="69945190" name="Прямая со стрелкой 108"/>
                <wp:cNvGraphicFramePr/>
                <a:graphic xmlns:a="http://schemas.openxmlformats.org/drawingml/2006/main">
                  <a:graphicData uri="http://schemas.microsoft.com/office/word/2010/wordprocessingShape">
                    <wps:wsp>
                      <wps:cNvCnPr/>
                      <wps:spPr>
                        <a:xfrm>
                          <a:off x="0" y="0"/>
                          <a:ext cx="152400" cy="45720"/>
                        </a:xfrm>
                        <a:prstGeom prst="straightConnector1">
                          <a:avLst/>
                        </a:prstGeom>
                        <a:noFill/>
                        <a:ln w="9525" cap="flat" cmpd="sng" algn="ctr">
                          <a:solidFill>
                            <a:sysClr val="windowText" lastClr="000000"/>
                          </a:solidFill>
                          <a:prstDash val="solid"/>
                          <a:miter lim="800000"/>
                          <a:tailEnd type="triangle"/>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15A30C" id="Прямая со стрелкой 108" o:spid="_x0000_s1026" type="#_x0000_t32" style="position:absolute;margin-left:247.45pt;margin-top:7.6pt;width:12pt;height:3.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" strokecolor="windowText">
                <v:stroke endarrow="block" joinstyle="miter"/>
              </v:shape>
            </w:pict>
          </mc:Fallback>
        </mc:AlternateContent>
      </w: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EF60C3">
      <w:pPr>
        <w:spacing w:after="0" w:line="240" w:lineRule="auto"/>
        <w:ind w:firstLine="567"/>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 </w:t>
      </w: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EF60C3">
      <w:pPr>
        <w:spacing w:after="0" w:line="240" w:lineRule="auto"/>
        <w:ind w:firstLine="567"/>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                   </w:t>
      </w: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16"/>
          <w:szCs w:val="16"/>
          <w:lang w:val="kk-KZ" w:eastAsia="zh-CN"/>
        </w:rPr>
      </w:pPr>
    </w:p>
    <w:p w:rsidR="005118AF" w:rsidRDefault="00EF60C3">
      <w:pPr>
        <w:spacing w:after="0" w:line="240" w:lineRule="auto"/>
        <w:jc w:val="center"/>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Сурет 1 </w:t>
      </w:r>
      <w:r>
        <w:rPr>
          <w:rFonts w:ascii="Times New Roman" w:eastAsia="Times New Roman" w:hAnsi="Times New Roman" w:cs="Times New Roman"/>
          <w:color w:val="000000"/>
          <w:sz w:val="28"/>
          <w:szCs w:val="28"/>
          <w:lang w:val="kk-KZ" w:eastAsia="zh-CN"/>
        </w:rPr>
        <w:t>‒</w:t>
      </w:r>
      <w:r>
        <w:rPr>
          <w:rFonts w:ascii="Times New Roman" w:eastAsia="Times New Roman" w:hAnsi="Times New Roman"/>
          <w:color w:val="000000"/>
          <w:sz w:val="28"/>
          <w:szCs w:val="28"/>
          <w:lang w:val="kk-KZ" w:eastAsia="zh-CN"/>
        </w:rPr>
        <w:t xml:space="preserve"> Чесброның ашық инновацияларға негізделген инновациялық үдеріс моделі</w:t>
      </w:r>
    </w:p>
    <w:p w:rsidR="005118AF" w:rsidRPr="008D1DAE" w:rsidRDefault="00EF60C3">
      <w:pPr>
        <w:spacing w:after="0" w:line="240" w:lineRule="auto"/>
        <w:ind w:firstLine="567"/>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4"/>
          <w:szCs w:val="24"/>
          <w:lang w:val="kk-KZ" w:eastAsia="zh-CN"/>
        </w:rPr>
        <w:t>Ескерту</w:t>
      </w:r>
      <w:r w:rsidRPr="008D1DAE">
        <w:rPr>
          <w:rFonts w:ascii="Times New Roman" w:eastAsia="Times New Roman" w:hAnsi="Times New Roman" w:cs="Times New Roman"/>
          <w:color w:val="000000"/>
          <w:sz w:val="24"/>
          <w:szCs w:val="24"/>
          <w:lang w:val="kk-KZ" w:eastAsia="zh-CN"/>
        </w:rPr>
        <w:t xml:space="preserve"> - </w:t>
      </w:r>
      <w:r>
        <w:rPr>
          <w:rFonts w:ascii="Times New Roman" w:eastAsia="Times New Roman" w:hAnsi="Times New Roman" w:cs="Times New Roman"/>
          <w:color w:val="000000"/>
          <w:sz w:val="24"/>
          <w:szCs w:val="24"/>
          <w:lang w:val="kk-KZ" w:eastAsia="zh-CN"/>
        </w:rPr>
        <w:t xml:space="preserve">Әдебиет негізінде құрастырылған </w:t>
      </w:r>
      <w:r w:rsidRPr="008D1DAE">
        <w:rPr>
          <w:rFonts w:ascii="Times New Roman" w:eastAsia="Times New Roman" w:hAnsi="Times New Roman" w:cs="Times New Roman"/>
          <w:color w:val="000000"/>
          <w:sz w:val="24"/>
          <w:szCs w:val="24"/>
          <w:lang w:val="kk-KZ" w:eastAsia="zh-CN"/>
        </w:rPr>
        <w:t>[43]</w:t>
      </w:r>
    </w:p>
    <w:p w:rsidR="005118AF" w:rsidRDefault="005118AF">
      <w:pPr>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Соңғы онжылдықтарда ашық инновациялар тақырыбына бағытталған </w:t>
      </w:r>
      <w:r>
        <w:rPr>
          <w:rFonts w:ascii="Times New Roman" w:eastAsia="Times New Roman" w:hAnsi="Times New Roman" w:cs="Times New Roman"/>
          <w:color w:val="000000"/>
          <w:sz w:val="28"/>
          <w:szCs w:val="28"/>
          <w:lang w:val="kk-KZ" w:eastAsia="zh-CN"/>
        </w:rPr>
        <w:t>көптеген зерттеулер жүргізілген. Басқару әдісі ретінде ашық инновацияларға әтүрлі авторлар әртүрлі тәсілдермен сипаттама берген. Солардың бірқатары ашық инновацияларды басқару жүйесі ретінде қарастырса, екіншілері ашық инновацияны аутсорсинге бағытталғанды</w:t>
      </w:r>
      <w:r>
        <w:rPr>
          <w:rFonts w:ascii="Times New Roman" w:eastAsia="Times New Roman" w:hAnsi="Times New Roman" w:cs="Times New Roman"/>
          <w:color w:val="000000"/>
          <w:sz w:val="28"/>
          <w:szCs w:val="28"/>
          <w:lang w:val="kk-KZ" w:eastAsia="zh-CN"/>
        </w:rPr>
        <w:t>мен сипаттады. Сонымен қатар, тағы да бір топ авторлар ашық инновациялар уақытты үнемдеу есебінен максималды пайда табу әдісі ретінде анықтады.</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Е. Энкель, О. Гассман бастаған зерттеушілер тобы ашық инновацияға өтуге қалыптасқан жағдайға байланысты ғана қаж</w:t>
      </w:r>
      <w:r>
        <w:rPr>
          <w:rFonts w:ascii="Times New Roman" w:eastAsia="Times New Roman" w:hAnsi="Times New Roman" w:cs="Times New Roman"/>
          <w:color w:val="000000"/>
          <w:sz w:val="28"/>
          <w:szCs w:val="28"/>
          <w:lang w:val="kk-KZ" w:eastAsia="zh-CN"/>
        </w:rPr>
        <w:t xml:space="preserve">еттілік туындайды деген тұжырым жасаған және ашық инновациялар келесідей тоғыз шартқа негізделген деп болжаған (3-кесте) [44]. </w: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EF60C3">
      <w:pPr>
        <w:spacing w:after="0" w:line="240" w:lineRule="auto"/>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Кесте 3 ‒ Ашық инновациялардың қалыптасу шарттары </w:t>
      </w:r>
    </w:p>
    <w:p w:rsidR="005118AF" w:rsidRDefault="005118AF">
      <w:pPr>
        <w:spacing w:after="0" w:line="240" w:lineRule="auto"/>
        <w:ind w:firstLine="567"/>
        <w:jc w:val="both"/>
        <w:rPr>
          <w:rFonts w:ascii="Times New Roman" w:eastAsia="Times New Roman" w:hAnsi="Times New Roman" w:cs="Times New Roman"/>
          <w:color w:val="000000"/>
          <w:sz w:val="16"/>
          <w:szCs w:val="16"/>
          <w:lang w:val="kk-KZ" w:eastAsia="zh-CN"/>
        </w:rPr>
      </w:pPr>
    </w:p>
    <w:tbl>
      <w:tblPr>
        <w:tblStyle w:val="ae"/>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7296"/>
      </w:tblGrid>
      <w:tr w:rsidR="005118AF">
        <w:trPr>
          <w:jc w:val="center"/>
        </w:trPr>
        <w:tc>
          <w:tcPr>
            <w:tcW w:w="1771" w:type="dxa"/>
          </w:tcPr>
          <w:p w:rsidR="005118AF" w:rsidRDefault="00EF60C3">
            <w:pPr>
              <w:spacing w:after="0" w:line="240" w:lineRule="auto"/>
              <w:jc w:val="center"/>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 xml:space="preserve">Шарт </w:t>
            </w:r>
          </w:p>
        </w:tc>
        <w:tc>
          <w:tcPr>
            <w:tcW w:w="7740" w:type="dxa"/>
          </w:tcPr>
          <w:p w:rsidR="005118AF" w:rsidRDefault="00EF60C3">
            <w:pPr>
              <w:spacing w:after="0" w:line="240" w:lineRule="auto"/>
              <w:jc w:val="center"/>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Сипаттамасы</w:t>
            </w:r>
          </w:p>
        </w:tc>
      </w:tr>
      <w:tr w:rsidR="005118AF" w:rsidRPr="008D1DAE">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Кеңістіктік</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Жаһандану ашық инновацияларды енгізу процесін жеңілдетті, себебі инновациялар мен әзірлемелер бүкіл әлемде қол жетімді болды. Нәтижесінде ғылыми зерттеу жұмыстары мен әзрле мелердің интернализациялануына және сол арқылы ҒЗТКЖ-ның орталықсыздануына және про</w:t>
            </w:r>
            <w:r>
              <w:rPr>
                <w:rFonts w:ascii="Times New Roman" w:eastAsia="Times New Roman" w:hAnsi="Times New Roman"/>
                <w:color w:val="000000"/>
                <w:sz w:val="24"/>
                <w:szCs w:val="24"/>
                <w:lang w:val="kk-KZ" w:eastAsia="zh-CN"/>
              </w:rPr>
              <w:t xml:space="preserve">цестің вируалдануына алып келді. </w:t>
            </w:r>
          </w:p>
        </w:tc>
      </w:tr>
      <w:tr w:rsidR="005118AF" w:rsidRPr="008D1DAE">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Құрылымдық</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ҒЗТКЖ саласында серіктестікке және аутсорсингке өту арқылы жоғары деңгейдегі тиімділікке қол жеткізу мақсатында қызметтер тұтыну тізбегі бойында шығындардың азаюы мен мамандандыруға негізделген салаларға бөліне</w:t>
            </w:r>
            <w:r>
              <w:rPr>
                <w:rFonts w:ascii="Times New Roman" w:eastAsia="Times New Roman" w:hAnsi="Times New Roman"/>
                <w:color w:val="000000"/>
                <w:sz w:val="24"/>
                <w:szCs w:val="24"/>
                <w:lang w:val="kk-KZ" w:eastAsia="zh-CN"/>
              </w:rPr>
              <w:t xml:space="preserve">ді. </w:t>
            </w:r>
          </w:p>
        </w:tc>
      </w:tr>
      <w:tr w:rsidR="005118AF" w:rsidRPr="008D1DAE">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Пайдаланушы</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Тұтынушының қазіргі кездегі талаптарын толық түсіну үшін, пайдаланушылар инновациялық процеске тартылады және бұл рет те олардың интеграциялануын қолдайтын құралдың болуы қажет</w:t>
            </w:r>
          </w:p>
        </w:tc>
      </w:tr>
      <w:tr w:rsidR="005118AF" w:rsidRPr="008D1DAE">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Жабдықтаушы</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Жабдықтаушылардың инновациялық кезеңге ертерек қ</w:t>
            </w:r>
            <w:r>
              <w:rPr>
                <w:rFonts w:ascii="Times New Roman" w:eastAsia="Times New Roman" w:hAnsi="Times New Roman"/>
                <w:color w:val="000000"/>
                <w:sz w:val="24"/>
                <w:szCs w:val="24"/>
                <w:lang w:val="kk-KZ" w:eastAsia="zh-CN"/>
              </w:rPr>
              <w:t>осылуы сек торлардағы инновациялардың тиімділігін айтарлықтай арттырады</w:t>
            </w:r>
          </w:p>
        </w:tc>
      </w:tr>
      <w:tr w:rsidR="005118AF">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Әсер ету</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Меншік құқығын тауарға айналдыру – бұл жаңа ықтималды нарық болып табылады. Зерттеулер көрсеткендей, авторлық құқық туралы құзыреттіліктерді пайдалану бизнес-нарықтың жаңа әл</w:t>
            </w:r>
            <w:r>
              <w:rPr>
                <w:rFonts w:ascii="Times New Roman" w:eastAsia="Times New Roman" w:hAnsi="Times New Roman"/>
                <w:color w:val="000000"/>
                <w:sz w:val="24"/>
                <w:szCs w:val="24"/>
                <w:lang w:val="kk-KZ" w:eastAsia="zh-CN"/>
              </w:rPr>
              <w:t xml:space="preserve">еуеті болы табылады. Ойлаудың бизнес-моделі әлі де болса маңызды мәнге ие. </w:t>
            </w:r>
          </w:p>
        </w:tc>
      </w:tr>
      <w:tr w:rsidR="005118AF">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Процесс</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Сырттан ішке, іштен сыртқа және аралас – бұл шығармашылықты ашудың үш негізгі механизмі</w:t>
            </w:r>
          </w:p>
        </w:tc>
      </w:tr>
      <w:tr w:rsidR="005118AF">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Құрал</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Өнертабыс механизмін құру бірқатар әдістерді қамтиды. Бұл әдістер компанияларға веб-сайттар арқылы сыртқы ойлау дағдыларын немесе тұжырымдама әзірлеушілердің енгізуге мүмкіндік береді. Мысалы, Swarovski тұтынушыларға өз өнімдерін жасауға немесе түзетуге мү</w:t>
            </w:r>
            <w:r>
              <w:rPr>
                <w:rFonts w:ascii="Times New Roman" w:eastAsia="Times New Roman" w:hAnsi="Times New Roman"/>
                <w:color w:val="000000"/>
                <w:sz w:val="24"/>
                <w:szCs w:val="24"/>
                <w:lang w:val="kk-KZ" w:eastAsia="zh-CN"/>
              </w:rPr>
              <w:t xml:space="preserve">мкіндік береді  </w:t>
            </w:r>
          </w:p>
        </w:tc>
      </w:tr>
      <w:tr w:rsidR="005118AF">
        <w:trPr>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Институционалдық</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Инновация уақытша монополиялық пайда әкеледі деп мәлімдеген Шумпетерге сілтеме жасай отырып, идеяларды, нәтижелерді, инновацияларды және ақпараттарды шексіз ашу ашық инновациялар парадигмасының басты элменеті болып табыла</w:t>
            </w:r>
            <w:r>
              <w:rPr>
                <w:rFonts w:ascii="Times New Roman" w:eastAsia="Times New Roman" w:hAnsi="Times New Roman"/>
                <w:color w:val="000000"/>
                <w:sz w:val="24"/>
                <w:szCs w:val="24"/>
                <w:lang w:val="kk-KZ" w:eastAsia="zh-CN"/>
              </w:rPr>
              <w:t xml:space="preserve">ды. </w:t>
            </w:r>
          </w:p>
        </w:tc>
      </w:tr>
      <w:tr w:rsidR="005118AF">
        <w:trPr>
          <w:trHeight w:val="62"/>
          <w:jc w:val="center"/>
        </w:trPr>
        <w:tc>
          <w:tcPr>
            <w:tcW w:w="1771" w:type="dxa"/>
          </w:tcPr>
          <w:p w:rsidR="005118AF" w:rsidRDefault="00EF60C3">
            <w:pPr>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Мәдени</w:t>
            </w:r>
          </w:p>
        </w:tc>
        <w:tc>
          <w:tcPr>
            <w:tcW w:w="7740" w:type="dxa"/>
          </w:tcPr>
          <w:p w:rsidR="005118AF" w:rsidRDefault="00EF60C3">
            <w:pPr>
              <w:spacing w:after="0" w:line="240" w:lineRule="auto"/>
              <w:jc w:val="both"/>
              <w:rPr>
                <w:rFonts w:ascii="Times New Roman" w:eastAsia="Times New Roman" w:hAnsi="Times New Roman"/>
                <w:color w:val="000000"/>
                <w:sz w:val="24"/>
                <w:szCs w:val="24"/>
                <w:lang w:val="kk-KZ" w:eastAsia="zh-CN"/>
              </w:rPr>
            </w:pPr>
            <w:r>
              <w:rPr>
                <w:rFonts w:ascii="Times New Roman" w:eastAsia="Times New Roman" w:hAnsi="Times New Roman"/>
                <w:color w:val="000000"/>
                <w:sz w:val="24"/>
                <w:szCs w:val="24"/>
                <w:lang w:val="kk-KZ" w:eastAsia="zh-CN"/>
              </w:rPr>
              <w:t>Сыртқы тәжірибе мен білімді қабылдайтын жүйені насихаттау ашық инновацияның кілті болып табылады</w:t>
            </w:r>
          </w:p>
        </w:tc>
      </w:tr>
      <w:tr w:rsidR="005118AF">
        <w:trPr>
          <w:jc w:val="center"/>
        </w:trPr>
        <w:tc>
          <w:tcPr>
            <w:tcW w:w="9511" w:type="dxa"/>
            <w:gridSpan w:val="2"/>
          </w:tcPr>
          <w:p w:rsidR="005118AF" w:rsidRDefault="00EF60C3">
            <w:pPr>
              <w:spacing w:after="0" w:line="240" w:lineRule="auto"/>
              <w:jc w:val="both"/>
              <w:rPr>
                <w:rFonts w:ascii="Times New Roman" w:hAnsi="Times New Roman"/>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eastAsia="zh-CN"/>
              </w:rPr>
              <w:t>[45]</w:t>
            </w:r>
          </w:p>
        </w:tc>
      </w:tr>
    </w:tbl>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bookmarkStart w:id="3" w:name="_Hlk150227497"/>
      <w:r>
        <w:rPr>
          <w:rFonts w:ascii="Times New Roman" w:eastAsia="Times New Roman" w:hAnsi="Times New Roman" w:cs="Times New Roman"/>
          <w:color w:val="000000"/>
          <w:sz w:val="28"/>
          <w:szCs w:val="28"/>
          <w:lang w:val="kk-KZ" w:eastAsia="zh-CN"/>
        </w:rPr>
        <w:t>Отандық ғалымдардың қатарында ашық инновациялар тақырыбын зерттеген Тагайбекова Н.П. бұл терминге келесідей анықтама беріп өткен: «ашық инновациялар – бұл пайдаланылатын ресурстарды алмасуды белсендіру есебінен компанияның максималды пайда алу мақсатында с</w:t>
      </w:r>
      <w:r>
        <w:rPr>
          <w:rFonts w:ascii="Times New Roman" w:eastAsia="Times New Roman" w:hAnsi="Times New Roman" w:cs="Times New Roman"/>
          <w:color w:val="000000"/>
          <w:sz w:val="28"/>
          <w:szCs w:val="28"/>
          <w:lang w:val="kk-KZ" w:eastAsia="zh-CN"/>
        </w:rPr>
        <w:t xml:space="preserve">ыртқы ҒЗТКЖ-ның зияткерлік ресурстарын, сыртқы бәсекелестік артықшылықтарды және сыртқы талантты кадрларды қолдану бойынша сыртқы ортамен өзара байланыс орнатуда анағұрлым жоғары қарқындылықты қажет ететін менеджменттің тәсілі» [41, с. 125-127]. </w:t>
      </w:r>
      <w:bookmarkEnd w:id="3"/>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Ашық инно</w:t>
      </w:r>
      <w:r>
        <w:rPr>
          <w:rFonts w:ascii="Times New Roman" w:eastAsia="Times New Roman" w:hAnsi="Times New Roman" w:cs="Times New Roman"/>
          <w:color w:val="000000"/>
          <w:sz w:val="28"/>
          <w:szCs w:val="28"/>
          <w:lang w:val="kk-KZ" w:eastAsia="zh-CN"/>
        </w:rPr>
        <w:t>вациялар парадигмасының басты ерекшелігі – ондай ашық ортада үш негізгі процесс ажыратылады [46]:</w:t>
      </w:r>
    </w:p>
    <w:p w:rsidR="005118AF" w:rsidRDefault="00EF60C3">
      <w:pPr>
        <w:numPr>
          <w:ilvl w:val="0"/>
          <w:numId w:val="8"/>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en-US"/>
        </w:rPr>
      </w:pPr>
      <w:r>
        <w:rPr>
          <w:rFonts w:ascii="Times New Roman" w:eastAsia="Times New Roman" w:hAnsi="Times New Roman" w:cs="Times New Roman"/>
          <w:color w:val="000000"/>
          <w:sz w:val="28"/>
          <w:szCs w:val="28"/>
          <w:lang w:val="kk-KZ" w:eastAsia="en-US"/>
        </w:rPr>
        <w:t>«</w:t>
      </w:r>
      <w:r>
        <w:rPr>
          <w:rFonts w:ascii="Times New Roman" w:eastAsia="Times New Roman" w:hAnsi="Times New Roman" w:cs="Times New Roman"/>
          <w:i/>
          <w:iCs/>
          <w:color w:val="000000"/>
          <w:sz w:val="28"/>
          <w:szCs w:val="28"/>
          <w:lang w:val="kk-KZ" w:eastAsia="en-US"/>
        </w:rPr>
        <w:t>Сырттан ішке енгізу» процесі</w:t>
      </w:r>
      <w:r>
        <w:rPr>
          <w:rFonts w:ascii="Times New Roman" w:eastAsia="Times New Roman" w:hAnsi="Times New Roman" w:cs="Times New Roman"/>
          <w:color w:val="000000"/>
          <w:sz w:val="28"/>
          <w:szCs w:val="28"/>
          <w:lang w:val="kk-KZ" w:eastAsia="en-US"/>
        </w:rPr>
        <w:t>. Бірінші процесс тұтынушылар мен жеткізушілерді қамтитын маңызды сыртқы білім көздерін біріктіру арқылы кәсіпорынның білім қорын</w:t>
      </w:r>
      <w:r>
        <w:rPr>
          <w:rFonts w:ascii="Times New Roman" w:eastAsia="Times New Roman" w:hAnsi="Times New Roman" w:cs="Times New Roman"/>
          <w:color w:val="000000"/>
          <w:sz w:val="28"/>
          <w:szCs w:val="28"/>
          <w:lang w:val="kk-KZ" w:eastAsia="en-US"/>
        </w:rPr>
        <w:t xml:space="preserve"> байытуға мүмкіндік беретін білім мен идеяны сырттан енгізу процесі. Бұл процесс кәсіпорынның білім мен инновацияларды қалыптастыруының көздері әртүрлі болуы мүмкін деген тәжірибені көрсетеді. Энкель мен Гассманның зерттеулерін сәйкес ең маңызды сыртқы біл</w:t>
      </w:r>
      <w:r>
        <w:rPr>
          <w:rFonts w:ascii="Times New Roman" w:eastAsia="Times New Roman" w:hAnsi="Times New Roman" w:cs="Times New Roman"/>
          <w:color w:val="000000"/>
          <w:sz w:val="28"/>
          <w:szCs w:val="28"/>
          <w:lang w:val="kk-KZ" w:eastAsia="en-US"/>
        </w:rPr>
        <w:t>ім көздеріне тұтынушылары, жабдықтаушылар мен бәсекелестер екенін анықталған [44, р. 311-315]. Дегенмен мемлекеттік және коммерциялық ғылыми-зерттеу институттарының да өзіндік атқаратын рөлі бар.  Сырттан ішке енгізу процесі кәсіпорынның инновациялық жүйел</w:t>
      </w:r>
      <w:r>
        <w:rPr>
          <w:rFonts w:ascii="Times New Roman" w:eastAsia="Times New Roman" w:hAnsi="Times New Roman" w:cs="Times New Roman"/>
          <w:color w:val="000000"/>
          <w:sz w:val="28"/>
          <w:szCs w:val="28"/>
          <w:lang w:val="kk-KZ" w:eastAsia="en-US"/>
        </w:rPr>
        <w:t xml:space="preserve">ерінің бар болуының маңыздылығын түсінудің артқандығын сипаттайды. Осы процестің нақты көрінісіне тұтынушылармен интеграцияланудың әртүрлі формалары (мысалы, краудсорсинг немесе жаппай костоматизациялау) және инновациялық делдалдарды пайдалануды жатқызуға </w:t>
      </w:r>
      <w:r>
        <w:rPr>
          <w:rFonts w:ascii="Times New Roman" w:eastAsia="Times New Roman" w:hAnsi="Times New Roman" w:cs="Times New Roman"/>
          <w:color w:val="000000"/>
          <w:sz w:val="28"/>
          <w:szCs w:val="28"/>
          <w:lang w:val="kk-KZ" w:eastAsia="en-US"/>
        </w:rPr>
        <w:t>болады;</w:t>
      </w:r>
    </w:p>
    <w:p w:rsidR="005118AF" w:rsidRDefault="00EF60C3">
      <w:pPr>
        <w:numPr>
          <w:ilvl w:val="0"/>
          <w:numId w:val="8"/>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en-US"/>
        </w:rPr>
      </w:pPr>
      <w:r>
        <w:rPr>
          <w:rFonts w:ascii="Times New Roman" w:eastAsia="Times New Roman" w:hAnsi="Times New Roman" w:cs="Times New Roman"/>
          <w:i/>
          <w:iCs/>
          <w:color w:val="000000"/>
          <w:sz w:val="28"/>
          <w:szCs w:val="28"/>
          <w:lang w:val="kk-KZ" w:eastAsia="en-US"/>
        </w:rPr>
        <w:t>«Іштен сыртқа шығару» процесі</w:t>
      </w:r>
      <w:r>
        <w:rPr>
          <w:rFonts w:ascii="Times New Roman" w:eastAsia="Times New Roman" w:hAnsi="Times New Roman" w:cs="Times New Roman"/>
          <w:color w:val="000000"/>
          <w:sz w:val="28"/>
          <w:szCs w:val="28"/>
          <w:lang w:val="kk-KZ" w:eastAsia="en-US"/>
        </w:rPr>
        <w:t>. Екінші процесс идеялар мен білімдерді сыртқа шығару, зияткерлік меншікті сату және идеяларды кәсіпорынның сыртқы ортасына беру арқылы пайда табу процесін білдіреді. Бұл процесті жүргізудің жалпы қабылданған әдістеріне</w:t>
      </w:r>
      <w:r>
        <w:rPr>
          <w:rFonts w:ascii="Times New Roman" w:eastAsia="Times New Roman" w:hAnsi="Times New Roman" w:cs="Times New Roman"/>
          <w:color w:val="000000"/>
          <w:sz w:val="28"/>
          <w:szCs w:val="28"/>
          <w:lang w:val="kk-KZ" w:eastAsia="en-US"/>
        </w:rPr>
        <w:t xml:space="preserve"> зияткерлік меншікті лицензиялау, инновацияларды көбейту технологиясы (көбейту әдісі өнімде немесе қызметте бұрыннан бар элементті көшіру, бірақ оны қандай да бір жолдармен өзгерту, жетілдіру ретінде анықталады) және т.б. Бұл процесс ашық инновацияға қатыс</w:t>
      </w:r>
      <w:r>
        <w:rPr>
          <w:rFonts w:ascii="Times New Roman" w:eastAsia="Times New Roman" w:hAnsi="Times New Roman" w:cs="Times New Roman"/>
          <w:color w:val="000000"/>
          <w:sz w:val="28"/>
          <w:szCs w:val="28"/>
          <w:lang w:val="kk-KZ" w:eastAsia="en-US"/>
        </w:rPr>
        <w:t>атын кәсіпорындарға өз идеяларын іште дамытуға қарағанда нарыққа тезірек шығаруға мүмкіндік береді. «Іштен сыртқа» процесінің мақсаты инновацияларда жоғары кіріс алу болып табылады. Бұл процестің құрамдас бөлігі ретінде корпоративтік венчурлық қызметті кең</w:t>
      </w:r>
      <w:r>
        <w:rPr>
          <w:rFonts w:ascii="Times New Roman" w:eastAsia="Times New Roman" w:hAnsi="Times New Roman" w:cs="Times New Roman"/>
          <w:color w:val="000000"/>
          <w:sz w:val="28"/>
          <w:szCs w:val="28"/>
          <w:lang w:val="kk-KZ" w:eastAsia="en-US"/>
        </w:rPr>
        <w:t xml:space="preserve">ейту, жаңа бизнес-модельдер мен салааралық инновацияларды пайдалануды қарастыруға болады.  </w:t>
      </w:r>
    </w:p>
    <w:p w:rsidR="005118AF" w:rsidRDefault="00EF60C3">
      <w:pPr>
        <w:numPr>
          <w:ilvl w:val="0"/>
          <w:numId w:val="8"/>
        </w:numPr>
        <w:tabs>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en-US"/>
        </w:rPr>
      </w:pPr>
      <w:r>
        <w:rPr>
          <w:rFonts w:ascii="Times New Roman" w:eastAsia="Times New Roman" w:hAnsi="Times New Roman" w:cs="Times New Roman"/>
          <w:color w:val="000000"/>
          <w:sz w:val="28"/>
          <w:szCs w:val="28"/>
          <w:lang w:val="kk-KZ" w:eastAsia="en-US"/>
        </w:rPr>
        <w:t>«Байланыстырушы процесс». Үшінші процесс байланыстырушы процесс деп аталады және ол стратегиялық альянстар, ынтымақтастық және бірлескен кәсіпорындар шеңберінде сыр</w:t>
      </w:r>
      <w:r>
        <w:rPr>
          <w:rFonts w:ascii="Times New Roman" w:eastAsia="Times New Roman" w:hAnsi="Times New Roman" w:cs="Times New Roman"/>
          <w:color w:val="000000"/>
          <w:sz w:val="28"/>
          <w:szCs w:val="28"/>
          <w:lang w:val="kk-KZ" w:eastAsia="en-US"/>
        </w:rPr>
        <w:t>тқы серіктестермен (негізінен бірін-бірі толықтыратын) ортақ инновациялар құруды сипаттайды. Бұл процесті алдыңғы екі процестің – «іштен сыртқа» (идеяларды нарыққа шығару) және «сырттан ішке) (сыртқы білімдерді жинақтау) процестерінің бірігуі ретінде қарас</w:t>
      </w:r>
      <w:r>
        <w:rPr>
          <w:rFonts w:ascii="Times New Roman" w:eastAsia="Times New Roman" w:hAnsi="Times New Roman" w:cs="Times New Roman"/>
          <w:color w:val="000000"/>
          <w:sz w:val="28"/>
          <w:szCs w:val="28"/>
          <w:lang w:val="kk-KZ" w:eastAsia="en-US"/>
        </w:rPr>
        <w:t xml:space="preserve">тыруға болады. Осы тәсілдерді біріктірудің мақсаты кәсіпорынның инновациялық әлеуетін арттыру мен инновацияларын коммерцияландыру болып табылады. </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Ашық инновациялардың артықшылықтары мен кемшіліктерін жақсы түсіну үшін төмендегі кестеде жабық және ашық инн</w:t>
      </w:r>
      <w:r>
        <w:rPr>
          <w:rFonts w:ascii="Times New Roman" w:eastAsia="Times New Roman" w:hAnsi="Times New Roman" w:cs="Times New Roman"/>
          <w:color w:val="000000"/>
          <w:sz w:val="28"/>
          <w:szCs w:val="28"/>
          <w:lang w:val="kk-KZ" w:eastAsia="zh-CN"/>
        </w:rPr>
        <w:t>овациялар арасындағы айырмашылықтар көрсетілген (4-кесте).</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Ашық инновациялардың артықшылығы кемшіліктерімен салыстырғанда, сонымен қатар жабық инновациялық модельдің артықшылықтарына қарағанда әлдеқайда басым болып отыр. Шын мәнінде, ашық инновациялық моде</w:t>
      </w:r>
      <w:r>
        <w:rPr>
          <w:rFonts w:ascii="Times New Roman" w:eastAsia="Times New Roman" w:hAnsi="Times New Roman" w:cs="Times New Roman"/>
          <w:color w:val="000000"/>
          <w:sz w:val="28"/>
          <w:szCs w:val="28"/>
          <w:lang w:val="kk-KZ" w:eastAsia="zh-CN"/>
        </w:rPr>
        <w:t>льдің негізгі оң тұстарын екі әртүрлі тәсілдермен алынатын қаржылық нәтижелелерден байқауға болады. Біріншіден, ресурстар және технологиялармен алмасу инновациялық процестерді жетелдетеді, сонымен қатар көбірек кіріс алуға мүмкіндік беретін  қолданыстағы ж</w:t>
      </w:r>
      <w:r>
        <w:rPr>
          <w:rFonts w:ascii="Times New Roman" w:eastAsia="Times New Roman" w:hAnsi="Times New Roman" w:cs="Times New Roman"/>
          <w:color w:val="000000"/>
          <w:sz w:val="28"/>
          <w:szCs w:val="28"/>
          <w:lang w:val="kk-KZ" w:eastAsia="zh-CN"/>
        </w:rPr>
        <w:t>әне әртүрлі нарықтарға шығуға жол ашады. Екіншіден, сәтсіз инновациялық бастамалардың тәуекелдерін ынтымақтастық құрған серіктестермен бөлісу арқылы кәсіпорынды банкроттық немесе тіпті жойылып кету қауіпітен сақтауға болады.</w: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rPr>
        <w:sectPr w:rsidR="005118AF">
          <w:footerReference w:type="default" r:id="rId9"/>
          <w:pgSz w:w="11906" w:h="16838"/>
          <w:pgMar w:top="1134" w:right="567" w:bottom="1134" w:left="1701" w:header="709" w:footer="709" w:gutter="0"/>
          <w:pgNumType w:start="3"/>
          <w:cols w:space="708"/>
          <w:docGrid w:linePitch="360"/>
        </w:sectPr>
      </w:pPr>
    </w:p>
    <w:p w:rsidR="005118AF" w:rsidRDefault="00EF60C3">
      <w:pPr>
        <w:spacing w:after="0" w:line="240" w:lineRule="auto"/>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Кесте 4 ‒ Ашық инновациялық және жабық инновациялық модельдердің артықшылықтары мен кемшіліктері</w:t>
      </w:r>
    </w:p>
    <w:p w:rsidR="005118AF" w:rsidRDefault="005118AF">
      <w:pPr>
        <w:spacing w:after="0" w:line="240" w:lineRule="auto"/>
        <w:jc w:val="right"/>
        <w:rPr>
          <w:rFonts w:ascii="Times New Roman" w:eastAsia="Times New Roman" w:hAnsi="Times New Roman" w:cs="Times New Roman"/>
          <w:color w:val="000000"/>
          <w:sz w:val="16"/>
          <w:szCs w:val="16"/>
          <w:lang w:val="kk-KZ" w:eastAsia="zh-CN"/>
        </w:rPr>
      </w:pPr>
    </w:p>
    <w:tbl>
      <w:tblPr>
        <w:tblStyle w:val="ae"/>
        <w:tblW w:w="1461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5954"/>
        <w:gridCol w:w="6022"/>
      </w:tblGrid>
      <w:tr w:rsidR="005118AF">
        <w:tc>
          <w:tcPr>
            <w:tcW w:w="2638" w:type="dxa"/>
          </w:tcPr>
          <w:p w:rsidR="005118AF" w:rsidRDefault="00EF60C3">
            <w:pPr>
              <w:spacing w:after="0" w:line="240" w:lineRule="auto"/>
              <w:jc w:val="center"/>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Модельдер</w:t>
            </w:r>
          </w:p>
        </w:tc>
        <w:tc>
          <w:tcPr>
            <w:tcW w:w="5954" w:type="dxa"/>
          </w:tcPr>
          <w:p w:rsidR="005118AF" w:rsidRDefault="00EF60C3">
            <w:pPr>
              <w:spacing w:after="0" w:line="240" w:lineRule="auto"/>
              <w:jc w:val="both"/>
              <w:rPr>
                <w:rFonts w:ascii="Times New Roman" w:eastAsia="Times New Roman" w:hAnsi="Times New Roman" w:cs="Times New Roman"/>
                <w:bCs/>
                <w:i/>
                <w:iCs/>
                <w:color w:val="000000"/>
                <w:sz w:val="24"/>
                <w:szCs w:val="24"/>
                <w:lang w:val="kk-KZ" w:eastAsia="zh-CN"/>
              </w:rPr>
            </w:pPr>
            <w:r>
              <w:rPr>
                <w:rFonts w:ascii="Times New Roman" w:eastAsia="Times New Roman" w:hAnsi="Times New Roman" w:cs="Times New Roman"/>
                <w:bCs/>
                <w:i/>
                <w:iCs/>
                <w:color w:val="000000"/>
                <w:sz w:val="24"/>
                <w:szCs w:val="24"/>
                <w:lang w:val="kk-KZ" w:eastAsia="zh-CN"/>
              </w:rPr>
              <w:t>Артықшылықтары</w:t>
            </w:r>
          </w:p>
        </w:tc>
        <w:tc>
          <w:tcPr>
            <w:tcW w:w="6022" w:type="dxa"/>
          </w:tcPr>
          <w:p w:rsidR="005118AF" w:rsidRDefault="00EF60C3">
            <w:pPr>
              <w:spacing w:after="0" w:line="240" w:lineRule="auto"/>
              <w:jc w:val="both"/>
              <w:rPr>
                <w:rFonts w:ascii="Times New Roman" w:eastAsia="Times New Roman" w:hAnsi="Times New Roman" w:cs="Times New Roman"/>
                <w:bCs/>
                <w:i/>
                <w:iCs/>
                <w:color w:val="000000"/>
                <w:sz w:val="24"/>
                <w:szCs w:val="24"/>
                <w:lang w:val="kk-KZ" w:eastAsia="zh-CN"/>
              </w:rPr>
            </w:pPr>
            <w:r>
              <w:rPr>
                <w:rFonts w:ascii="Times New Roman" w:eastAsia="Times New Roman" w:hAnsi="Times New Roman" w:cs="Times New Roman"/>
                <w:bCs/>
                <w:i/>
                <w:iCs/>
                <w:color w:val="000000"/>
                <w:sz w:val="24"/>
                <w:szCs w:val="24"/>
                <w:lang w:val="kk-KZ" w:eastAsia="zh-CN"/>
              </w:rPr>
              <w:t>Кемшіліктері</w:t>
            </w:r>
          </w:p>
        </w:tc>
      </w:tr>
      <w:tr w:rsidR="005118AF">
        <w:tc>
          <w:tcPr>
            <w:tcW w:w="2638" w:type="dxa"/>
          </w:tcPr>
          <w:p w:rsidR="005118AF" w:rsidRDefault="00EF60C3">
            <w:pPr>
              <w:spacing w:after="0" w:line="240" w:lineRule="auto"/>
              <w:jc w:val="both"/>
              <w:rPr>
                <w:rFonts w:ascii="Times New Roman" w:eastAsia="Times New Roman" w:hAnsi="Times New Roman" w:cs="Times New Roman"/>
                <w:bCs/>
                <w:i/>
                <w:color w:val="000000"/>
                <w:sz w:val="24"/>
                <w:szCs w:val="24"/>
                <w:lang w:val="kk-KZ" w:eastAsia="zh-CN"/>
              </w:rPr>
            </w:pPr>
            <w:r>
              <w:rPr>
                <w:rFonts w:ascii="Times New Roman" w:eastAsia="Times New Roman" w:hAnsi="Times New Roman" w:cs="Times New Roman"/>
                <w:bCs/>
                <w:i/>
                <w:color w:val="000000"/>
                <w:sz w:val="24"/>
                <w:szCs w:val="24"/>
                <w:lang w:val="kk-KZ" w:eastAsia="zh-CN"/>
              </w:rPr>
              <w:t>Жабық инновациялық модель</w:t>
            </w:r>
          </w:p>
        </w:tc>
        <w:tc>
          <w:tcPr>
            <w:tcW w:w="5954" w:type="dxa"/>
          </w:tcPr>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инновациялық процесс пен зияткерлік меншікті толық бақылау;</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сыртқы </w:t>
            </w:r>
            <w:r>
              <w:rPr>
                <w:rFonts w:ascii="Times New Roman" w:eastAsia="Times New Roman" w:hAnsi="Times New Roman" w:cs="Times New Roman"/>
                <w:color w:val="000000"/>
                <w:sz w:val="24"/>
                <w:szCs w:val="24"/>
                <w:lang w:val="kk-KZ" w:eastAsia="en-US"/>
              </w:rPr>
              <w:t>білімге тәуелді болмау немесе аз мөлшердегі тәуелділік;</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құпия ақпараттың жария болу қауіпінің болмауы;</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күнделікті жұмыстағы қателіктердің аз болуы;</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кәсіпорын ашқан жаңалық нарыққа бірінші болып шығады</w:t>
            </w:r>
          </w:p>
        </w:tc>
        <w:tc>
          <w:tcPr>
            <w:tcW w:w="6022" w:type="dxa"/>
          </w:tcPr>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инновацияға қажетті салалардағы барлық білікті, ақылды </w:t>
            </w:r>
            <w:r>
              <w:rPr>
                <w:rFonts w:ascii="Times New Roman" w:eastAsia="Times New Roman" w:hAnsi="Times New Roman" w:cs="Times New Roman"/>
                <w:color w:val="000000"/>
                <w:sz w:val="24"/>
                <w:szCs w:val="24"/>
                <w:lang w:val="kk-KZ" w:eastAsia="en-US"/>
              </w:rPr>
              <w:t>адамдар бір кәсіпорында жұмыс істемейді;</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ғылыми-зерттеу бөлімдерін қамтамасыз ету үшін көп мөлшерде инвестициялар қажет;</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игеру баяу қарқынмен жүзеге асырылады;</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нарықтың шектеулі үлесіне ие болады;</w:t>
            </w:r>
          </w:p>
          <w:p w:rsidR="005118AF" w:rsidRDefault="00EF60C3">
            <w:pPr>
              <w:numPr>
                <w:ilvl w:val="0"/>
                <w:numId w:val="9"/>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жоғары тәуекел деңгейі, себебі әзірленген идеяларды ұйым қо</w:t>
            </w:r>
            <w:r>
              <w:rPr>
                <w:rFonts w:ascii="Times New Roman" w:eastAsia="Times New Roman" w:hAnsi="Times New Roman" w:cs="Times New Roman"/>
                <w:color w:val="000000"/>
                <w:sz w:val="24"/>
                <w:szCs w:val="24"/>
                <w:lang w:val="kk-KZ" w:eastAsia="en-US"/>
              </w:rPr>
              <w:t>лдамауы мүмкін</w:t>
            </w:r>
          </w:p>
        </w:tc>
      </w:tr>
      <w:tr w:rsidR="005118AF">
        <w:tc>
          <w:tcPr>
            <w:tcW w:w="2638" w:type="dxa"/>
          </w:tcPr>
          <w:p w:rsidR="005118AF" w:rsidRDefault="00EF60C3">
            <w:pPr>
              <w:spacing w:after="0" w:line="240" w:lineRule="auto"/>
              <w:jc w:val="both"/>
              <w:rPr>
                <w:rFonts w:ascii="Times New Roman" w:eastAsia="Times New Roman" w:hAnsi="Times New Roman" w:cs="Times New Roman"/>
                <w:bCs/>
                <w:i/>
                <w:color w:val="000000"/>
                <w:sz w:val="24"/>
                <w:szCs w:val="24"/>
                <w:lang w:val="kk-KZ" w:eastAsia="zh-CN"/>
              </w:rPr>
            </w:pPr>
            <w:r>
              <w:rPr>
                <w:rFonts w:ascii="Times New Roman" w:eastAsia="Times New Roman" w:hAnsi="Times New Roman" w:cs="Times New Roman"/>
                <w:bCs/>
                <w:i/>
                <w:color w:val="000000"/>
                <w:sz w:val="24"/>
                <w:szCs w:val="24"/>
                <w:lang w:val="kk-KZ" w:eastAsia="zh-CN"/>
              </w:rPr>
              <w:t>Ашық инновациялық модель</w:t>
            </w:r>
          </w:p>
        </w:tc>
        <w:tc>
          <w:tcPr>
            <w:tcW w:w="5954" w:type="dxa"/>
          </w:tcPr>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ұйымға білім, идея мен технологиялардың кіруіне және одан шығуына мүмкіндік береді;</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ҒЗТКЖ-ға инновацияларды әртараптандыру;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нарыққа шығудың анағұрлым оңай жолы;</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ресурстарды сатып алудағы артықшылықтар;</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игеру процесі</w:t>
            </w:r>
            <w:r>
              <w:rPr>
                <w:rFonts w:ascii="Times New Roman" w:eastAsia="Times New Roman" w:hAnsi="Times New Roman" w:cs="Times New Roman"/>
                <w:color w:val="000000"/>
                <w:sz w:val="24"/>
                <w:szCs w:val="24"/>
                <w:lang w:val="kk-KZ" w:eastAsia="en-US"/>
              </w:rPr>
              <w:t xml:space="preserve"> жоғары қарқынмен жүзеге асырылады;</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меншік иесінің меншігі болып табылмайтын зияткерлік меншікті стратегиялық актив ретінде пайдалану;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идеялар базасының кеңдігі;</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технологиялық синергияның әсері;</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оқытуға қабілеттілікті арттыру;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инновациялық бастамалардың шы</w:t>
            </w:r>
            <w:r>
              <w:rPr>
                <w:rFonts w:ascii="Times New Roman" w:eastAsia="Times New Roman" w:hAnsi="Times New Roman" w:cs="Times New Roman"/>
                <w:color w:val="000000"/>
                <w:sz w:val="24"/>
                <w:szCs w:val="24"/>
                <w:lang w:val="kk-KZ" w:eastAsia="en-US"/>
              </w:rPr>
              <w:t>ғындарын азайту;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инновациялық инветсициялардың тәуекелдерін басқа серіктестермен бөлісу;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саралау мен шығармашылық процесті арттыру;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жаңа кіріс көздерін қалыптастыру</w:t>
            </w:r>
          </w:p>
        </w:tc>
        <w:tc>
          <w:tcPr>
            <w:tcW w:w="6022" w:type="dxa"/>
          </w:tcPr>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процесті үйлестіру және енгізу шығындарының ұлғаюы;</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күнделікті жұмыс процестеріндегі қателі</w:t>
            </w:r>
            <w:r>
              <w:rPr>
                <w:rFonts w:ascii="Times New Roman" w:eastAsia="Times New Roman" w:hAnsi="Times New Roman" w:cs="Times New Roman"/>
                <w:color w:val="000000"/>
                <w:sz w:val="24"/>
                <w:szCs w:val="24"/>
                <w:lang w:val="kk-KZ" w:eastAsia="en-US"/>
              </w:rPr>
              <w:t>ктердің көбеюі;</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негізгі білім мен икемділікті, шығармашылық пен стратегиялық күшті жоғалту;</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құпия ақпараттың жариялану қауіпі;</w:t>
            </w:r>
          </w:p>
          <w:p w:rsidR="005118AF" w:rsidRDefault="00EF60C3">
            <w:pPr>
              <w:numPr>
                <w:ilvl w:val="0"/>
                <w:numId w:val="10"/>
              </w:numPr>
              <w:tabs>
                <w:tab w:val="left" w:pos="431"/>
              </w:tabs>
              <w:spacing w:after="0" w:line="240" w:lineRule="auto"/>
              <w:ind w:left="5" w:firstLine="142"/>
              <w:contextualSpacing/>
              <w:jc w:val="both"/>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инновациялық үдеріс пен зияткерлік меншікке бақылауды жоғалту</w:t>
            </w:r>
          </w:p>
        </w:tc>
      </w:tr>
    </w:tbl>
    <w:p w:rsidR="005118AF" w:rsidRDefault="00EF60C3">
      <w:pPr>
        <w:spacing w:after="0" w:line="240" w:lineRule="auto"/>
        <w:jc w:val="both"/>
        <w:rPr>
          <w:rFonts w:ascii="Times New Roman" w:eastAsia="Times New Roman" w:hAnsi="Times New Roman" w:cs="Times New Roman"/>
          <w:color w:val="000000"/>
          <w:sz w:val="28"/>
          <w:szCs w:val="28"/>
          <w:lang w:val="kk-KZ"/>
        </w:rPr>
        <w:sectPr w:rsidR="005118AF">
          <w:pgSz w:w="16838" w:h="11906" w:orient="landscape"/>
          <w:pgMar w:top="1701" w:right="1134" w:bottom="567" w:left="1134" w:header="709" w:footer="709" w:gutter="0"/>
          <w:cols w:space="708"/>
          <w:docGrid w:linePitch="360"/>
        </w:sectPr>
      </w:pPr>
      <w:r>
        <w:rPr>
          <w:rFonts w:ascii="Times New Roman" w:eastAsia="Times New Roman" w:hAnsi="Times New Roman" w:cs="Times New Roman"/>
          <w:color w:val="000000"/>
          <w:sz w:val="24"/>
          <w:szCs w:val="24"/>
          <w:lang w:val="kk-KZ" w:eastAsia="zh-CN"/>
        </w:rPr>
        <w:t>Ескерту</w:t>
      </w:r>
      <w:r>
        <w:rPr>
          <w:rFonts w:ascii="Times New Roman" w:eastAsia="Times New Roman" w:hAnsi="Times New Roman" w:cs="Times New Roman"/>
          <w:color w:val="000000"/>
          <w:sz w:val="24"/>
          <w:szCs w:val="24"/>
          <w:lang w:eastAsia="zh-CN"/>
        </w:rPr>
        <w:t xml:space="preserve"> - </w:t>
      </w:r>
      <w:r>
        <w:rPr>
          <w:rFonts w:ascii="Times New Roman" w:eastAsia="Times New Roman" w:hAnsi="Times New Roman" w:cs="Times New Roman"/>
          <w:color w:val="000000"/>
          <w:sz w:val="24"/>
          <w:szCs w:val="24"/>
          <w:lang w:val="kk-KZ" w:eastAsia="zh-CN"/>
        </w:rPr>
        <w:t xml:space="preserve">Әдебиет негізінде құрастырылған </w:t>
      </w:r>
      <w:r>
        <w:rPr>
          <w:rFonts w:ascii="Times New Roman" w:eastAsia="Times New Roman" w:hAnsi="Times New Roman" w:cs="Times New Roman"/>
          <w:color w:val="000000"/>
          <w:sz w:val="24"/>
          <w:szCs w:val="24"/>
          <w:lang w:val="en-US" w:eastAsia="zh-CN"/>
        </w:rPr>
        <w:t>[46]</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Білім ағынының бағытына қарамастан, 2-суретте көрсетілгендей, ашық инновациялар сыртық ортадан білімдер мен дағдылар алуға да, компания ішінде жасалған білімді коммерцияландыруға да бағытталған қатынастарды кеңінен қолдануды білдіреді. </w: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EF60C3">
      <w:pPr>
        <w:spacing w:after="0" w:line="240" w:lineRule="auto"/>
        <w:ind w:firstLine="567"/>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6432" behindDoc="0" locked="0" layoutInCell="1" allowOverlap="1">
                <wp:simplePos x="0" y="0"/>
                <wp:positionH relativeFrom="column">
                  <wp:posOffset>647065</wp:posOffset>
                </wp:positionH>
                <wp:positionV relativeFrom="paragraph">
                  <wp:posOffset>11430</wp:posOffset>
                </wp:positionV>
                <wp:extent cx="4822190" cy="3780155"/>
                <wp:effectExtent l="0" t="0" r="0" b="0"/>
                <wp:wrapNone/>
                <wp:docPr id="1823708005" name="Группа 1823708005"/>
                <wp:cNvGraphicFramePr/>
                <a:graphic xmlns:a="http://schemas.openxmlformats.org/drawingml/2006/main">
                  <a:graphicData uri="http://schemas.microsoft.com/office/word/2010/wordprocessingGroup">
                    <wpg:wgp>
                      <wpg:cNvGrpSpPr/>
                      <wpg:grpSpPr>
                        <a:xfrm>
                          <a:off x="0" y="0"/>
                          <a:ext cx="4822132" cy="3780040"/>
                          <a:chOff x="0" y="0"/>
                          <a:chExt cx="4822132" cy="3780040"/>
                        </a:xfrm>
                      </wpg:grpSpPr>
                      <wps:wsp>
                        <wps:cNvPr id="1116325799" name="Овал 94"/>
                        <wps:cNvSpPr/>
                        <wps:spPr>
                          <a:xfrm>
                            <a:off x="1729047" y="1371600"/>
                            <a:ext cx="1343660" cy="1057275"/>
                          </a:xfrm>
                          <a:prstGeom prst="ellipse">
                            <a:avLst/>
                          </a:prstGeom>
                          <a:solidFill>
                            <a:srgbClr val="58267E"/>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pacing w:after="0" w:line="240" w:lineRule="auto"/>
                                <w:jc w:val="center"/>
                                <w:rPr>
                                  <w:rFonts w:ascii="Times New Roman" w:hAnsi="Times New Roman" w:cs="Times New Roman"/>
                                  <w:bCs/>
                                  <w:i/>
                                  <w:sz w:val="24"/>
                                  <w:szCs w:val="24"/>
                                  <w:lang w:val="kk-KZ" w:eastAsia="zh-CN"/>
                                </w:rPr>
                              </w:pPr>
                              <w:r>
                                <w:rPr>
                                  <w:rFonts w:ascii="Times New Roman" w:hAnsi="Times New Roman" w:cs="Times New Roman"/>
                                  <w:bCs/>
                                  <w:i/>
                                  <w:sz w:val="24"/>
                                  <w:szCs w:val="24"/>
                                  <w:lang w:val="kk-KZ" w:eastAsia="zh-CN"/>
                                </w:rPr>
                                <w:t>Кәсіпорын</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30307619" name="Овал 97"/>
                        <wps:cNvSpPr/>
                        <wps:spPr>
                          <a:xfrm>
                            <a:off x="0" y="955964"/>
                            <a:ext cx="1414780" cy="1208405"/>
                          </a:xfrm>
                          <a:prstGeom prst="ellipse">
                            <a:avLst/>
                          </a:prstGeom>
                          <a:solidFill>
                            <a:srgbClr val="E4D2F2"/>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Кеңес беру орталықтары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3678459" name="Овал 88"/>
                        <wps:cNvSpPr/>
                        <wps:spPr>
                          <a:xfrm>
                            <a:off x="532014" y="2452255"/>
                            <a:ext cx="1494155" cy="1153160"/>
                          </a:xfrm>
                          <a:prstGeom prst="ellipse">
                            <a:avLst/>
                          </a:prstGeom>
                          <a:solidFill>
                            <a:srgbClr val="BE91DF"/>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Тұтынушылар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31223574" name="Овал 89"/>
                        <wps:cNvSpPr/>
                        <wps:spPr>
                          <a:xfrm>
                            <a:off x="2793076" y="2452255"/>
                            <a:ext cx="1677670" cy="1327785"/>
                          </a:xfrm>
                          <a:prstGeom prst="ellipse">
                            <a:avLst/>
                          </a:prstGeom>
                          <a:solidFill>
                            <a:srgbClr val="E4D2F2"/>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Өзге</w:t>
                              </w:r>
                              <w:r>
                                <w:rPr>
                                  <w:rFonts w:ascii="Times New Roman" w:hAnsi="Times New Roman" w:cs="Times New Roman"/>
                                  <w:bCs/>
                                  <w:i/>
                                  <w:color w:val="000000" w:themeColor="text1"/>
                                  <w:sz w:val="20"/>
                                  <w:szCs w:val="20"/>
                                  <w:lang w:val="kk-KZ" w:eastAsia="zh-CN"/>
                                </w:rPr>
                                <w:t xml:space="preserve"> компаниялар (жабдықтаушы-лар, бәсекелестер)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52882023" name="Овал 96"/>
                        <wps:cNvSpPr/>
                        <wps:spPr>
                          <a:xfrm>
                            <a:off x="3374967" y="997528"/>
                            <a:ext cx="1447165" cy="1072515"/>
                          </a:xfrm>
                          <a:prstGeom prst="ellipse">
                            <a:avLst/>
                          </a:prstGeom>
                          <a:solidFill>
                            <a:srgbClr val="BA8BDD"/>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Жаңа кәсіпорындар</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65938794" name="Овал 98"/>
                        <wps:cNvSpPr/>
                        <wps:spPr>
                          <a:xfrm>
                            <a:off x="1596044" y="0"/>
                            <a:ext cx="1637665" cy="1080135"/>
                          </a:xfrm>
                          <a:prstGeom prst="ellipse">
                            <a:avLst/>
                          </a:prstGeom>
                          <a:solidFill>
                            <a:srgbClr val="BE91DF"/>
                          </a:solidFill>
                          <a:ln w="3175"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Университеттер мен зерттеу орталықтары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2330031" name="Стрелка: вверх-вниз 95"/>
                        <wps:cNvSpPr/>
                        <wps:spPr>
                          <a:xfrm>
                            <a:off x="2302625" y="1080655"/>
                            <a:ext cx="214630" cy="309880"/>
                          </a:xfrm>
                          <a:prstGeom prst="upDownArrow">
                            <a:avLst/>
                          </a:prstGeom>
                          <a:solidFill>
                            <a:srgbClr val="E4D2F2"/>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37087915" name="Стрелка: вверх-вниз 93"/>
                        <wps:cNvSpPr/>
                        <wps:spPr>
                          <a:xfrm rot="4434619">
                            <a:off x="3117273" y="1471353"/>
                            <a:ext cx="205740" cy="344170"/>
                          </a:xfrm>
                          <a:prstGeom prst="upDownArrow">
                            <a:avLst/>
                          </a:prstGeom>
                          <a:solidFill>
                            <a:srgbClr val="58267E"/>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3498764" name="Стрелка: вверх-вниз 90"/>
                        <wps:cNvSpPr/>
                        <wps:spPr>
                          <a:xfrm rot="19443863">
                            <a:off x="2809702" y="2261062"/>
                            <a:ext cx="215900" cy="356235"/>
                          </a:xfrm>
                          <a:prstGeom prst="upDownArrow">
                            <a:avLst/>
                          </a:prstGeom>
                          <a:solidFill>
                            <a:srgbClr val="BE91DF"/>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64594265" name="Стрелка: вверх-вниз 91"/>
                        <wps:cNvSpPr/>
                        <wps:spPr>
                          <a:xfrm rot="2567944">
                            <a:off x="1737360" y="2261062"/>
                            <a:ext cx="271780" cy="354965"/>
                          </a:xfrm>
                          <a:prstGeom prst="upDownArrow">
                            <a:avLst/>
                          </a:prstGeom>
                          <a:solidFill>
                            <a:srgbClr val="E4D2F2"/>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93911257" name="Стрелка: вверх-вниз 92"/>
                        <wps:cNvSpPr/>
                        <wps:spPr>
                          <a:xfrm rot="6695370">
                            <a:off x="1458884" y="1467197"/>
                            <a:ext cx="229235" cy="339725"/>
                          </a:xfrm>
                          <a:prstGeom prst="upDownArrow">
                            <a:avLst/>
                          </a:prstGeom>
                          <a:solidFill>
                            <a:srgbClr val="58267E"/>
                          </a:solid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Группа 1823708005" o:spid="_x0000_s1047" style="position:absolute;left:0;text-align:left;margin-left:50.95pt;margin-top:.9pt;width:379.7pt;height:297.65pt;z-index:251666432" coordsize="48221,3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">
                <v:oval id="Овал 94" o:spid="_x0000_s1048" style="position:absolute;left:17290;top:13716;width:13437;height:10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eBqskA&#10;AADjAAAADwAAAGRycy9kb3ducmV2LnhtbERPS2vCQBC+F/oflin0ppsotSZ1FdHWerK+oNchOybB&#10;7GzIrjHtr3cLQo/zvWcy60wlWmpcaVlB3I9AEGdWl5wrOB4+emMQziNrrCyTgh9yMJs+Pkww1fbK&#10;O2r3PhchhF2KCgrv61RKlxVk0PVtTRy4k20M+nA2udQNXkO4qeQgikbSYMmhocCaFgVl5/3FKEgO&#10;77/L0/Ai226eL79W2++23Hwq9fzUzd9AeOr8v/juXuswP45Hw8HLa5LA308BADm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ueBqskAAADjAAAADwAAAAAAAAAAAAAAAACYAgAA&#10;ZHJzL2Rvd25yZXYueG1sUEsFBgAAAAAEAAQA9QAAAI4DAAAAAA==&#10;" fillcolor="#58267e" stroked="f" strokeweight=".25pt">
                  <v:stroke joinstyle="miter"/>
                  <v:textbox>
                    <w:txbxContent>
                      <w:p w:rsidR="005118AF" w:rsidRDefault="00EF60C3">
                        <w:pPr>
                          <w:spacing w:after="0" w:line="240" w:lineRule="auto"/>
                          <w:jc w:val="center"/>
                          <w:rPr>
                            <w:rFonts w:ascii="Times New Roman" w:hAnsi="Times New Roman" w:cs="Times New Roman"/>
                            <w:bCs/>
                            <w:i/>
                            <w:sz w:val="24"/>
                            <w:szCs w:val="24"/>
                            <w:lang w:val="kk-KZ" w:eastAsia="zh-CN"/>
                          </w:rPr>
                        </w:pPr>
                        <w:r>
                          <w:rPr>
                            <w:rFonts w:ascii="Times New Roman" w:hAnsi="Times New Roman" w:cs="Times New Roman"/>
                            <w:bCs/>
                            <w:i/>
                            <w:sz w:val="24"/>
                            <w:szCs w:val="24"/>
                            <w:lang w:val="kk-KZ" w:eastAsia="zh-CN"/>
                          </w:rPr>
                          <w:t>Кәсіпорын</w:t>
                        </w:r>
                      </w:p>
                    </w:txbxContent>
                  </v:textbox>
                </v:oval>
                <v:oval id="Овал 97" o:spid="_x0000_s1049" style="position:absolute;top:9559;width:14147;height:12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c9icgA&#10;AADjAAAADwAAAGRycy9kb3ducmV2LnhtbERP0YrCMBB8P/Afwgq+nal66l01ioiCD4Ko/YC9Zq8t&#10;NpvSxNrz640gyDztzs7MznzZmlI0VLvCsoJBPwJBnFpdcKYgOW8/v0E4j6yxtEwK/snBctH5mGOs&#10;7Y2P1Jx8JoIJuxgV5N5XsZQuzcmg69uKOHB/tjbow1hnUtd4C+amlMMomkiDBYeEHCta55ReTlej&#10;4DDeokW8Z79JsvnaH3eu3TSpUr1uu5qB8NT69/FLvdPh/WgUMJ0MfuDZKSx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Bz2JyAAAAOMAAAAPAAAAAAAAAAAAAAAAAJgCAABk&#10;cnMvZG93bnJldi54bWxQSwUGAAAAAAQABAD1AAAAjQMAAAAA&#10;" fillcolor="#e4d2f2" stroked="f" strokeweight=".25pt">
                  <v:stroke joinstyle="miter"/>
                  <v:textbo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Кеңес беру орталықтары</w:t>
                        </w:r>
                      </w:p>
                    </w:txbxContent>
                  </v:textbox>
                </v:oval>
                <v:oval id="Овал 88" o:spid="_x0000_s1050" style="position:absolute;left:5320;top:24522;width:14941;height:115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JeXMkA&#10;AADhAAAADwAAAGRycy9kb3ducmV2LnhtbESPS2/CMBCE75X6H6ytxK045VUIGIRQERzLQy3cVvE2&#10;jojXUeyS8O8xUqUeRzPzjWa2aG0prlT7wrGCt24CgjhzuuBcwfGwfh2D8AFZY+mYFNzIw2L+/DTD&#10;VLuGd3Tdh1xECPsUFZgQqlRKnxmy6LuuIo7ej6sthijrXOoamwi3pewlyUhaLDguGKxoZSi77H+t&#10;gp3bavddfp0/ieTmcG4+zPB0VKrz0i6nIAK14T/8195qBZP+6H08GE7g8Si+ATm/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4JeXMkAAADhAAAADwAAAAAAAAAAAAAAAACYAgAA&#10;ZHJzL2Rvd25yZXYueG1sUEsFBgAAAAAEAAQA9QAAAI4DAAAAAA==&#10;" fillcolor="#be91df" stroked="f" strokeweight=".25pt">
                  <v:stroke joinstyle="miter"/>
                  <v:textbo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Тұтынушылар</w:t>
                        </w:r>
                      </w:p>
                    </w:txbxContent>
                  </v:textbox>
                </v:oval>
                <v:oval id="Овал 89" o:spid="_x0000_s1051" style="position:absolute;left:27930;top:24522;width:16777;height:13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mUskA&#10;AADiAAAADwAAAGRycy9kb3ducmV2LnhtbESP3WrCQBSE7wt9h+UI3tWN8T91lVIUvBBEzQMcs6dJ&#10;MHs2ZLcx+vSuUOjlMDPfMMt1ZyrRUuNKywqGgwgEcWZ1ybmC9Lz9mINwHlljZZkU3MnBevX+tsRE&#10;2xsfqT35XAQIuwQVFN7XiZQuK8igG9iaOHg/tjHog2xyqRu8BbipZBxFU2mw5LBQYE3fBWXX069R&#10;cJhs0SI+8kuabsb74851mzZTqt/rvj5BeOr8f/ivvdMKFqNhHI8mszG8LoU7IFd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ZQmUskAAADiAAAADwAAAAAAAAAAAAAAAACYAgAA&#10;ZHJzL2Rvd25yZXYueG1sUEsFBgAAAAAEAAQA9QAAAI4DAAAAAA==&#10;" fillcolor="#e4d2f2" stroked="f" strokeweight=".25pt">
                  <v:stroke joinstyle="miter"/>
                  <v:textbo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Өзге</w:t>
                        </w:r>
                        <w:r>
                          <w:rPr>
                            <w:rFonts w:ascii="Times New Roman" w:hAnsi="Times New Roman" w:cs="Times New Roman"/>
                            <w:bCs/>
                            <w:i/>
                            <w:color w:val="000000" w:themeColor="text1"/>
                            <w:sz w:val="20"/>
                            <w:szCs w:val="20"/>
                            <w:lang w:val="kk-KZ" w:eastAsia="zh-CN"/>
                          </w:rPr>
                          <w:t xml:space="preserve"> компаниялар (жабдықтаушы-лар, бәсекелестер)</w:t>
                        </w:r>
                      </w:p>
                    </w:txbxContent>
                  </v:textbox>
                </v:oval>
                <v:oval id="Овал 96" o:spid="_x0000_s1052" style="position:absolute;left:33749;top:9975;width:14472;height:10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oZ8cA&#10;AADjAAAADwAAAGRycy9kb3ducmV2LnhtbERPzUoDMRC+C75DGMGbTYyoy9q0lKKg0IvVQ72Nm+km&#10;upksm9hu+/SNIHic73+m8zF0YkdD8pENXE8UCOImWs+tgfe3p6sKRMrIFrvIZOBACeaz87Mp1jbu&#10;+ZV269yKEsKpRgMu576WMjWOAqZJ7IkLt41DwFzOoZV2wH0JD53USt3JgJ5Lg8Oelo6a7/VPMKD9&#10;40a9SP952Lq8OX7gcdWGL2MuL8bFA4hMY/4X/7mfbZl/f6urSit9A78/FQDk7A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8KGfHAAAA4wAAAA8AAAAAAAAAAAAAAAAAmAIAAGRy&#10;cy9kb3ducmV2LnhtbFBLBQYAAAAABAAEAPUAAACMAwAAAAA=&#10;" fillcolor="#ba8bdd" stroked="f" strokeweight=".25pt">
                  <v:stroke joinstyle="miter"/>
                  <v:textbo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Жаңа кәсіпорындар</w:t>
                        </w:r>
                      </w:p>
                    </w:txbxContent>
                  </v:textbox>
                </v:oval>
                <v:oval id="Овал 98" o:spid="_x0000_s1053" style="position:absolute;left:15960;width:16377;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I88cA&#10;AADjAAAADwAAAGRycy9kb3ducmV2LnhtbERPS2vCQBC+F/wPywi91U1tYzW6SiktevSFj9uQnWaD&#10;2dmQ3Zr033cFocf53jNbdLYSV2p86VjB8yABQZw7XXKhYL/7ehqD8AFZY+WYFPySh8W89zDDTLuW&#10;N3TdhkLEEPYZKjAh1JmUPjdk0Q9cTRy5b9dYDPFsCqkbbGO4reQwSUbSYsmxwWBNH4byy/bHKti4&#10;lXbH6nBeE8nl7tx+mvS0V+qx371PQQTqwr/47l7pOD8dpZOX8dvkFW4/RQD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AyPPHAAAA4wAAAA8AAAAAAAAAAAAAAAAAmAIAAGRy&#10;cy9kb3ducmV2LnhtbFBLBQYAAAAABAAEAPUAAACMAwAAAAA=&#10;" fillcolor="#be91df" stroked="f" strokeweight=".25pt">
                  <v:stroke joinstyle="miter"/>
                  <v:textbox>
                    <w:txbxContent>
                      <w:p w:rsidR="005118AF" w:rsidRDefault="00EF60C3">
                        <w:pPr>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Университеттер мен зерттеу орталықтары</w:t>
                        </w:r>
                      </w:p>
                    </w:txbxContent>
                  </v:textbox>
                </v:oval>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елка: вверх-вниз 95" o:spid="_x0000_s1054" type="#_x0000_t70" style="position:absolute;left:23026;top:10806;width:2146;height:3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Nz8kA&#10;AADiAAAADwAAAGRycy9kb3ducmV2LnhtbESPQUvEMBSE74L/ITzBi7hJWxGtm11EUNTbrsJ6fDRv&#10;m7rNS2me2/rvjSB4HGbmG2a5nkOvjjSmLrKFYmFAETfRddxaeH97vLwBlQTZYR+ZLHxTgvXq9GSJ&#10;tYsTb+i4lVZlCKcaLXiRodY6NZ4CpkUciLO3j2NAyXJstRtxyvDQ69KYax2w47zgcaAHT81h+xUs&#10;SDSH3cVrYWLz8fIp+6n0Zvdk7fnZfH8HSmiW//Bf+9lZuLotq8qYqoDfS/kO6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7dNz8kAAADiAAAADwAAAAAAAAAAAAAAAACYAgAA&#10;ZHJzL2Rvd25yZXYueG1sUEsFBgAAAAAEAAQA9QAAAI4DAAAAAA==&#10;" adj=",7480" fillcolor="#e4d2f2" stroked="f" strokeweight="1pt"/>
                <v:shape id="Стрелка: вверх-вниз 93" o:spid="_x0000_s1055" type="#_x0000_t70" style="position:absolute;left:31172;top:14713;width:2058;height:3442;rotation:484378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xi8kA&#10;AADjAAAADwAAAGRycy9kb3ducmV2LnhtbERPS2vCQBC+F/oflin0UnQT2/hIXUUKwV48mCp4HLNj&#10;EpqdDdltjP++WxB6nO89y/VgGtFT52rLCuJxBIK4sLrmUsHhKxvNQTiPrLGxTApu5GC9enxYYqrt&#10;lffU574UIYRdigoq79tUSldUZNCNbUscuIvtDPpwdqXUHV5DuGnkJIqm0mDNoaHClj4qKr7zH6Og&#10;zhZJdn6L9XG3t6d8m/Qvu14q9fw0bN5BeBr8v/ju/tRh/vR1Fs1niziBv58CAHL1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LOxi8kAAADjAAAADwAAAAAAAAAAAAAAAACYAgAA&#10;ZHJzL2Rvd25yZXYueG1sUEsFBgAAAAAEAAQA9QAAAI4DAAAAAA==&#10;" adj=",6456" fillcolor="#58267e" stroked="f" strokeweight="1pt"/>
                <v:shape id="Стрелка: вверх-вниз 90" o:spid="_x0000_s1056" type="#_x0000_t70" style="position:absolute;left:28097;top:22610;width:2159;height:3562;rotation:-235507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JBMsA&#10;AADiAAAADwAAAGRycy9kb3ducmV2LnhtbESPQUvDQBSE74L/YXkFb3YTDTXGbksobSkIhUbR6yP7&#10;TEKzb5fstk399a4geBxm5htmvhxNL840+M6ygnSagCCure64UfD+trnPQfiArLG3TAqu5GG5uL2Z&#10;Y6HthQ90rkIjIoR9gQraEFwhpa9bMuin1hFH78sOBkOUQyP1gJcIN718SJKZNNhxXGjR0aql+lid&#10;jILRffLafZerj21Tp+vXrNuXu0qpu8lYvoAINIb/8F97pxXk6WP2nD/NMvi9FO+AXPw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z8kEywAAAOIAAAAPAAAAAAAAAAAAAAAAAJgC&#10;AABkcnMvZG93bnJldi54bWxQSwUGAAAAAAQABAD1AAAAkAMAAAAA&#10;" adj=",6545" fillcolor="#be91df" stroked="f" strokeweight="1pt"/>
                <v:shape id="Стрелка: вверх-вниз 91" o:spid="_x0000_s1057" type="#_x0000_t70" style="position:absolute;left:17373;top:22610;width:2718;height:3550;rotation:280488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Pg6sUA&#10;AADjAAAADwAAAGRycy9kb3ducmV2LnhtbERPzUrDQBC+C77DMoI3u7uhiRq7LSIUevBiK56H7JiE&#10;ZmdjdmzTt3cFweN8/7PazGFQJ5pSH9mBXRhQxE30PbcO3g/buwdQSZA9DpHJwYUSbNbXVyusfTzz&#10;G5320qocwqlGB53IWGudmo4CpkUciTP3GaeAks+p1X7Ccw4Pgy6MqXTAnnNDhyO9dNQc99/BgZRW&#10;7pM1xdZ8fO1KPDZiL6/O3d7Mz0+ghGb5F/+5dz7Pt9WyfFwWVQm/P2UA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0+DqxQAAAOMAAAAPAAAAAAAAAAAAAAAAAJgCAABkcnMv&#10;ZG93bnJldi54bWxQSwUGAAAAAAQABAD1AAAAigMAAAAA&#10;" adj=",8269" fillcolor="#e4d2f2" stroked="f" strokeweight="1pt"/>
                <v:shape id="Стрелка: вверх-вниз 92" o:spid="_x0000_s1058" type="#_x0000_t70" style="position:absolute;left:14589;top:14671;width:2292;height:3397;rotation:731312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s7skA&#10;AADjAAAADwAAAGRycy9kb3ducmV2LnhtbERPzU7CQBC+k/gOmzHxQmTbAiKFhSCGpOEGePE2doe2&#10;sTtbuwtUn541IeE43//Ml52pxZlaV1lWEA8iEMS51RUXCj4Om+dXEM4ja6wtk4JfcrBcPPTmmGp7&#10;4R2d974QIYRdigpK75tUSpeXZNANbEMcuKNtDfpwtoXULV5CuKllEkUv0mDFoaHEhtYl5d/7k1Hw&#10;Z96TN/7K+qtJxIfs57O/LTYnpZ4eu9UMhKfO38U3d6bD/NF0OI3jZDyB/58CAHJx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YEs7skAAADjAAAADwAAAAAAAAAAAAAAAACYAgAA&#10;ZHJzL2Rvd25yZXYueG1sUEsFBgAAAAAEAAQA9QAAAI4DAAAAAA==&#10;" adj=",7287" fillcolor="#58267e" stroked="f" strokeweight="1pt"/>
              </v:group>
            </w:pict>
          </mc:Fallback>
        </mc:AlternateConten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jc w:val="center"/>
        <w:rPr>
          <w:rFonts w:ascii="Times New Roman" w:eastAsia="Times New Roman" w:hAnsi="Times New Roman" w:cs="Times New Roman"/>
          <w:color w:val="000000"/>
          <w:sz w:val="16"/>
          <w:szCs w:val="16"/>
          <w:lang w:val="kk-KZ" w:eastAsia="zh-CN"/>
        </w:rPr>
      </w:pPr>
    </w:p>
    <w:p w:rsidR="005118AF" w:rsidRDefault="00EF60C3">
      <w:pPr>
        <w:spacing w:after="0" w:line="240" w:lineRule="auto"/>
        <w:jc w:val="center"/>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Сурет 2 ‒ Білім мен сыртқы байланыстардың кіріс және шығыс ағындары</w:t>
      </w:r>
    </w:p>
    <w:p w:rsidR="005118AF" w:rsidRDefault="00EF60C3">
      <w:pPr>
        <w:spacing w:after="0" w:line="240" w:lineRule="auto"/>
        <w:ind w:firstLineChars="150" w:firstLine="360"/>
        <w:jc w:val="both"/>
        <w:rPr>
          <w:rFonts w:ascii="Times New Roman" w:eastAsia="Times New Roman" w:hAnsi="Times New Roman" w:cs="Times New Roman"/>
          <w:color w:val="000000"/>
          <w:sz w:val="24"/>
          <w:szCs w:val="24"/>
          <w:lang w:val="en-US" w:eastAsia="zh-CN"/>
        </w:rPr>
      </w:pPr>
      <w:r>
        <w:rPr>
          <w:rFonts w:ascii="Times New Roman" w:eastAsia="Times New Roman" w:hAnsi="Times New Roman" w:cs="Times New Roman"/>
          <w:color w:val="000000"/>
          <w:sz w:val="24"/>
          <w:szCs w:val="24"/>
          <w:lang w:val="kk-KZ" w:eastAsia="zh-CN"/>
        </w:rPr>
        <w:t>Ескерту</w:t>
      </w:r>
      <w:r>
        <w:rPr>
          <w:rFonts w:ascii="Times New Roman" w:eastAsia="Times New Roman" w:hAnsi="Times New Roman" w:cs="Times New Roman"/>
          <w:color w:val="000000"/>
          <w:sz w:val="24"/>
          <w:szCs w:val="24"/>
          <w:lang w:eastAsia="zh-CN"/>
        </w:rPr>
        <w:t xml:space="preserve"> - </w:t>
      </w:r>
      <w:r>
        <w:rPr>
          <w:rFonts w:ascii="Times New Roman" w:eastAsia="Times New Roman" w:hAnsi="Times New Roman" w:cs="Times New Roman"/>
          <w:color w:val="000000"/>
          <w:sz w:val="24"/>
          <w:szCs w:val="24"/>
          <w:lang w:val="kk-KZ" w:eastAsia="zh-CN"/>
        </w:rPr>
        <w:t xml:space="preserve">Әдебиет негізінде құрастырылған </w:t>
      </w:r>
      <w:r>
        <w:rPr>
          <w:rFonts w:ascii="Times New Roman" w:eastAsia="Times New Roman" w:hAnsi="Times New Roman" w:cs="Times New Roman"/>
          <w:color w:val="000000"/>
          <w:sz w:val="24"/>
          <w:szCs w:val="24"/>
          <w:lang w:val="en-US" w:eastAsia="zh-CN"/>
        </w:rPr>
        <w:t>[47]</w:t>
      </w:r>
    </w:p>
    <w:p w:rsidR="005118AF" w:rsidRDefault="005118AF">
      <w:pPr>
        <w:spacing w:after="0" w:line="240" w:lineRule="auto"/>
        <w:jc w:val="both"/>
        <w:rPr>
          <w:rFonts w:ascii="Times New Roman" w:eastAsia="Times New Roman" w:hAnsi="Times New Roman" w:cs="Times New Roman"/>
          <w:color w:val="000000"/>
          <w:sz w:val="24"/>
          <w:szCs w:val="24"/>
          <w:lang w:val="kk-KZ" w:eastAsia="zh-CN"/>
        </w:rPr>
      </w:pP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en-US"/>
        </w:rPr>
      </w:pPr>
      <w:r>
        <w:rPr>
          <w:rFonts w:ascii="Times New Roman" w:eastAsia="Times New Roman" w:hAnsi="Times New Roman" w:cs="Times New Roman"/>
          <w:color w:val="000000"/>
          <w:sz w:val="28"/>
          <w:szCs w:val="28"/>
          <w:lang w:val="kk-KZ" w:eastAsia="zh-CN"/>
        </w:rPr>
        <w:t>Ашық инновациялық модель аясында білім ағынының үш негізгі түрі ажыратылады: қоғамдық-ғылыми, салалық және кәсіпорынға тән. Мұндай білімге ие болу үшін кәсіпорын әр түрлі субъектілермен әлсіз немесе тығыз, сондай-ақ ресми немесе бейресми байланыстар орната</w:t>
      </w:r>
      <w:r>
        <w:rPr>
          <w:rFonts w:ascii="Times New Roman" w:eastAsia="Times New Roman" w:hAnsi="Times New Roman" w:cs="Times New Roman"/>
          <w:color w:val="000000"/>
          <w:sz w:val="28"/>
          <w:szCs w:val="28"/>
          <w:lang w:val="kk-KZ" w:eastAsia="zh-CN"/>
        </w:rPr>
        <w:t xml:space="preserve"> алады: университеттер мен ғылыми-зерттеу орталықтары, жабдықтаушылар мен тұтынушылар, бәсекелестер, кеңесшілер және стартаптар. Бұл ынтымақтастық айтарлықтай кезеңге созылуы, кей жағдайда қайталанатын және әртүрлі жаңа бастамаларға ие болуы мүмкін (мысалы</w:t>
      </w:r>
      <w:r>
        <w:rPr>
          <w:rFonts w:ascii="Times New Roman" w:eastAsia="Times New Roman" w:hAnsi="Times New Roman" w:cs="Times New Roman"/>
          <w:color w:val="000000"/>
          <w:sz w:val="28"/>
          <w:szCs w:val="28"/>
          <w:lang w:val="kk-KZ" w:eastAsia="zh-CN"/>
        </w:rPr>
        <w:t>, жабдықтаушы тұтынушыны жаңа технологияларды қолдануды зерттеуге шақырады немесе керісінше, тұтынушы жабдықтаушыны қалдықтарды азайту жобасына қатысуға шақырады). Сонымен қатар, бұл ынтымақтастық қатынастарды орталық ұйымнан басқа да рөлдерді атқаруын тал</w:t>
      </w:r>
      <w:r>
        <w:rPr>
          <w:rFonts w:ascii="Times New Roman" w:eastAsia="Times New Roman" w:hAnsi="Times New Roman" w:cs="Times New Roman"/>
          <w:color w:val="000000"/>
          <w:sz w:val="28"/>
          <w:szCs w:val="28"/>
          <w:lang w:val="kk-KZ" w:eastAsia="zh-CN"/>
        </w:rPr>
        <w:t xml:space="preserve">ап етуі мүмкін. Негізінен ол жобаны басқару немесе жоба қатысушысы ретінде, сондай-ақ ғылыми-зерттеу және маркетинг аясынан тыс бөлімдерді қосу сияқты талаптарды қамтиды [47].  </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Желіге тартылатын қатысушылар саны мен ашық инновациялардың орналасқан жерін б</w:t>
      </w:r>
      <w:r>
        <w:rPr>
          <w:rFonts w:ascii="Times New Roman" w:eastAsia="Times New Roman" w:hAnsi="Times New Roman" w:cs="Times New Roman"/>
          <w:color w:val="000000"/>
          <w:sz w:val="28"/>
          <w:szCs w:val="28"/>
          <w:lang w:val="kk-KZ" w:eastAsia="zh-CN"/>
        </w:rPr>
        <w:t xml:space="preserve">іріктіру арқылы ашық инновациялар үшін қызығушылық шоғырланған салаларын анықтауға болады. Бұл аймақтар суретте схемалық түрде көрсетілген [46, р. 161-1-161-26]. </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«Ішкі R&amp;D» ҒЗТКЖ-ның дәстүрлі нысанын білдіреді, онда ынтымақтастық тараптардың саны аз және </w:t>
      </w:r>
      <w:r>
        <w:rPr>
          <w:rFonts w:ascii="Times New Roman" w:eastAsia="Times New Roman" w:hAnsi="Times New Roman" w:cs="Times New Roman"/>
          <w:color w:val="000000"/>
          <w:sz w:val="28"/>
          <w:szCs w:val="28"/>
          <w:lang w:val="kk-KZ" w:eastAsia="zh-CN"/>
        </w:rPr>
        <w:t>инновациялардың көп бөлігі кәсіпорын ішінде әзірленеді. Бұл жағдайда менеджерлер негізінен кәсіпорынның ішкі инновациялық процестерімен, сондай-ақ шектеулі деңгейде сыртқы тараптармен ынтымақтастықта жұмыс істейді. Ашық инновациялар ішкі ҒЗТКЖ-ға толықтыру</w:t>
      </w:r>
      <w:r>
        <w:rPr>
          <w:rFonts w:ascii="Times New Roman" w:eastAsia="Times New Roman" w:hAnsi="Times New Roman" w:cs="Times New Roman"/>
          <w:color w:val="000000"/>
          <w:sz w:val="28"/>
          <w:szCs w:val="28"/>
          <w:lang w:val="kk-KZ" w:eastAsia="zh-CN"/>
        </w:rPr>
        <w:t xml:space="preserve">шы ретінде қарастырылады. Бұл ретте кәсіпорында инновациялардың шығысына басар назар аударады және оған қажетті білімдер негізінен кәсіпорынның ішкі зерттеулер мен әзірлемелері негізінде қалыптасады. Екінші жағынан, егер кәсіпорын ашық инновациялар әдісін </w:t>
      </w:r>
      <w:r>
        <w:rPr>
          <w:rFonts w:ascii="Times New Roman" w:eastAsia="Times New Roman" w:hAnsi="Times New Roman" w:cs="Times New Roman"/>
          <w:color w:val="000000"/>
          <w:sz w:val="28"/>
          <w:szCs w:val="28"/>
          <w:lang w:val="kk-KZ" w:eastAsia="zh-CN"/>
        </w:rPr>
        <w:t>қолданса, ол ашық инновациялар ішкі зерттеулер мен әзірлемелерді алмастыра алады. Бұл жағдайда кәсіпорын көбінесе сыртқы білімдерді біріктіру арқылы ішкі ҒЗТКЖ шығындарын азайтуға тырысады.</w:t>
      </w:r>
    </w:p>
    <w:p w:rsidR="005118AF" w:rsidRDefault="00EF60C3">
      <w:pPr>
        <w:spacing w:after="0" w:line="240" w:lineRule="auto"/>
        <w:ind w:firstLine="567"/>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7456" behindDoc="0" locked="0" layoutInCell="1" allowOverlap="1">
                <wp:simplePos x="0" y="0"/>
                <wp:positionH relativeFrom="column">
                  <wp:posOffset>903605</wp:posOffset>
                </wp:positionH>
                <wp:positionV relativeFrom="paragraph">
                  <wp:posOffset>192405</wp:posOffset>
                </wp:positionV>
                <wp:extent cx="4385310" cy="2962910"/>
                <wp:effectExtent l="0" t="38100" r="0" b="0"/>
                <wp:wrapNone/>
                <wp:docPr id="1823708006" name="Группа 1823708006"/>
                <wp:cNvGraphicFramePr/>
                <a:graphic xmlns:a="http://schemas.openxmlformats.org/drawingml/2006/main">
                  <a:graphicData uri="http://schemas.microsoft.com/office/word/2010/wordprocessingGroup">
                    <wpg:wgp>
                      <wpg:cNvGrpSpPr/>
                      <wpg:grpSpPr>
                        <a:xfrm>
                          <a:off x="0" y="0"/>
                          <a:ext cx="4385309" cy="2963083"/>
                          <a:chOff x="0" y="0"/>
                          <a:chExt cx="4385309" cy="2963083"/>
                        </a:xfrm>
                      </wpg:grpSpPr>
                      <wps:wsp>
                        <wps:cNvPr id="132653840" name="Прямая со стрелкой 84"/>
                        <wps:cNvCnPr/>
                        <wps:spPr>
                          <a:xfrm flipV="1">
                            <a:off x="757901" y="0"/>
                            <a:ext cx="0" cy="2433320"/>
                          </a:xfrm>
                          <a:prstGeom prst="straightConnector1">
                            <a:avLst/>
                          </a:prstGeom>
                          <a:noFill/>
                          <a:ln w="12700" cap="flat" cmpd="sng" algn="ctr">
                            <a:solidFill>
                              <a:sysClr val="windowText" lastClr="000000"/>
                            </a:solidFill>
                            <a:prstDash val="solid"/>
                            <a:miter lim="800000"/>
                            <a:tailEnd type="triangle"/>
                          </a:ln>
                          <a:effectLst/>
                        </wps:spPr>
                        <wps:style>
                          <a:lnRef idx="1">
                            <a:schemeClr val="dk1"/>
                          </a:lnRef>
                          <a:fillRef idx="0">
                            <a:schemeClr val="dk1"/>
                          </a:fillRef>
                          <a:effectRef idx="0">
                            <a:schemeClr val="dk1"/>
                          </a:effectRef>
                          <a:fontRef idx="minor">
                            <a:schemeClr val="tx1"/>
                          </a:fontRef>
                        </wps:style>
                        <wps:bodyPr/>
                      </wps:wsp>
                      <wps:wsp>
                        <wps:cNvPr id="2113573786" name="Прямая со стрелкой 79"/>
                        <wps:cNvCnPr/>
                        <wps:spPr>
                          <a:xfrm flipV="1">
                            <a:off x="749588" y="2419003"/>
                            <a:ext cx="3546475" cy="0"/>
                          </a:xfrm>
                          <a:prstGeom prst="straightConnector1">
                            <a:avLst/>
                          </a:prstGeom>
                          <a:noFill/>
                          <a:ln w="12700" cap="flat" cmpd="sng" algn="ctr">
                            <a:solidFill>
                              <a:sysClr val="windowText" lastClr="000000"/>
                            </a:solidFill>
                            <a:prstDash val="solid"/>
                            <a:miter lim="800000"/>
                            <a:tailEnd type="triangle"/>
                          </a:ln>
                          <a:effectLst/>
                        </wps:spPr>
                        <wps:style>
                          <a:lnRef idx="1">
                            <a:schemeClr val="dk1"/>
                          </a:lnRef>
                          <a:fillRef idx="0">
                            <a:schemeClr val="dk1"/>
                          </a:fillRef>
                          <a:effectRef idx="0">
                            <a:schemeClr val="dk1"/>
                          </a:effectRef>
                          <a:fontRef idx="minor">
                            <a:schemeClr val="tx1"/>
                          </a:fontRef>
                        </wps:style>
                        <wps:bodyPr/>
                      </wps:wsp>
                      <wps:wsp>
                        <wps:cNvPr id="633421381" name="Прямоугольник 85"/>
                        <wps:cNvSpPr/>
                        <wps:spPr>
                          <a:xfrm>
                            <a:off x="982344" y="224443"/>
                            <a:ext cx="1407160" cy="81089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kk-KZ" w:eastAsia="zh-CN"/>
                                </w:rPr>
                              </w:pPr>
                              <w:r>
                                <w:rPr>
                                  <w:rFonts w:ascii="Times New Roman" w:hAnsi="Times New Roman" w:cs="Times New Roman"/>
                                  <w:i/>
                                  <w:iCs/>
                                  <w:color w:val="000000" w:themeColor="text1"/>
                                  <w:sz w:val="24"/>
                                  <w:szCs w:val="24"/>
                                  <w:lang w:val="kk-KZ" w:eastAsia="zh-CN"/>
                                </w:rPr>
                                <w:t>Ішкі кросс функционалдық  ынтымақтастық</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11526455" name="Прямоугольник 81"/>
                        <wps:cNvSpPr/>
                        <wps:spPr>
                          <a:xfrm>
                            <a:off x="974032" y="1371600"/>
                            <a:ext cx="1407160" cy="81089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en-US" w:eastAsia="zh-CN"/>
                                </w:rPr>
                              </w:pPr>
                              <w:r>
                                <w:rPr>
                                  <w:rFonts w:ascii="Times New Roman" w:hAnsi="Times New Roman" w:cs="Times New Roman"/>
                                  <w:i/>
                                  <w:iCs/>
                                  <w:color w:val="000000" w:themeColor="text1"/>
                                  <w:sz w:val="24"/>
                                  <w:szCs w:val="24"/>
                                  <w:lang w:val="kk-KZ" w:eastAsia="zh-CN"/>
                                </w:rPr>
                                <w:t xml:space="preserve">Ішкі </w:t>
                              </w:r>
                              <w:r>
                                <w:rPr>
                                  <w:rFonts w:ascii="Times New Roman" w:hAnsi="Times New Roman" w:cs="Times New Roman"/>
                                  <w:i/>
                                  <w:iCs/>
                                  <w:color w:val="000000" w:themeColor="text1"/>
                                  <w:sz w:val="24"/>
                                  <w:szCs w:val="24"/>
                                  <w:lang w:val="en-US" w:eastAsia="zh-CN"/>
                                </w:rPr>
                                <w:t>R&amp;D</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0420499" name="Прямоугольник 87"/>
                        <wps:cNvSpPr/>
                        <wps:spPr>
                          <a:xfrm>
                            <a:off x="2595013" y="224443"/>
                            <a:ext cx="1407160" cy="81089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kk-KZ" w:eastAsia="zh-CN"/>
                                </w:rPr>
                              </w:pPr>
                              <w:r>
                                <w:rPr>
                                  <w:rFonts w:ascii="Times New Roman" w:hAnsi="Times New Roman" w:cs="Times New Roman"/>
                                  <w:i/>
                                  <w:iCs/>
                                  <w:color w:val="000000" w:themeColor="text1"/>
                                  <w:sz w:val="24"/>
                                  <w:szCs w:val="24"/>
                                  <w:lang w:val="kk-KZ" w:eastAsia="zh-CN"/>
                                </w:rPr>
                                <w:t xml:space="preserve">Жаппай  </w:t>
                              </w:r>
                              <w:r>
                                <w:rPr>
                                  <w:rFonts w:ascii="Times New Roman" w:hAnsi="Times New Roman" w:cs="Times New Roman"/>
                                  <w:i/>
                                  <w:iCs/>
                                  <w:color w:val="000000" w:themeColor="text1"/>
                                  <w:sz w:val="24"/>
                                  <w:szCs w:val="24"/>
                                  <w:lang w:val="kk-KZ" w:eastAsia="zh-CN"/>
                                </w:rPr>
                                <w:t>ынтымақтастық</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7439244" name="Прямоугольник 82"/>
                        <wps:cNvSpPr/>
                        <wps:spPr>
                          <a:xfrm>
                            <a:off x="2578388" y="1313410"/>
                            <a:ext cx="1407160" cy="81089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kk-KZ" w:eastAsia="zh-CN"/>
                                </w:rPr>
                              </w:pPr>
                              <w:r>
                                <w:rPr>
                                  <w:rFonts w:ascii="Times New Roman" w:hAnsi="Times New Roman" w:cs="Times New Roman"/>
                                  <w:i/>
                                  <w:iCs/>
                                  <w:color w:val="000000" w:themeColor="text1"/>
                                  <w:sz w:val="24"/>
                                  <w:szCs w:val="24"/>
                                  <w:lang w:val="en-US" w:eastAsia="zh-CN"/>
                                </w:rPr>
                                <w:t xml:space="preserve">R&amp;D </w:t>
                              </w:r>
                              <w:r>
                                <w:rPr>
                                  <w:rFonts w:ascii="Times New Roman" w:hAnsi="Times New Roman" w:cs="Times New Roman"/>
                                  <w:i/>
                                  <w:iCs/>
                                  <w:color w:val="000000" w:themeColor="text1"/>
                                  <w:sz w:val="24"/>
                                  <w:szCs w:val="24"/>
                                  <w:lang w:val="kk-KZ" w:eastAsia="zh-CN"/>
                                </w:rPr>
                                <w:t>альянстары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50336437" name="Прямоугольник 77"/>
                        <wps:cNvSpPr/>
                        <wps:spPr>
                          <a:xfrm>
                            <a:off x="525144" y="2468880"/>
                            <a:ext cx="842645" cy="31813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kk-KZ" w:eastAsia="zh-CN"/>
                                </w:rPr>
                                <w:t>Ішкі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7647651" name="Прямоугольник 78"/>
                        <wps:cNvSpPr/>
                        <wps:spPr>
                          <a:xfrm>
                            <a:off x="3542664" y="2468880"/>
                            <a:ext cx="842645" cy="31813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kk-KZ" w:eastAsia="zh-CN"/>
                                </w:rPr>
                                <w:t>Сыртқы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5795623" name="Прямоугольник 80"/>
                        <wps:cNvSpPr/>
                        <wps:spPr>
                          <a:xfrm>
                            <a:off x="425392" y="2219498"/>
                            <a:ext cx="302260" cy="2940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kk-KZ" w:eastAsia="zh-CN"/>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71928549" name="Прямоугольник 86"/>
                        <wps:cNvSpPr/>
                        <wps:spPr>
                          <a:xfrm>
                            <a:off x="383828" y="8312"/>
                            <a:ext cx="302260" cy="2940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en-US" w:eastAsia="zh-CN"/>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35570439" name="Прямоугольник 76"/>
                        <wps:cNvSpPr/>
                        <wps:spPr>
                          <a:xfrm>
                            <a:off x="1223413" y="2676698"/>
                            <a:ext cx="2536190" cy="28638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Инновациялық процесс локусы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3971516" name="Прямоугольник 83"/>
                        <wps:cNvSpPr/>
                        <wps:spPr>
                          <a:xfrm rot="16200000">
                            <a:off x="-846455" y="1047403"/>
                            <a:ext cx="2146300" cy="453390"/>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5118AF" w:rsidRDefault="00EF60C3">
                              <w:pPr>
                                <w:shd w:val="clear" w:color="auto" w:fill="FFFFFF" w:themeFill="background1"/>
                                <w:spacing w:after="0" w:line="240" w:lineRule="auto"/>
                                <w:jc w:val="center"/>
                                <w:rPr>
                                  <w:rFonts w:ascii="Times New Roman" w:hAnsi="Times New Roman" w:cs="Times New Roman"/>
                                  <w:b/>
                                  <w:bCs/>
                                  <w:color w:val="000000" w:themeColor="text1"/>
                                  <w:sz w:val="20"/>
                                  <w:szCs w:val="20"/>
                                  <w:lang w:val="kk-KZ" w:eastAsia="zh-CN"/>
                                </w:rPr>
                              </w:pPr>
                              <w:r>
                                <w:rPr>
                                  <w:rFonts w:ascii="Times New Roman" w:hAnsi="Times New Roman" w:cs="Times New Roman"/>
                                  <w:b/>
                                  <w:bCs/>
                                  <w:color w:val="000000" w:themeColor="text1"/>
                                  <w:sz w:val="20"/>
                                  <w:szCs w:val="20"/>
                                  <w:lang w:val="kk-KZ" w:eastAsia="zh-CN"/>
                                </w:rPr>
                                <w:t>Ынтымақтасатын субъектілер саны</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Группа 1823708006" o:spid="_x0000_s1059" style="position:absolute;left:0;text-align:left;margin-left:71.15pt;margin-top:15.15pt;width:345.3pt;height:233.3pt;z-index:251667456" coordsize="43853,2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">
                <v:shape id="Прямая со стрелкой 84" o:spid="_x0000_s1060" type="#_x0000_t32" style="position:absolute;left:7579;width:0;height:24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KmMcQAAADiAAAADwAAAGRycy9kb3ducmV2LnhtbERPS4vCMBC+C/sfwgh709QnUo2yCMJi&#10;T7qLXodmbKvNpDRR6793Dgt7/Pjeq03navWgNlSeDYyGCSji3NuKCwO/P7vBAlSIyBZrz2TgRQE2&#10;64/eClPrn3ygxzEWSkI4pGigjLFJtQ55SQ7D0DfEwl186zAKbAttW3xKuKv1OEnm2mHF0lBiQ9uS&#10;8tvx7qQkm11P9yovDvuzJU+XbP8aZcZ89ruvJahIXfwX/7m/rcyfjOezyWIqJ+SSYND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kqYxxAAAAOIAAAAPAAAAAAAAAAAA&#10;AAAAAKECAABkcnMvZG93bnJldi54bWxQSwUGAAAAAAQABAD5AAAAkgMAAAAA&#10;" strokecolor="windowText" strokeweight="1pt">
                  <v:stroke endarrow="block" joinstyle="miter"/>
                </v:shape>
                <v:shape id="Прямая со стрелкой 79" o:spid="_x0000_s1061" type="#_x0000_t32" style="position:absolute;left:7495;top:24190;width:3546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M1lMkAAADjAAAADwAAAGRycy9kb3ducmV2LnhtbESPS2vCQBSF94L/YbhCdzp54IPUUaRQ&#10;KGalLbq9ZK5JauZOyExi/PedQqHLw3l8nO1+NI0YqHO1ZQXxIgJBXFhdc6ng6/N9vgHhPLLGxjIp&#10;eJKD/W462WKm7YNPNJx9KcIIuwwVVN63mZSuqMigW9iWOHg32xn0QXal1B0+wrhpZBJFK2mw5kCo&#10;sKW3ior7uTcBki+/L31dlKfjVZOlW358xrlSL7Px8ArC0+j/w3/tD60gieN0uU7XmxX8fgp/QO5+&#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DzNZTJAAAA4wAAAA8AAAAA&#10;AAAAAAAAAAAAoQIAAGRycy9kb3ducmV2LnhtbFBLBQYAAAAABAAEAPkAAACXAwAAAAA=&#10;" strokecolor="windowText" strokeweight="1pt">
                  <v:stroke endarrow="block" joinstyle="miter"/>
                </v:shape>
                <v:rect id="Прямоугольник 85" o:spid="_x0000_s1062" style="position:absolute;left:9823;top:2244;width:14072;height:8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tQckA&#10;AADiAAAADwAAAGRycy9kb3ducmV2LnhtbESPQUvDQBSE70L/w/IK3uwmjZQQuy22ICo9iFXvz93X&#10;JJh9G3a3SfrvXUHocZiZb5j1drKdGMiH1rGCfJGBINbOtFwr+Px4uitBhIhssHNMCi4UYLuZ3ayx&#10;Mm7kdxqOsRYJwqFCBU2MfSVl0A1ZDAvXEyfv5LzFmKSvpfE4Jrjt5DLLVtJiy2mhwZ72Demf49kq&#10;+HKn3Wj1N78Ol7f2/HzwWpcHpW7n0+MDiEhTvIb/2y9Gwaoo7pd5UebwdyndAb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actQckAAADiAAAADwAAAAAAAAAAAAAAAACYAgAA&#10;ZHJzL2Rvd25yZXYueG1sUEsFBgAAAAAEAAQA9QAAAI4DA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kk-KZ" w:eastAsia="zh-CN"/>
                          </w:rPr>
                        </w:pPr>
                        <w:r>
                          <w:rPr>
                            <w:rFonts w:ascii="Times New Roman" w:hAnsi="Times New Roman" w:cs="Times New Roman"/>
                            <w:i/>
                            <w:iCs/>
                            <w:color w:val="000000" w:themeColor="text1"/>
                            <w:sz w:val="24"/>
                            <w:szCs w:val="24"/>
                            <w:lang w:val="kk-KZ" w:eastAsia="zh-CN"/>
                          </w:rPr>
                          <w:t>Ішкі кросс функционалдық  ынтымақтастық</w:t>
                        </w:r>
                      </w:p>
                    </w:txbxContent>
                  </v:textbox>
                </v:rect>
                <v:rect id="Прямоугольник 81" o:spid="_x0000_s1063" style="position:absolute;left:9740;top:13716;width:14071;height:8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qaMoA&#10;AADiAAAADwAAAGRycy9kb3ducmV2LnhtbESPQUvDQBSE74X+h+UJ3uwmxdSSdluqICo9iFXvr7uv&#10;STD7Nuxuk/Tfu4LQ4zAz3zDr7Whb0ZMPjWMF+SwDQaydabhS8PX5fLcEESKywdYxKbhQgO1mOllj&#10;adzAH9QfYiUShEOJCuoYu1LKoGuyGGauI07eyXmLMUlfSeNxSHDbynmWLaTFhtNCjR091aR/Dmer&#10;4NudHgerj/zWX96b88vea73cK3V7M+5WICKN8Rr+b78aBQ95XswX90UBf5fSHZCb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nEamjKAAAA4gAAAA8AAAAAAAAAAAAAAAAAmAIA&#10;AGRycy9kb3ducmV2LnhtbFBLBQYAAAAABAAEAPUAAACPAw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en-US" w:eastAsia="zh-CN"/>
                          </w:rPr>
                        </w:pPr>
                        <w:r>
                          <w:rPr>
                            <w:rFonts w:ascii="Times New Roman" w:hAnsi="Times New Roman" w:cs="Times New Roman"/>
                            <w:i/>
                            <w:iCs/>
                            <w:color w:val="000000" w:themeColor="text1"/>
                            <w:sz w:val="24"/>
                            <w:szCs w:val="24"/>
                            <w:lang w:val="kk-KZ" w:eastAsia="zh-CN"/>
                          </w:rPr>
                          <w:t xml:space="preserve">Ішкі </w:t>
                        </w:r>
                        <w:r>
                          <w:rPr>
                            <w:rFonts w:ascii="Times New Roman" w:hAnsi="Times New Roman" w:cs="Times New Roman"/>
                            <w:i/>
                            <w:iCs/>
                            <w:color w:val="000000" w:themeColor="text1"/>
                            <w:sz w:val="24"/>
                            <w:szCs w:val="24"/>
                            <w:lang w:val="en-US" w:eastAsia="zh-CN"/>
                          </w:rPr>
                          <w:t>R&amp;D</w:t>
                        </w:r>
                      </w:p>
                    </w:txbxContent>
                  </v:textbox>
                </v:rect>
                <v:rect id="Прямоугольник 87" o:spid="_x0000_s1064" style="position:absolute;left:25950;top:2244;width:14071;height:8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bYM8cA&#10;AADjAAAADwAAAGRycy9kb3ducmV2LnhtbERPzU4CMRC+m/AOzZh4k1ZCBBYKQROjhoMR5T60w+6G&#10;7XTTlt3l7a2Jicf5/me1GVwjOgqx9qzhYaxAEBtvay41fH+93M9BxIRssfFMGq4UYbMe3aywsL7n&#10;T+r2qRQ5hGOBGqqU2kLKaCpyGMe+Jc7cyQeHKZ+hlDZgn8NdIydKPUqHNeeGClt6rsic9xen4eBP&#10;T70zR37vrh/15XUXjJnvtL67HbZLEImG9C/+c7/ZPH82U9OJmi4W8PtTB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m2DPHAAAA4wAAAA8AAAAAAAAAAAAAAAAAmAIAAGRy&#10;cy9kb3ducmV2LnhtbFBLBQYAAAAABAAEAPUAAACMAw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kk-KZ" w:eastAsia="zh-CN"/>
                          </w:rPr>
                        </w:pPr>
                        <w:r>
                          <w:rPr>
                            <w:rFonts w:ascii="Times New Roman" w:hAnsi="Times New Roman" w:cs="Times New Roman"/>
                            <w:i/>
                            <w:iCs/>
                            <w:color w:val="000000" w:themeColor="text1"/>
                            <w:sz w:val="24"/>
                            <w:szCs w:val="24"/>
                            <w:lang w:val="kk-KZ" w:eastAsia="zh-CN"/>
                          </w:rPr>
                          <w:t xml:space="preserve">Жаппай  </w:t>
                        </w:r>
                        <w:r>
                          <w:rPr>
                            <w:rFonts w:ascii="Times New Roman" w:hAnsi="Times New Roman" w:cs="Times New Roman"/>
                            <w:i/>
                            <w:iCs/>
                            <w:color w:val="000000" w:themeColor="text1"/>
                            <w:sz w:val="24"/>
                            <w:szCs w:val="24"/>
                            <w:lang w:val="kk-KZ" w:eastAsia="zh-CN"/>
                          </w:rPr>
                          <w:t>ынтымақтастық</w:t>
                        </w:r>
                      </w:p>
                    </w:txbxContent>
                  </v:textbox>
                </v:rect>
                <v:rect id="Прямоугольник 82" o:spid="_x0000_s1065" style="position:absolute;left:25783;top:13134;width:14072;height:8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yAMkA&#10;AADhAAAADwAAAGRycy9kb3ducmV2LnhtbESPQUsDMRSE7wX/Q3iF3tps62Lr2rSoUFR6EKven8nr&#10;7uLmZUnS3e2/bwqCx2FmvmHW28E2oiMfascK5rMMBLF2puZSwdfnbroCESKywcYxKThTgO3mZrTG&#10;wrieP6g7xFIkCIcCFVQxtoWUQVdkMcxcS5y8o/MWY5K+lMZjn+C2kYssu5MWa04LFbb0XJH+PZys&#10;gm93fOqt/uG37vxen172XuvVXqnJeHh8ABFpiP/hv/arUbBc5rf3izyH66P0BuTm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ZPyAMkAAADhAAAADwAAAAAAAAAAAAAAAACYAgAA&#10;ZHJzL2Rvd25yZXYueG1sUEsFBgAAAAAEAAQA9QAAAI4DA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i/>
                            <w:iCs/>
                            <w:color w:val="000000" w:themeColor="text1"/>
                            <w:sz w:val="24"/>
                            <w:szCs w:val="24"/>
                            <w:lang w:val="kk-KZ" w:eastAsia="zh-CN"/>
                          </w:rPr>
                        </w:pPr>
                        <w:r>
                          <w:rPr>
                            <w:rFonts w:ascii="Times New Roman" w:hAnsi="Times New Roman" w:cs="Times New Roman"/>
                            <w:i/>
                            <w:iCs/>
                            <w:color w:val="000000" w:themeColor="text1"/>
                            <w:sz w:val="24"/>
                            <w:szCs w:val="24"/>
                            <w:lang w:val="en-US" w:eastAsia="zh-CN"/>
                          </w:rPr>
                          <w:t xml:space="preserve">R&amp;D </w:t>
                        </w:r>
                        <w:r>
                          <w:rPr>
                            <w:rFonts w:ascii="Times New Roman" w:hAnsi="Times New Roman" w:cs="Times New Roman"/>
                            <w:i/>
                            <w:iCs/>
                            <w:color w:val="000000" w:themeColor="text1"/>
                            <w:sz w:val="24"/>
                            <w:szCs w:val="24"/>
                            <w:lang w:val="kk-KZ" w:eastAsia="zh-CN"/>
                          </w:rPr>
                          <w:t>альянстары</w:t>
                        </w:r>
                      </w:p>
                    </w:txbxContent>
                  </v:textbox>
                </v:rect>
                <v:rect id="Прямоугольник 77" o:spid="_x0000_s1066" style="position:absolute;left:5251;top:24688;width:8426;height:31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dlXccA&#10;AADjAAAADwAAAGRycy9kb3ducmV2LnhtbERPX0vDMBB/F/Ydwg18c+ms1tEtGyqIyh7Ebb6fya0t&#10;NpeSZG337Y0w8PF+/2+1GW0revKhcaxgPstAEGtnGq4UHPYvNwsQISIbbB2TgjMF2KwnVyssjRv4&#10;k/pdrEQK4VCigjrGrpQy6JoshpnriBN3dN5iTKevpPE4pHDbytssK6TFhlNDjR0916R/dier4Msd&#10;nwarv/m9P380p9et13qxVep6Oj4uQUQa47/44n4zaX5xn+V5cZc/wN9PCQC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XZV3HAAAA4wAAAA8AAAAAAAAAAAAAAAAAmAIAAGRy&#10;cy9kb3ducmV2LnhtbFBLBQYAAAAABAAEAPUAAACMAw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kk-KZ" w:eastAsia="zh-CN"/>
                          </w:rPr>
                          <w:t>Ішкі</w:t>
                        </w:r>
                      </w:p>
                    </w:txbxContent>
                  </v:textbox>
                </v:rect>
                <v:rect id="Прямоугольник 78" o:spid="_x0000_s1067" style="position:absolute;left:35426;top:24688;width:8427;height:31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gDMkA&#10;AADhAAAADwAAAGRycy9kb3ducmV2LnhtbESPQUsDMRSE70L/Q3iF3my2Urd1bVq0UFR6EKven8nr&#10;7uLmZUnS3e2/N0Khx2FmvmFWm8E2oiMfascKZtMMBLF2puZSwdfn7nYJIkRkg41jUnCmAJv16GaF&#10;hXE9f1B3iKVIEA4FKqhibAspg67IYpi6ljh5R+ctxiR9KY3HPsFtI++yLJcWa04LFba0rUj/Hk5W&#10;wbc7PvdW//Bbd36vTy97r/Vyr9RkPDw9gog0xGv40n41Ch4W+XyR38/g/1F6A3L9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tSgDMkAAADhAAAADwAAAAAAAAAAAAAAAACYAgAA&#10;ZHJzL2Rvd25yZXYueG1sUEsFBgAAAAAEAAQA9QAAAI4DA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kk-KZ" w:eastAsia="zh-CN"/>
                          </w:rPr>
                          <w:t>Сыртқы</w:t>
                        </w:r>
                      </w:p>
                    </w:txbxContent>
                  </v:textbox>
                </v:rect>
                <v:rect id="Прямоугольник 80" o:spid="_x0000_s1068" style="position:absolute;left:4253;top:22194;width:3023;height:29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WvskA&#10;AADhAAAADwAAAGRycy9kb3ducmV2LnhtbESPT2sCMRTE70K/Q3gFbzVbi/+2RmkL0hYPUtveX5Pn&#10;7tLNy5LE3fXbG0HwOMzMb5jlure1aMmHyrGCx1EGglg7U3Gh4Od78zAHESKywdoxKThRgPXqbrDE&#10;3LiOv6jdx0IkCIccFZQxNrmUQZdkMYxcQ5y8g/MWY5K+kMZjl+C2luMsm0qLFaeFEht6K0n/749W&#10;wa87vHZW//Fne9pVx/et13q+VWp43788g4jUx1v42v4wChaT2WIyHT/B5VF6A3J1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R9WvskAAADhAAAADwAAAAAAAAAAAAAAAACYAgAA&#10;ZHJzL2Rvd25yZXYueG1sUEsFBgAAAAAEAAQA9QAAAI4DA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kk-KZ" w:eastAsia="zh-CN"/>
                          </w:rPr>
                          <w:t>2</w:t>
                        </w:r>
                      </w:p>
                    </w:txbxContent>
                  </v:textbox>
                </v:rect>
                <v:rect id="Прямоугольник 86" o:spid="_x0000_s1069" style="position:absolute;left:3838;top:83;width:3022;height:2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jaOscA&#10;AADjAAAADwAAAGRycy9kb3ducmV2LnhtbERPX0/CMBB/N+E7NEfim3QQlDEoREmMGh4MqO9ne2wL&#10;63Vpyza+vTUx8fF+/2+9HWwjOvKhdqxgOslAEGtnai4VfH483+UgQkQ22DgmBVcKsN2MbtZYGNfz&#10;gbpjLEUK4VCggirGtpAy6IosholriRN3ct5iTKcvpfHYp3DbyFmWPUiLNaeGClvaVaTPx4tV8OVO&#10;T73V3/zWXd/ry8vea53vlbodD48rEJGG+C/+c7+aND9bTJez/H6+hN+fEgB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Y2jrHAAAA4wAAAA8AAAAAAAAAAAAAAAAAmAIAAGRy&#10;cy9kb3ducmV2LnhtbFBLBQYAAAAABAAEAPUAAACMAw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en-US" w:eastAsia="zh-CN"/>
                          </w:rPr>
                          <w:t>N</w:t>
                        </w:r>
                      </w:p>
                    </w:txbxContent>
                  </v:textbox>
                </v:rect>
                <v:rect id="Прямоугольник 76" o:spid="_x0000_s1070" style="position:absolute;left:12234;top:26766;width:25362;height:2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JfccA&#10;AADjAAAADwAAAGRycy9kb3ducmV2LnhtbERPX0/CMBB/N/E7NGfCm3SIKE4KERIihAcj6vvZHtvi&#10;el3aso1vT0lIfLzf/5steluLlnyoHCsYDTMQxNqZigsF31/r+ymIEJEN1o5JwYkCLOa3NzPMjev4&#10;k9p9LEQK4ZCjgjLGJpcy6JIshqFriBN3cN5iTKcvpPHYpXBby4cse5IWK04NJTa0Kkn/7Y9WwY87&#10;LDurf3nbnj6q4/vOaz3dKTW4699eQUTq47/46t6YNH80nkyes8fxC1x+SgDI+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nyX3HAAAA4wAAAA8AAAAAAAAAAAAAAAAAmAIAAGRy&#10;cy9kb3ducmV2LnhtbFBLBQYAAAAABAAEAPUAAACMAw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bCs/>
                            <w:i/>
                            <w:color w:val="000000" w:themeColor="text1"/>
                            <w:sz w:val="20"/>
                            <w:szCs w:val="20"/>
                            <w:lang w:val="kk-KZ" w:eastAsia="zh-CN"/>
                          </w:rPr>
                        </w:pPr>
                        <w:r>
                          <w:rPr>
                            <w:rFonts w:ascii="Times New Roman" w:hAnsi="Times New Roman" w:cs="Times New Roman"/>
                            <w:bCs/>
                            <w:i/>
                            <w:color w:val="000000" w:themeColor="text1"/>
                            <w:sz w:val="20"/>
                            <w:szCs w:val="20"/>
                            <w:lang w:val="kk-KZ" w:eastAsia="zh-CN"/>
                          </w:rPr>
                          <w:t>Инновациялық процесс локусы</w:t>
                        </w:r>
                      </w:p>
                    </w:txbxContent>
                  </v:textbox>
                </v:rect>
                <v:rect id="Прямоугольник 83" o:spid="_x0000_s1071" style="position:absolute;left:-8465;top:10474;width:21463;height:453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0uJMgA&#10;AADiAAAADwAAAGRycy9kb3ducmV2LnhtbESP32rCMBTG74W9QzgD7zTtdF3XGWUKA3ejrPoAh+as&#10;LWtOSpJq9/ZmMPDy4/vz41ttRtOJCznfWlaQzhMQxJXVLdcKzqePWQ7CB2SNnWVS8EseNuuHyQoL&#10;ba/8RZcy1CKOsC9QQRNCX0jpq4YM+rntiaP3bZ3BEKWrpXZ4jeOmk09JkkmDLUdCgz3tGqp+ysFE&#10;Lpfo3XH4JHPYZ/kxabf5sFNq+ji+v4EINIZ7+L+91wqWi8XrS/qcZvB3Kd4Bub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bS4kyAAAAOIAAAAPAAAAAAAAAAAAAAAAAJgCAABk&#10;cnMvZG93bnJldi54bWxQSwUGAAAAAAQABAD1AAAAjQMAAAAA&#10;" filled="f" stroked="f" strokeweight="1pt">
                  <v:textbox>
                    <w:txbxContent>
                      <w:p w:rsidR="005118AF" w:rsidRDefault="00EF60C3">
                        <w:pPr>
                          <w:shd w:val="clear" w:color="auto" w:fill="FFFFFF" w:themeFill="background1"/>
                          <w:spacing w:after="0" w:line="240" w:lineRule="auto"/>
                          <w:jc w:val="center"/>
                          <w:rPr>
                            <w:rFonts w:ascii="Times New Roman" w:hAnsi="Times New Roman" w:cs="Times New Roman"/>
                            <w:b/>
                            <w:bCs/>
                            <w:color w:val="000000" w:themeColor="text1"/>
                            <w:sz w:val="20"/>
                            <w:szCs w:val="20"/>
                            <w:lang w:val="kk-KZ" w:eastAsia="zh-CN"/>
                          </w:rPr>
                        </w:pPr>
                        <w:r>
                          <w:rPr>
                            <w:rFonts w:ascii="Times New Roman" w:hAnsi="Times New Roman" w:cs="Times New Roman"/>
                            <w:b/>
                            <w:bCs/>
                            <w:color w:val="000000" w:themeColor="text1"/>
                            <w:sz w:val="20"/>
                            <w:szCs w:val="20"/>
                            <w:lang w:val="kk-KZ" w:eastAsia="zh-CN"/>
                          </w:rPr>
                          <w:t>Ынтымақтасатын субъектілер саны</w:t>
                        </w:r>
                      </w:p>
                    </w:txbxContent>
                  </v:textbox>
                </v:rect>
              </v:group>
            </w:pict>
          </mc:Fallback>
        </mc:AlternateConten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s="Times New Roman"/>
          <w:color w:val="000000"/>
          <w:sz w:val="16"/>
          <w:szCs w:val="16"/>
          <w:lang w:val="kk-KZ" w:eastAsia="zh-CN"/>
        </w:rPr>
      </w:pPr>
    </w:p>
    <w:p w:rsidR="005118AF" w:rsidRDefault="00EF60C3">
      <w:pPr>
        <w:spacing w:after="0" w:line="240" w:lineRule="auto"/>
        <w:jc w:val="center"/>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Сурет 3 ‒ Ашық инновациялар үшін қызығушылық танытатын салалар</w:t>
      </w:r>
    </w:p>
    <w:p w:rsidR="005118AF" w:rsidRDefault="005118AF">
      <w:pPr>
        <w:spacing w:after="0" w:line="240" w:lineRule="auto"/>
        <w:ind w:firstLine="567"/>
        <w:jc w:val="both"/>
        <w:rPr>
          <w:rFonts w:ascii="Times New Roman" w:eastAsia="Times New Roman" w:hAnsi="Times New Roman" w:cs="Times New Roman"/>
          <w:color w:val="000000"/>
          <w:sz w:val="16"/>
          <w:szCs w:val="16"/>
          <w:lang w:val="kk-KZ" w:eastAsia="zh-CN"/>
        </w:rPr>
      </w:pPr>
    </w:p>
    <w:p w:rsidR="005118AF" w:rsidRDefault="00EF60C3">
      <w:pPr>
        <w:spacing w:after="0" w:line="240" w:lineRule="auto"/>
        <w:ind w:firstLine="709"/>
        <w:jc w:val="both"/>
        <w:rPr>
          <w:rFonts w:ascii="Times New Roman" w:eastAsia="Times New Roman" w:hAnsi="Times New Roman" w:cs="Times New Roman"/>
          <w:color w:val="000000"/>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w:t>
      </w:r>
      <w:r>
        <w:rPr>
          <w:rFonts w:ascii="Times New Roman" w:eastAsia="Times New Roman" w:hAnsi="Times New Roman" w:cs="Times New Roman"/>
          <w:color w:val="000000"/>
          <w:sz w:val="24"/>
          <w:szCs w:val="24"/>
          <w:lang w:val="kk-KZ" w:eastAsia="zh-CN"/>
        </w:rPr>
        <w:t xml:space="preserve"> [48]</w: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eastAsia="zh-CN"/>
        </w:rPr>
      </w:pP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«Ішкі функционалдық ынтымақтастыққа» келетін болсақ, бұл әдетте ортақ мүдделері бар қандай да бір мақсатқа қол жеткізу үшін бірге жұмыс істйтін әртүрді пәндер мен функционалық салалардың адамдарынан құралған ынтымақтастыққа қатысты айтылады. Қоғамның әртүр</w:t>
      </w:r>
      <w:r>
        <w:rPr>
          <w:rFonts w:ascii="Times New Roman" w:eastAsia="Times New Roman" w:hAnsi="Times New Roman" w:cs="Times New Roman"/>
          <w:color w:val="000000"/>
          <w:sz w:val="28"/>
          <w:szCs w:val="28"/>
          <w:lang w:val="kk-KZ" w:eastAsia="zh-CN"/>
        </w:rPr>
        <w:t>лі ортасының адамдарынан құралған жағдай келіп түскен білімдер мен ақпараттың бұрыннан белгілі нәрсемен байланыстыру ықтималдығын арттырады және сол арқылы ассимиляциялық қабілеттіліктер көбейеді. Сол сияқты, көп функционалды тәжірибесі бар адамдар әртүрлі</w:t>
      </w:r>
      <w:r>
        <w:rPr>
          <w:rFonts w:ascii="Times New Roman" w:eastAsia="Times New Roman" w:hAnsi="Times New Roman" w:cs="Times New Roman"/>
          <w:color w:val="000000"/>
          <w:sz w:val="28"/>
          <w:szCs w:val="28"/>
          <w:lang w:val="kk-KZ" w:eastAsia="zh-CN"/>
        </w:rPr>
        <w:t xml:space="preserve"> сыртқы тараптармен байланыс орнатуда және қарым-қатынаста шеберлік танытуы мүмкін. Ал инновацияларды зерттеу мен ақпаратты өңдеудің жоғары талаптарын қанағаттандыру үшін компанияларды құрылымдау кезінде функционалдық ынтымақтастық орнату қажет. Мұндай жағ</w:t>
      </w:r>
      <w:r>
        <w:rPr>
          <w:rFonts w:ascii="Times New Roman" w:eastAsia="Times New Roman" w:hAnsi="Times New Roman" w:cs="Times New Roman"/>
          <w:color w:val="000000"/>
          <w:sz w:val="28"/>
          <w:szCs w:val="28"/>
          <w:lang w:val="kk-KZ" w:eastAsia="zh-CN"/>
        </w:rPr>
        <w:t xml:space="preserve">дайда инновациялық процестің орталығы кәсіпорын ішінде болады, бірақ оған қатысты сыртқы қатысушылардың саны да жоғары болуы мүмкін.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«R&amp;D альянстары» оған қатысатын кәсіпорындарға артықшылықпен қатар кемшіліктер ұсынады: бір жағынан, бұл сыртқы ресурстард</w:t>
      </w:r>
      <w:r>
        <w:rPr>
          <w:rFonts w:ascii="Times New Roman" w:eastAsia="Times New Roman" w:hAnsi="Times New Roman" w:cs="Times New Roman"/>
          <w:color w:val="000000"/>
          <w:sz w:val="28"/>
          <w:szCs w:val="28"/>
          <w:lang w:val="kk-KZ" w:eastAsia="zh-CN"/>
        </w:rPr>
        <w:t>ы өз мақсаттары үшін тікелей және жүйелі түрде пайдалануға мүмкіндік береді. Осылайша, егер фирмада өз ресурстарын толықтыратын және іздеген инновацияға қатысы бар серіктес болса, ынтымақтастық әлдеқайда тиімді және жемісті болады. Екінші жағынан, бұл алья</w:t>
      </w:r>
      <w:r>
        <w:rPr>
          <w:rFonts w:ascii="Times New Roman" w:eastAsia="Times New Roman" w:hAnsi="Times New Roman" w:cs="Times New Roman"/>
          <w:color w:val="000000"/>
          <w:sz w:val="28"/>
          <w:szCs w:val="28"/>
          <w:lang w:val="kk-KZ" w:eastAsia="zh-CN"/>
        </w:rPr>
        <w:t xml:space="preserve">нстар транзакциялық шығындармен сипатталады, әсіресе әр түрлі қатысушы тараптардың қызметін үйлестіру, басқару және бақылау үшін шығындармен байланысты.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Соңғысы, «жаппай ынтымақтастық» ынтмақтастық субъектілерінің саны көп және инновациялық процестің орта</w:t>
      </w:r>
      <w:r>
        <w:rPr>
          <w:rFonts w:ascii="Times New Roman" w:eastAsia="Times New Roman" w:hAnsi="Times New Roman" w:cs="Times New Roman"/>
          <w:color w:val="000000"/>
          <w:sz w:val="28"/>
          <w:szCs w:val="28"/>
          <w:lang w:val="kk-KZ" w:eastAsia="zh-CN"/>
        </w:rPr>
        <w:t>лығы компаниядан тыс болған кезде пайда болады. Мұны ашық инновация идеяларының жалғасы ретінде қарастыруға болады. Жаппай ынтымақтастықтың мысалдары көп жағдайда идея ұйымның тасымалдаушысы және фокусы болып табылатын, төменнен жоғары қарай қозғалатын көб</w:t>
      </w:r>
      <w:r>
        <w:rPr>
          <w:rFonts w:ascii="Times New Roman" w:eastAsia="Times New Roman" w:hAnsi="Times New Roman" w:cs="Times New Roman"/>
          <w:color w:val="000000"/>
          <w:sz w:val="28"/>
          <w:szCs w:val="28"/>
          <w:lang w:val="kk-KZ" w:eastAsia="zh-CN"/>
        </w:rPr>
        <w:t>інесе өзіндігінен ұйымдастырылған қозғалыс түрінде қалыптасуы мүмкін. Әдетте пайдаланушылар форум модераторлары, техникалық платформаларды бірлесіп жасаушылар немесе қоғамдастықтың басқа мүшелері ұсынған материалдарды сүзгіден өткізуші сияқты ұйымдағы әртү</w:t>
      </w:r>
      <w:r>
        <w:rPr>
          <w:rFonts w:ascii="Times New Roman" w:eastAsia="Times New Roman" w:hAnsi="Times New Roman" w:cs="Times New Roman"/>
          <w:color w:val="000000"/>
          <w:sz w:val="28"/>
          <w:szCs w:val="28"/>
          <w:lang w:val="kk-KZ" w:eastAsia="zh-CN"/>
        </w:rPr>
        <w:t xml:space="preserve">рлі тапсырмаларды орындайды.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Осылайша, ашық инновациялар моделі бүгінгі таңда кәсіпорынға инновацияларды қалай енгізуге болатындығын терең түсінуге мүмкіндік береді. Ашық инновациялар моделі биофармацевтикалық өнеркәсіп сияқты жоғары технологиялық салада</w:t>
      </w:r>
      <w:r>
        <w:rPr>
          <w:rFonts w:ascii="Times New Roman" w:eastAsia="Times New Roman" w:hAnsi="Times New Roman" w:cs="Times New Roman"/>
          <w:color w:val="000000"/>
          <w:sz w:val="28"/>
          <w:szCs w:val="28"/>
          <w:lang w:val="kk-KZ" w:eastAsia="zh-CN"/>
        </w:rPr>
        <w:t>н бастап, автомобиль өнеркәсібі, құю секторы сияқты жетілген немесе орташа-төмен технологиялық салалар мен секторларға таралған. Өндірістік секторда ашық инновацияларды енгізу бойынша жүргізілген зерттеулердің қатарында тамақ өнеркәсібіне бағытталған зертт</w:t>
      </w:r>
      <w:r>
        <w:rPr>
          <w:rFonts w:ascii="Times New Roman" w:eastAsia="Times New Roman" w:hAnsi="Times New Roman" w:cs="Times New Roman"/>
          <w:color w:val="000000"/>
          <w:sz w:val="28"/>
          <w:szCs w:val="28"/>
          <w:lang w:val="kk-KZ" w:eastAsia="zh-CN"/>
        </w:rPr>
        <w:t xml:space="preserve">еулер ағыны артып келеді. Осы ағын және ашық инновациялар қолданылған өзге де дәлелденген контекстілер ашық инновациялар тұжырымдамасының жаңа перспектива ретіндегі зерттеудің негізділігін талқылауға ықпал етеді. </w:t>
      </w:r>
    </w:p>
    <w:p w:rsidR="005118AF" w:rsidRDefault="00EF60C3">
      <w:pPr>
        <w:tabs>
          <w:tab w:val="left" w:pos="851"/>
        </w:tabs>
        <w:spacing w:after="0" w:line="240" w:lineRule="auto"/>
        <w:ind w:firstLine="709"/>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Тамақ өнеркәсібі еліміздің ірі өнеркәсіпті</w:t>
      </w:r>
      <w:r>
        <w:rPr>
          <w:rFonts w:ascii="Times New Roman" w:hAnsi="Times New Roman" w:cs="Times New Roman"/>
          <w:sz w:val="28"/>
          <w:szCs w:val="28"/>
          <w:lang w:val="kk-KZ" w:eastAsia="zh-CN"/>
        </w:rPr>
        <w:t>к секторы болып табылады және өзінің үлкен экономикалық өнімділігі мен жұмысбастылық бойынша маңызды рөл атқаруына байланысты экономиканың маңызды драйвері болып саналады. Еліміздің тамақ өнеркәсібі елдің азық-түлік қауіпсіздігін қамтамасыз етуі және әлемд</w:t>
      </w:r>
      <w:r>
        <w:rPr>
          <w:rFonts w:ascii="Times New Roman" w:hAnsi="Times New Roman" w:cs="Times New Roman"/>
          <w:sz w:val="28"/>
          <w:szCs w:val="28"/>
          <w:lang w:val="kk-KZ" w:eastAsia="zh-CN"/>
        </w:rPr>
        <w:t xml:space="preserve">ік кеңістіктегі бәсекеге қабілеттілігін артыруы үшін қоғамда орын алып жатқан тамақ өнімдерін өндіру мен жылжытудағы техникалық және экономикалық өзгерістерге жауап беруі қажет. Бұл аталған өзгерістер ауыл шаруашылығы өндірісінен бастап, тамақ өнімдерінің </w:t>
      </w:r>
      <w:r>
        <w:rPr>
          <w:rFonts w:ascii="Times New Roman" w:hAnsi="Times New Roman" w:cs="Times New Roman"/>
          <w:sz w:val="28"/>
          <w:szCs w:val="28"/>
          <w:lang w:val="kk-KZ" w:eastAsia="zh-CN"/>
        </w:rPr>
        <w:t>өндірісі</w:t>
      </w:r>
      <w:r>
        <w:rPr>
          <w:rFonts w:ascii="Times New Roman" w:hAnsi="Times New Roman" w:cs="Times New Roman"/>
          <w:sz w:val="28"/>
          <w:szCs w:val="28"/>
          <w:lang w:val="kk-KZ" w:eastAsia="zh-CN"/>
        </w:rPr>
        <w:t>, сондай-ақ оларды соңғы тұтынушыға дейін жеткізуді қамтитын тұтас өндірістік шынжырды бойлай жалғасады. Сәйкесінше, инновациялар сала кәсіпорындарының бәсекеге қабілеттілігін арттыратын маңызды факторлардың бірі болып табылады.</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Осы уақытқа дейін а</w:t>
      </w:r>
      <w:r>
        <w:rPr>
          <w:rFonts w:ascii="Times New Roman" w:eastAsia="Times New Roman" w:hAnsi="Times New Roman" w:cs="Times New Roman"/>
          <w:color w:val="000000"/>
          <w:sz w:val="28"/>
          <w:szCs w:val="28"/>
          <w:lang w:val="kk-KZ" w:eastAsia="zh-CN"/>
        </w:rPr>
        <w:t xml:space="preserve">шық инновациялар ақпараттық, білім және коммуникация салалары сияқты қарқынды дамып келе жатқан, техникалық талабы қатаң салалармен кеңінен байланыстырылып келді, себебі олар басқа салалармен салыстырғанда көбірек инновацияларды қажет етеді деп есептелді. </w:t>
      </w:r>
      <w:r>
        <w:rPr>
          <w:rFonts w:ascii="Times New Roman" w:eastAsia="Times New Roman" w:hAnsi="Times New Roman" w:cs="Times New Roman"/>
          <w:color w:val="000000"/>
          <w:sz w:val="28"/>
          <w:szCs w:val="28"/>
          <w:lang w:val="kk-KZ" w:eastAsia="zh-CN"/>
        </w:rPr>
        <w:t>Ал тамақ өнеркәсібі біршама жетілген сала болып табылады, сонымен қатар ол ҒЗТКЖ-ға аз шығын жұмсауымен сипатталады. Бұл сектордың соңғы тұтынушылары, негізінен, қауіпсіздік критерийлерінің сақталуымен қатар, олардың тамақ өнімдерін тұтыну құрамын өзгертет</w:t>
      </w:r>
      <w:r>
        <w:rPr>
          <w:rFonts w:ascii="Times New Roman" w:eastAsia="Times New Roman" w:hAnsi="Times New Roman" w:cs="Times New Roman"/>
          <w:color w:val="000000"/>
          <w:sz w:val="28"/>
          <w:szCs w:val="28"/>
          <w:lang w:val="kk-KZ" w:eastAsia="zh-CN"/>
        </w:rPr>
        <w:t xml:space="preserve">ін ерекше, жаңа өнімдерді қабылдауға келгенде өте сақ келеді. Сол себепті азық-түлік өнімдері мен технологиялық процесті ойлап табу өте күрделі процесс болып табылады.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Соңғы уақытта бүкіл әлем бойынша тамақ өнеркәсібінде компаниялардың тұтынушалардың тала</w:t>
      </w:r>
      <w:r>
        <w:rPr>
          <w:rFonts w:ascii="Times New Roman" w:eastAsia="Times New Roman" w:hAnsi="Times New Roman" w:cs="Times New Roman"/>
          <w:color w:val="000000"/>
          <w:sz w:val="28"/>
          <w:szCs w:val="28"/>
          <w:lang w:val="kk-KZ" w:eastAsia="zh-CN"/>
        </w:rPr>
        <w:t>птарына назар аудару және олардың талаптарына сай келетін өнімдер өндірісіне бағытталу сияқты тенденцияны аңғаруға болады. Қазіргі тұтынушылар талғамдары әртүрлі, сондай-ақ денсаулық пен диетаға деген қамқорлығының артуы себепті тұтынушылар өздерінің диета</w:t>
      </w:r>
      <w:r>
        <w:rPr>
          <w:rFonts w:ascii="Times New Roman" w:eastAsia="Times New Roman" w:hAnsi="Times New Roman" w:cs="Times New Roman"/>
          <w:color w:val="000000"/>
          <w:sz w:val="28"/>
          <w:szCs w:val="28"/>
          <w:lang w:val="kk-KZ" w:eastAsia="zh-CN"/>
        </w:rPr>
        <w:t>лық нұсқаулықтарына сәйкес келетін өнімдерді талап етеді. Мұндай өсіп келе жатқан талаптар өндірісті қайта бағдарлау немесе кем дегенде жаңа бәсекелестікке ілесуге көмектесетін жаңа инновациялық шешімдер мен технологияларды енгізуді талап етеді. Ашық иннов</w:t>
      </w:r>
      <w:r>
        <w:rPr>
          <w:rFonts w:ascii="Times New Roman" w:eastAsia="Times New Roman" w:hAnsi="Times New Roman" w:cs="Times New Roman"/>
          <w:color w:val="000000"/>
          <w:sz w:val="28"/>
          <w:szCs w:val="28"/>
          <w:lang w:val="kk-KZ" w:eastAsia="zh-CN"/>
        </w:rPr>
        <w:t>ация моделін енгізу нарыққа шығу шығындары мен уақытты азайту, сондай-ақ кәсіпорынның қоршаған ортаға және азық-түлік қауіпсіздігіне әсері үшін маңыздылығы туралы әдебиетте көптеген мысалдар келтірілген.</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Тұтынушыға бағытталған ашық инновациялық стратегия д</w:t>
      </w:r>
      <w:r>
        <w:rPr>
          <w:rFonts w:ascii="Times New Roman" w:eastAsia="Times New Roman" w:hAnsi="Times New Roman" w:cs="Times New Roman"/>
          <w:color w:val="000000"/>
          <w:sz w:val="28"/>
          <w:szCs w:val="28"/>
          <w:lang w:val="kk-KZ" w:eastAsia="zh-CN"/>
        </w:rPr>
        <w:t>енсаулыққа пайдалы тағамдарды тұтынуға ынталандырудың жаңа мүмкіндіктерін ұсына алады. Бұл ретте тұтынушылар инновациялық процесте маңызды рөл атқарып, клиенттердің қажеттіліктерін анықтауға көмектесе алады. Сәйкесінше, тамақ өнімдерін сақтау мен биотехнол</w:t>
      </w:r>
      <w:r>
        <w:rPr>
          <w:rFonts w:ascii="Times New Roman" w:eastAsia="Times New Roman" w:hAnsi="Times New Roman" w:cs="Times New Roman"/>
          <w:color w:val="000000"/>
          <w:sz w:val="28"/>
          <w:szCs w:val="28"/>
          <w:lang w:val="kk-KZ" w:eastAsia="zh-CN"/>
        </w:rPr>
        <w:t xml:space="preserve">огия саласындағы жаңа технологиялар тұтынушылардың қажеттілігін қанағаттандыру үшін тамақ өнеркәсібінде қолдануға болатын үлкен мүмкіндік болып табылады.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Осылайша, ашық инновациялар азық-түлік өндірісіне байланысты қандай да бір нақты ғылым салаларында қо</w:t>
      </w:r>
      <w:r>
        <w:rPr>
          <w:rFonts w:ascii="Times New Roman" w:eastAsia="Times New Roman" w:hAnsi="Times New Roman" w:cs="Times New Roman"/>
          <w:color w:val="000000"/>
          <w:sz w:val="28"/>
          <w:szCs w:val="28"/>
          <w:lang w:val="kk-KZ" w:eastAsia="zh-CN"/>
        </w:rPr>
        <w:t>л жеткізілген ортақ білімдерді қолдану үшін компаниялардың бірігуі нәтижесінде қалыптасады. Себебі, компаниялар өндірістік процестерде қолданылатын ортақ білімдер және дағдылармен бөлісу ұзақ мерзімді болашақта ұйымның өз ішінде ғылыми-зерттеу жұмыстарын ж</w:t>
      </w:r>
      <w:r>
        <w:rPr>
          <w:rFonts w:ascii="Times New Roman" w:eastAsia="Times New Roman" w:hAnsi="Times New Roman" w:cs="Times New Roman"/>
          <w:color w:val="000000"/>
          <w:sz w:val="28"/>
          <w:szCs w:val="28"/>
          <w:lang w:val="kk-KZ" w:eastAsia="zh-CN"/>
        </w:rPr>
        <w:t xml:space="preserve">үргізумен салыстырғанда шығыны айтарлықтай аз болатынын түсінді. </w:t>
      </w:r>
    </w:p>
    <w:p w:rsidR="005118AF" w:rsidRDefault="00EF60C3">
      <w:pPr>
        <w:tabs>
          <w:tab w:val="left" w:pos="851"/>
        </w:tabs>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Әдебиеттерде ашық инновациялардың тамақ өнеркәсібінде қолданылуы туралы бірнеше үлгілері кездеседі:</w:t>
      </w:r>
    </w:p>
    <w:p w:rsidR="005118AF" w:rsidRDefault="00EF60C3">
      <w:pPr>
        <w:tabs>
          <w:tab w:val="left" w:pos="851"/>
        </w:tabs>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i/>
          <w:iCs/>
          <w:color w:val="000000"/>
          <w:sz w:val="28"/>
          <w:szCs w:val="28"/>
          <w:lang w:val="kk-KZ" w:eastAsia="zh-CN"/>
        </w:rPr>
        <w:t>«Connect and Develop» моделі</w:t>
      </w:r>
      <w:r>
        <w:rPr>
          <w:rFonts w:ascii="Times New Roman" w:eastAsia="Times New Roman" w:hAnsi="Times New Roman"/>
          <w:color w:val="000000"/>
          <w:sz w:val="28"/>
          <w:szCs w:val="28"/>
          <w:lang w:val="kk-KZ" w:eastAsia="zh-CN"/>
        </w:rPr>
        <w:t>. 2006 жылы Хьюстон және Саккабпен ұсынылған. Бұл модельде шешімі табылуы қажет мәселелер анықталады, сосын сол мәселенің әлемде біреулерде шешімінің бар-жоғын білу үшін барлық мүмкін жолдарды, желілерді, жабдықтаушылар, ғалымдарды және т.б. тарта отырып а</w:t>
      </w:r>
      <w:r>
        <w:rPr>
          <w:rFonts w:ascii="Times New Roman" w:eastAsia="Times New Roman" w:hAnsi="Times New Roman"/>
          <w:color w:val="000000"/>
          <w:sz w:val="28"/>
          <w:szCs w:val="28"/>
          <w:lang w:val="kk-KZ" w:eastAsia="zh-CN"/>
        </w:rPr>
        <w:t xml:space="preserve">нықталады және қолданылады [49].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i/>
          <w:color w:val="000000"/>
          <w:sz w:val="28"/>
          <w:szCs w:val="28"/>
          <w:lang w:val="kk-KZ" w:eastAsia="zh-CN"/>
        </w:rPr>
        <w:t>"</w:t>
      </w:r>
      <w:r>
        <w:rPr>
          <w:rFonts w:ascii="Times New Roman" w:eastAsia="Times New Roman" w:hAnsi="Times New Roman"/>
          <w:i/>
          <w:color w:val="000000"/>
          <w:sz w:val="28"/>
          <w:szCs w:val="28"/>
          <w:lang w:val="kk-KZ" w:eastAsia="zh-CN"/>
        </w:rPr>
        <w:t>Sharing is Winning</w:t>
      </w:r>
      <w:r>
        <w:rPr>
          <w:rFonts w:ascii="Times New Roman" w:eastAsia="Times New Roman" w:hAnsi="Times New Roman" w:cs="Times New Roman"/>
          <w:i/>
          <w:color w:val="000000"/>
          <w:sz w:val="28"/>
          <w:szCs w:val="28"/>
          <w:lang w:val="kk-KZ" w:eastAsia="zh-CN"/>
        </w:rPr>
        <w:t>" Моделі.</w:t>
      </w:r>
      <w:r>
        <w:rPr>
          <w:rFonts w:ascii="Times New Roman" w:eastAsia="Times New Roman" w:hAnsi="Times New Roman" w:cs="Times New Roman"/>
          <w:color w:val="000000"/>
          <w:sz w:val="28"/>
          <w:szCs w:val="28"/>
          <w:lang w:val="kk-KZ" w:eastAsia="zh-CN"/>
        </w:rPr>
        <w:t xml:space="preserve"> "</w:t>
      </w:r>
      <w:r>
        <w:rPr>
          <w:rFonts w:ascii="Times New Roman" w:eastAsia="Times New Roman" w:hAnsi="Times New Roman"/>
          <w:color w:val="000000"/>
          <w:sz w:val="28"/>
          <w:szCs w:val="28"/>
          <w:lang w:val="kk-KZ" w:eastAsia="zh-CN"/>
        </w:rPr>
        <w:t>Sharing is Winning</w:t>
      </w:r>
      <w:r>
        <w:rPr>
          <w:rFonts w:ascii="Times New Roman" w:eastAsia="Times New Roman" w:hAnsi="Times New Roman" w:cs="Times New Roman"/>
          <w:color w:val="000000"/>
          <w:sz w:val="28"/>
          <w:szCs w:val="28"/>
          <w:lang w:val="kk-KZ" w:eastAsia="zh-CN"/>
        </w:rPr>
        <w:t>"</w:t>
      </w:r>
      <w:r>
        <w:rPr>
          <w:rFonts w:ascii="Times New Roman" w:eastAsia="Times New Roman" w:hAnsi="Times New Roman" w:cs="Times New Roman"/>
          <w:color w:val="000000"/>
          <w:sz w:val="28"/>
          <w:szCs w:val="28"/>
          <w:lang w:val="kk-KZ" w:eastAsia="zh-CN"/>
        </w:rPr>
        <w:t xml:space="preserve"> (ағыл. «Бөлісу және Жеңу») моделі ең алғаш рет 2009 жылы Трейтлер және Сагуи атты ғалымдармен ұсынылған. Бастапқыда ол тамақ өнеркәсібі кәсіпорындары үшн әзірленген болатын, кейін басқа да салаларға таратылды. Бұл модель инновациялық процеске қатысатын ба</w:t>
      </w:r>
      <w:r>
        <w:rPr>
          <w:rFonts w:ascii="Times New Roman" w:eastAsia="Times New Roman" w:hAnsi="Times New Roman" w:cs="Times New Roman"/>
          <w:color w:val="000000"/>
          <w:sz w:val="28"/>
          <w:szCs w:val="28"/>
          <w:lang w:val="kk-KZ" w:eastAsia="zh-CN"/>
        </w:rPr>
        <w:t>рлық мүдделі тараптарға оң нәтиже алып келетін ортақ инновацияларды жүзеге асыруға бағытталады. Модель негізгі үш мақсатқа қол жеткізуді көздейді: біріншіден, шынжыр бойында құндылық қалыптастыру; екіншіден, қарым-қатынас қалыптастыру және ізгілік ниет біл</w:t>
      </w:r>
      <w:r>
        <w:rPr>
          <w:rFonts w:ascii="Times New Roman" w:eastAsia="Times New Roman" w:hAnsi="Times New Roman" w:cs="Times New Roman"/>
          <w:color w:val="000000"/>
          <w:sz w:val="28"/>
          <w:szCs w:val="28"/>
          <w:lang w:val="kk-KZ" w:eastAsia="zh-CN"/>
        </w:rPr>
        <w:t>діру; үшіншіден, бір-біріне деген сенімділікті қалыптастыру және басқалардың құрметіне ие болу. Альянстар, серіктестік және біріккен кәсіпорын құру арқылы бірігуге негізделген ынтымақтастық ортақ нәтижеге жету үшін өте маңызды болып табылады [44, р. 311-31</w:t>
      </w:r>
      <w:r>
        <w:rPr>
          <w:rFonts w:ascii="Times New Roman" w:eastAsia="Times New Roman" w:hAnsi="Times New Roman" w:cs="Times New Roman"/>
          <w:color w:val="000000"/>
          <w:sz w:val="28"/>
          <w:szCs w:val="28"/>
          <w:lang w:val="kk-KZ" w:eastAsia="zh-CN"/>
        </w:rPr>
        <w:t xml:space="preserve">5]. Модельден көріп отырғанымыздай, бірлескен дамудың үш деңгейі бар. Бұлар: </w:t>
      </w:r>
    </w:p>
    <w:p w:rsidR="005118AF" w:rsidRDefault="00EF60C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 университеттер мен басқа да ғылыми-зерттеу ұйымдары;</w:t>
      </w:r>
    </w:p>
    <w:p w:rsidR="005118AF" w:rsidRDefault="00EF60C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 стартаптар мен инвесторлар;</w:t>
      </w:r>
    </w:p>
    <w:p w:rsidR="005118AF" w:rsidRDefault="00EF60C3">
      <w:pPr>
        <w:numPr>
          <w:ilvl w:val="0"/>
          <w:numId w:val="11"/>
        </w:numPr>
        <w:tabs>
          <w:tab w:val="left" w:pos="851"/>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 негізгі жабдықтаушылардың белгілі бір саны.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Үш деңгейдің бірінде кез-келген ынтымақтастықты б</w:t>
      </w:r>
      <w:r>
        <w:rPr>
          <w:rFonts w:ascii="Times New Roman" w:eastAsia="Times New Roman" w:hAnsi="Times New Roman" w:cs="Times New Roman"/>
          <w:color w:val="000000"/>
          <w:sz w:val="28"/>
          <w:szCs w:val="28"/>
          <w:lang w:val="kk-KZ" w:eastAsia="zh-CN"/>
        </w:rPr>
        <w:t>астау үшін шешім іздеуші әлеуетті шешімді жеткізушісіне өзінің нақты қажеттіліктері мен талаптары туралы хабарлауы керек. Сондықтан стратегиялық серіктестермен қандай да бір қажеттіліктер, олқылықтар немесе талаптар туралы ашық және адал талқылану керек [5</w:t>
      </w:r>
      <w:r>
        <w:rPr>
          <w:rFonts w:ascii="Times New Roman" w:eastAsia="Times New Roman" w:hAnsi="Times New Roman" w:cs="Times New Roman"/>
          <w:color w:val="000000"/>
          <w:sz w:val="28"/>
          <w:szCs w:val="28"/>
          <w:lang w:val="kk-KZ" w:eastAsia="zh-CN"/>
        </w:rPr>
        <w:t xml:space="preserve">0]. </w:t>
      </w:r>
    </w:p>
    <w:p w:rsidR="005118AF" w:rsidRDefault="00EF60C3">
      <w:pPr>
        <w:tabs>
          <w:tab w:val="left" w:pos="851"/>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i/>
          <w:color w:val="000000"/>
          <w:sz w:val="28"/>
          <w:szCs w:val="28"/>
          <w:lang w:val="kk-KZ" w:eastAsia="zh-CN"/>
        </w:rPr>
        <w:t>“Маңызды қадамдар” жол картасы</w:t>
      </w:r>
      <w:r>
        <w:rPr>
          <w:rFonts w:ascii="Times New Roman" w:eastAsia="Times New Roman" w:hAnsi="Times New Roman" w:cs="Times New Roman"/>
          <w:color w:val="000000"/>
          <w:sz w:val="28"/>
          <w:szCs w:val="28"/>
          <w:lang w:val="kk-KZ" w:eastAsia="zh-CN"/>
        </w:rPr>
        <w:t>. Трейтлер және Сагуи "</w:t>
      </w:r>
      <w:r>
        <w:rPr>
          <w:rFonts w:ascii="Times New Roman" w:eastAsia="Times New Roman" w:hAnsi="Times New Roman"/>
          <w:color w:val="000000"/>
          <w:sz w:val="28"/>
          <w:szCs w:val="28"/>
          <w:lang w:val="kk-KZ" w:eastAsia="zh-CN"/>
        </w:rPr>
        <w:t>Sharing is Winning</w:t>
      </w:r>
      <w:r>
        <w:rPr>
          <w:rFonts w:ascii="Times New Roman" w:eastAsia="Times New Roman" w:hAnsi="Times New Roman" w:cs="Times New Roman"/>
          <w:color w:val="000000"/>
          <w:sz w:val="28"/>
          <w:szCs w:val="28"/>
          <w:lang w:val="kk-KZ" w:eastAsia="zh-CN"/>
        </w:rPr>
        <w:t xml:space="preserve">" моделінің сәтті енгізілуіне арналған маңызды қадамдары анықталған жол картасын әзірледі. Ірі және танымал </w:t>
      </w:r>
      <w:r>
        <w:rPr>
          <w:rFonts w:ascii="Times New Roman" w:eastAsia="Times New Roman" w:hAnsi="Times New Roman"/>
          <w:color w:val="000000"/>
          <w:sz w:val="28"/>
          <w:szCs w:val="28"/>
          <w:lang w:val="kk-KZ" w:eastAsia="zh-CN"/>
        </w:rPr>
        <w:t xml:space="preserve">Nestlé </w:t>
      </w:r>
      <w:r>
        <w:rPr>
          <w:rFonts w:ascii="Times New Roman" w:eastAsia="Times New Roman" w:hAnsi="Times New Roman" w:cs="Times New Roman"/>
          <w:color w:val="000000"/>
          <w:sz w:val="28"/>
          <w:szCs w:val="28"/>
          <w:lang w:val="kk-KZ" w:eastAsia="zh-CN"/>
        </w:rPr>
        <w:t>тамақ өндіруші үшін жасалған бұл жол картасы төмендегідей 5 қадам</w:t>
      </w:r>
      <w:r>
        <w:rPr>
          <w:rFonts w:ascii="Times New Roman" w:eastAsia="Times New Roman" w:hAnsi="Times New Roman" w:cs="Times New Roman"/>
          <w:color w:val="000000"/>
          <w:sz w:val="28"/>
          <w:szCs w:val="28"/>
          <w:lang w:val="kk-KZ" w:eastAsia="zh-CN"/>
        </w:rPr>
        <w:t>нан тұрды:</w:t>
      </w:r>
    </w:p>
    <w:p w:rsidR="005118AF" w:rsidRDefault="00EF60C3">
      <w:pPr>
        <w:numPr>
          <w:ilvl w:val="0"/>
          <w:numId w:val="12"/>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серіктесті таңдау;</w:t>
      </w:r>
    </w:p>
    <w:p w:rsidR="005118AF" w:rsidRDefault="00EF60C3">
      <w:pPr>
        <w:numPr>
          <w:ilvl w:val="0"/>
          <w:numId w:val="12"/>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зияткерлік меншікті бірлесіп қалыптастыру;</w:t>
      </w:r>
    </w:p>
    <w:p w:rsidR="005118AF" w:rsidRDefault="00EF60C3">
      <w:pPr>
        <w:numPr>
          <w:ilvl w:val="0"/>
          <w:numId w:val="12"/>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бірлескен шығармашылық мәселелерді шешетін топтар;</w:t>
      </w:r>
    </w:p>
    <w:p w:rsidR="005118AF" w:rsidRDefault="00EF60C3">
      <w:pPr>
        <w:numPr>
          <w:ilvl w:val="0"/>
          <w:numId w:val="12"/>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ең үздік тәжірибелерді енгізу;</w:t>
      </w:r>
    </w:p>
    <w:p w:rsidR="005118AF" w:rsidRDefault="00EF60C3">
      <w:pPr>
        <w:numPr>
          <w:ilvl w:val="0"/>
          <w:numId w:val="12"/>
        </w:numPr>
        <w:tabs>
          <w:tab w:val="left" w:pos="851"/>
          <w:tab w:val="left" w:pos="993"/>
        </w:tabs>
        <w:spacing w:after="0" w:line="240" w:lineRule="auto"/>
        <w:ind w:left="0" w:firstLine="709"/>
        <w:contextualSpacing/>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адамдарға, олардың мінез-құлқына, ой-өлшемдеріне, мәдениетіне және біліміне әсер ететін тұрақты және </w:t>
      </w:r>
      <w:r>
        <w:rPr>
          <w:rFonts w:ascii="Times New Roman" w:eastAsia="Times New Roman" w:hAnsi="Times New Roman" w:cs="Times New Roman"/>
          <w:color w:val="000000"/>
          <w:sz w:val="28"/>
          <w:szCs w:val="28"/>
          <w:lang w:val="kk-KZ" w:eastAsia="zh-CN"/>
        </w:rPr>
        <w:t>үздіксіз процестер</w:t>
      </w:r>
      <w:r>
        <w:rPr>
          <w:rFonts w:ascii="Times New Roman" w:eastAsia="Times New Roman" w:hAnsi="Times New Roman"/>
          <w:color w:val="000000"/>
          <w:sz w:val="28"/>
          <w:szCs w:val="28"/>
          <w:lang w:val="kk-KZ" w:eastAsia="zh-CN"/>
        </w:rPr>
        <w:t xml:space="preserve"> [51]. </w:t>
      </w:r>
    </w:p>
    <w:p w:rsidR="005118AF" w:rsidRDefault="00EF60C3">
      <w:pPr>
        <w:tabs>
          <w:tab w:val="left" w:pos="851"/>
        </w:tabs>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SiW моделін енгізу бірқатар тәуекелдермен қатар, пайда алып келетіндей оң нәтижелерге де ие. Бұндай артықшылықтардың қатарына – білікті және талантты қызметкерлер және сарапшылармен әріптестік жасау, сонымен қатар инновациялық процесті жеделдетуді жатқызуғ</w:t>
      </w:r>
      <w:r>
        <w:rPr>
          <w:rFonts w:ascii="Times New Roman" w:eastAsia="Times New Roman" w:hAnsi="Times New Roman"/>
          <w:color w:val="000000"/>
          <w:sz w:val="28"/>
          <w:szCs w:val="28"/>
          <w:lang w:val="kk-KZ" w:eastAsia="zh-CN"/>
        </w:rPr>
        <w:t>а болады [51, р. 16-25]. Осы аталғандарға қоса маңызды артықшылық – ол аванстық шығындардың айтарлықтай қысқару мүмкіндігі, себебі ресурстар бірнеше қатысушы тараптар арасында бөлінеді [52]. Әрине, SiW процесін қабылдау бірқатар кедергілерді тудыруы мүмкін</w:t>
      </w:r>
      <w:r>
        <w:rPr>
          <w:rFonts w:ascii="Times New Roman" w:eastAsia="Times New Roman" w:hAnsi="Times New Roman"/>
          <w:color w:val="000000"/>
          <w:sz w:val="28"/>
          <w:szCs w:val="28"/>
          <w:lang w:val="kk-KZ" w:eastAsia="zh-CN"/>
        </w:rPr>
        <w:t xml:space="preserve">. Ең бастысы, кез-келген компания зияткерлік меншіктің ерікті алмасуына қажетті ашық мәдениетті беруге дайын емес. Сонымен қатар, SiW процестеріне қатысатын фирмалар үшін сыртқы қатысушылармен ақпарат пен білім алмасу туралы шешім қабылдамас бұрын тәуекел </w:t>
      </w:r>
      <w:r>
        <w:rPr>
          <w:rFonts w:ascii="Times New Roman" w:eastAsia="Times New Roman" w:hAnsi="Times New Roman"/>
          <w:color w:val="000000"/>
          <w:sz w:val="28"/>
          <w:szCs w:val="28"/>
          <w:lang w:val="kk-KZ" w:eastAsia="zh-CN"/>
        </w:rPr>
        <w:t>мәселелерін қарастыру өте маңызды. Зияткерлік қорғауды қамтамасыз етудің бір тәсілі - құпиялылық туралы келісімге немесе серіктестіктің бұзылмайтынына кепілдік беретін басқа келісімдерге қол қою болып табылады (4-сурет). Nestle жағдайында SiW моделін қолда</w:t>
      </w:r>
      <w:r>
        <w:rPr>
          <w:rFonts w:ascii="Times New Roman" w:eastAsia="Times New Roman" w:hAnsi="Times New Roman"/>
          <w:color w:val="000000"/>
          <w:sz w:val="28"/>
          <w:szCs w:val="28"/>
          <w:lang w:val="kk-KZ" w:eastAsia="zh-CN"/>
        </w:rPr>
        <w:t xml:space="preserve">ну сәтті болды, себебі компания өзінің инновациялық және қайта жаңғыртылған каналдарының ауқымы мен жылдамдығын едәуір кеңейте алды [52, р. </w:t>
      </w:r>
      <w:r>
        <w:rPr>
          <w:rFonts w:ascii="Times New Roman" w:eastAsia="DengXian" w:hAnsi="Times New Roman" w:cs="Times New Roman"/>
          <w:sz w:val="28"/>
          <w:szCs w:val="28"/>
          <w:lang w:val="kk-KZ"/>
        </w:rPr>
        <w:t>R62-R67</w:t>
      </w:r>
      <w:r>
        <w:rPr>
          <w:rFonts w:ascii="Times New Roman" w:eastAsia="Times New Roman" w:hAnsi="Times New Roman"/>
          <w:color w:val="000000"/>
          <w:sz w:val="28"/>
          <w:szCs w:val="28"/>
          <w:lang w:val="kk-KZ" w:eastAsia="zh-CN"/>
        </w:rPr>
        <w:t>].</w:t>
      </w:r>
    </w:p>
    <w:p w:rsidR="005118AF" w:rsidRDefault="005118AF">
      <w:pPr>
        <w:tabs>
          <w:tab w:val="left" w:pos="851"/>
        </w:tabs>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tabs>
          <w:tab w:val="left" w:pos="851"/>
        </w:tabs>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tabs>
          <w:tab w:val="left" w:pos="851"/>
        </w:tabs>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tabs>
          <w:tab w:val="left" w:pos="851"/>
        </w:tabs>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tabs>
          <w:tab w:val="left" w:pos="851"/>
        </w:tabs>
        <w:spacing w:after="0" w:line="240" w:lineRule="auto"/>
        <w:ind w:firstLine="567"/>
        <w:jc w:val="both"/>
        <w:rPr>
          <w:rFonts w:ascii="Times New Roman" w:eastAsia="Times New Roman" w:hAnsi="Times New Roman"/>
          <w:color w:val="000000"/>
          <w:sz w:val="28"/>
          <w:szCs w:val="28"/>
          <w:lang w:val="kk-KZ" w:eastAsia="zh-CN"/>
        </w:rPr>
      </w:pPr>
    </w:p>
    <w:p w:rsidR="005118AF" w:rsidRDefault="00EF60C3">
      <w:pPr>
        <w:tabs>
          <w:tab w:val="left" w:pos="851"/>
        </w:tabs>
        <w:spacing w:after="0" w:line="240" w:lineRule="auto"/>
        <w:ind w:firstLine="567"/>
        <w:jc w:val="both"/>
        <w:rPr>
          <w:rFonts w:ascii="Times New Roman" w:eastAsia="Times New Roman" w:hAnsi="Times New Roman"/>
          <w:color w:val="000000"/>
          <w:sz w:val="28"/>
          <w:szCs w:val="28"/>
          <w:lang w:val="kk-KZ" w:eastAsia="zh-CN"/>
        </w:rPr>
      </w:pPr>
      <w:r>
        <w:rPr>
          <w:noProof/>
          <w:sz w:val="20"/>
          <w:szCs w:val="20"/>
        </w:rPr>
        <mc:AlternateContent>
          <mc:Choice Requires="wpg">
            <w:drawing>
              <wp:anchor distT="0" distB="0" distL="114300" distR="114300" simplePos="0" relativeHeight="251661312" behindDoc="0" locked="0" layoutInCell="1" allowOverlap="1">
                <wp:simplePos x="0" y="0"/>
                <wp:positionH relativeFrom="column">
                  <wp:posOffset>448945</wp:posOffset>
                </wp:positionH>
                <wp:positionV relativeFrom="paragraph">
                  <wp:posOffset>85725</wp:posOffset>
                </wp:positionV>
                <wp:extent cx="5230495" cy="3201035"/>
                <wp:effectExtent l="0" t="0" r="27305" b="18415"/>
                <wp:wrapNone/>
                <wp:docPr id="59" name="Группа 75"/>
                <wp:cNvGraphicFramePr/>
                <a:graphic xmlns:a="http://schemas.openxmlformats.org/drawingml/2006/main">
                  <a:graphicData uri="http://schemas.microsoft.com/office/word/2010/wordprocessingGroup">
                    <wpg:wgp>
                      <wpg:cNvGrpSpPr/>
                      <wpg:grpSpPr>
                        <a:xfrm>
                          <a:off x="0" y="0"/>
                          <a:ext cx="5230495" cy="3201035"/>
                          <a:chOff x="2116" y="6363"/>
                          <a:chExt cx="8237" cy="5041"/>
                        </a:xfrm>
                      </wpg:grpSpPr>
                      <wps:wsp>
                        <wps:cNvPr id="1937898900" name="AutoShape 18"/>
                        <wps:cNvSpPr>
                          <a:spLocks noChangeArrowheads="1"/>
                        </wps:cNvSpPr>
                        <wps:spPr bwMode="auto">
                          <a:xfrm>
                            <a:off x="3070" y="7374"/>
                            <a:ext cx="7283" cy="3299"/>
                          </a:xfrm>
                          <a:prstGeom prst="roundRect">
                            <a:avLst>
                              <a:gd name="adj" fmla="val 16667"/>
                            </a:avLst>
                          </a:prstGeom>
                          <a:solidFill>
                            <a:srgbClr val="FFFFFF"/>
                          </a:solidFill>
                          <a:ln w="19050">
                            <a:solidFill>
                              <a:srgbClr val="000000"/>
                            </a:solidFill>
                            <a:prstDash val="dash"/>
                            <a:round/>
                          </a:ln>
                        </wps:spPr>
                        <wps:bodyPr rot="0" vert="horz" wrap="square" lIns="91440" tIns="45720" rIns="91440" bIns="45720" anchor="t" anchorCtr="0" upright="1">
                          <a:noAutofit/>
                        </wps:bodyPr>
                      </wps:wsp>
                      <wps:wsp>
                        <wps:cNvPr id="1691645234" name="AutoShape 19"/>
                        <wps:cNvSpPr>
                          <a:spLocks noChangeArrowheads="1"/>
                        </wps:cNvSpPr>
                        <wps:spPr bwMode="auto">
                          <a:xfrm>
                            <a:off x="3388" y="8362"/>
                            <a:ext cx="2579" cy="1156"/>
                          </a:xfrm>
                          <a:prstGeom prst="chevron">
                            <a:avLst>
                              <a:gd name="adj" fmla="val 55774"/>
                            </a:avLst>
                          </a:prstGeom>
                          <a:solidFill>
                            <a:srgbClr val="FFFFFF"/>
                          </a:solidFill>
                          <a:ln w="9525">
                            <a:solidFill>
                              <a:srgbClr val="000000"/>
                            </a:solidFill>
                            <a:prstDash val="lgDash"/>
                            <a:miter lim="800000"/>
                          </a:ln>
                        </wps:spPr>
                        <wps:txbx>
                          <w:txbxContent>
                            <w:p w:rsidR="005118AF" w:rsidRDefault="005118AF">
                              <w:pPr>
                                <w:spacing w:after="0" w:line="240" w:lineRule="auto"/>
                                <w:rPr>
                                  <w:rFonts w:ascii="Times New Roman" w:hAnsi="Times New Roman" w:cs="Times New Roman"/>
                                  <w:sz w:val="20"/>
                                  <w:szCs w:val="20"/>
                                  <w:lang w:val="kk-KZ" w:eastAsia="zh-CN"/>
                                </w:rPr>
                              </w:pP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Жабдықтаушылар</w:t>
                              </w:r>
                            </w:p>
                          </w:txbxContent>
                        </wps:txbx>
                        <wps:bodyPr rot="0" vert="horz" wrap="square" lIns="91440" tIns="45720" rIns="91440" bIns="45720" anchor="t" anchorCtr="0" upright="1">
                          <a:noAutofit/>
                        </wps:bodyPr>
                      </wps:wsp>
                      <wps:wsp>
                        <wps:cNvPr id="749860195" name="AutoShape 20"/>
                        <wps:cNvSpPr>
                          <a:spLocks noChangeArrowheads="1"/>
                        </wps:cNvSpPr>
                        <wps:spPr bwMode="auto">
                          <a:xfrm>
                            <a:off x="5649" y="8362"/>
                            <a:ext cx="2439" cy="1156"/>
                          </a:xfrm>
                          <a:prstGeom prst="chevron">
                            <a:avLst>
                              <a:gd name="adj" fmla="val 52747"/>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Тамақ өндірісі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кәсіпорыны</w:t>
                              </w:r>
                            </w:p>
                          </w:txbxContent>
                        </wps:txbx>
                        <wps:bodyPr rot="0" vert="horz" wrap="square" lIns="91440" tIns="45720" rIns="91440" bIns="45720" anchor="t" anchorCtr="0" upright="1">
                          <a:noAutofit/>
                        </wps:bodyPr>
                      </wps:wsp>
                      <wps:wsp>
                        <wps:cNvPr id="798999920" name="AutoShape 21"/>
                        <wps:cNvSpPr>
                          <a:spLocks noChangeArrowheads="1"/>
                        </wps:cNvSpPr>
                        <wps:spPr bwMode="auto">
                          <a:xfrm>
                            <a:off x="7787" y="8362"/>
                            <a:ext cx="2282" cy="1156"/>
                          </a:xfrm>
                          <a:prstGeom prst="chevron">
                            <a:avLst>
                              <a:gd name="adj" fmla="val 49351"/>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Тұтынушылар</w:t>
                              </w:r>
                            </w:p>
                          </w:txbxContent>
                        </wps:txbx>
                        <wps:bodyPr rot="0" vert="horz" wrap="square" lIns="91440" tIns="45720" rIns="91440" bIns="45720" anchor="t" anchorCtr="0" upright="1">
                          <a:noAutofit/>
                        </wps:bodyPr>
                      </wps:wsp>
                      <wps:wsp>
                        <wps:cNvPr id="704059927" name="AutoShape 22"/>
                        <wps:cNvSpPr>
                          <a:spLocks noChangeArrowheads="1"/>
                        </wps:cNvSpPr>
                        <wps:spPr bwMode="auto">
                          <a:xfrm>
                            <a:off x="4527" y="7559"/>
                            <a:ext cx="1707" cy="803"/>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1741296686" name="AutoShape 23"/>
                        <wps:cNvSpPr>
                          <a:spLocks noChangeArrowheads="1"/>
                        </wps:cNvSpPr>
                        <wps:spPr bwMode="auto">
                          <a:xfrm rot="10800000">
                            <a:off x="4766" y="9434"/>
                            <a:ext cx="1707" cy="926"/>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1430973951" name="Rectangle 24"/>
                        <wps:cNvSpPr>
                          <a:spLocks noChangeArrowheads="1"/>
                        </wps:cNvSpPr>
                        <wps:spPr bwMode="auto">
                          <a:xfrm>
                            <a:off x="4766" y="6363"/>
                            <a:ext cx="3617" cy="660"/>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Университеттер, зерттеу институттары мен орталықтары</w:t>
                              </w:r>
                            </w:p>
                          </w:txbxContent>
                        </wps:txbx>
                        <wps:bodyPr rot="0" vert="horz" wrap="square" lIns="91440" tIns="45720" rIns="91440" bIns="45720" anchor="t" anchorCtr="0" upright="1">
                          <a:noAutofit/>
                        </wps:bodyPr>
                      </wps:wsp>
                      <wps:wsp>
                        <wps:cNvPr id="691650187" name="Rectangle 25"/>
                        <wps:cNvSpPr>
                          <a:spLocks noChangeArrowheads="1"/>
                        </wps:cNvSpPr>
                        <wps:spPr bwMode="auto">
                          <a:xfrm>
                            <a:off x="4900" y="10935"/>
                            <a:ext cx="3388" cy="469"/>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Старт-аптар және жеке инвесторлар</w:t>
                              </w:r>
                            </w:p>
                          </w:txbxContent>
                        </wps:txbx>
                        <wps:bodyPr rot="0" vert="horz" wrap="square" lIns="91440" tIns="45720" rIns="91440" bIns="45720" anchor="t" anchorCtr="0" upright="1">
                          <a:noAutofit/>
                        </wps:bodyPr>
                      </wps:wsp>
                      <wps:wsp>
                        <wps:cNvPr id="653223244" name="Rectangle 26"/>
                        <wps:cNvSpPr>
                          <a:spLocks noChangeArrowheads="1"/>
                        </wps:cNvSpPr>
                        <wps:spPr bwMode="auto">
                          <a:xfrm rot="16200000">
                            <a:off x="722" y="8559"/>
                            <a:ext cx="3392" cy="603"/>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Таңдалған маңызды жабдықтаушылар</w:t>
                              </w:r>
                            </w:p>
                          </w:txbxContent>
                        </wps:txbx>
                        <wps:bodyPr rot="0" vert="vert270" wrap="square" lIns="91440" tIns="45720" rIns="91440" bIns="45720" anchor="t" anchorCtr="0" upright="1">
                          <a:noAutofit/>
                        </wps:bodyPr>
                      </wps:wsp>
                      <wps:wsp>
                        <wps:cNvPr id="2131932638" name="AutoShape 27"/>
                        <wps:cNvSpPr>
                          <a:spLocks noChangeArrowheads="1"/>
                        </wps:cNvSpPr>
                        <wps:spPr bwMode="auto">
                          <a:xfrm>
                            <a:off x="6363" y="7023"/>
                            <a:ext cx="251" cy="536"/>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885589322" name="AutoShape 28"/>
                        <wps:cNvSpPr>
                          <a:spLocks noChangeArrowheads="1"/>
                        </wps:cNvSpPr>
                        <wps:spPr bwMode="auto">
                          <a:xfrm>
                            <a:off x="6473" y="10360"/>
                            <a:ext cx="251" cy="536"/>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84143713" name="AutoShape 29"/>
                        <wps:cNvSpPr>
                          <a:spLocks noChangeArrowheads="1"/>
                        </wps:cNvSpPr>
                        <wps:spPr bwMode="auto">
                          <a:xfrm rot="16200000">
                            <a:off x="2900" y="8510"/>
                            <a:ext cx="281" cy="695"/>
                          </a:xfrm>
                          <a:prstGeom prst="upDownArrow">
                            <a:avLst>
                              <a:gd name="adj1" fmla="val 50000"/>
                              <a:gd name="adj2" fmla="val 49466"/>
                            </a:avLst>
                          </a:prstGeom>
                          <a:solidFill>
                            <a:srgbClr val="FFFFFF"/>
                          </a:solidFill>
                          <a:ln w="9525">
                            <a:solidFill>
                              <a:srgbClr val="000000"/>
                            </a:solidFill>
                            <a:miter lim="800000"/>
                          </a:ln>
                        </wps:spPr>
                        <wps:bodyPr rot="0" vert="eaVert" wrap="square" lIns="91440" tIns="45720" rIns="91440" bIns="45720" anchor="t" anchorCtr="0" upright="1">
                          <a:noAutofit/>
                        </wps:bodyPr>
                      </wps:wsp>
                    </wpg:wgp>
                  </a:graphicData>
                </a:graphic>
              </wp:anchor>
            </w:drawing>
          </mc:Choice>
          <mc:Fallback>
            <w:pict>
              <v:group id="Группа 75" o:spid="_x0000_s1072" style="position:absolute;left:0;text-align:left;margin-left:35.35pt;margin-top:6.75pt;width:411.85pt;height:252.05pt;z-index:251661312" coordorigin="2116,6363" coordsize="8237,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">
                <v:roundrect id="AutoShape 18" o:spid="_x0000_s1073" style="position:absolute;left:3070;top:7374;width:7283;height:32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Ek38kA&#10;AADjAAAADwAAAGRycy9kb3ducmV2LnhtbESPQU/DMAyF70j8h8hI3FgCTFtblk2oEojDLgwOO1qN&#10;11Y0TtWka/vv8QGJo+333ue3O8y+U1caYhvYwuPKgCKugmu5tvD99faQgYoJ2WEXmCwsFOGwv73Z&#10;YeHCxJ90PaVaSQjHAi00KfWF1rFqyGNchZ5YbpcweEwyDrV2A04S7jv9ZMxGe2xZCA32VDZU/ZxG&#10;L9xl8x7Tes1LfS6dmcbjthyP1t7fza8voBLN6V/85/5w8n7+vM3yLDfSQjrJAvT+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gEk38kAAADjAAAADwAAAAAAAAAAAAAAAACYAgAA&#10;ZHJzL2Rvd25yZXYueG1sUEsFBgAAAAAEAAQA9QAAAI4DAAAAAA==&#10;" strokeweight="1.5pt">
                  <v:stroke dashstyle="dash"/>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9" o:spid="_x0000_s1074" type="#_x0000_t55" style="position:absolute;left:3388;top:8362;width:2579;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53MgA&#10;AADjAAAADwAAAGRycy9kb3ducmV2LnhtbERP3WvCMBB/H/g/hBvsbSZ2rsxqFBEG+4CBOnw+m7Pp&#10;bC6libb775fBYI/3+77FanCNuFIXas8aJmMFgrj0puZKw+f++f4JRIjIBhvPpOGbAqyWo5sFFsb3&#10;vKXrLlYihXAoUIONsS2kDKUlh2HsW+LEnXznMKazq6TpsE/hrpGZUrl0WHNqsNjSxlJ53l2chg97&#10;OWbKrt/3X1t67dUpw7fzQeu722E9BxFpiP/iP/eLSfPz2SSfPmYPU/j9KQE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MTncyAAAAOMAAAAPAAAAAAAAAAAAAAAAAJgCAABk&#10;cnMvZG93bnJldi54bWxQSwUGAAAAAAQABAD1AAAAjQMAAAAA&#10;">
                  <v:stroke dashstyle="longDash"/>
                  <v:textbox>
                    <w:txbxContent>
                      <w:p w:rsidR="005118AF" w:rsidRDefault="005118AF">
                        <w:pPr>
                          <w:spacing w:after="0" w:line="240" w:lineRule="auto"/>
                          <w:rPr>
                            <w:rFonts w:ascii="Times New Roman" w:hAnsi="Times New Roman" w:cs="Times New Roman"/>
                            <w:sz w:val="20"/>
                            <w:szCs w:val="20"/>
                            <w:lang w:val="kk-KZ" w:eastAsia="zh-CN"/>
                          </w:rPr>
                        </w:pP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Жабдықтаушылар</w:t>
                        </w:r>
                      </w:p>
                    </w:txbxContent>
                  </v:textbox>
                </v:shape>
                <v:shape id="AutoShape 20" o:spid="_x0000_s1075" type="#_x0000_t55" style="position:absolute;left:5649;top:8362;width:2439;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MZsoA&#10;AADiAAAADwAAAGRycy9kb3ducmV2LnhtbESP3WoCMRSE7wu+QziF3tXEpbW6GkWEQn9AUEuvj5vj&#10;ZuvmZNlEd/v2Rij0cpiZb5j5sne1uFAbKs8aRkMFgrjwpuJSw9f+9XECIkRkg7Vn0vBLAZaLwd0c&#10;c+M73tJlF0uRIBxy1GBjbHIpQ2HJYRj6hjh5R986jEm2pTQtdgnuapkpNZYOK04LFhtaWypOu7PT&#10;sLHnQ6bs6nP/s6X3Th0z/Dh9a/1w369mICL18T/8134zGl6eppOxGk2f4XYp3QG5u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iZjGbKAAAA4gAAAA8AAAAAAAAAAAAAAAAAmAIA&#10;AGRycy9kb3ducmV2LnhtbFBLBQYAAAAABAAEAPUAAACPAw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Тамақ өндірісі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кәсіпорыны</w:t>
                        </w:r>
                      </w:p>
                    </w:txbxContent>
                  </v:textbox>
                </v:shape>
                <v:shape id="AutoShape 21" o:spid="_x0000_s1076" type="#_x0000_t55" style="position:absolute;left:7787;top:8362;width:2282;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L4jckA&#10;AADiAAAADwAAAGRycy9kb3ducmV2LnhtbESPTWvDMAyG74P+B6PCbqu9HLY2q1tKobAPGLQdO2ux&#10;GmeN5RC7Tfbvp8Ngugm97yOe5XoMrbpSn5rIFu5nBhRxFV3DtYWP4+5uDiplZIdtZLLwQwnWq8nN&#10;EksXB97T9ZBrJRBOJVrwOXel1qnyFDDNYkcst1PsA2ZZ+1q7HgeBh1YXxjzogA3LB48dbT1V58Ml&#10;WHj3l6/C+M3b8XtPL4M5Ffh6/rT2djpunkBlGvN/+K/97Cw8LuYLmUIkREl0QK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dL4jckAAADiAAAADwAAAAAAAAAAAAAAAACYAgAA&#10;ZHJzL2Rvd25yZXYueG1sUEsFBgAAAAAEAAQA9QAAAI4DA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Тұтынушылар</w:t>
                        </w:r>
                      </w:p>
                    </w:txbxContent>
                  </v:textbox>
                </v:shape>
                <v:shape id="AutoShape 22" o:spid="_x0000_s1077" style="position:absolute;left:4527;top:7559;width:1707;height:80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Ys8gA&#10;AADiAAAADwAAAGRycy9kb3ducmV2LnhtbESPQUvDQBSE74L/YXmCF7G7Fm1N7LaIUPAmpq3nR/Yl&#10;G8y+F7JrGv+9Kwgeh5n5htns5tCricbYCVu4WxhQxLW4jlsLx8P+9hFUTMgOe2Gy8E0RdtvLiw2W&#10;Ts78TlOVWpUhHEu04FMaSq1j7SlgXMhAnL1GxoApy7HVbsRzhodeL41Z6YAd5wWPA714qj+rr2Dh&#10;ralW+1OYfCWSTvJR0FE3N9ZeX83PT6ASzek//Nd+dRbW5t48FMVyDb+X8h3Q2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ahizyAAAAOIAAAAPAAAAAAAAAAAAAAAAAJgCAABk&#10;cnMvZG93bnJldi54bWxQSwUGAAAAAAQABAD1AAAAjQMAAAAA&#10;" path="m16200,10800v,-2983,-2418,-5400,-5400,-5400c7817,5400,5400,7817,5400,10800v,144,5,289,17,433l34,11666c11,11378,,11089,,10800,,4835,4835,,10800,v5964,,10800,4835,10800,10800l24300,10800r-5400,5400l13500,10800r2700,xe">
                  <v:stroke joinstyle="miter"/>
                  <v:path o:connecttype="custom" o:connectlocs="819,0;215,426;836,201;1920,402;1494,602;1067,402" o:connectangles="0,0,0,0,0,0" textboxrect="3163,3174,18437,18426"/>
                </v:shape>
                <v:shape id="AutoShape 23" o:spid="_x0000_s1078" style="position:absolute;left:4766;top:9434;width:1707;height:926;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Ptd8wA&#10;AADjAAAADwAAAGRycy9kb3ducmV2LnhtbESPQUsDMRCF74L/IYzgRWy2RdJ127S0gmIpHmwLXqeb&#10;cXdxM1mTuN3+eyMUPM689715M18OthU9+dA41jAeZSCIS2carjQc9s/3OYgQkQ22jknDmQIsF9dX&#10;cyyMO/E79btYiRTCoUANdYxdIWUoa7IYRq4jTtqn8xZjGn0ljcdTCretnGSZkhYbThdq7OippvJr&#10;92NTjfX3xq6Vv+vD6vhy/ojl23aaa317M6xmICIN8d98oV9N4qYP48mjUrmCv5/SAuTi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9Ptd8wAAADjAAAADwAAAAAAAAAAAAAAAACY&#10;AgAAZHJzL2Rvd25yZXYueG1sUEsFBgAAAAAEAAQA9QAAAJEDAAAAAA==&#10;" path="m16200,10800v,-2983,-2418,-5400,-5400,-5400c7817,5400,5400,7817,5400,10800v,144,5,289,17,433l34,11666c11,11378,,11089,,10800,,4835,4835,,10800,v5964,,10800,4835,10800,10800l24300,10800r-5400,5400l13500,10800r2700,xe">
                  <v:stroke joinstyle="miter"/>
                  <v:path o:connecttype="custom" o:connectlocs="819,0;215,491;836,232;1920,463;1494,695;1067,463" o:connectangles="0,0,0,0,0,0" textboxrect="3163,3172,18437,18428"/>
                </v:shape>
                <v:rect id="Rectangle 24" o:spid="_x0000_s1079" style="position:absolute;left:4766;top:6363;width:3617;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BsMgA&#10;AADjAAAADwAAAGRycy9kb3ducmV2LnhtbERPzU7CQBC+k/gOmzHhBrtQUVtZiMFg8Ajl4m3oDm21&#10;O9t0F6g+vUtC4nG+/5kve9uIM3W+dqxhMlYgiAtnai417PP16BmED8gGG8ek4Yc8LBd3gzlmxl14&#10;S+ddKEUMYZ+hhiqENpPSFxVZ9GPXEkfu6DqLIZ5dKU2HlxhuGzlV6lFarDk2VNjSqqLie3eyGg71&#10;dI+/2/xd2XSdhI8+/zp9vmk9vO9fX0AE6sO/+ObemDj/IVHpU5LOJnD9KQI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uQGwyAAAAOMAAAAPAAAAAAAAAAAAAAAAAJgCAABk&#10;cnMvZG93bnJldi54bWxQSwUGAAAAAAQABAD1AAAAjQMAAAAA&#10;">
                  <v:textbo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Университеттер, зерттеу институттары мен орталықтары</w:t>
                        </w:r>
                      </w:p>
                    </w:txbxContent>
                  </v:textbox>
                </v:rect>
                <v:rect id="Rectangle 25" o:spid="_x0000_s1080" style="position:absolute;left:4900;top:10935;width:3388;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Osu8oA&#10;AADiAAAADwAAAGRycy9kb3ducmV2LnhtbESPwW7CMBBE70j9B2srcQM7oKYQMKhqRUWPEC69LfE2&#10;SRuvo9hA2q+vkZA4jmbmjWa57m0jztT52rGGZKxAEBfO1FxqOOSb0QyED8gGG8ek4Zc8rFcPgyVm&#10;xl14R+d9KEWEsM9QQxVCm0npi4os+rFriaP35TqLIcqulKbDS4TbRk6USqXFmuNChS29VlT87E9W&#10;w7GeHPBvl78rO99Mw0eff58+37QePvYvCxCB+nAP39pboyGdJ+mTSmbPcL0U74Bc/Q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7DrLvKAAAA4gAAAA8AAAAAAAAAAAAAAAAAmAIA&#10;AGRycy9kb3ducmV2LnhtbFBLBQYAAAAABAAEAPUAAACPAwAAAAA=&#10;">
                  <v:textbo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Старт-аптар және жеке инвесторлар</w:t>
                        </w:r>
                      </w:p>
                    </w:txbxContent>
                  </v:textbox>
                </v:rect>
                <v:rect id="Rectangle 26" o:spid="_x0000_s1081" style="position:absolute;left:722;top:8559;width:3392;height:6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6v8scA&#10;AADiAAAADwAAAGRycy9kb3ducmV2LnhtbESPQWvCQBSE7wX/w/KE3urGmIpEVxFRUHpSC/X4yD6z&#10;wezbkF1j/PddodDjMDPfMItVb2vRUesrxwrGowQEceF0xaWC7/PuYwbCB2SNtWNS8CQPq+XgbYG5&#10;dg8+UncKpYgQ9jkqMCE0uZS+MGTRj1xDHL2ray2GKNtS6hYfEW5rmSbJVFqsOC4YbGhjqLid7laB&#10;OxhJ/ut41rz9aXB/6TL3vCr1PuzXcxCB+vAf/mvvtYLp5yRNJ2mWwetSvAN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ur/LHAAAA4gAAAA8AAAAAAAAAAAAAAAAAmAIAAGRy&#10;cy9kb3ducmV2LnhtbFBLBQYAAAAABAAEAPUAAACMAwAAAAA=&#10;">
                  <v:textbox style="layout-flow:vertical;mso-layout-flow-alt:bottom-to-top">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Таңдалған маңызды жабдықтаушылар</w:t>
                        </w:r>
                      </w:p>
                    </w:txbxContent>
                  </v:textbox>
                </v:rect>
                <v:shape id="AutoShape 27" o:spid="_x0000_s1082" type="#_x0000_t70" style="position:absolute;left:6363;top:7023;width:251;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XRQswA&#10;AADjAAAADwAAAGRycy9kb3ducmV2LnhtbESPTUsDQQyG74L/YYjgzc5+YLFrp6UKglgrtpZ6DTtx&#10;d3Uns+yM7fjvzUHwGN68T57Ml8n16khj6DwbyCcZKOLa244bA/u3h6sbUCEiW+w9k4EfCrBcnJ/N&#10;sbL+xFs67mKjBMKhQgNtjEOldahbchgmfiCW7MOPDqOMY6PtiCeBu14XWTbVDjuWCy0OdN9S/bX7&#10;dqKxtrPVc75+Ca/psL1uPtPT5v3OmMuLtLoFFSnF/+W/9qM1UORlPiuLaSnS8pOAQC9+A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4EXRQswAAADjAAAADwAAAAAAAAAAAAAAAACY&#10;AgAAZHJzL2Rvd25yZXYueG1sUEsFBgAAAAAEAAQA9QAAAJEDAAAAAA==&#10;">
                  <v:textbox style="layout-flow:vertical-ideographic"/>
                </v:shape>
                <v:shape id="AutoShape 28" o:spid="_x0000_s1083" type="#_x0000_t70" style="position:absolute;left:6473;top:10360;width:251;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IkEcwA&#10;AADiAAAADwAAAGRycy9kb3ducmV2LnhtbESPX0vDQBDE3wW/w7FC3+ylKZE07bXUQkGsSv/Rvi65&#10;NYnm9kLubM9v7wmCj8Ps/GZntgimFRfqXWNZwWiYgCAurW64UnA8rO9zEM4ja2wtk4JvcrCY397M&#10;sND2yju67H0lIoRdgQpq77tCSlfWZNANbUccvXfbG/RR9pXUPV4j3LQyTZIHabDh2FBjR6uays/9&#10;l4lvbPRk+TLavLltOO2y6iM8v54flRrcheUUhKfg/4//0k9aQZ5nWT4Zpyn8ToockPM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5IkEcwAAADiAAAADwAAAAAAAAAAAAAAAACY&#10;AgAAZHJzL2Rvd25yZXYueG1sUEsFBgAAAAAEAAQA9QAAAJEDAAAAAA==&#10;">
                  <v:textbox style="layout-flow:vertical-ideographic"/>
                </v:shape>
                <v:shape id="AutoShape 29" o:spid="_x0000_s1084" type="#_x0000_t70" style="position:absolute;left:2900;top:8510;width:281;height:6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Bz8YA&#10;AADhAAAADwAAAGRycy9kb3ducmV2LnhtbESPQWvCQBSE7wX/w/IEb3WTaqtEVymCYI9a9fzIPpNo&#10;9m3cXZP477uFQo/DzHzDLNe9qUVLzleWFaTjBARxbnXFhYLj9/Z1DsIHZI21ZVLwJA/r1eBliZm2&#10;He+pPYRCRAj7DBWUITSZlD4vyaAf24Y4ehfrDIYoXSG1wy7CTS3fkuRDGqw4LpTY0Kak/HZ4GAWb&#10;s6Wv9PFuzd3JvemuJ31sa6VGw/5zASJQH/7Df+2dVjCfptPJLJ3A76P4Bu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kBz8YAAADhAAAADwAAAAAAAAAAAAAAAACYAgAAZHJz&#10;L2Rvd25yZXYueG1sUEsFBgAAAAAEAAQA9QAAAIsDAAAAAA==&#10;">
                  <v:textbox style="layout-flow:vertical-ideographic"/>
                </v:shape>
              </v:group>
            </w:pict>
          </mc:Fallback>
        </mc:AlternateContent>
      </w:r>
    </w:p>
    <w:p w:rsidR="005118AF" w:rsidRDefault="005118AF">
      <w:pPr>
        <w:tabs>
          <w:tab w:val="left" w:pos="851"/>
        </w:tabs>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16"/>
          <w:szCs w:val="16"/>
          <w:lang w:val="kk-KZ" w:eastAsia="zh-CN"/>
        </w:rPr>
      </w:pPr>
    </w:p>
    <w:p w:rsidR="005118AF" w:rsidRDefault="00EF60C3">
      <w:pPr>
        <w:spacing w:after="0" w:line="240" w:lineRule="auto"/>
        <w:jc w:val="center"/>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Сурет 4 </w:t>
      </w:r>
      <w:r>
        <w:rPr>
          <w:rFonts w:ascii="Times New Roman" w:eastAsia="Times New Roman" w:hAnsi="Times New Roman" w:cs="Times New Roman"/>
          <w:color w:val="000000"/>
          <w:sz w:val="28"/>
          <w:szCs w:val="28"/>
          <w:lang w:val="kk-KZ" w:eastAsia="zh-CN"/>
        </w:rPr>
        <w:t>‒</w:t>
      </w:r>
      <w:r>
        <w:rPr>
          <w:rFonts w:ascii="Times New Roman" w:eastAsia="Times New Roman" w:hAnsi="Times New Roman"/>
          <w:color w:val="000000"/>
          <w:sz w:val="28"/>
          <w:szCs w:val="28"/>
          <w:lang w:val="kk-KZ" w:eastAsia="zh-CN"/>
        </w:rPr>
        <w:t xml:space="preserve"> SiW моделі және азық-түлік өнімдерін жеткізудің ашық жүйесі (шынжыры)</w:t>
      </w:r>
    </w:p>
    <w:p w:rsidR="005118AF" w:rsidRDefault="005118AF">
      <w:pPr>
        <w:spacing w:after="0" w:line="240" w:lineRule="auto"/>
        <w:ind w:firstLine="567"/>
        <w:jc w:val="both"/>
        <w:rPr>
          <w:rFonts w:ascii="Times New Roman" w:eastAsia="Times New Roman" w:hAnsi="Times New Roman"/>
          <w:color w:val="000000"/>
          <w:sz w:val="16"/>
          <w:szCs w:val="16"/>
          <w:lang w:val="kk-KZ" w:eastAsia="zh-CN"/>
        </w:rPr>
      </w:pPr>
    </w:p>
    <w:p w:rsidR="005118AF" w:rsidRDefault="00EF60C3">
      <w:pPr>
        <w:spacing w:after="0" w:line="240" w:lineRule="auto"/>
        <w:ind w:firstLine="709"/>
        <w:jc w:val="both"/>
        <w:rPr>
          <w:rFonts w:ascii="Times New Roman" w:eastAsia="Times New Roman" w:hAnsi="Times New Roman"/>
          <w:color w:val="000000"/>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w:t>
      </w:r>
      <w:r>
        <w:rPr>
          <w:rFonts w:ascii="Times New Roman" w:eastAsia="Times New Roman" w:hAnsi="Times New Roman"/>
          <w:color w:val="000000"/>
          <w:sz w:val="24"/>
          <w:szCs w:val="24"/>
          <w:lang w:val="kk-KZ" w:eastAsia="zh-CN"/>
        </w:rPr>
        <w:t xml:space="preserve"> [51, р. 17-18]</w:t>
      </w: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EF60C3">
      <w:pPr>
        <w:spacing w:after="0" w:line="240" w:lineRule="auto"/>
        <w:ind w:firstLine="567"/>
        <w:jc w:val="both"/>
        <w:rPr>
          <w:rFonts w:ascii="Times New Roman" w:eastAsia="Times New Roman" w:hAnsi="Times New Roman"/>
          <w:color w:val="000000"/>
          <w:sz w:val="28"/>
          <w:szCs w:val="28"/>
          <w:lang w:val="kk-KZ" w:eastAsia="zh-CN"/>
        </w:rPr>
      </w:pPr>
      <w:r>
        <w:rPr>
          <w:rFonts w:ascii="Times New Roman" w:eastAsia="Times New Roman" w:hAnsi="Times New Roman"/>
          <w:i/>
          <w:color w:val="000000"/>
          <w:sz w:val="28"/>
          <w:szCs w:val="28"/>
          <w:lang w:val="kk-KZ" w:eastAsia="zh-CN"/>
        </w:rPr>
        <w:t>WFGM моделі</w:t>
      </w:r>
      <w:r>
        <w:rPr>
          <w:rFonts w:ascii="Times New Roman" w:eastAsia="Times New Roman" w:hAnsi="Times New Roman"/>
          <w:color w:val="000000"/>
          <w:sz w:val="28"/>
          <w:szCs w:val="28"/>
          <w:lang w:val="kk-KZ" w:eastAsia="zh-CN"/>
        </w:rPr>
        <w:t>. Слоуински әзірлеген «The Want, Find, Get, Manage» моделі (ағылшыннан аударғанда «Қалаңыз, Табыңыз, Алыңыз, Басқарыңыз»</w:t>
      </w:r>
      <w:r>
        <w:rPr>
          <w:rFonts w:ascii="Times New Roman" w:eastAsia="Times New Roman" w:hAnsi="Times New Roman"/>
          <w:color w:val="000000"/>
          <w:sz w:val="28"/>
          <w:szCs w:val="28"/>
          <w:lang w:val="kk-KZ" w:eastAsia="zh-CN"/>
        </w:rPr>
        <w:t xml:space="preserve">) инновациялық процесс аясында сыртқы білімдердің қалай және қашан қажет екендігі анықтауға бағытталады. Модельдің үлгісі төмендегі 5-суретте көрсетілген. </w:t>
      </w:r>
    </w:p>
    <w:p w:rsidR="005118AF" w:rsidRDefault="00EF60C3">
      <w:pPr>
        <w:spacing w:after="0" w:line="240" w:lineRule="auto"/>
        <w:ind w:firstLine="567"/>
        <w:jc w:val="both"/>
        <w:rPr>
          <w:rFonts w:ascii="Times New Roman" w:eastAsia="Times New Roman" w:hAnsi="Times New Roman"/>
          <w:color w:val="000000"/>
          <w:sz w:val="28"/>
          <w:szCs w:val="28"/>
          <w:lang w:val="kk-KZ" w:eastAsia="zh-CN"/>
        </w:rPr>
      </w:pPr>
      <w:bookmarkStart w:id="4" w:name="_Hlk114134211"/>
      <w:r>
        <w:rPr>
          <w:rFonts w:ascii="Times New Roman" w:eastAsia="Times New Roman" w:hAnsi="Times New Roman"/>
          <w:noProof/>
          <w:color w:val="000000"/>
          <w:sz w:val="28"/>
          <w:szCs w:val="28"/>
        </w:rPr>
        <mc:AlternateContent>
          <mc:Choice Requires="wpg">
            <w:drawing>
              <wp:anchor distT="0" distB="0" distL="114300" distR="114300" simplePos="0" relativeHeight="251662336" behindDoc="0" locked="0" layoutInCell="1" allowOverlap="1">
                <wp:simplePos x="0" y="0"/>
                <wp:positionH relativeFrom="column">
                  <wp:posOffset>448945</wp:posOffset>
                </wp:positionH>
                <wp:positionV relativeFrom="paragraph">
                  <wp:posOffset>173355</wp:posOffset>
                </wp:positionV>
                <wp:extent cx="5158740" cy="2809875"/>
                <wp:effectExtent l="0" t="0" r="22860" b="10160"/>
                <wp:wrapNone/>
                <wp:docPr id="1823708007" name="Группа 1823708007"/>
                <wp:cNvGraphicFramePr/>
                <a:graphic xmlns:a="http://schemas.openxmlformats.org/drawingml/2006/main">
                  <a:graphicData uri="http://schemas.microsoft.com/office/word/2010/wordprocessingGroup">
                    <wpg:wgp>
                      <wpg:cNvGrpSpPr/>
                      <wpg:grpSpPr>
                        <a:xfrm>
                          <a:off x="0" y="0"/>
                          <a:ext cx="5158942" cy="2809703"/>
                          <a:chOff x="0" y="0"/>
                          <a:chExt cx="5158942" cy="3048308"/>
                        </a:xfrm>
                      </wpg:grpSpPr>
                      <wps:wsp>
                        <wps:cNvPr id="1274803181" name="Прямоугольник: скругленные углы 67"/>
                        <wps:cNvSpPr>
                          <a:spLocks noChangeArrowheads="1"/>
                        </wps:cNvSpPr>
                        <wps:spPr bwMode="auto">
                          <a:xfrm>
                            <a:off x="534237" y="523702"/>
                            <a:ext cx="4624705" cy="2094865"/>
                          </a:xfrm>
                          <a:prstGeom prst="roundRect">
                            <a:avLst>
                              <a:gd name="adj" fmla="val 16667"/>
                            </a:avLst>
                          </a:prstGeom>
                          <a:solidFill>
                            <a:srgbClr val="FFFFFF"/>
                          </a:solidFill>
                          <a:ln w="19050">
                            <a:solidFill>
                              <a:srgbClr val="000000"/>
                            </a:solidFill>
                            <a:prstDash val="dash"/>
                            <a:round/>
                          </a:ln>
                        </wps:spPr>
                        <wps:bodyPr rot="0" vert="horz" wrap="square" lIns="91440" tIns="45720" rIns="91440" bIns="45720" anchor="t" anchorCtr="0" upright="1">
                          <a:noAutofit/>
                        </wps:bodyPr>
                      </wps:wsp>
                      <wps:wsp>
                        <wps:cNvPr id="1488002100" name="Стрелка: шеврон 64"/>
                        <wps:cNvSpPr>
                          <a:spLocks noChangeArrowheads="1"/>
                        </wps:cNvSpPr>
                        <wps:spPr bwMode="auto">
                          <a:xfrm>
                            <a:off x="742055" y="1155469"/>
                            <a:ext cx="1637665" cy="734060"/>
                          </a:xfrm>
                          <a:prstGeom prst="chevron">
                            <a:avLst>
                              <a:gd name="adj" fmla="val 55774"/>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Жабдықтаушылар</w:t>
                              </w:r>
                            </w:p>
                          </w:txbxContent>
                        </wps:txbx>
                        <wps:bodyPr rot="0" vert="horz" wrap="square" lIns="91440" tIns="45720" rIns="91440" bIns="45720" anchor="t" anchorCtr="0" upright="1">
                          <a:noAutofit/>
                        </wps:bodyPr>
                      </wps:wsp>
                      <wps:wsp>
                        <wps:cNvPr id="1842216218" name="Стрелка: шеврон 65"/>
                        <wps:cNvSpPr>
                          <a:spLocks noChangeArrowheads="1"/>
                        </wps:cNvSpPr>
                        <wps:spPr bwMode="auto">
                          <a:xfrm>
                            <a:off x="2171844" y="1155469"/>
                            <a:ext cx="1548765" cy="734060"/>
                          </a:xfrm>
                          <a:prstGeom prst="chevron">
                            <a:avLst>
                              <a:gd name="adj" fmla="val 52747"/>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Тамақ өндірісі кәсіпорыны</w:t>
                              </w:r>
                            </w:p>
                            <w:p w:rsidR="005118AF" w:rsidRDefault="005118AF">
                              <w:pPr>
                                <w:spacing w:after="0" w:line="240" w:lineRule="auto"/>
                                <w:rPr>
                                  <w:rFonts w:ascii="Times New Roman" w:hAnsi="Times New Roman" w:cs="Times New Roman"/>
                                  <w:sz w:val="18"/>
                                  <w:szCs w:val="18"/>
                                  <w:lang w:val="kk-KZ" w:eastAsia="zh-CN"/>
                                </w:rPr>
                              </w:pPr>
                            </w:p>
                          </w:txbxContent>
                        </wps:txbx>
                        <wps:bodyPr rot="0" vert="horz" wrap="square" lIns="91440" tIns="45720" rIns="91440" bIns="45720" anchor="t" anchorCtr="0" upright="1">
                          <a:noAutofit/>
                        </wps:bodyPr>
                      </wps:wsp>
                      <wps:wsp>
                        <wps:cNvPr id="10837847" name="Стрелка: шеврон 66"/>
                        <wps:cNvSpPr>
                          <a:spLocks noChangeArrowheads="1"/>
                        </wps:cNvSpPr>
                        <wps:spPr bwMode="auto">
                          <a:xfrm>
                            <a:off x="3526819" y="1155469"/>
                            <a:ext cx="1449070" cy="734060"/>
                          </a:xfrm>
                          <a:prstGeom prst="chevron">
                            <a:avLst>
                              <a:gd name="adj" fmla="val 49351"/>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Тұтынушылар</w:t>
                              </w:r>
                            </w:p>
                          </w:txbxContent>
                        </wps:txbx>
                        <wps:bodyPr rot="0" vert="horz" wrap="square" lIns="91440" tIns="45720" rIns="91440" bIns="45720" anchor="t" anchorCtr="0" upright="1">
                          <a:noAutofit/>
                        </wps:bodyPr>
                      </wps:wsp>
                      <wps:wsp>
                        <wps:cNvPr id="2047060382" name="Полилиния: фигура 68"/>
                        <wps:cNvSpPr>
                          <a:spLocks noChangeArrowheads="1"/>
                        </wps:cNvSpPr>
                        <wps:spPr bwMode="auto">
                          <a:xfrm>
                            <a:off x="1465263" y="640080"/>
                            <a:ext cx="1083945" cy="509905"/>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964118348" name="Полилиния: фигура 69"/>
                        <wps:cNvSpPr>
                          <a:spLocks noChangeArrowheads="1"/>
                        </wps:cNvSpPr>
                        <wps:spPr bwMode="auto">
                          <a:xfrm>
                            <a:off x="3044681" y="640080"/>
                            <a:ext cx="1083945" cy="509905"/>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1628240666" name="Полилиния: фигура 61"/>
                        <wps:cNvSpPr>
                          <a:spLocks noChangeArrowheads="1"/>
                        </wps:cNvSpPr>
                        <wps:spPr bwMode="auto">
                          <a:xfrm rot="10800000">
                            <a:off x="3094557" y="1828800"/>
                            <a:ext cx="1083945" cy="588010"/>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996509077" name="Полилиния: фигура 62"/>
                        <wps:cNvSpPr>
                          <a:spLocks noChangeArrowheads="1"/>
                        </wps:cNvSpPr>
                        <wps:spPr bwMode="auto">
                          <a:xfrm rot="10800000">
                            <a:off x="1614892" y="1828800"/>
                            <a:ext cx="1083945" cy="588010"/>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1024586359" name="Прямоугольник 73"/>
                        <wps:cNvSpPr>
                          <a:spLocks noChangeArrowheads="1"/>
                        </wps:cNvSpPr>
                        <wps:spPr bwMode="auto">
                          <a:xfrm>
                            <a:off x="625677" y="0"/>
                            <a:ext cx="2221865" cy="297815"/>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Университеттер, зерттеу орталықтары</w:t>
                              </w:r>
                            </w:p>
                          </w:txbxContent>
                        </wps:txbx>
                        <wps:bodyPr rot="0" vert="horz" wrap="square" lIns="91440" tIns="45720" rIns="91440" bIns="45720" anchor="t" anchorCtr="0" upright="1">
                          <a:noAutofit/>
                        </wps:bodyPr>
                      </wps:wsp>
                      <wps:wsp>
                        <wps:cNvPr id="1607947438" name="Прямоугольник 74"/>
                        <wps:cNvSpPr>
                          <a:spLocks noChangeArrowheads="1"/>
                        </wps:cNvSpPr>
                        <wps:spPr bwMode="auto">
                          <a:xfrm>
                            <a:off x="3044681" y="0"/>
                            <a:ext cx="1941830" cy="297815"/>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Бәсекелестер</w:t>
                              </w:r>
                            </w:p>
                          </w:txbxContent>
                        </wps:txbx>
                        <wps:bodyPr rot="0" vert="horz" wrap="square" lIns="91440" tIns="45720" rIns="91440" bIns="45720" anchor="t" anchorCtr="0" upright="1">
                          <a:noAutofit/>
                        </wps:bodyPr>
                      </wps:wsp>
                      <wps:wsp>
                        <wps:cNvPr id="683721462" name="Прямоугольник 70"/>
                        <wps:cNvSpPr>
                          <a:spLocks noChangeArrowheads="1"/>
                        </wps:cNvSpPr>
                        <wps:spPr bwMode="auto">
                          <a:xfrm rot="16200000">
                            <a:off x="-866457" y="1392382"/>
                            <a:ext cx="2030730" cy="297815"/>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Өзге</w:t>
                              </w:r>
                              <w:r>
                                <w:rPr>
                                  <w:rFonts w:ascii="Times New Roman" w:hAnsi="Times New Roman" w:cs="Times New Roman"/>
                                  <w:sz w:val="18"/>
                                  <w:szCs w:val="18"/>
                                  <w:lang w:val="kk-KZ" w:eastAsia="zh-CN"/>
                                </w:rPr>
                                <w:t xml:space="preserve"> жабдықтаушылар</w:t>
                              </w:r>
                            </w:p>
                          </w:txbxContent>
                        </wps:txbx>
                        <wps:bodyPr rot="0" vert="vert270" wrap="square" lIns="91440" tIns="45720" rIns="91440" bIns="45720" anchor="t" anchorCtr="0" upright="1">
                          <a:noAutofit/>
                        </wps:bodyPr>
                      </wps:wsp>
                      <wps:wsp>
                        <wps:cNvPr id="863806489" name="Стрелка: вверх-вниз 71"/>
                        <wps:cNvSpPr>
                          <a:spLocks noChangeArrowheads="1"/>
                        </wps:cNvSpPr>
                        <wps:spPr bwMode="auto">
                          <a:xfrm>
                            <a:off x="1806084" y="290946"/>
                            <a:ext cx="159385" cy="340360"/>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424222048" name="Стрелка: вверх-вниз 72"/>
                        <wps:cNvSpPr>
                          <a:spLocks noChangeArrowheads="1"/>
                        </wps:cNvSpPr>
                        <wps:spPr bwMode="auto">
                          <a:xfrm>
                            <a:off x="3917517" y="299258"/>
                            <a:ext cx="159385" cy="340360"/>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198031483" name="Стрелка: вверх-вниз 63"/>
                        <wps:cNvSpPr>
                          <a:spLocks noChangeArrowheads="1"/>
                        </wps:cNvSpPr>
                        <wps:spPr bwMode="auto">
                          <a:xfrm rot="16200000">
                            <a:off x="434484" y="1238597"/>
                            <a:ext cx="178435" cy="441325"/>
                          </a:xfrm>
                          <a:prstGeom prst="upDownArrow">
                            <a:avLst>
                              <a:gd name="adj1" fmla="val 50000"/>
                              <a:gd name="adj2" fmla="val 49466"/>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1108295457" name="Прямоугольник 58"/>
                        <wps:cNvSpPr>
                          <a:spLocks noChangeArrowheads="1"/>
                        </wps:cNvSpPr>
                        <wps:spPr bwMode="auto">
                          <a:xfrm>
                            <a:off x="317" y="2809578"/>
                            <a:ext cx="2963487" cy="238730"/>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Басқа салаларда қызмет ететін компаниялар</w:t>
                              </w:r>
                            </w:p>
                          </w:txbxContent>
                        </wps:txbx>
                        <wps:bodyPr rot="0" vert="horz" wrap="square" lIns="91440" tIns="45720" rIns="91440" bIns="45720" anchor="t" anchorCtr="0" upright="1">
                          <a:noAutofit/>
                        </wps:bodyPr>
                      </wps:wsp>
                      <wps:wsp>
                        <wps:cNvPr id="1772525734" name="Прямоугольник 57"/>
                        <wps:cNvSpPr>
                          <a:spLocks noChangeArrowheads="1"/>
                        </wps:cNvSpPr>
                        <wps:spPr bwMode="auto">
                          <a:xfrm>
                            <a:off x="3094436" y="2809284"/>
                            <a:ext cx="1941830" cy="238570"/>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Инновацияның делдардары</w:t>
                              </w:r>
                            </w:p>
                          </w:txbxContent>
                        </wps:txbx>
                        <wps:bodyPr rot="0" vert="horz" wrap="square" lIns="91440" tIns="45720" rIns="91440" bIns="45720" anchor="t" anchorCtr="0" upright="1">
                          <a:noAutofit/>
                        </wps:bodyPr>
                      </wps:wsp>
                      <wps:wsp>
                        <wps:cNvPr id="1465124805" name="Стрелка: вверх-вниз 59"/>
                        <wps:cNvSpPr>
                          <a:spLocks noChangeArrowheads="1"/>
                        </wps:cNvSpPr>
                        <wps:spPr bwMode="auto">
                          <a:xfrm>
                            <a:off x="1390448" y="2485506"/>
                            <a:ext cx="159385" cy="340360"/>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184459965" name="Стрелка: вверх-вниз 60"/>
                        <wps:cNvSpPr>
                          <a:spLocks noChangeArrowheads="1"/>
                        </wps:cNvSpPr>
                        <wps:spPr bwMode="auto">
                          <a:xfrm>
                            <a:off x="4017270" y="2460568"/>
                            <a:ext cx="159385" cy="340360"/>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g:wgp>
                  </a:graphicData>
                </a:graphic>
              </wp:anchor>
            </w:drawing>
          </mc:Choice>
          <mc:Fallback>
            <w:pict>
              <v:group id="Группа 1823708007" o:spid="_x0000_s1085" style="position:absolute;left:0;text-align:left;margin-left:35.35pt;margin-top:13.65pt;width:406.2pt;height:221.25pt;z-index:251662336" coordsize="51589,3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">
                <v:roundrect id="Прямоугольник: скругленные углы 67" o:spid="_x0000_s1086" style="position:absolute;left:5342;top:5237;width:46247;height:209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IH8oA&#10;AADjAAAADwAAAGRycy9kb3ducmV2LnhtbESPQWvDMAyF74P9B6NCb6udNrQhq1tGYGOHXtb20KOI&#10;tSQ0lkPsNMm/nweDHaX39L6n/XGyrXhQ7xvHGpKVAkFcOtNwpeF6eX/JQPiAbLB1TBpm8nA8PD/t&#10;MTdu5C96nEMlYgj7HDXUIXS5lL6syaJfuY44at+utxji2FfS9DjGcNvKtVJbabHhSKixo6Km8n4e&#10;bOTO2w8f0pTn6lYYNQ6nXTGctF4uprdXEIGm8G/+u/40sf56l2Zqk2QJ/P4UFyAP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5jyB/KAAAA4wAAAA8AAAAAAAAAAAAAAAAAmAIA&#10;AGRycy9kb3ducmV2LnhtbFBLBQYAAAAABAAEAPUAAACPAwAAAAA=&#10;" strokeweight="1.5pt">
                  <v:stroke dashstyle="dash"/>
                </v:roundrect>
                <v:shape id="Стрелка: шеврон 64" o:spid="_x0000_s1087" type="#_x0000_t55" style="position:absolute;left:7420;top:11554;width:16377;height:7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E8oA&#10;AADjAAAADwAAAGRycy9kb3ducmV2LnhtbESPS2vDMBCE74X+B7GB3hopphTjRgkhUOgDCnnQ89ba&#10;WG6slbGU2P333UOhx92dnZlvuZ5Cp640pDayhcXcgCKuo2u5sXA8PN+XoFJGdthFJgs/lGC9ur1Z&#10;YuXiyDu67nOjxIRThRZ8zn2ldao9BUzz2BPL7RSHgFnGodFuwFHMQ6cLYx51wJYlwWNPW0/1eX8J&#10;Fj785aswfvN++N7R62hOBb6dP629m02bJ1CZpvwv/vt+cVL/oSyNKRZGKIRJFqB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5ZvxPKAAAA4wAAAA8AAAAAAAAAAAAAAAAAmAIA&#10;AGRycy9kb3ducmV2LnhtbFBLBQYAAAAABAAEAPUAAACPAw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Жабдықтаушылар</w:t>
                        </w:r>
                      </w:p>
                    </w:txbxContent>
                  </v:textbox>
                </v:shape>
                <v:shape id="Стрелка: шеврон 65" o:spid="_x0000_s1088" type="#_x0000_t55" style="position:absolute;left:21718;top:11554;width:15488;height:7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8WZcoA&#10;AADjAAAADwAAAGRycy9kb3ducmV2LnhtbESPT2sCMRDF7wW/QxjBW002iMjWKCIU+gcKaul5uhk3&#10;q5vJsonu9ts3h0KPM+/Ne79Zb0ffijv1sQlsoJgrEMRVsA3XBj5Pz48rEDEhW2wDk4EfirDdTB7W&#10;WNow8IHux1SLHMKxRAMupa6UMlaOPMZ56Iizdg69x5THvpa2xyGH+1ZqpZbSY8O5wWFHe0fV9Xjz&#10;Bj7c7Vsrt3s/XQ70OqizxrfrlzGz6bh7ApFoTP/mv+sXm/FXC62LpS4ydP4pL0B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hfFmXKAAAA4wAAAA8AAAAAAAAAAAAAAAAAmAIA&#10;AGRycy9kb3ducmV2LnhtbFBLBQYAAAAABAAEAPUAAACPAw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Тамақ өндірісі кәсіпорыны</w:t>
                        </w:r>
                      </w:p>
                      <w:p w:rsidR="005118AF" w:rsidRDefault="005118AF">
                        <w:pPr>
                          <w:spacing w:after="0" w:line="240" w:lineRule="auto"/>
                          <w:rPr>
                            <w:rFonts w:ascii="Times New Roman" w:hAnsi="Times New Roman" w:cs="Times New Roman"/>
                            <w:sz w:val="18"/>
                            <w:szCs w:val="18"/>
                            <w:lang w:val="kk-KZ" w:eastAsia="zh-CN"/>
                          </w:rPr>
                        </w:pPr>
                      </w:p>
                    </w:txbxContent>
                  </v:textbox>
                </v:shape>
                <v:shape id="Стрелка: шеврон 66" o:spid="_x0000_s1089" type="#_x0000_t55" style="position:absolute;left:35268;top:11554;width:14490;height:7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Us/cUA&#10;AADhAAAADwAAAGRycy9kb3ducmV2LnhtbERPXUvDMBR9H/gfwhV82xKruFKXjSEI6kBYJz5fm7um&#10;rrkpTbbWf28Ggz0ezvdiNbpWnKgPjWcN9zMFgrjypuFaw9fudZqDCBHZYOuZNPxRgNXyZrLAwviB&#10;t3QqYy1SCIcCNdgYu0LKUFlyGGa+I07c3vcOY4J9LU2PQwp3rcyUepIOG04NFjt6sVQdyqPT8GmP&#10;P5my683ud0vvg9pn+HH41vrudlw/g4g0xqv44n4zab7KH+b54xzOjxIE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tSz9xQAAAOEAAAAPAAAAAAAAAAAAAAAAAJgCAABkcnMv&#10;ZG93bnJldi54bWxQSwUGAAAAAAQABAD1AAAAigM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Тұтынушылар</w:t>
                        </w:r>
                      </w:p>
                    </w:txbxContent>
                  </v:textbox>
                </v:shape>
                <v:shape id="Полилиния: фигура 68" o:spid="_x0000_s1090" style="position:absolute;left:14652;top:6400;width:10840;height:509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tH3sgA&#10;AADjAAAADwAAAGRycy9kb3ducmV2LnhtbESPQUvEMBSE74L/ITzBi7iJVepaN7uIsOBNrLueH81r&#10;U2zeK03s1n9vBMHjMDPfMJvdEgY10xR7YQs3KwOKuBHXc2fh8L6/XoOKCdnhIEwWvinCbnt+tsHK&#10;yYnfaK5TpzKEY4UWfEpjpXVsPAWMKxmJs9fKFDBlOXXaTXjK8DDowphSB+w5L3gc6dlT81l/BQuv&#10;bV3uj2H2tUg6yscDHXR7Ze3lxfL0CCrRkv7Df+0XZ6Ewd/emNLfrAn4/5T+gt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G0feyAAAAOMAAAAPAAAAAAAAAAAAAAAAAJgCAABk&#10;cnMvZG93bnJldi54bWxQSwUGAAAAAAQABAD1AAAAjQMAAAAA&#10;" path="m16200,10800v,-2983,-2418,-5400,-5400,-5400c7817,5400,5400,7817,5400,10800v,144,5,289,17,433l34,11666c11,11378,,11089,,10800,,4835,4835,,10800,v5964,,10800,4835,10800,10800l24300,10800r-5400,5400l13500,10800r2700,xe">
                  <v:stroke joinstyle="miter"/>
                  <v:path o:connecttype="custom" o:connectlocs="520193,189;136798,270297;531083,127571;1219438,254953;948452,382429;677466,254953" o:connectangles="0,0,0,0,0,0" textboxrect="3163,3163,18437,18437"/>
                </v:shape>
                <v:shape id="Полилиния: фигура 69" o:spid="_x0000_s1091" style="position:absolute;left:30446;top:6400;width:10840;height:509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wW3cUA&#10;AADiAAAADwAAAGRycy9kb3ducmV2LnhtbERPTUvDQBC9C/0Pywi9iN2kltDGbksRCt7E2HoespNs&#10;MDsTsmsa/717EDw+3vf+OPteTTSGTthAvspAEddiO24NXD7Oj1tQISJb7IXJwA8FOB4Wd3ssrdz4&#10;naYqtiqFcCjRgItxKLUOtSOPYSUDceIaGT3GBMdW2xFvKdz3ep1lhfbYcWpwONCLo/qr+vYG3pqq&#10;OF/95CqReJXPHV1082DM8n4+PYOKNMd/8Z/71RrYFZs83z5t0uZ0Kd0Bf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bdxQAAAOIAAAAPAAAAAAAAAAAAAAAAAJgCAABkcnMv&#10;ZG93bnJldi54bWxQSwUGAAAAAAQABAD1AAAAigMAAAAA&#10;" path="m16200,10800v,-2983,-2418,-5400,-5400,-5400c7817,5400,5400,7817,5400,10800v,144,5,289,17,433l34,11666c11,11378,,11089,,10800,,4835,4835,,10800,v5964,,10800,4835,10800,10800l24300,10800r-5400,5400l13500,10800r2700,xe">
                  <v:stroke joinstyle="miter"/>
                  <v:path o:connecttype="custom" o:connectlocs="520193,189;136798,270297;531083,127571;1219438,254953;948452,382429;677466,254953" o:connectangles="0,0,0,0,0,0" textboxrect="3163,3163,18437,18437"/>
                </v:shape>
                <v:shape id="Полилиния: фигура 61" o:spid="_x0000_s1092" style="position:absolute;left:30945;top:18288;width:10840;height:588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EDpswA&#10;AADjAAAADwAAAGRycy9kb3ducmV2LnhtbESPQUvDQBCF74L/YZmCF7Ebg6wh7ba0gsUiHqyC1zE7&#10;TUKzs3F3m6b/visIHmfe+968mS9H24mBfGgda7ifZiCIK2darjV8fjzfFSBCRDbYOSYNZwqwXFxf&#10;zbE07sTvNOxiLVIIhxI1NDH2pZShashimLqeOGl75y3GNPpaGo+nFG47mWeZkhZbThca7Ompoeqw&#10;O9pUY/2ztWvlb4ew+t6cv2L19vpYaH0zGVczEJHG+G/+o19M4lRe5A+ZUgp+f0oLkIsL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GEDpswAAADjAAAADwAAAAAAAAAAAAAAAACY&#10;AgAAZHJzL2Rvd25yZXYueG1sUEsFBgAAAAAEAAQA9QAAAJEDAAAAAA==&#10;" path="m16200,10800v,-2983,-2418,-5400,-5400,-5400c7817,5400,5400,7817,5400,10800v,144,5,289,17,433l34,11666c11,11378,,11089,,10800,,4835,4835,,10800,v5964,,10800,4835,10800,10800l24300,10800r-5400,5400l13500,10800r2700,xe">
                  <v:stroke joinstyle="miter"/>
                  <v:path o:connecttype="custom" o:connectlocs="520193,218;136798,311700;531083,147111;1219438,294005;948452,441008;677466,294005" o:connectangles="0,0,0,0,0,0" textboxrect="3163,3163,18437,18437"/>
                </v:shape>
                <v:shape id="Полилиния: фигура 62" o:spid="_x0000_s1093" style="position:absolute;left:16148;top:18288;width:10840;height:5880;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gnssA&#10;AADiAAAADwAAAGRycy9kb3ducmV2LnhtbESPQUvDQBCF70L/wzKCF7G7CiZN7La0gqJID62FXsfs&#10;mIRmZ+Pumqb/3hUEj48373vz5svRdmIgH1rHGm6nCgRx5UzLtYb9+9PNDESIyAY7x6ThTAGWi8nF&#10;HEvjTrylYRdrkSAcStTQxNiXUoaqIYth6nri5H06bzEm6WtpPJ4S3HbyTqlMWmw5NTTY02ND1XH3&#10;bdMb669Xu8789RBWH8/nQ6w2b/lM66vLcfUAItIY/4//0i9GQ1Fk96pQeQ6/kxIH5OI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dMSCeywAAAOIAAAAPAAAAAAAAAAAAAAAAAJgC&#10;AABkcnMvZG93bnJldi54bWxQSwUGAAAAAAQABAD1AAAAkAMAAAAA&#10;" path="m16200,10800v,-2983,-2418,-5400,-5400,-5400c7817,5400,5400,7817,5400,10800v,144,5,289,17,433l34,11666c11,11378,,11089,,10800,,4835,4835,,10800,v5964,,10800,4835,10800,10800l24300,10800r-5400,5400l13500,10800r2700,xe">
                  <v:stroke joinstyle="miter"/>
                  <v:path o:connecttype="custom" o:connectlocs="520193,218;136798,311700;531083,147111;1219438,294005;948452,441008;677466,294005" o:connectangles="0,0,0,0,0,0" textboxrect="3163,3163,18437,18437"/>
                </v:shape>
                <v:rect id="Прямоугольник 73" o:spid="_x0000_s1094" style="position:absolute;left:6256;width:22219;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o3scA&#10;AADjAAAADwAAAGRycy9kb3ducmV2LnhtbERPvW7CMBDekXgH65C6gU0oCAIGoVZU7QhhYTviI0kb&#10;n6PYQNqnr5Eqdbzv/1abztbiRq2vHGsYjxQI4tyZigsNx2w3nIPwAdlg7Zg0fJOHzbrfW2Fq3J33&#10;dDuEQsQQ9ilqKENoUil9XpJFP3INceQurrUY4tkW0rR4j+G2lolSM2mx4thQYkMvJeVfh6vVcK6S&#10;I/7sszdlF7tJ+Oiyz+vpVeunQbddggjUhX/xn/vdxPkqeZ7OZ5PpAh4/RQD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Y6N7HAAAA4wAAAA8AAAAAAAAAAAAAAAAAmAIAAGRy&#10;cy9kb3ducmV2LnhtbFBLBQYAAAAABAAEAPUAAACMAwAAAAA=&#10;">
                  <v:textbo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Университеттер, зерттеу орталықтары</w:t>
                        </w:r>
                      </w:p>
                    </w:txbxContent>
                  </v:textbox>
                </v:rect>
                <v:rect id="Прямоугольник 74" o:spid="_x0000_s1095" style="position:absolute;left:30446;width:19419;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1EcsA&#10;AADjAAAADwAAAGRycy9kb3ducmV2LnhtbESPT2/CMAzF75P2HSJP2m0k/BGMQkCIiWk7QrnsZhqv&#10;7WicqgnQ7dPPh0k72u/5vZ+X69436kpdrANbGA4MKOIiuJpLC8d89/QMKiZkh01gsvBNEdar+7sl&#10;Zi7ceE/XQyqVhHDM0EKVUptpHYuKPMZBaIlF+wydxyRjV2rX4U3CfaNHxky1x5qlocKWthUV58PF&#10;WzjVoyP+7PNX4+e7cXrv86/Lx4u1jw/9ZgEqUZ/+zX/Xb07wp2Y2n8wmY4GWn2QBevU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B7URywAAAOMAAAAPAAAAAAAAAAAAAAAAAJgC&#10;AABkcnMvZG93bnJldi54bWxQSwUGAAAAAAQABAD1AAAAkAMAAAAA&#10;">
                  <v:textbo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Бәсекелестер</w:t>
                        </w:r>
                      </w:p>
                    </w:txbxContent>
                  </v:textbox>
                </v:rect>
                <v:rect id="Прямоугольник 70" o:spid="_x0000_s1096" style="position:absolute;left:-8665;top:13924;width:20307;height:297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P7sgA&#10;AADiAAAADwAAAGRycy9kb3ducmV2LnhtbESPT4vCMBTE7wt+h/CEva2pXalSjSLLCi578g/o8dE8&#10;m2LzUppY67ffLAgeh5n5DbNY9bYWHbW+cqxgPEpAEBdOV1wqOB42HzMQPiBrrB2Tggd5WC0HbwvM&#10;tbvzjrp9KEWEsM9RgQmhyaX0hSGLfuQa4uhdXGsxRNmWUrd4j3BbyzRJMmmx4rhgsKEvQ8V1f7MK&#10;3I+R5H93B83fpwa3527iHhel3of9eg4iUB9e4Wd7qxVks89pOp5kKfxfind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uA/uyAAAAOIAAAAPAAAAAAAAAAAAAAAAAJgCAABk&#10;cnMvZG93bnJldi54bWxQSwUGAAAAAAQABAD1AAAAjQMAAAAA&#10;">
                  <v:textbox style="layout-flow:vertical;mso-layout-flow-alt:bottom-to-top">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Өзге</w:t>
                        </w:r>
                        <w:r>
                          <w:rPr>
                            <w:rFonts w:ascii="Times New Roman" w:hAnsi="Times New Roman" w:cs="Times New Roman"/>
                            <w:sz w:val="18"/>
                            <w:szCs w:val="18"/>
                            <w:lang w:val="kk-KZ" w:eastAsia="zh-CN"/>
                          </w:rPr>
                          <w:t xml:space="preserve"> жабдықтаушылар</w:t>
                        </w:r>
                      </w:p>
                    </w:txbxContent>
                  </v:textbox>
                </v:rect>
                <v:shape id="Стрелка: вверх-вниз 71" o:spid="_x0000_s1097" type="#_x0000_t70" style="position:absolute;left:18060;top:2909;width:1594;height:3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AkMwA&#10;AADiAAAADwAAAGRycy9kb3ducmV2LnhtbESPUWvCQBCE3wv+h2MF3+rFVkNMPcUWCqJtqba0r0tu&#10;m0RzeyF36vnvewWhj8PsfLMzWwTTiBN1rrasYDRMQBAXVtdcKvj8eL7NQDiPrLGxTAou5GAx793M&#10;MNf2zFs67XwpIoRdjgoq79tcSldUZNANbUscvR/bGfRRdqXUHZ4j3DTyLklSabDm2FBhS08VFYfd&#10;0cQ3Nnq6fBlt3tx7+NpOyn1Yv34/KjXoh+UDCE/B/x9f0yutIEvvsyQdZ1P4mxQ5IO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K8AkMwAAADiAAAADwAAAAAAAAAAAAAAAACY&#10;AgAAZHJzL2Rvd25yZXYueG1sUEsFBgAAAAAEAAQA9QAAAJEDAAAAAA==&#10;">
                  <v:textbox style="layout-flow:vertical-ideographic"/>
                </v:shape>
                <v:shape id="Стрелка: вверх-вниз 72" o:spid="_x0000_s1098" type="#_x0000_t70" style="position:absolute;left:39175;top:2992;width:1594;height:3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zbMsA&#10;AADiAAAADwAAAGRycy9kb3ducmV2LnhtbESPTUvDQBCG74L/YRnBm910iaKx21IFQawV+4Feh+yY&#10;RLOzIbu26793DoLH4Z33mWdmi+x7daAxdoEtTCcFKOI6uI4bC/vdw8U1qJiQHfaBycIPRVjMT09m&#10;WLlw5A0dtqlRAuFYoYU2paHSOtYteYyTMBBL9hFGj0nGsdFuxKPAfa9NUVxpjx3LhRYHum+p/tp+&#10;e9FYuZvl83T1El/z2+ay+cxP6/c7a8/P8vIWVKKc/pf/2o/OQmlKY0xRirO8JBzQ8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bcDNsywAAAOIAAAAPAAAAAAAAAAAAAAAAAJgC&#10;AABkcnMvZG93bnJldi54bWxQSwUGAAAAAAQABAD1AAAAkAMAAAAA&#10;">
                  <v:textbox style="layout-flow:vertical-ideographic"/>
                </v:shape>
                <v:shape id="Стрелка: вверх-вниз 63" o:spid="_x0000_s1099" type="#_x0000_t70" style="position:absolute;left:4345;top:12385;width:1784;height:44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Jm+sQA&#10;AADiAAAADwAAAGRycy9kb3ducmV2LnhtbERPW2vCMBR+F/Yfwhn4NtNON2o1yhAG7tHLfD40x7ba&#10;nHRJbLt/bwYDHz+++3I9mEZ05HxtWUE6SUAQF1bXXCo4Hj5fMhA+IGtsLJOCX/KwXj2Nlphr2/OO&#10;un0oRQxhn6OCKoQ2l9IXFRn0E9sSR+5sncEQoSuldtjHcNPI1yR5lwZrjg0VtrSpqLjub0bB5mTp&#10;K729WfPj5M70l2997Bqlxs/DxwJEoCE8xP/urY7z51kyTWfZFP4uRQx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iZvrEAAAA4gAAAA8AAAAAAAAAAAAAAAAAmAIAAGRycy9k&#10;b3ducmV2LnhtbFBLBQYAAAAABAAEAPUAAACJAwAAAAA=&#10;">
                  <v:textbox style="layout-flow:vertical-ideographic"/>
                </v:shape>
                <v:rect id="Прямоугольник 58" o:spid="_x0000_s1100" style="position:absolute;left:3;top:28095;width:29635;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K5wMgA&#10;AADjAAAADwAAAGRycy9kb3ducmV2LnhtbERPvW7CMBDekfoO1lXqBjahUEgxCFFRlRHC0u2IjyQl&#10;PkexgbRPX1eqxHjf/82Xna3FlVpfOdYwHCgQxLkzFRcaDtmmPwXhA7LB2jFp+CYPy8VDb46pcTfe&#10;0XUfChFD2KeooQyhSaX0eUkW/cA1xJE7udZiiGdbSNPiLYbbWiZKTaTFimNDiQ2tS8rP+4vVcKyS&#10;A/7ssndlZ5tR2HbZ1+XzTeunx271CiJQF+7if/eHifOHaprMxs/jF/j7KQI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ornAyAAAAOMAAAAPAAAAAAAAAAAAAAAAAJgCAABk&#10;cnMvZG93bnJldi54bWxQSwUGAAAAAAQABAD1AAAAjQMAAAAA&#10;">
                  <v:textbo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Басқа салаларда қызмет ететін компаниялар</w:t>
                        </w:r>
                      </w:p>
                    </w:txbxContent>
                  </v:textbox>
                </v:rect>
                <v:rect id="Прямоугольник 57" o:spid="_x0000_s1101" style="position:absolute;left:30944;top:28092;width:19418;height:2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yzcgA&#10;AADjAAAADwAAAGRycy9kb3ducmV2LnhtbERPvW7CMBDekfoO1lXqBk5DIRAwqGoFakcIC9sRH0na&#10;+BzFBgJPXyNVYrzv/+bLztTiTK2rLCt4HUQgiHOrKy4U7LJVfwLCeWSNtWVScCUHy8VTb46pthfe&#10;0HnrCxFC2KWooPS+SaV0eUkG3cA2xIE72tagD2dbSN3iJYSbWsZRNJYGKw4NJTb0UVL+uz0ZBYcq&#10;3uFtk60jM10N/XeX/Zz2n0q9PHfvMxCeOv8Q/7u/dJifJPEoHiXDN7j/FAC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DnLNyAAAAOMAAAAPAAAAAAAAAAAAAAAAAJgCAABk&#10;cnMvZG93bnJldi54bWxQSwUGAAAAAAQABAD1AAAAjQMAAAAA&#10;">
                  <v:textbo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Инновацияның делдардары</w:t>
                        </w:r>
                      </w:p>
                    </w:txbxContent>
                  </v:textbox>
                </v:rect>
                <v:shape id="Стрелка: вверх-вниз 59" o:spid="_x0000_s1102" type="#_x0000_t70" style="position:absolute;left:13904;top:24855;width:1594;height:3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pcwA&#10;AADjAAAADwAAAGRycy9kb3ducmV2LnhtbESPQWvCQBCF70L/wzIFb7qJGNHUVbRQKFVL1dJeh+w0&#10;Sc3OhuxW13/vFgo9zrz3vXkzXwbTiDN1rrasIB0mIIgLq2suFbwfnwZTEM4ja2wsk4IrOVgu7npz&#10;zLW98J7OB1+KGMIuRwWV920upSsqMuiGtiWO2pftDPo4dqXUHV5iuGnkKEkm0mDN8UKFLT1WVJwO&#10;PybW2OjZaptuXt1b+Nhn5Xd42X2ulerfh9UDCE/B/5v/6GcdufEkS0fjaZLB709xAXJx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X8bpcwAAADjAAAADwAAAAAAAAAAAAAAAACY&#10;AgAAZHJzL2Rvd25yZXYueG1sUEsFBgAAAAAEAAQA9QAAAJEDAAAAAA==&#10;">
                  <v:textbox style="layout-flow:vertical-ideographic"/>
                </v:shape>
                <v:shape id="Стрелка: вверх-вниз 60" o:spid="_x0000_s1103" type="#_x0000_t70" style="position:absolute;left:40172;top:24605;width:1594;height:3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w7scA&#10;AADiAAAADwAAAGRycy9kb3ducmV2LnhtbERPW2vCMBR+H+w/hDPY20wdVmw1ihOEMefwhns9NGdt&#10;tTkpTabZv18GAx8/vvtkFkwjLtS52rKCfi8BQVxYXXOp4LBfPo1AOI+ssbFMCn7IwWx6fzfBXNsr&#10;b+my86WIIexyVFB53+ZSuqIig65nW+LIfdnOoI+wK6Xu8BrDTSOfk2QoDdYcGypsaVFRcd59mzhj&#10;pbP5e3/14TbhuE3LU3hbf74o9fgQ5mMQnoK/if/drzr6RoNBmmXDFP4uRQx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ZMO7HAAAA4gAAAA8AAAAAAAAAAAAAAAAAmAIAAGRy&#10;cy9kb3ducmV2LnhtbFBLBQYAAAAABAAEAPUAAACMAwAAAAA=&#10;">
                  <v:textbox style="layout-flow:vertical-ideographic"/>
                </v:shape>
              </v:group>
            </w:pict>
          </mc:Fallback>
        </mc:AlternateContent>
      </w: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16"/>
          <w:szCs w:val="16"/>
          <w:lang w:val="kk-KZ" w:eastAsia="zh-CN"/>
        </w:rPr>
      </w:pPr>
    </w:p>
    <w:bookmarkEnd w:id="4"/>
    <w:p w:rsidR="005118AF" w:rsidRDefault="00EF60C3">
      <w:pPr>
        <w:spacing w:after="0" w:line="240" w:lineRule="auto"/>
        <w:jc w:val="center"/>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Сурет 5 </w:t>
      </w:r>
      <w:r>
        <w:rPr>
          <w:rFonts w:ascii="Times New Roman" w:eastAsia="Times New Roman" w:hAnsi="Times New Roman" w:cs="Times New Roman"/>
          <w:color w:val="000000"/>
          <w:sz w:val="28"/>
          <w:szCs w:val="28"/>
          <w:lang w:val="kk-KZ" w:eastAsia="zh-CN"/>
        </w:rPr>
        <w:t>‒</w:t>
      </w:r>
      <w:r>
        <w:rPr>
          <w:rFonts w:ascii="Times New Roman" w:eastAsia="Times New Roman" w:hAnsi="Times New Roman"/>
          <w:color w:val="000000"/>
          <w:sz w:val="28"/>
          <w:szCs w:val="28"/>
          <w:lang w:val="kk-KZ" w:eastAsia="zh-CN"/>
        </w:rPr>
        <w:t xml:space="preserve"> WFGM моделі және азық-түлік өнімдерін жеткізудің ашық жүйесі (шынжыры)</w:t>
      </w:r>
    </w:p>
    <w:p w:rsidR="005118AF" w:rsidRDefault="005118AF">
      <w:pPr>
        <w:spacing w:after="0" w:line="240" w:lineRule="auto"/>
        <w:ind w:firstLine="709"/>
        <w:jc w:val="both"/>
        <w:rPr>
          <w:rFonts w:ascii="Times New Roman" w:eastAsia="Calibri" w:hAnsi="Times New Roman" w:cs="Times New Roman"/>
          <w:sz w:val="16"/>
          <w:szCs w:val="16"/>
          <w:lang w:val="kk-KZ"/>
        </w:rPr>
      </w:pPr>
    </w:p>
    <w:p w:rsidR="005118AF" w:rsidRDefault="00EF60C3">
      <w:pPr>
        <w:spacing w:after="0" w:line="240" w:lineRule="auto"/>
        <w:ind w:firstLine="709"/>
        <w:jc w:val="both"/>
        <w:rPr>
          <w:rFonts w:ascii="Times New Roman" w:eastAsia="Times New Roman" w:hAnsi="Times New Roman"/>
          <w:color w:val="000000"/>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w:t>
      </w:r>
      <w:r>
        <w:rPr>
          <w:rFonts w:ascii="Times New Roman" w:eastAsia="Times New Roman" w:hAnsi="Times New Roman"/>
          <w:color w:val="000000"/>
          <w:sz w:val="24"/>
          <w:szCs w:val="24"/>
          <w:lang w:val="kk-KZ" w:eastAsia="zh-CN"/>
        </w:rPr>
        <w:t xml:space="preserve"> [52, </w:t>
      </w:r>
      <w:r>
        <w:rPr>
          <w:rFonts w:ascii="Times New Roman" w:eastAsia="DengXian" w:hAnsi="Times New Roman" w:cs="Times New Roman"/>
          <w:sz w:val="24"/>
          <w:szCs w:val="24"/>
          <w:lang w:val="kk-KZ"/>
        </w:rPr>
        <w:t>R62-R63</w:t>
      </w:r>
      <w:r>
        <w:rPr>
          <w:rFonts w:ascii="Times New Roman" w:eastAsia="Times New Roman" w:hAnsi="Times New Roman"/>
          <w:color w:val="000000"/>
          <w:sz w:val="24"/>
          <w:szCs w:val="24"/>
          <w:lang w:val="kk-KZ" w:eastAsia="zh-CN"/>
        </w:rPr>
        <w:t xml:space="preserve">]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WFGM моделі төрт қадамнан тұрады. WANT қадамында ұйым сыртқы білімге қол жеткізудің қажеттілігін анықтайды. FIND кезеңінде ол жұмыс үшін қажетті сыртқы серіктесті табумен айналысады. GET кезеңі фирма бірінші кезеңде анықталған білімді игерген кезде қол жет</w:t>
      </w:r>
      <w:r>
        <w:rPr>
          <w:rFonts w:ascii="Times New Roman" w:eastAsia="Times New Roman" w:hAnsi="Times New Roman"/>
          <w:color w:val="000000"/>
          <w:sz w:val="28"/>
          <w:szCs w:val="28"/>
          <w:lang w:val="kk-KZ" w:eastAsia="zh-CN"/>
        </w:rPr>
        <w:t>кізіледі. Бұл кезеңнің мақсаты барлық серіктестерге пайда әкелетін жеңіске жету үшін жағдай жасау болып табылады немесе басқаша айтқанда тараптардың «жеңіс-жеңіс» жағдайына қол жеткізу [53]. Ең соңғы - MANAGE кезеңінде фирма әр тараптың нақты мақсаттары ме</w:t>
      </w:r>
      <w:r>
        <w:rPr>
          <w:rFonts w:ascii="Times New Roman" w:eastAsia="Times New Roman" w:hAnsi="Times New Roman"/>
          <w:color w:val="000000"/>
          <w:sz w:val="28"/>
          <w:szCs w:val="28"/>
          <w:lang w:val="kk-KZ" w:eastAsia="zh-CN"/>
        </w:rPr>
        <w:t>н міндеттеріне қол жеткізу үшін серіктестердің ресурстарын үйлестіріп, біріктіруі керек. Бұл барлық тараптардың серіктестіктің негізгі ережелері мен процестерін, мысалы, қандай ақпаратпен және қандай жолдармен алмасу қажет екендігін түсінуді қамтамасыз ету</w:t>
      </w:r>
      <w:r>
        <w:rPr>
          <w:rFonts w:ascii="Times New Roman" w:eastAsia="Times New Roman" w:hAnsi="Times New Roman"/>
          <w:color w:val="000000"/>
          <w:sz w:val="28"/>
          <w:szCs w:val="28"/>
          <w:lang w:val="kk-KZ" w:eastAsia="zh-CN"/>
        </w:rPr>
        <w:t>ді қамтиды [54].</w:t>
      </w:r>
    </w:p>
    <w:p w:rsidR="005118AF" w:rsidRDefault="00EF60C3">
      <w:pPr>
        <w:spacing w:after="0" w:line="240" w:lineRule="auto"/>
        <w:ind w:firstLine="709"/>
        <w:jc w:val="both"/>
        <w:rPr>
          <w:rFonts w:ascii="Times New Roman" w:eastAsia="Times New Roman" w:hAnsi="Times New Roman"/>
          <w:i/>
          <w:color w:val="000000"/>
          <w:sz w:val="28"/>
          <w:szCs w:val="28"/>
          <w:lang w:val="kk-KZ" w:eastAsia="zh-CN"/>
        </w:rPr>
      </w:pPr>
      <w:r>
        <w:rPr>
          <w:rFonts w:ascii="Times New Roman" w:eastAsia="Times New Roman" w:hAnsi="Times New Roman"/>
          <w:i/>
          <w:color w:val="000000"/>
          <w:sz w:val="28"/>
          <w:szCs w:val="28"/>
          <w:lang w:val="kk-KZ" w:eastAsia="zh-CN"/>
        </w:rPr>
        <w:t xml:space="preserve">Тамақ өнеркәсібіне арналған жабдықтардың моделі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Бұл модель алғаш Билгиарди және Гилати деген ғалымдармен ұсынылған, ол тамақ өнеркәсібінің машина жасау саласында жиі қолданылатын және тамақ өнімдерін жеткізу шынжырлары арасындағы буындард</w:t>
      </w:r>
      <w:r>
        <w:rPr>
          <w:rFonts w:ascii="Times New Roman" w:eastAsia="Times New Roman" w:hAnsi="Times New Roman"/>
          <w:color w:val="000000"/>
          <w:sz w:val="28"/>
          <w:szCs w:val="28"/>
          <w:lang w:val="kk-KZ" w:eastAsia="zh-CN"/>
        </w:rPr>
        <w:t>ы сипаттайтын модель болып табылады Сонымен қатар, авторлардың тұжырымдауынша, әлеуетті жаңа өнімдер мен технологияларды іздеу үшін көптеген сыртқы білім көздерін  қосу қажеттілігімен байланысты азық-түлік өнімдерін жеткізу шынжырының күрделілігі арта түск</w:t>
      </w:r>
      <w:r>
        <w:rPr>
          <w:rFonts w:ascii="Times New Roman" w:eastAsia="Times New Roman" w:hAnsi="Times New Roman"/>
          <w:color w:val="000000"/>
          <w:sz w:val="28"/>
          <w:szCs w:val="28"/>
          <w:lang w:val="kk-KZ" w:eastAsia="zh-CN"/>
        </w:rPr>
        <w:t>ен. Модельде жеткізілім тізбегіндегі өзара әрекеттесу процестері талданады және тиісті тараптардың ашық инновациялық тәжірибелері анықталады. Жеткізуші ашық инновациялық процесте ерекше, инновациялық рөл атқарады. Бұл модельдің тағы бір ерекшелігі - бұл ко</w:t>
      </w:r>
      <w:r>
        <w:rPr>
          <w:rFonts w:ascii="Times New Roman" w:eastAsia="Times New Roman" w:hAnsi="Times New Roman"/>
          <w:color w:val="000000"/>
          <w:sz w:val="28"/>
          <w:szCs w:val="28"/>
          <w:lang w:val="kk-KZ" w:eastAsia="zh-CN"/>
        </w:rPr>
        <w:t>мпаниялардың өз клиенттерін инновациялық процеске қалай тартуға тырысатындығын көрсетеді. Бұған олардың өнім түрлендірулерін бақылау және оларды нарықтық зерттеулерге және өнімді әзірлеу бойынша басқа жұмыстарға тарту арқылы қол жеткізіледі (6-сурет).</w:t>
      </w:r>
    </w:p>
    <w:p w:rsidR="005118AF" w:rsidRDefault="005118AF">
      <w:pPr>
        <w:spacing w:after="0" w:line="240" w:lineRule="auto"/>
        <w:jc w:val="both"/>
        <w:rPr>
          <w:sz w:val="28"/>
          <w:szCs w:val="28"/>
          <w:lang w:val="kk-KZ"/>
        </w:rPr>
      </w:pPr>
    </w:p>
    <w:p w:rsidR="005118AF" w:rsidRDefault="00EF60C3">
      <w:pPr>
        <w:spacing w:after="0" w:line="240" w:lineRule="auto"/>
        <w:jc w:val="both"/>
        <w:rPr>
          <w:sz w:val="20"/>
          <w:szCs w:val="20"/>
          <w:lang w:val="kk-KZ" w:eastAsia="zh-CN"/>
        </w:rPr>
      </w:pPr>
      <w:r>
        <w:rPr>
          <w:noProof/>
          <w:sz w:val="20"/>
          <w:szCs w:val="20"/>
        </w:rPr>
        <mc:AlternateContent>
          <mc:Choice Requires="wpg">
            <w:drawing>
              <wp:anchor distT="0" distB="0" distL="114300" distR="114300" simplePos="0" relativeHeight="251660288" behindDoc="0" locked="0" layoutInCell="1" allowOverlap="1">
                <wp:simplePos x="0" y="0"/>
                <wp:positionH relativeFrom="column">
                  <wp:posOffset>477520</wp:posOffset>
                </wp:positionH>
                <wp:positionV relativeFrom="paragraph">
                  <wp:posOffset>78740</wp:posOffset>
                </wp:positionV>
                <wp:extent cx="5161915" cy="2615565"/>
                <wp:effectExtent l="0" t="0" r="19685" b="13335"/>
                <wp:wrapNone/>
                <wp:docPr id="60" name="Группа 56"/>
                <wp:cNvGraphicFramePr/>
                <a:graphic xmlns:a="http://schemas.openxmlformats.org/drawingml/2006/main">
                  <a:graphicData uri="http://schemas.microsoft.com/office/word/2010/wordprocessingGroup">
                    <wpg:wgp>
                      <wpg:cNvGrpSpPr/>
                      <wpg:grpSpPr>
                        <a:xfrm>
                          <a:off x="0" y="0"/>
                          <a:ext cx="5161915" cy="2615565"/>
                          <a:chOff x="1984" y="2696"/>
                          <a:chExt cx="8129" cy="4119"/>
                        </a:xfrm>
                      </wpg:grpSpPr>
                      <wps:wsp>
                        <wps:cNvPr id="797432762" name="AutoShape 3"/>
                        <wps:cNvSpPr>
                          <a:spLocks noChangeArrowheads="1"/>
                        </wps:cNvSpPr>
                        <wps:spPr bwMode="auto">
                          <a:xfrm>
                            <a:off x="2830" y="3516"/>
                            <a:ext cx="7283" cy="3299"/>
                          </a:xfrm>
                          <a:prstGeom prst="roundRect">
                            <a:avLst>
                              <a:gd name="adj" fmla="val 16667"/>
                            </a:avLst>
                          </a:prstGeom>
                          <a:solidFill>
                            <a:srgbClr val="FFFFFF"/>
                          </a:solidFill>
                          <a:ln w="19050">
                            <a:solidFill>
                              <a:srgbClr val="000000"/>
                            </a:solidFill>
                            <a:prstDash val="dash"/>
                            <a:round/>
                          </a:ln>
                        </wps:spPr>
                        <wps:bodyPr rot="0" vert="horz" wrap="square" lIns="91440" tIns="45720" rIns="91440" bIns="45720" anchor="t" anchorCtr="0" upright="1">
                          <a:noAutofit/>
                        </wps:bodyPr>
                      </wps:wsp>
                      <wps:wsp>
                        <wps:cNvPr id="1823708031" name="AutoShape 4"/>
                        <wps:cNvSpPr>
                          <a:spLocks noChangeArrowheads="1"/>
                        </wps:cNvSpPr>
                        <wps:spPr bwMode="auto">
                          <a:xfrm>
                            <a:off x="3148" y="4504"/>
                            <a:ext cx="2579" cy="1156"/>
                          </a:xfrm>
                          <a:prstGeom prst="chevron">
                            <a:avLst>
                              <a:gd name="adj" fmla="val 55774"/>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Жабдықтаушылар</w:t>
                              </w:r>
                            </w:p>
                          </w:txbxContent>
                        </wps:txbx>
                        <wps:bodyPr rot="0" vert="horz" wrap="square" lIns="91440" tIns="45720" rIns="91440" bIns="45720" anchor="t" anchorCtr="0" upright="1">
                          <a:noAutofit/>
                        </wps:bodyPr>
                      </wps:wsp>
                      <wps:wsp>
                        <wps:cNvPr id="700943" name="AutoShape 5"/>
                        <wps:cNvSpPr>
                          <a:spLocks noChangeArrowheads="1"/>
                        </wps:cNvSpPr>
                        <wps:spPr bwMode="auto">
                          <a:xfrm>
                            <a:off x="5409" y="4504"/>
                            <a:ext cx="2439" cy="1156"/>
                          </a:xfrm>
                          <a:prstGeom prst="chevron">
                            <a:avLst>
                              <a:gd name="adj" fmla="val 52747"/>
                            </a:avLst>
                          </a:prstGeom>
                          <a:solidFill>
                            <a:srgbClr val="FFFFFF"/>
                          </a:solidFill>
                          <a:ln w="9525">
                            <a:solidFill>
                              <a:srgbClr val="000000"/>
                            </a:solidFill>
                            <a:prstDash val="lgDash"/>
                            <a:miter lim="800000"/>
                          </a:ln>
                        </wps:spPr>
                        <wps:txbx>
                          <w:txbxContent>
                            <w:p w:rsidR="005118AF" w:rsidRDefault="005118AF">
                              <w:pPr>
                                <w:spacing w:after="0" w:line="240" w:lineRule="auto"/>
                                <w:rPr>
                                  <w:rFonts w:ascii="Times New Roman" w:hAnsi="Times New Roman" w:cs="Times New Roman"/>
                                  <w:sz w:val="18"/>
                                  <w:szCs w:val="18"/>
                                  <w:lang w:val="kk-KZ" w:eastAsia="zh-CN"/>
                                </w:rPr>
                              </w:pP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Тамақ машина жасау кәсіпорыны</w:t>
                              </w:r>
                            </w:p>
                          </w:txbxContent>
                        </wps:txbx>
                        <wps:bodyPr rot="0" vert="horz" wrap="square" lIns="91440" tIns="45720" rIns="91440" bIns="45720" anchor="t" anchorCtr="0" upright="1">
                          <a:noAutofit/>
                        </wps:bodyPr>
                      </wps:wsp>
                      <wps:wsp>
                        <wps:cNvPr id="608410318" name="AutoShape 6"/>
                        <wps:cNvSpPr>
                          <a:spLocks noChangeArrowheads="1"/>
                        </wps:cNvSpPr>
                        <wps:spPr bwMode="auto">
                          <a:xfrm>
                            <a:off x="7547" y="4504"/>
                            <a:ext cx="2282" cy="1156"/>
                          </a:xfrm>
                          <a:prstGeom prst="chevron">
                            <a:avLst>
                              <a:gd name="adj" fmla="val 49351"/>
                            </a:avLst>
                          </a:prstGeom>
                          <a:solidFill>
                            <a:srgbClr val="FFFFFF"/>
                          </a:solidFill>
                          <a:ln w="9525">
                            <a:solidFill>
                              <a:srgbClr val="000000"/>
                            </a:solidFill>
                            <a:prstDash val="lgDash"/>
                            <a:miter lim="800000"/>
                          </a:ln>
                        </wps:spPr>
                        <wps:txb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Тамақ өндірісі кәсіпорыны</w:t>
                              </w:r>
                            </w:p>
                          </w:txbxContent>
                        </wps:txbx>
                        <wps:bodyPr rot="0" vert="horz" wrap="square" lIns="91440" tIns="45720" rIns="91440" bIns="45720" anchor="t" anchorCtr="0" upright="1">
                          <a:noAutofit/>
                        </wps:bodyPr>
                      </wps:wsp>
                      <wps:wsp>
                        <wps:cNvPr id="245030568" name="AutoShape 7"/>
                        <wps:cNvSpPr>
                          <a:spLocks noChangeArrowheads="1"/>
                        </wps:cNvSpPr>
                        <wps:spPr bwMode="auto">
                          <a:xfrm>
                            <a:off x="4287" y="3701"/>
                            <a:ext cx="1707" cy="803"/>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1767252223" name="AutoShape 8"/>
                        <wps:cNvSpPr>
                          <a:spLocks noChangeArrowheads="1"/>
                        </wps:cNvSpPr>
                        <wps:spPr bwMode="auto">
                          <a:xfrm>
                            <a:off x="6771" y="3701"/>
                            <a:ext cx="1707" cy="803"/>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2041967153" name="AutoShape 9"/>
                        <wps:cNvSpPr>
                          <a:spLocks noChangeArrowheads="1"/>
                        </wps:cNvSpPr>
                        <wps:spPr bwMode="auto">
                          <a:xfrm rot="10800000">
                            <a:off x="6860" y="5576"/>
                            <a:ext cx="1707" cy="926"/>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725055570" name="AutoShape 10"/>
                        <wps:cNvSpPr>
                          <a:spLocks noChangeArrowheads="1"/>
                        </wps:cNvSpPr>
                        <wps:spPr bwMode="auto">
                          <a:xfrm rot="10800000">
                            <a:off x="4526" y="5576"/>
                            <a:ext cx="1707" cy="926"/>
                          </a:xfrm>
                          <a:custGeom>
                            <a:avLst/>
                            <a:gdLst>
                              <a:gd name="G0" fmla="+- 0 0 0"/>
                              <a:gd name="G1" fmla="+- 11494826 0 0"/>
                              <a:gd name="G2" fmla="+- 0 0 11494826"/>
                              <a:gd name="G3" fmla="+- 10800 0 0"/>
                              <a:gd name="G4" fmla="+- 0 0 0"/>
                              <a:gd name="T0" fmla="*/ 360 256 1"/>
                              <a:gd name="T1" fmla="*/ 0 256 1"/>
                              <a:gd name="G5" fmla="+- G2 T0 T1"/>
                              <a:gd name="G6" fmla="?: G2 G2 G5"/>
                              <a:gd name="G7" fmla="+- 0 0 G6"/>
                              <a:gd name="G8" fmla="+- 5400 0 0"/>
                              <a:gd name="G9" fmla="+- 0 0 11494826"/>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494826"/>
                              <a:gd name="G36" fmla="sin G34 11494826"/>
                              <a:gd name="G37" fmla="+/ 11494826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366 w 21600"/>
                              <a:gd name="T5" fmla="*/ 8 h 21600"/>
                              <a:gd name="T6" fmla="*/ 2726 w 21600"/>
                              <a:gd name="T7" fmla="*/ 11450 h 21600"/>
                              <a:gd name="T8" fmla="*/ 10583 w 21600"/>
                              <a:gd name="T9" fmla="*/ 5404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cubicBezTo>
                                  <a:pt x="5400" y="10944"/>
                                  <a:pt x="5405" y="11089"/>
                                  <a:pt x="5417" y="11233"/>
                                </a:cubicBezTo>
                                <a:lnTo>
                                  <a:pt x="34" y="11666"/>
                                </a:lnTo>
                                <a:cubicBezTo>
                                  <a:pt x="11" y="11378"/>
                                  <a:pt x="0" y="11089"/>
                                  <a:pt x="0" y="10800"/>
                                </a:cubicBezTo>
                                <a:cubicBezTo>
                                  <a:pt x="0" y="4835"/>
                                  <a:pt x="4835" y="0"/>
                                  <a:pt x="10800" y="0"/>
                                </a:cubicBezTo>
                                <a:cubicBezTo>
                                  <a:pt x="16764" y="0"/>
                                  <a:pt x="21600" y="4835"/>
                                  <a:pt x="21600" y="10800"/>
                                </a:cubicBezTo>
                                <a:lnTo>
                                  <a:pt x="24300" y="10800"/>
                                </a:lnTo>
                                <a:lnTo>
                                  <a:pt x="18900" y="16200"/>
                                </a:lnTo>
                                <a:lnTo>
                                  <a:pt x="13500" y="10800"/>
                                </a:lnTo>
                                <a:lnTo>
                                  <a:pt x="16200" y="10800"/>
                                </a:lnTo>
                                <a:close/>
                              </a:path>
                            </a:pathLst>
                          </a:custGeom>
                          <a:solidFill>
                            <a:srgbClr val="FFFFFF"/>
                          </a:solidFill>
                          <a:ln w="9525">
                            <a:solidFill>
                              <a:srgbClr val="000000"/>
                            </a:solidFill>
                            <a:miter lim="800000"/>
                          </a:ln>
                        </wps:spPr>
                        <wps:bodyPr rot="0" vert="horz" wrap="square" lIns="91440" tIns="45720" rIns="91440" bIns="45720" anchor="t" anchorCtr="0" upright="1">
                          <a:noAutofit/>
                        </wps:bodyPr>
                      </wps:wsp>
                      <wps:wsp>
                        <wps:cNvPr id="2106300276" name="Rectangle 11"/>
                        <wps:cNvSpPr>
                          <a:spLocks noChangeArrowheads="1"/>
                        </wps:cNvSpPr>
                        <wps:spPr bwMode="auto">
                          <a:xfrm>
                            <a:off x="2964" y="2696"/>
                            <a:ext cx="3499" cy="469"/>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Университеттер, зерттеу орталықтары</w:t>
                              </w:r>
                            </w:p>
                          </w:txbxContent>
                        </wps:txbx>
                        <wps:bodyPr rot="0" vert="horz" wrap="square" lIns="91440" tIns="45720" rIns="91440" bIns="45720" anchor="t" anchorCtr="0" upright="1">
                          <a:noAutofit/>
                        </wps:bodyPr>
                      </wps:wsp>
                      <wps:wsp>
                        <wps:cNvPr id="396424298" name="Rectangle 12"/>
                        <wps:cNvSpPr>
                          <a:spLocks noChangeArrowheads="1"/>
                        </wps:cNvSpPr>
                        <wps:spPr bwMode="auto">
                          <a:xfrm>
                            <a:off x="6771" y="2696"/>
                            <a:ext cx="3058" cy="469"/>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Кеңес беру</w:t>
                              </w:r>
                            </w:p>
                          </w:txbxContent>
                        </wps:txbx>
                        <wps:bodyPr rot="0" vert="horz" wrap="square" lIns="91440" tIns="45720" rIns="91440" bIns="45720" anchor="t" anchorCtr="0" upright="1">
                          <a:noAutofit/>
                        </wps:bodyPr>
                      </wps:wsp>
                      <wps:wsp>
                        <wps:cNvPr id="687204463" name="Rectangle 13"/>
                        <wps:cNvSpPr>
                          <a:spLocks noChangeArrowheads="1"/>
                        </wps:cNvSpPr>
                        <wps:spPr bwMode="auto">
                          <a:xfrm rot="16200000">
                            <a:off x="620" y="4880"/>
                            <a:ext cx="3198" cy="469"/>
                          </a:xfrm>
                          <a:prstGeom prst="rect">
                            <a:avLst/>
                          </a:prstGeom>
                          <a:solidFill>
                            <a:srgbClr val="FFFFFF"/>
                          </a:solidFill>
                          <a:ln w="9525">
                            <a:solidFill>
                              <a:srgbClr val="000000"/>
                            </a:solidFill>
                            <a:miter lim="800000"/>
                          </a:ln>
                        </wps:spPr>
                        <wps:txb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Өзге</w:t>
                              </w:r>
                              <w:r>
                                <w:rPr>
                                  <w:rFonts w:ascii="Times New Roman" w:hAnsi="Times New Roman" w:cs="Times New Roman"/>
                                  <w:sz w:val="18"/>
                                  <w:szCs w:val="18"/>
                                  <w:lang w:val="kk-KZ" w:eastAsia="zh-CN"/>
                                </w:rPr>
                                <w:t xml:space="preserve"> жабдықтаушылар</w:t>
                              </w:r>
                            </w:p>
                          </w:txbxContent>
                        </wps:txbx>
                        <wps:bodyPr rot="0" vert="vert270" wrap="square" lIns="91440" tIns="45720" rIns="91440" bIns="45720" anchor="t" anchorCtr="0" upright="1">
                          <a:noAutofit/>
                        </wps:bodyPr>
                      </wps:wsp>
                      <wps:wsp>
                        <wps:cNvPr id="853915690" name="AutoShape 14"/>
                        <wps:cNvSpPr>
                          <a:spLocks noChangeArrowheads="1"/>
                        </wps:cNvSpPr>
                        <wps:spPr bwMode="auto">
                          <a:xfrm>
                            <a:off x="4275" y="3282"/>
                            <a:ext cx="251" cy="536"/>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983408862" name="AutoShape 15"/>
                        <wps:cNvSpPr>
                          <a:spLocks noChangeArrowheads="1"/>
                        </wps:cNvSpPr>
                        <wps:spPr bwMode="auto">
                          <a:xfrm>
                            <a:off x="8143" y="3165"/>
                            <a:ext cx="251" cy="536"/>
                          </a:xfrm>
                          <a:prstGeom prst="upDownArrow">
                            <a:avLst>
                              <a:gd name="adj1" fmla="val 50000"/>
                              <a:gd name="adj2" fmla="val 42709"/>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581618341" name="AutoShape 16"/>
                        <wps:cNvSpPr>
                          <a:spLocks noChangeArrowheads="1"/>
                        </wps:cNvSpPr>
                        <wps:spPr bwMode="auto">
                          <a:xfrm rot="16200000">
                            <a:off x="2660" y="4652"/>
                            <a:ext cx="281" cy="695"/>
                          </a:xfrm>
                          <a:prstGeom prst="upDownArrow">
                            <a:avLst>
                              <a:gd name="adj1" fmla="val 50000"/>
                              <a:gd name="adj2" fmla="val 49466"/>
                            </a:avLst>
                          </a:prstGeom>
                          <a:solidFill>
                            <a:srgbClr val="FFFFFF"/>
                          </a:solidFill>
                          <a:ln w="9525">
                            <a:solidFill>
                              <a:srgbClr val="000000"/>
                            </a:solidFill>
                            <a:miter lim="800000"/>
                          </a:ln>
                        </wps:spPr>
                        <wps:bodyPr rot="0" vert="eaVert" wrap="square" lIns="91440" tIns="45720" rIns="91440" bIns="45720" anchor="t" anchorCtr="0" upright="1">
                          <a:noAutofit/>
                        </wps:bodyPr>
                      </wps:wsp>
                    </wpg:wgp>
                  </a:graphicData>
                </a:graphic>
              </wp:anchor>
            </w:drawing>
          </mc:Choice>
          <mc:Fallback>
            <w:pict>
              <v:group id="Группа 56" o:spid="_x0000_s1104" style="position:absolute;left:0;text-align:left;margin-left:37.6pt;margin-top:6.2pt;width:406.45pt;height:205.95pt;z-index:251660288" coordorigin="1984,2696" coordsize="8129,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">
                <v:roundrect id="AutoShape 3" o:spid="_x0000_s1105" style="position:absolute;left:2830;top:3516;width:7283;height:32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jssgA&#10;AADiAAAADwAAAGRycy9kb3ducmV2LnhtbESPzWqDQBSF94G+w3AL2SVjrWhjMwlFaOgimyZZdHlx&#10;blTq3BFnjPr2nUCgy8P5+Tjb/WRacaPeNZYVvKwjEMSl1Q1XCi7nz9UbCOeRNbaWScFMDva7p8UW&#10;c21H/qbbyVcijLDLUUHtfZdL6cqaDLq17YiDd7W9QR9kX0nd4xjGTSvjKEqlwYYDocaOiprK39Ng&#10;AndOD84nCc/VT6GjcThmxXBUavk8fbyD8DT5//Cj/aUVZJsseY2zNIb7pXAH5O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oGOyyAAAAOIAAAAPAAAAAAAAAAAAAAAAAJgCAABk&#10;cnMvZG93bnJldi54bWxQSwUGAAAAAAQABAD1AAAAjQMAAAAA&#10;" strokeweight="1.5pt">
                  <v:stroke dashstyle="dash"/>
                </v:roundrect>
                <v:shape id="AutoShape 4" o:spid="_x0000_s1106" type="#_x0000_t55" style="position:absolute;left:3148;top:4504;width:2579;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y2vMcA&#10;AADjAAAADwAAAGRycy9kb3ducmV2LnhtbERPW2vCMBR+F/YfwhnsTRMrzNIZRQaDXUDwwp7PmmPT&#10;2ZyUJtru3y+C4OP57mexGlwjLtSF2rOG6USBIC69qbnScNi/jXMQISIbbDyThj8KsFo+jBZYGN/z&#10;li67WIkUwqFADTbGtpAylJYcholviRN39J3DmM6ukqbDPoW7RmZKPUuHNacGiy29WipPu7PTsLHn&#10;n0zZ9df+d0sfvTpm+Hn61vrpcVi/gIg0xLv45n43aX6ezeYqV7MpXH9KAM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MtrzHAAAA4wAAAA8AAAAAAAAAAAAAAAAAmAIAAGRy&#10;cy9kb3ducmV2LnhtbFBLBQYAAAAABAAEAPUAAACMAw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Жабдықтаушылар</w:t>
                        </w:r>
                      </w:p>
                    </w:txbxContent>
                  </v:textbox>
                </v:shape>
                <v:shape id="AutoShape 5" o:spid="_x0000_s1107" type="#_x0000_t55" style="position:absolute;left:5409;top:4504;width:2439;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7bMMcA&#10;AADfAAAADwAAAGRycy9kb3ducmV2LnhtbESPX0vDMBTF3wW/Q7iCby6xDnW12RiC4B8YrJM9X5vb&#10;pq65KU22dt/eCIKPh3PO73CK1eQ6caIhtJ413M4UCOLKm5YbDZ+7l5tHECEiG+w8k4YzBVgtLy8K&#10;zI0feUunMjYiQTjkqMHG2OdShsqSwzDzPXHyaj84jEkOjTQDjgnuOpkpdS8dtpwWLPb0bKk6lEen&#10;YWOPX5my64/d95beRlVn+H7Ya319Na2fQESa4n/4r/1qNDwotZjfwe+f9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O2zDHAAAA3wAAAA8AAAAAAAAAAAAAAAAAmAIAAGRy&#10;cy9kb3ducmV2LnhtbFBLBQYAAAAABAAEAPUAAACMAwAAAAA=&#10;">
                  <v:stroke dashstyle="longDash"/>
                  <v:textbox>
                    <w:txbxContent>
                      <w:p w:rsidR="005118AF" w:rsidRDefault="005118AF">
                        <w:pPr>
                          <w:spacing w:after="0" w:line="240" w:lineRule="auto"/>
                          <w:rPr>
                            <w:rFonts w:ascii="Times New Roman" w:hAnsi="Times New Roman" w:cs="Times New Roman"/>
                            <w:sz w:val="18"/>
                            <w:szCs w:val="18"/>
                            <w:lang w:val="kk-KZ" w:eastAsia="zh-CN"/>
                          </w:rPr>
                        </w:pP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Тамақ машина жасау кәсіпорыны</w:t>
                        </w:r>
                      </w:p>
                    </w:txbxContent>
                  </v:textbox>
                </v:shape>
                <v:shape id="AutoShape 6" o:spid="_x0000_s1108" type="#_x0000_t55" style="position:absolute;left:7547;top:4504;width:2282;height:1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SMYA&#10;AADiAAAADwAAAGRycy9kb3ducmV2LnhtbERPW2vCMBR+F/YfwhnsTZN2Q6QzigwGuoHghT2fNcem&#10;szkpTbTdvzcPgo8f332+HFwjrtSF2rOGbKJAEJfe1FxpOB4+xzMQISIbbDyThn8KsFw8jeZYGN/z&#10;jq77WIkUwqFADTbGtpAylJYcholviRN38p3DmGBXSdNhn8JdI3OlptJhzanBYksflsrz/uI0bO3l&#10;N1d29X3429GmV6ccv84/Wr88D6t3EJGG+BDf3WujYapmb5l6zdLmdCnd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ySMYAAADiAAAADwAAAAAAAAAAAAAAAACYAgAAZHJz&#10;L2Rvd25yZXYueG1sUEsFBgAAAAAEAAQA9QAAAIsDAAAAAA==&#10;">
                  <v:stroke dashstyle="longDash"/>
                  <v:textbox>
                    <w:txbxContent>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w:t>
                        </w:r>
                      </w:p>
                      <w:p w:rsidR="005118AF" w:rsidRDefault="00EF60C3">
                        <w:pPr>
                          <w:spacing w:after="0" w:line="240" w:lineRule="auto"/>
                          <w:rPr>
                            <w:rFonts w:ascii="Times New Roman" w:hAnsi="Times New Roman" w:cs="Times New Roman"/>
                            <w:sz w:val="18"/>
                            <w:szCs w:val="18"/>
                            <w:lang w:val="kk-KZ" w:eastAsia="zh-CN"/>
                          </w:rPr>
                        </w:pPr>
                        <w:r>
                          <w:rPr>
                            <w:rFonts w:ascii="Times New Roman" w:hAnsi="Times New Roman" w:cs="Times New Roman"/>
                            <w:sz w:val="18"/>
                            <w:szCs w:val="18"/>
                            <w:lang w:val="kk-KZ" w:eastAsia="zh-CN"/>
                          </w:rPr>
                          <w:t xml:space="preserve">        Тамақ өндірісі кәсіпорыны</w:t>
                        </w:r>
                      </w:p>
                    </w:txbxContent>
                  </v:textbox>
                </v:shape>
                <v:shape id="AutoShape 7" o:spid="_x0000_s1109" style="position:absolute;left:4287;top:3701;width:1707;height:80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TI8UA&#10;AADiAAAADwAAAGRycy9kb3ducmV2LnhtbERPTUvDQBC9C/6HZQQvYnetNrSx2yJCwZuYtp6H7CQb&#10;zM6E7JrGf+8eBI+P973dz6FXE42xE7bwsDCgiGtxHbcWTsfD/RpUTMgOe2Gy8EMR9rvrqy2WTi78&#10;QVOVWpVDOJZowac0lFrH2lPAuJCBOHONjAFThmOr3YiXHB56vTSm0AE7zg0eB3r1VH9V38HCe1MV&#10;h3OYfCWSzvK5oZNu7qy9vZlfnkElmtO/+M/95iwsn1bm0ayKvDlfyndA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G5MjxQAAAOIAAAAPAAAAAAAAAAAAAAAAAJgCAABkcnMv&#10;ZG93bnJldi54bWxQSwUGAAAAAAQABAD1AAAAigMAAAAA&#10;" path="m16200,10800v,-2983,-2418,-5400,-5400,-5400c7817,5400,5400,7817,5400,10800v,144,5,289,17,433l34,11666c11,11378,,11089,,10800,,4835,4835,,10800,v5964,,10800,4835,10800,10800l24300,10800r-5400,5400l13500,10800r2700,xe">
                  <v:stroke joinstyle="miter"/>
                  <v:path o:connecttype="custom" o:connectlocs="819,0;215,426;836,201;1920,402;1494,602;1067,402" o:connectangles="0,0,0,0,0,0" textboxrect="3163,3174,18437,18426"/>
                </v:shape>
                <v:shape id="AutoShape 8" o:spid="_x0000_s1110" style="position:absolute;left:6771;top:3701;width:1707;height:80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WcUA&#10;AADjAAAADwAAAGRycy9kb3ducmV2LnhtbERPzUrEMBC+C75DGMGLuKkRu1o3u4iw4E2su56HZtoU&#10;m5nSxG59eyMIHuf7n81uCYOaaYq9sIWbVQGKuBHXc2fh8L6/vgcVE7LDQZgsfFOE3fb8bIOVkxO/&#10;0VynTuUQjhVa8CmNldax8RQwrmQkzlwrU8CUz6nTbsJTDg+DNkVR6oA95waPIz17aj7rr2Dhta3L&#10;/THMvhZJR/l4oINur6y9vFieHkElWtK/+M/94vL8dbk2d8aYW/j9KQO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y5ZxQAAAOMAAAAPAAAAAAAAAAAAAAAAAJgCAABkcnMv&#10;ZG93bnJldi54bWxQSwUGAAAAAAQABAD1AAAAigMAAAAA&#10;" path="m16200,10800v,-2983,-2418,-5400,-5400,-5400c7817,5400,5400,7817,5400,10800v,144,5,289,17,433l34,11666c11,11378,,11089,,10800,,4835,4835,,10800,v5964,,10800,4835,10800,10800l24300,10800r-5400,5400l13500,10800r2700,xe">
                  <v:stroke joinstyle="miter"/>
                  <v:path o:connecttype="custom" o:connectlocs="819,0;215,426;836,201;1920,402;1494,602;1067,402" o:connectangles="0,0,0,0,0,0" textboxrect="3163,3174,18437,18426"/>
                </v:shape>
                <v:shape id="AutoShape 9" o:spid="_x0000_s1111" style="position:absolute;left:6860;top:5576;width:1707;height:926;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" path="m16200,10800v,-2983,-2418,-5400,-5400,-5400c7817,5400,5400,7817,5400,10800v,144,5,289,17,433l34,11666c11,11378,,11089,,10800,,4835,4835,,10800,v5964,,10800,4835,10800,10800l24300,10800r-5400,5400l13500,10800r2700,xe">
                  <v:stroke joinstyle="miter"/>
                  <v:path o:connecttype="custom" o:connectlocs="819,0;215,491;836,232;1920,463;1494,695;1067,463" o:connectangles="0,0,0,0,0,0" textboxrect="3163,3172,18437,18428"/>
                </v:shape>
                <v:shape id="AutoShape 10" o:spid="_x0000_s1112" style="position:absolute;left:4526;top:5576;width:1707;height:926;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OQ/MsA&#10;AADiAAAADwAAAGRycy9kb3ducmV2LnhtbESPwUrDQBCG70LfYRnBi9hNC2lK7La0gqJID20Fr2N2&#10;TILZ2bi7punbOwfB4/DP/818q83oOjVQiK1nA7NpBoq48rbl2sDb6fFuCSomZIudZzJwoQib9eRq&#10;haX1Zz7QcEy1EgjHEg00KfWl1rFqyGGc+p5Ysk8fHCYZQ61twLPAXafnWbbQDluWCw329NBQ9XX8&#10;cfLG7vvF7Rbhdojbj6fLe6r2r8XSmJvrcXsPKtGY/pf/2s/WQDHPszzPC5EQJeGAXv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I5D8ywAAAOIAAAAPAAAAAAAAAAAAAAAAAJgC&#10;AABkcnMvZG93bnJldi54bWxQSwUGAAAAAAQABAD1AAAAkAMAAAAA&#10;" path="m16200,10800v,-2983,-2418,-5400,-5400,-5400c7817,5400,5400,7817,5400,10800v,144,5,289,17,433l34,11666c11,11378,,11089,,10800,,4835,4835,,10800,v5964,,10800,4835,10800,10800l24300,10800r-5400,5400l13500,10800r2700,xe">
                  <v:stroke joinstyle="miter"/>
                  <v:path o:connecttype="custom" o:connectlocs="819,0;215,491;836,232;1920,463;1494,695;1067,463" o:connectangles="0,0,0,0,0,0" textboxrect="3163,3172,18437,18428"/>
                </v:shape>
                <v:rect id="Rectangle 11" o:spid="_x0000_s1113" style="position:absolute;left:2964;top:2696;width:3499;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vryMoA&#10;AADjAAAADwAAAGRycy9kb3ducmV2LnhtbESPQWvCQBSE7wX/w/KE3uquEaJNXUVaLHrUeOntNfua&#10;pGbfhuyqsb++Kwgeh5n5hpkve9uIM3W+dqxhPFIgiAtnai41HPL1ywyED8gGG8ek4UoelovB0xwz&#10;4y68o/M+lCJC2GeooQqhzaT0RUUW/ci1xNH7cZ3FEGVXStPhJcJtIxOlUmmx5rhQYUvvFRXH/clq&#10;+K6TA/7t8k9lX9eTsO3z39PXh9bPw371BiJQHx7he3tjNCRjlU6USqYp3D7FPyA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X768jKAAAA4wAAAA8AAAAAAAAAAAAAAAAAmAIA&#10;AGRycy9kb3ducmV2LnhtbFBLBQYAAAAABAAEAPUAAACPAwAAAAA=&#10;">
                  <v:textbox>
                    <w:txbxContent>
                      <w:p w:rsidR="005118AF" w:rsidRDefault="00EF60C3">
                        <w:pPr>
                          <w:spacing w:after="0" w:line="240" w:lineRule="auto"/>
                          <w:jc w:val="center"/>
                          <w:rPr>
                            <w:sz w:val="20"/>
                            <w:szCs w:val="20"/>
                            <w:lang w:val="kk-KZ" w:eastAsia="zh-CN"/>
                          </w:rPr>
                        </w:pPr>
                        <w:r>
                          <w:rPr>
                            <w:rFonts w:ascii="Times New Roman" w:hAnsi="Times New Roman" w:cs="Times New Roman"/>
                            <w:sz w:val="18"/>
                            <w:szCs w:val="18"/>
                            <w:lang w:val="kk-KZ" w:eastAsia="zh-CN"/>
                          </w:rPr>
                          <w:t>Университеттер, зерттеу орталықтары</w:t>
                        </w:r>
                      </w:p>
                    </w:txbxContent>
                  </v:textbox>
                </v:rect>
                <v:rect id="Rectangle 12" o:spid="_x0000_s1114" style="position:absolute;left:6771;top:2696;width:3058;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fSAcYA&#10;AADiAAAADwAAAGRycy9kb3ducmV2LnhtbERPPW/CMBDdkfofrKvEBk4DQiRgUAUCwQhh6XaNjyRt&#10;fI5iA4Ffjwckxqf3PV92phZXal1lWcHXMAJBnFtdcaHglG0GUxDOI2usLZOCOzlYLj56c0y1vfGB&#10;rkdfiBDCLkUFpfdNKqXLSzLohrYhDtzZtgZ9gG0hdYu3EG5qGUfRRBqsODSU2NCqpPz/eDEKfqv4&#10;hI9Dto1Mshn5fZf9XX7WSvU/u+8ZCE+df4tf7p1WMEom43gcJ2FzuBT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fSAcYAAADiAAAADwAAAAAAAAAAAAAAAACYAgAAZHJz&#10;L2Rvd25yZXYueG1sUEsFBgAAAAAEAAQA9QAAAIsDAAAAAA==&#10;">
                  <v:textbox>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Кеңес беру</w:t>
                        </w:r>
                      </w:p>
                    </w:txbxContent>
                  </v:textbox>
                </v:rect>
                <v:rect id="Rectangle 13" o:spid="_x0000_s1115" style="position:absolute;left:620;top:4880;width:3198;height:46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SLPscA&#10;AADiAAAADwAAAGRycy9kb3ducmV2LnhtbESPQWvCQBSE7wX/w/KE3upGG1KJriKioPSkFvT4yD6z&#10;wezbkF1j/PduodDjMDPfMPNlb2vRUesrxwrGowQEceF0xaWCn9P2YwrCB2SNtWNS8CQPy8XgbY65&#10;dg8+UHcMpYgQ9jkqMCE0uZS+MGTRj1xDHL2ray2GKNtS6hYfEW5rOUmSTFqsOC4YbGhtqLgd71aB&#10;2xtJ/vtw0rw5N7i7dKl7XpV6H/arGYhAffgP/7V3WkE2/ZokaZp9wu+leAfk4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Uiz7HAAAA4gAAAA8AAAAAAAAAAAAAAAAAmAIAAGRy&#10;cy9kb3ducmV2LnhtbFBLBQYAAAAABAAEAPUAAACMAwAAAAA=&#10;">
                  <v:textbox style="layout-flow:vertical;mso-layout-flow-alt:bottom-to-top">
                    <w:txbxContent>
                      <w:p w:rsidR="005118AF" w:rsidRDefault="00EF60C3">
                        <w:pPr>
                          <w:spacing w:after="0" w:line="240" w:lineRule="auto"/>
                          <w:jc w:val="center"/>
                          <w:rPr>
                            <w:rFonts w:ascii="Times New Roman" w:hAnsi="Times New Roman" w:cs="Times New Roman"/>
                            <w:sz w:val="18"/>
                            <w:szCs w:val="18"/>
                            <w:lang w:val="kk-KZ" w:eastAsia="zh-CN"/>
                          </w:rPr>
                        </w:pPr>
                        <w:r>
                          <w:rPr>
                            <w:rFonts w:ascii="Times New Roman" w:hAnsi="Times New Roman" w:cs="Times New Roman"/>
                            <w:sz w:val="18"/>
                            <w:szCs w:val="18"/>
                            <w:lang w:val="kk-KZ" w:eastAsia="zh-CN"/>
                          </w:rPr>
                          <w:t>Өзге</w:t>
                        </w:r>
                        <w:r>
                          <w:rPr>
                            <w:rFonts w:ascii="Times New Roman" w:hAnsi="Times New Roman" w:cs="Times New Roman"/>
                            <w:sz w:val="18"/>
                            <w:szCs w:val="18"/>
                            <w:lang w:val="kk-KZ" w:eastAsia="zh-CN"/>
                          </w:rPr>
                          <w:t xml:space="preserve"> жабдықтаушылар</w:t>
                        </w:r>
                      </w:p>
                    </w:txbxContent>
                  </v:textbox>
                </v:rect>
                <v:shape id="AutoShape 14" o:spid="_x0000_s1116" type="#_x0000_t70" style="position:absolute;left:4275;top:3282;width:251;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0qssA&#10;AADiAAAADwAAAGRycy9kb3ducmV2LnhtbESPwUrDQBCG74LvsIzgzW6ipDSx21IFQawVW0u9Dtkx&#10;iWZnQ3Zt17d3DoLH4Z//m/nmy+R6daQxdJ4N5JMMFHHtbceNgf3bw9UMVIjIFnvPZOCHAiwX52dz&#10;rKw/8ZaOu9gogXCo0EAb41BpHeqWHIaJH4gl+/Cjwyjj2Gg74kngrtfXWTbVDjuWCy0OdN9S/bX7&#10;dvLG2par53z9El7TYVs0n+lp835nzOVFWt2CipTi//Jf+9EamBU3ZV5MS5EQJeGAXv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bPrSqywAAAOIAAAAPAAAAAAAAAAAAAAAAAJgC&#10;AABkcnMvZG93bnJldi54bWxQSwUGAAAAAAQABAD1AAAAkAMAAAAA&#10;">
                  <v:textbox style="layout-flow:vertical-ideographic"/>
                </v:shape>
                <v:shape id="AutoShape 15" o:spid="_x0000_s1117" type="#_x0000_t70" style="position:absolute;left:8143;top:3165;width:251;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wuMwA&#10;AADiAAAADwAAAGRycy9kb3ducmV2LnhtbESPX0vDQBDE34V+h2MLvtlLq5Y05lKqIIit0n/U1yW3&#10;TVJzeyF3tue39wTBx2F2frOTz4NpxZl611hWMB4lIIhLqxuuFOx3zzcpCOeRNbaWScE3OZgXg6sc&#10;M20vvKHz1lciQthlqKD2vsukdGVNBt3IdsTRO9reoI+yr6Tu8RLhppWTJJlKgw3Hhho7eqqp/Nx+&#10;mfjGUs8Wq/Hy3a3DYXNfncLr28ejUtfDsHgA4Sn4/+O/9ItWMEtv75I0nU7gd1LkgC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x8vwuMwAAADiAAAADwAAAAAAAAAAAAAAAACY&#10;AgAAZHJzL2Rvd25yZXYueG1sUEsFBgAAAAAEAAQA9QAAAJEDAAAAAA==&#10;">
                  <v:textbox style="layout-flow:vertical-ideographic"/>
                </v:shape>
                <v:shape id="AutoShape 16" o:spid="_x0000_s1118" type="#_x0000_t70" style="position:absolute;left:2660;top:4652;width:281;height:6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A3scA&#10;AADiAAAADwAAAGRycy9kb3ducmV2LnhtbESPQWvCQBSE70L/w/KE3nSzbZUQXaUIhfao1Z4f2dck&#10;mn2b7q5J+u+7gtDjMDPfMOvtaFvRkw+NYw1qnoEgLp1puNJw/Hyb5SBCRDbYOiYNvxRgu3mYrLEw&#10;buA99YdYiQThUKCGOsaukDKUNVkMc9cRJ+/beYsxSV9J43FIcNvKpyxbSosNp4UaO9rVVF4OV6th&#10;9+XoQ10Xzv54ubfD+WSOfav143R8XYGINMb/8L39bjQscrVU+fOLgtuldAf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ZwN7HAAAA4gAAAA8AAAAAAAAAAAAAAAAAmAIAAGRy&#10;cy9kb3ducmV2LnhtbFBLBQYAAAAABAAEAPUAAACMAwAAAAA=&#10;">
                  <v:textbox style="layout-flow:vertical-ideographic"/>
                </v:shape>
              </v:group>
            </w:pict>
          </mc:Fallback>
        </mc:AlternateContent>
      </w:r>
    </w:p>
    <w:p w:rsidR="005118AF" w:rsidRDefault="005118AF">
      <w:pPr>
        <w:tabs>
          <w:tab w:val="left" w:pos="1418"/>
        </w:tabs>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ind w:firstLine="567"/>
        <w:jc w:val="both"/>
        <w:rPr>
          <w:rFonts w:ascii="Times New Roman" w:eastAsia="Times New Roman" w:hAnsi="Times New Roman"/>
          <w:color w:val="000000"/>
          <w:sz w:val="28"/>
          <w:szCs w:val="28"/>
          <w:lang w:val="kk-KZ" w:eastAsia="zh-CN"/>
        </w:rPr>
      </w:pPr>
    </w:p>
    <w:p w:rsidR="005118AF" w:rsidRDefault="005118AF">
      <w:pPr>
        <w:spacing w:after="0" w:line="240" w:lineRule="auto"/>
        <w:jc w:val="center"/>
        <w:rPr>
          <w:rFonts w:ascii="Times New Roman" w:eastAsia="Times New Roman" w:hAnsi="Times New Roman"/>
          <w:color w:val="000000"/>
          <w:sz w:val="16"/>
          <w:szCs w:val="16"/>
          <w:lang w:val="kk-KZ" w:eastAsia="zh-CN"/>
        </w:rPr>
      </w:pPr>
    </w:p>
    <w:p w:rsidR="005118AF" w:rsidRDefault="00EF60C3">
      <w:pPr>
        <w:spacing w:after="0" w:line="240" w:lineRule="auto"/>
        <w:jc w:val="center"/>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Сурет 6 </w:t>
      </w:r>
      <w:r>
        <w:rPr>
          <w:rFonts w:ascii="Times New Roman" w:eastAsia="Times New Roman" w:hAnsi="Times New Roman" w:cs="Times New Roman"/>
          <w:color w:val="000000"/>
          <w:sz w:val="28"/>
          <w:szCs w:val="28"/>
          <w:lang w:val="kk-KZ" w:eastAsia="zh-CN"/>
        </w:rPr>
        <w:t>‒</w:t>
      </w:r>
      <w:r>
        <w:rPr>
          <w:rFonts w:ascii="Times New Roman" w:eastAsia="Times New Roman" w:hAnsi="Times New Roman"/>
          <w:color w:val="000000"/>
          <w:sz w:val="28"/>
          <w:szCs w:val="28"/>
          <w:lang w:val="kk-KZ" w:eastAsia="zh-CN"/>
        </w:rPr>
        <w:t xml:space="preserve"> Тамақ-машина жасау құрылымы және азық-түлік өнімдерін жеткізудің ашық жүйесі (шынжыры)</w:t>
      </w:r>
    </w:p>
    <w:p w:rsidR="005118AF" w:rsidRDefault="005118AF">
      <w:pPr>
        <w:spacing w:after="0" w:line="240" w:lineRule="auto"/>
        <w:ind w:firstLine="567"/>
        <w:jc w:val="both"/>
        <w:rPr>
          <w:rFonts w:ascii="Times New Roman" w:eastAsia="Calibri" w:hAnsi="Times New Roman" w:cs="Times New Roman"/>
          <w:sz w:val="16"/>
          <w:szCs w:val="16"/>
          <w:lang w:val="kk-KZ"/>
        </w:rPr>
      </w:pPr>
    </w:p>
    <w:p w:rsidR="005118AF" w:rsidRDefault="00EF60C3">
      <w:pPr>
        <w:spacing w:after="0" w:line="240" w:lineRule="auto"/>
        <w:ind w:firstLine="709"/>
        <w:jc w:val="both"/>
        <w:rPr>
          <w:rFonts w:ascii="Times New Roman" w:eastAsia="Times New Roman" w:hAnsi="Times New Roman"/>
          <w:color w:val="000000"/>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w:t>
      </w:r>
      <w:r>
        <w:rPr>
          <w:rFonts w:ascii="Times New Roman" w:eastAsia="Times New Roman" w:hAnsi="Times New Roman"/>
          <w:color w:val="000000"/>
          <w:sz w:val="24"/>
          <w:szCs w:val="24"/>
          <w:lang w:val="kk-KZ" w:eastAsia="zh-CN"/>
        </w:rPr>
        <w:t xml:space="preserve"> [51, р. 16-17]</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Сонымен, жоғарыда аталған модельдерді тамақ өнеркәсібі кәсіпорындары үшін ашық инновациялар стратегиясын ұстану кезінде енгізу жолдарын саралауға мүмкіндік берері анық.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Соңғы он жылдықта ғылыми әдебиеттерде «ашық инновацияларды тұрақты даму мақсаттарына и</w:t>
      </w:r>
      <w:r>
        <w:rPr>
          <w:rFonts w:ascii="Times New Roman" w:eastAsia="Times New Roman" w:hAnsi="Times New Roman"/>
          <w:color w:val="000000"/>
          <w:sz w:val="28"/>
          <w:szCs w:val="28"/>
          <w:lang w:val="kk-KZ" w:eastAsia="zh-CN"/>
        </w:rPr>
        <w:t>нтеграциялау» мәселесі жеке зерттеу бағыты ретінде қалыптасты. Библиометриалық шолулар ашық инновацияның экологиялық және әлеуемметтік өлшемдерге ықпалын күшейтуге бағытталған жаңа ғылыми мектептің қалыптасып жатқанын айқындады [55, 56]. Бұл бағытта “Тұрақ</w:t>
      </w:r>
      <w:r>
        <w:rPr>
          <w:rFonts w:ascii="Times New Roman" w:eastAsia="Times New Roman" w:hAnsi="Times New Roman"/>
          <w:color w:val="000000"/>
          <w:sz w:val="28"/>
          <w:szCs w:val="28"/>
          <w:lang w:val="kk-KZ" w:eastAsia="zh-CN"/>
        </w:rPr>
        <w:t>ты ашық инновация” атты термин кеңінен қолданысқа енді және оның басты идеясы - ашық серіктестік арқылы жасыл технологияларды, әлеуметтік инновацияларды және корпоративтік жауапкершілік жобаларын жеделдету болды [57].</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Көптеген жүргізілген эмпирикалық зертт</w:t>
      </w:r>
      <w:r>
        <w:rPr>
          <w:rFonts w:ascii="Times New Roman" w:eastAsia="Times New Roman" w:hAnsi="Times New Roman"/>
          <w:color w:val="000000"/>
          <w:sz w:val="28"/>
          <w:szCs w:val="28"/>
          <w:lang w:val="kk-KZ" w:eastAsia="zh-CN"/>
        </w:rPr>
        <w:t>еулер де осы үрдістің дамып келе жатқандығын дәлелдейді. Мәселен, Еуропа елдерінің кәсіпорындарын зерттеу нәтижелері ашық серіктестік пен тұрақтылыққа бағытталған инновациялық тәжірибелер арасында оң байланыс барын көрсетті [58]. Шағын және орта кәсіпорынд</w:t>
      </w:r>
      <w:r>
        <w:rPr>
          <w:rFonts w:ascii="Times New Roman" w:eastAsia="Times New Roman" w:hAnsi="Times New Roman"/>
          <w:color w:val="000000"/>
          <w:sz w:val="28"/>
          <w:szCs w:val="28"/>
          <w:lang w:val="kk-KZ" w:eastAsia="zh-CN"/>
        </w:rPr>
        <w:t xml:space="preserve">ар үшін ашық тұрақты инновациялар әсіресе маңызды, өйткені, олар өз бетінше жүзеге асыра алмайиын қымбат технологияларға және ноу-хауға қол жеткізудің жолдарын қамтамасыз етеді [59].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 xml:space="preserve">Ашық тұрақты инновациялар жөніндегі алғашқы іргелі зерттеулердің бірі - </w:t>
      </w:r>
      <w:r>
        <w:rPr>
          <w:rFonts w:ascii="Times New Roman" w:eastAsia="Times New Roman" w:hAnsi="Times New Roman"/>
          <w:color w:val="000000"/>
          <w:sz w:val="28"/>
          <w:szCs w:val="28"/>
          <w:lang w:val="kk-KZ" w:eastAsia="zh-CN"/>
        </w:rPr>
        <w:t>М. Богерс және бірлескен авторлардың еңбегі болып табылады. Авторлар ашық инновацияның нақты тұрақтылық мақсаттарына, сонымен қатар, БҰҰ-ның 17 тұрақты даму мақсаттарына жету үшін инновациялық қызметті қалай тиімді бағыттай алатынын қарастырады. Осы еңбект</w:t>
      </w:r>
      <w:r>
        <w:rPr>
          <w:rFonts w:ascii="Times New Roman" w:eastAsia="Times New Roman" w:hAnsi="Times New Roman"/>
          <w:color w:val="000000"/>
          <w:sz w:val="28"/>
          <w:szCs w:val="28"/>
          <w:lang w:val="kk-KZ" w:eastAsia="zh-CN"/>
        </w:rPr>
        <w:t xml:space="preserve">е тұрақты ашық инновация “ұйымның бизнес-моделімен мақсатты түрде үйлестірілген, қажеттіліктерді қанағаттандыруға ықпал ететін тартылған инновациялық процесс” ретінде анықталған [60].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Богерстің тамақ өнеркәсібіне арналған зерттеулерінен кейін, басқа да ғ</w:t>
      </w:r>
      <w:r>
        <w:rPr>
          <w:rFonts w:ascii="Times New Roman" w:eastAsia="Times New Roman" w:hAnsi="Times New Roman"/>
          <w:color w:val="000000"/>
          <w:sz w:val="28"/>
          <w:szCs w:val="28"/>
          <w:lang w:val="kk-KZ" w:eastAsia="zh-CN"/>
        </w:rPr>
        <w:t>алымдар ашық тұрақты инновацияларды әртүрлі жағдайлық талдаулар негізінде қарастырып, тұрақтылық нәтижелеріне қол жеткізу үшін үш өлшемді - экономикалық, экологиялық және әлеуметтік факторларды - ашық инновациялық шеңберге интеграциялау жолдарын сипаттаған</w:t>
      </w:r>
      <w:r>
        <w:rPr>
          <w:rFonts w:ascii="Times New Roman" w:eastAsia="Times New Roman" w:hAnsi="Times New Roman"/>
          <w:color w:val="000000"/>
          <w:sz w:val="28"/>
          <w:szCs w:val="28"/>
          <w:lang w:val="kk-KZ" w:eastAsia="zh-CN"/>
        </w:rPr>
        <w:t xml:space="preserve">. Мәселен, Вентурэлли және бірлескен авторлар  тамақ өнеркәсібіне сүйене отырып, ашық инновацияларды стратегиялық жаңғыртуды және тұрақтылық нәтижелерін қамтамасыз етуге бағытталған инновациялық қызметті тиімді жүргізе алатынан көрсетті [61].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Бұл бағыттағ</w:t>
      </w:r>
      <w:r>
        <w:rPr>
          <w:rFonts w:ascii="Times New Roman" w:eastAsia="Times New Roman" w:hAnsi="Times New Roman"/>
          <w:color w:val="000000"/>
          <w:sz w:val="28"/>
          <w:szCs w:val="28"/>
          <w:lang w:val="kk-KZ" w:eastAsia="zh-CN"/>
        </w:rPr>
        <w:t>ы библиометриалық талдаулар да соңғы он жылда белсенді дамып келеді Биглиарди және Филиппели жүргізген талдау нәтижелері бойынша әртүрлі атаулармен, мысалы, “ашық-эко инновациялық модель”,  “тұрақты инновациялар үшін ашық инновация” немесе “тұрақты ашық ин</w:t>
      </w:r>
      <w:r>
        <w:rPr>
          <w:rFonts w:ascii="Times New Roman" w:eastAsia="Times New Roman" w:hAnsi="Times New Roman"/>
          <w:color w:val="000000"/>
          <w:sz w:val="28"/>
          <w:szCs w:val="28"/>
          <w:lang w:val="kk-KZ" w:eastAsia="zh-CN"/>
        </w:rPr>
        <w:t>новациялар аталатын зерттеулердің бір бөлігі ашық инновацияның тұрақты бизнеске көшу процесін қолданудағы рөлін анықтауға бағытталған. Сонымен қатар, болашақ ғылыми зерттеу бағыты ретінде ауыл шаруашылығы мен тамақ өнеркәсібіндегі тұрақты ашық инновациялар</w:t>
      </w:r>
      <w:r>
        <w:rPr>
          <w:rFonts w:ascii="Times New Roman" w:eastAsia="Times New Roman" w:hAnsi="Times New Roman"/>
          <w:color w:val="000000"/>
          <w:sz w:val="28"/>
          <w:szCs w:val="28"/>
          <w:lang w:val="kk-KZ" w:eastAsia="zh-CN"/>
        </w:rPr>
        <w:t xml:space="preserve"> ерекше маңызға ие екені көрсетілген [62].</w:t>
      </w:r>
    </w:p>
    <w:p w:rsidR="005118AF" w:rsidRDefault="00EF60C3">
      <w:pPr>
        <w:spacing w:after="0" w:line="240" w:lineRule="auto"/>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Зерттеулер көрсеткендей, тұрақты даму мақсаттарына ұмытылу, Жаһандық шарт сияқты халықаралық ұйымдармен институционалдық ынтымақтастық орнату, сонымен қатар тұрақты даму моделіне қарай трансформациялық жолға өту -</w:t>
      </w:r>
      <w:r>
        <w:rPr>
          <w:rFonts w:ascii="Times New Roman" w:eastAsia="Times New Roman" w:hAnsi="Times New Roman"/>
          <w:color w:val="000000"/>
          <w:sz w:val="28"/>
          <w:szCs w:val="28"/>
          <w:lang w:val="kk-KZ"/>
        </w:rPr>
        <w:t xml:space="preserve"> ашық инновациялар мен тұрақты даму қағидаларына негізделген бизнес-модельді енгізуде қолайлы факторларға айналады (7-сурет). </w:t>
      </w:r>
    </w:p>
    <w:p w:rsidR="005118AF" w:rsidRDefault="00EF60C3">
      <w:pPr>
        <w:spacing w:after="0" w:line="240" w:lineRule="auto"/>
        <w:ind w:firstLine="567"/>
        <w:jc w:val="both"/>
        <w:rPr>
          <w:rFonts w:ascii="Times New Roman" w:eastAsia="Times New Roman" w:hAnsi="Times New Roman"/>
          <w:color w:val="000000"/>
          <w:sz w:val="28"/>
          <w:szCs w:val="28"/>
          <w:lang w:val="kk-KZ"/>
        </w:rPr>
      </w:pPr>
      <w:r>
        <w:rPr>
          <w:rFonts w:ascii="Times New Roman" w:eastAsia="Times New Roman" w:hAnsi="Times New Roman"/>
          <w:noProof/>
          <w:color w:val="000000"/>
          <w:sz w:val="28"/>
          <w:szCs w:val="28"/>
        </w:rPr>
        <mc:AlternateContent>
          <mc:Choice Requires="wpg">
            <w:drawing>
              <wp:anchor distT="0" distB="0" distL="114300" distR="114300" simplePos="0" relativeHeight="251692032" behindDoc="0" locked="0" layoutInCell="1" allowOverlap="1">
                <wp:simplePos x="0" y="0"/>
                <wp:positionH relativeFrom="column">
                  <wp:posOffset>289560</wp:posOffset>
                </wp:positionH>
                <wp:positionV relativeFrom="paragraph">
                  <wp:posOffset>109855</wp:posOffset>
                </wp:positionV>
                <wp:extent cx="5678170" cy="3414395"/>
                <wp:effectExtent l="0" t="0" r="18415" b="14605"/>
                <wp:wrapNone/>
                <wp:docPr id="1823708008" name="Группа 1823708008"/>
                <wp:cNvGraphicFramePr/>
                <a:graphic xmlns:a="http://schemas.openxmlformats.org/drawingml/2006/main">
                  <a:graphicData uri="http://schemas.microsoft.com/office/word/2010/wordprocessingGroup">
                    <wpg:wgp>
                      <wpg:cNvGrpSpPr/>
                      <wpg:grpSpPr>
                        <a:xfrm>
                          <a:off x="0" y="0"/>
                          <a:ext cx="5678112" cy="3414540"/>
                          <a:chOff x="0" y="0"/>
                          <a:chExt cx="5678112" cy="3414540"/>
                        </a:xfrm>
                      </wpg:grpSpPr>
                      <wps:wsp>
                        <wps:cNvPr id="16" name="Isosceles Triangle 16"/>
                        <wps:cNvSpPr/>
                        <wps:spPr>
                          <a:xfrm>
                            <a:off x="2052782" y="780675"/>
                            <a:ext cx="1250950" cy="869950"/>
                          </a:xfrm>
                          <a:prstGeom prst="triangle">
                            <a:avLst>
                              <a:gd name="adj" fmla="val 50000"/>
                            </a:avLst>
                          </a:prstGeom>
                          <a:noFill/>
                          <a:ln w="12700" cap="flat" cmpd="sng">
                            <a:solidFill>
                              <a:srgbClr val="CC3399"/>
                            </a:solidFill>
                            <a:prstDash val="solid"/>
                            <a:miter/>
                            <a:headEnd type="none" w="med" len="med"/>
                            <a:tailEnd type="none" w="med" len="med"/>
                          </a:ln>
                        </wps:spPr>
                        <wps:txbx>
                          <w:txbxContent>
                            <w:p w:rsidR="005118AF" w:rsidRDefault="00EF60C3">
                              <w:pPr>
                                <w:spacing w:after="0" w:line="240" w:lineRule="auto"/>
                                <w:jc w:val="center"/>
                                <w:rPr>
                                  <w:rFonts w:ascii="Times New Roman" w:hAnsi="Times New Roman" w:cs="Times New Roman"/>
                                  <w:b/>
                                  <w:bCs/>
                                  <w:color w:val="990099"/>
                                  <w:sz w:val="18"/>
                                  <w:szCs w:val="18"/>
                                  <w:lang w:val="kk-KZ"/>
                                </w:rPr>
                              </w:pPr>
                              <w:r>
                                <w:rPr>
                                  <w:rFonts w:ascii="Times New Roman" w:hAnsi="Times New Roman" w:cs="Times New Roman"/>
                                  <w:b/>
                                  <w:bCs/>
                                  <w:color w:val="990099"/>
                                  <w:sz w:val="18"/>
                                  <w:szCs w:val="18"/>
                                  <w:lang w:val="kk-KZ"/>
                                </w:rPr>
                                <w:t>Фирма деңгейі</w:t>
                              </w:r>
                            </w:p>
                          </w:txbxContent>
                        </wps:txbx>
                        <wps:bodyPr upright="1"/>
                      </wps:wsp>
                      <wps:wsp>
                        <wps:cNvPr id="15" name="Isosceles Triangle 15"/>
                        <wps:cNvSpPr/>
                        <wps:spPr>
                          <a:xfrm>
                            <a:off x="1379451" y="1653512"/>
                            <a:ext cx="1308100" cy="922020"/>
                          </a:xfrm>
                          <a:prstGeom prst="triangle">
                            <a:avLst>
                              <a:gd name="adj" fmla="val 50000"/>
                            </a:avLst>
                          </a:prstGeom>
                          <a:solidFill>
                            <a:srgbClr val="FFFFFF"/>
                          </a:solidFill>
                          <a:ln w="12700" cap="flat" cmpd="sng">
                            <a:solidFill>
                              <a:srgbClr val="0099CC"/>
                            </a:solidFill>
                            <a:prstDash val="solid"/>
                            <a:miter/>
                            <a:headEnd type="none" w="med" len="med"/>
                            <a:tailEnd type="none" w="med" len="med"/>
                          </a:ln>
                        </wps:spPr>
                        <wps:txbx>
                          <w:txbxContent>
                            <w:p w:rsidR="005118AF" w:rsidRDefault="00EF60C3">
                              <w:pPr>
                                <w:spacing w:after="0" w:line="240" w:lineRule="auto"/>
                                <w:jc w:val="center"/>
                                <w:rPr>
                                  <w:rFonts w:ascii="Times New Roman" w:hAnsi="Times New Roman" w:cs="Times New Roman"/>
                                  <w:b/>
                                  <w:bCs/>
                                  <w:color w:val="00B0F0"/>
                                  <w:sz w:val="18"/>
                                  <w:szCs w:val="18"/>
                                  <w:lang w:val="kk-KZ"/>
                                </w:rPr>
                              </w:pPr>
                              <w:r>
                                <w:rPr>
                                  <w:rFonts w:ascii="Times New Roman" w:hAnsi="Times New Roman" w:cs="Times New Roman"/>
                                  <w:b/>
                                  <w:bCs/>
                                  <w:color w:val="00B0F0"/>
                                  <w:sz w:val="18"/>
                                  <w:szCs w:val="18"/>
                                  <w:lang w:val="kk-KZ"/>
                                </w:rPr>
                                <w:t>Қоғамдық</w:t>
                              </w:r>
                              <w:r>
                                <w:rPr>
                                  <w:rFonts w:ascii="Times New Roman" w:hAnsi="Times New Roman" w:cs="Times New Roman"/>
                                  <w:b/>
                                  <w:bCs/>
                                  <w:color w:val="00B0F0"/>
                                  <w:sz w:val="18"/>
                                  <w:szCs w:val="18"/>
                                  <w:lang w:val="kk-KZ"/>
                                </w:rPr>
                                <w:t xml:space="preserve"> деңгей</w:t>
                              </w:r>
                            </w:p>
                          </w:txbxContent>
                        </wps:txbx>
                        <wps:bodyPr upright="1"/>
                      </wps:wsp>
                      <wps:wsp>
                        <wps:cNvPr id="6" name="Isosceles Triangle 6"/>
                        <wps:cNvSpPr/>
                        <wps:spPr>
                          <a:xfrm>
                            <a:off x="2676236" y="1645199"/>
                            <a:ext cx="1250950" cy="928370"/>
                          </a:xfrm>
                          <a:prstGeom prst="triangle">
                            <a:avLst>
                              <a:gd name="adj" fmla="val 50000"/>
                            </a:avLst>
                          </a:prstGeom>
                          <a:solidFill>
                            <a:srgbClr val="FFFFFF"/>
                          </a:solidFill>
                          <a:ln w="12700" cap="flat" cmpd="sng">
                            <a:solidFill>
                              <a:srgbClr val="FF6600"/>
                            </a:solidFill>
                            <a:prstDash val="solid"/>
                            <a:miter/>
                            <a:headEnd type="none" w="med" len="med"/>
                            <a:tailEnd type="none" w="med" len="med"/>
                          </a:ln>
                        </wps:spPr>
                        <wps:txbx>
                          <w:txbxContent>
                            <w:p w:rsidR="005118AF" w:rsidRDefault="00EF60C3">
                              <w:pPr>
                                <w:spacing w:after="0" w:line="240" w:lineRule="auto"/>
                                <w:jc w:val="center"/>
                                <w:rPr>
                                  <w:rFonts w:ascii="Times New Roman" w:hAnsi="Times New Roman" w:cs="Times New Roman"/>
                                  <w:b/>
                                  <w:bCs/>
                                  <w:color w:val="FF0000"/>
                                  <w:sz w:val="18"/>
                                  <w:szCs w:val="18"/>
                                  <w:lang w:val="kk-KZ"/>
                                </w:rPr>
                              </w:pPr>
                              <w:r>
                                <w:rPr>
                                  <w:rFonts w:ascii="Times New Roman" w:hAnsi="Times New Roman" w:cs="Times New Roman"/>
                                  <w:b/>
                                  <w:bCs/>
                                  <w:color w:val="FF0000"/>
                                  <w:sz w:val="18"/>
                                  <w:szCs w:val="18"/>
                                  <w:lang w:val="kk-KZ"/>
                                </w:rPr>
                                <w:t>Салалық деңгей</w:t>
                              </w:r>
                            </w:p>
                          </w:txbxContent>
                        </wps:txbx>
                        <wps:bodyPr upright="1"/>
                      </wps:wsp>
                      <wps:wsp>
                        <wps:cNvPr id="8" name="Rectangles 8"/>
                        <wps:cNvSpPr/>
                        <wps:spPr>
                          <a:xfrm>
                            <a:off x="2418542" y="1736639"/>
                            <a:ext cx="533400" cy="285750"/>
                          </a:xfrm>
                          <a:prstGeom prst="rect">
                            <a:avLst/>
                          </a:prstGeom>
                          <a:solidFill>
                            <a:srgbClr val="FFFFFF"/>
                          </a:solidFill>
                          <a:ln>
                            <a:noFill/>
                          </a:ln>
                        </wps:spPr>
                        <wps:txbx>
                          <w:txbxContent>
                            <w:p w:rsidR="005118AF" w:rsidRDefault="00EF60C3">
                              <w:pPr>
                                <w:spacing w:after="0" w:line="240" w:lineRule="auto"/>
                                <w:jc w:val="center"/>
                                <w:rPr>
                                  <w:rFonts w:ascii="Times New Roman" w:hAnsi="Times New Roman" w:cs="Times New Roman"/>
                                  <w:b/>
                                  <w:bCs/>
                                  <w:color w:val="00B050"/>
                                  <w:sz w:val="24"/>
                                  <w:szCs w:val="24"/>
                                  <w:lang w:val="kk-KZ"/>
                                </w:rPr>
                              </w:pPr>
                              <w:r>
                                <w:rPr>
                                  <w:rFonts w:ascii="Times New Roman" w:hAnsi="Times New Roman" w:cs="Times New Roman"/>
                                  <w:b/>
                                  <w:bCs/>
                                  <w:color w:val="00B050"/>
                                  <w:sz w:val="24"/>
                                  <w:szCs w:val="24"/>
                                  <w:lang w:val="kk-KZ"/>
                                </w:rPr>
                                <w:t>ТАИ</w:t>
                              </w:r>
                            </w:p>
                          </w:txbxContent>
                        </wps:txbx>
                        <wps:bodyPr upright="1"/>
                      </wps:wsp>
                      <wps:wsp>
                        <wps:cNvPr id="20" name="Flowchart: Delay 20"/>
                        <wps:cNvSpPr/>
                        <wps:spPr>
                          <a:xfrm rot="5400000">
                            <a:off x="2306320" y="-994092"/>
                            <a:ext cx="767715" cy="2755900"/>
                          </a:xfrm>
                          <a:prstGeom prst="flowChartDelay">
                            <a:avLst/>
                          </a:prstGeom>
                          <a:solidFill>
                            <a:srgbClr val="CC3399"/>
                          </a:solidFill>
                          <a:ln w="9525" cap="flat" cmpd="sng">
                            <a:solidFill>
                              <a:srgbClr val="000000"/>
                            </a:solidFill>
                            <a:prstDash val="solid"/>
                            <a:miter/>
                            <a:headEnd type="none" w="med" len="med"/>
                            <a:tailEnd type="none" w="med" len="med"/>
                          </a:ln>
                        </wps:spPr>
                        <wps:txbx>
                          <w:txbxContent>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Табиғи инноваторлар ретінде әрекет ету</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Тұрақты серіктестік</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Қызметкерлерді</w:t>
                              </w:r>
                              <w:r>
                                <w:rPr>
                                  <w:rFonts w:ascii="Times New Roman" w:hAnsi="Times New Roman" w:cs="Times New Roman"/>
                                  <w:b/>
                                  <w:bCs/>
                                  <w:color w:val="FFFFFF" w:themeColor="background1"/>
                                  <w:sz w:val="16"/>
                                  <w:szCs w:val="16"/>
                                  <w:lang w:val="kk-KZ"/>
                                </w:rPr>
                                <w:t xml:space="preserve"> тарту</w:t>
                              </w:r>
                            </w:p>
                          </w:txbxContent>
                        </wps:txbx>
                        <wps:bodyPr upright="1"/>
                      </wps:wsp>
                      <wps:wsp>
                        <wps:cNvPr id="17" name="Flowchart: Delay 17"/>
                        <wps:cNvSpPr/>
                        <wps:spPr>
                          <a:xfrm rot="16200000">
                            <a:off x="4081087" y="1811454"/>
                            <a:ext cx="698500" cy="2495550"/>
                          </a:xfrm>
                          <a:prstGeom prst="flowChartDelay">
                            <a:avLst/>
                          </a:prstGeom>
                          <a:solidFill>
                            <a:srgbClr val="FF6600"/>
                          </a:solidFill>
                          <a:ln w="9525" cap="flat" cmpd="sng">
                            <a:solidFill>
                              <a:srgbClr val="000000"/>
                            </a:solidFill>
                            <a:prstDash val="solid"/>
                            <a:miter/>
                            <a:headEnd type="none" w="med" len="med"/>
                            <a:tailEnd type="none" w="med" len="med"/>
                          </a:ln>
                        </wps:spPr>
                        <wps:txbx>
                          <w:txbxContent>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Тұрақты азық</w:t>
                              </w:r>
                              <w:r>
                                <w:rPr>
                                  <w:rFonts w:ascii="Times New Roman" w:hAnsi="Times New Roman" w:cs="Times New Roman"/>
                                  <w:b/>
                                  <w:bCs/>
                                  <w:color w:val="FFFFFF" w:themeColor="background1"/>
                                  <w:sz w:val="16"/>
                                  <w:szCs w:val="16"/>
                                </w:rPr>
                                <w:t>-</w:t>
                              </w:r>
                              <w:r>
                                <w:rPr>
                                  <w:rFonts w:ascii="Times New Roman" w:hAnsi="Times New Roman" w:cs="Times New Roman"/>
                                  <w:b/>
                                  <w:bCs/>
                                  <w:color w:val="FFFFFF" w:themeColor="background1"/>
                                  <w:sz w:val="16"/>
                                  <w:szCs w:val="16"/>
                                  <w:lang w:val="kk-KZ"/>
                                </w:rPr>
                                <w:t>түлік тізбегі</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Цифрлық платформалар</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Деректерді талдау</w:t>
                              </w:r>
                            </w:p>
                          </w:txbxContent>
                        </wps:txbx>
                        <wps:bodyPr upright="1"/>
                      </wps:wsp>
                      <wps:wsp>
                        <wps:cNvPr id="21" name="Flowchart: Delay 21"/>
                        <wps:cNvSpPr/>
                        <wps:spPr>
                          <a:xfrm rot="16200000">
                            <a:off x="889000" y="1769890"/>
                            <a:ext cx="755650" cy="2533650"/>
                          </a:xfrm>
                          <a:prstGeom prst="flowChartDelay">
                            <a:avLst/>
                          </a:prstGeom>
                          <a:solidFill>
                            <a:srgbClr val="0099CC"/>
                          </a:solidFill>
                          <a:ln w="9525" cap="flat" cmpd="sng">
                            <a:solidFill>
                              <a:srgbClr val="000000"/>
                            </a:solidFill>
                            <a:prstDash val="solid"/>
                            <a:miter/>
                            <a:headEnd type="none" w="med" len="med"/>
                            <a:tailEnd type="none" w="med" len="med"/>
                          </a:ln>
                        </wps:spPr>
                        <wps:txbx>
                          <w:txbxContent>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ТДМ</w:t>
                              </w:r>
                              <w:r>
                                <w:rPr>
                                  <w:rFonts w:ascii="Times New Roman" w:hAnsi="Times New Roman" w:cs="Times New Roman"/>
                                  <w:b/>
                                  <w:bCs/>
                                  <w:color w:val="FFFFFF" w:themeColor="background1"/>
                                  <w:sz w:val="16"/>
                                  <w:szCs w:val="16"/>
                                </w:rPr>
                                <w:t>-</w:t>
                              </w:r>
                              <w:r>
                                <w:rPr>
                                  <w:rFonts w:ascii="Times New Roman" w:hAnsi="Times New Roman" w:cs="Times New Roman"/>
                                  <w:b/>
                                  <w:bCs/>
                                  <w:color w:val="FFFFFF" w:themeColor="background1"/>
                                  <w:sz w:val="16"/>
                                  <w:szCs w:val="16"/>
                                  <w:lang w:val="kk-KZ"/>
                                </w:rPr>
                                <w:t>ға</w:t>
                              </w:r>
                              <w:r>
                                <w:rPr>
                                  <w:rFonts w:ascii="Times New Roman" w:hAnsi="Times New Roman" w:cs="Times New Roman"/>
                                  <w:b/>
                                  <w:bCs/>
                                  <w:color w:val="FFFFFF" w:themeColor="background1"/>
                                  <w:sz w:val="16"/>
                                  <w:szCs w:val="16"/>
                                  <w:lang w:val="kk-KZ"/>
                                </w:rPr>
                                <w:t xml:space="preserve"> қол жеткізу</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БҰҰ-ның Жаһандық келісімдегі жетекші рөл</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Тұраұты даму қағидаттарына өту</w:t>
                              </w:r>
                            </w:p>
                            <w:p w:rsidR="005118AF" w:rsidRDefault="005118AF">
                              <w:pPr>
                                <w:spacing w:after="0" w:line="240" w:lineRule="auto"/>
                                <w:jc w:val="center"/>
                                <w:rPr>
                                  <w:rFonts w:ascii="Times New Roman" w:hAnsi="Times New Roman" w:cs="Times New Roman"/>
                                  <w:b/>
                                  <w:bCs/>
                                  <w:color w:val="FFFFFF" w:themeColor="background1"/>
                                  <w:sz w:val="16"/>
                                  <w:szCs w:val="16"/>
                                  <w:lang w:val="kk-KZ"/>
                                </w:rPr>
                              </w:pPr>
                            </w:p>
                          </w:txbxContent>
                        </wps:txbx>
                        <wps:bodyPr upright="1"/>
                      </wps:wsp>
                      <wps:wsp>
                        <wps:cNvPr id="19" name="Straight Arrow Connector 19"/>
                        <wps:cNvCnPr/>
                        <wps:spPr>
                          <a:xfrm flipV="1">
                            <a:off x="523240" y="614421"/>
                            <a:ext cx="971550" cy="2089150"/>
                          </a:xfrm>
                          <a:prstGeom prst="straightConnector1">
                            <a:avLst/>
                          </a:prstGeom>
                          <a:ln w="12700" cap="flat" cmpd="sng">
                            <a:solidFill>
                              <a:srgbClr val="00B050"/>
                            </a:solidFill>
                            <a:prstDash val="solid"/>
                            <a:headEnd type="triangle" w="med" len="med"/>
                            <a:tailEnd type="triangle" w="med" len="med"/>
                          </a:ln>
                        </wps:spPr>
                        <wps:bodyPr/>
                      </wps:wsp>
                      <wps:wsp>
                        <wps:cNvPr id="10" name="Straight Arrow Connector 10"/>
                        <wps:cNvCnPr/>
                        <wps:spPr>
                          <a:xfrm>
                            <a:off x="3931458" y="597795"/>
                            <a:ext cx="730250" cy="2082800"/>
                          </a:xfrm>
                          <a:prstGeom prst="straightConnector1">
                            <a:avLst/>
                          </a:prstGeom>
                          <a:ln w="12700" cap="flat" cmpd="sng">
                            <a:solidFill>
                              <a:srgbClr val="00B050"/>
                            </a:solidFill>
                            <a:prstDash val="solid"/>
                            <a:headEnd type="triangle" w="med" len="med"/>
                            <a:tailEnd type="triangle" w="med" len="med"/>
                          </a:ln>
                        </wps:spPr>
                        <wps:bodyPr/>
                      </wps:wsp>
                      <wps:wsp>
                        <wps:cNvPr id="18" name="Straight Arrow Connector 18"/>
                        <wps:cNvCnPr/>
                        <wps:spPr>
                          <a:xfrm>
                            <a:off x="2518295" y="3183053"/>
                            <a:ext cx="647700" cy="0"/>
                          </a:xfrm>
                          <a:prstGeom prst="straightConnector1">
                            <a:avLst/>
                          </a:prstGeom>
                          <a:ln w="9525" cap="flat" cmpd="sng">
                            <a:solidFill>
                              <a:srgbClr val="00B050"/>
                            </a:solidFill>
                            <a:prstDash val="solid"/>
                            <a:headEnd type="triangle" w="med" len="med"/>
                            <a:tailEnd type="triangle" w="med" len="med"/>
                          </a:ln>
                        </wps:spPr>
                        <wps:bodyPr/>
                      </wps:wsp>
                    </wpg:wgp>
                  </a:graphicData>
                </a:graphic>
              </wp:anchor>
            </w:drawing>
          </mc:Choice>
          <mc:Fallback>
            <w:pict>
              <v:group id="Группа 1823708008" o:spid="_x0000_s1119" style="position:absolute;left:0;text-align:left;margin-left:22.8pt;margin-top:8.65pt;width:447.1pt;height:268.85pt;z-index:251692032" coordsize="56781,3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120" type="#_x0000_t5" style="position:absolute;left:20527;top:7806;width:12510;height:8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dHysEA&#10;AADbAAAADwAAAGRycy9kb3ducmV2LnhtbERPPWvDMBDdA/0P4grdEjkZTHGtmGJa6JKC3Q4dL9ZF&#10;dmKdjKXY7r+vCoFs93iflxeL7cVEo+8cK9huEhDEjdMdGwXfX+/rZxA+IGvsHZOCX/JQ7B9WOWba&#10;zVzRVAcjYgj7DBW0IQyZlL5pyaLfuIE4cic3WgwRjkbqEecYbnu5S5JUWuw4NrQ4UNlSc6mvVsGn&#10;eaMffcRqu/ihsedDvZOmVOrpcXl9ARFoCXfxzf2h4/wU/n+JB8j9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nR8rBAAAA2wAAAA8AAAAAAAAAAAAAAAAAmAIAAGRycy9kb3du&#10;cmV2LnhtbFBLBQYAAAAABAAEAPUAAACGAwAAAAA=&#10;" filled="f" strokecolor="#c39" strokeweight="1pt">
                  <v:textbox>
                    <w:txbxContent>
                      <w:p w:rsidR="005118AF" w:rsidRDefault="00EF60C3">
                        <w:pPr>
                          <w:spacing w:after="0" w:line="240" w:lineRule="auto"/>
                          <w:jc w:val="center"/>
                          <w:rPr>
                            <w:rFonts w:ascii="Times New Roman" w:hAnsi="Times New Roman" w:cs="Times New Roman"/>
                            <w:b/>
                            <w:bCs/>
                            <w:color w:val="990099"/>
                            <w:sz w:val="18"/>
                            <w:szCs w:val="18"/>
                            <w:lang w:val="kk-KZ"/>
                          </w:rPr>
                        </w:pPr>
                        <w:r>
                          <w:rPr>
                            <w:rFonts w:ascii="Times New Roman" w:hAnsi="Times New Roman" w:cs="Times New Roman"/>
                            <w:b/>
                            <w:bCs/>
                            <w:color w:val="990099"/>
                            <w:sz w:val="18"/>
                            <w:szCs w:val="18"/>
                            <w:lang w:val="kk-KZ"/>
                          </w:rPr>
                          <w:t>Фирма деңгейі</w:t>
                        </w:r>
                      </w:p>
                    </w:txbxContent>
                  </v:textbox>
                </v:shape>
                <v:shape id="Isosceles Triangle 15" o:spid="_x0000_s1121" type="#_x0000_t5" style="position:absolute;left:13794;top:16535;width:13081;height:9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wCkb8A&#10;AADbAAAADwAAAGRycy9kb3ducmV2LnhtbERPS2sCMRC+C/0PYQpeRLMVKuvWKCIUiqf6ug+bcbN0&#10;M1mSqa7/vikUepuP7zmrzeA7daOY2sAGXmYFKOI62JYbA+fT+7QElQTZYheYDDwowWb9NFphZcOd&#10;D3Q7SqNyCKcKDTiRvtI61Y48plnoiTN3DdGjZBgbbSPec7jv9LwoFtpjy7nBYU87R/XX8dsbYGpF&#10;zpfTfv9oltZNSl9+Rm/M+HnYvoESGuRf/Of+sHn+K/z+kg/Q6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7AKRvwAAANsAAAAPAAAAAAAAAAAAAAAAAJgCAABkcnMvZG93bnJl&#10;di54bWxQSwUGAAAAAAQABAD1AAAAhAMAAAAA&#10;" strokecolor="#09c" strokeweight="1pt">
                  <v:textbox>
                    <w:txbxContent>
                      <w:p w:rsidR="005118AF" w:rsidRDefault="00EF60C3">
                        <w:pPr>
                          <w:spacing w:after="0" w:line="240" w:lineRule="auto"/>
                          <w:jc w:val="center"/>
                          <w:rPr>
                            <w:rFonts w:ascii="Times New Roman" w:hAnsi="Times New Roman" w:cs="Times New Roman"/>
                            <w:b/>
                            <w:bCs/>
                            <w:color w:val="00B0F0"/>
                            <w:sz w:val="18"/>
                            <w:szCs w:val="18"/>
                            <w:lang w:val="kk-KZ"/>
                          </w:rPr>
                        </w:pPr>
                        <w:r>
                          <w:rPr>
                            <w:rFonts w:ascii="Times New Roman" w:hAnsi="Times New Roman" w:cs="Times New Roman"/>
                            <w:b/>
                            <w:bCs/>
                            <w:color w:val="00B0F0"/>
                            <w:sz w:val="18"/>
                            <w:szCs w:val="18"/>
                            <w:lang w:val="kk-KZ"/>
                          </w:rPr>
                          <w:t>Қоғамдық</w:t>
                        </w:r>
                        <w:r>
                          <w:rPr>
                            <w:rFonts w:ascii="Times New Roman" w:hAnsi="Times New Roman" w:cs="Times New Roman"/>
                            <w:b/>
                            <w:bCs/>
                            <w:color w:val="00B0F0"/>
                            <w:sz w:val="18"/>
                            <w:szCs w:val="18"/>
                            <w:lang w:val="kk-KZ"/>
                          </w:rPr>
                          <w:t xml:space="preserve"> деңгей</w:t>
                        </w:r>
                      </w:p>
                    </w:txbxContent>
                  </v:textbox>
                </v:shape>
                <v:shape id="Isosceles Triangle 6" o:spid="_x0000_s1122" type="#_x0000_t5" style="position:absolute;left:26762;top:16451;width:12509;height:9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g8IA&#10;AADaAAAADwAAAGRycy9kb3ducmV2LnhtbESPzarCMBSE9xd8h3AEN6KpV9BajSIXRFf+L1wemmNb&#10;bE5KE7W+vRGEuxxm5htmtmhMKR5Uu8KygkE/AkGcWl1wpuB8WvViEM4jaywtk4IXOVjMWz8zTLR9&#10;8oEeR5+JAGGXoILc+yqR0qU5GXR9WxEH72prgz7IOpO6xmeAm1L+RtFIGiw4LORY0V9O6e14NwrW&#10;hwtPrvt1d7W9bXbxcHzfxUtSqtNullMQnhr/H/62N1rBCD5Xwg2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r6DwgAAANoAAAAPAAAAAAAAAAAAAAAAAJgCAABkcnMvZG93&#10;bnJldi54bWxQSwUGAAAAAAQABAD1AAAAhwMAAAAA&#10;" strokecolor="#f60" strokeweight="1pt">
                  <v:textbox>
                    <w:txbxContent>
                      <w:p w:rsidR="005118AF" w:rsidRDefault="00EF60C3">
                        <w:pPr>
                          <w:spacing w:after="0" w:line="240" w:lineRule="auto"/>
                          <w:jc w:val="center"/>
                          <w:rPr>
                            <w:rFonts w:ascii="Times New Roman" w:hAnsi="Times New Roman" w:cs="Times New Roman"/>
                            <w:b/>
                            <w:bCs/>
                            <w:color w:val="FF0000"/>
                            <w:sz w:val="18"/>
                            <w:szCs w:val="18"/>
                            <w:lang w:val="kk-KZ"/>
                          </w:rPr>
                        </w:pPr>
                        <w:r>
                          <w:rPr>
                            <w:rFonts w:ascii="Times New Roman" w:hAnsi="Times New Roman" w:cs="Times New Roman"/>
                            <w:b/>
                            <w:bCs/>
                            <w:color w:val="FF0000"/>
                            <w:sz w:val="18"/>
                            <w:szCs w:val="18"/>
                            <w:lang w:val="kk-KZ"/>
                          </w:rPr>
                          <w:t>Салалық деңгей</w:t>
                        </w:r>
                      </w:p>
                    </w:txbxContent>
                  </v:textbox>
                </v:shape>
                <v:rect id="Rectangles 8" o:spid="_x0000_s1123" style="position:absolute;left:24185;top:17366;width:5334;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textbox>
                    <w:txbxContent>
                      <w:p w:rsidR="005118AF" w:rsidRDefault="00EF60C3">
                        <w:pPr>
                          <w:spacing w:after="0" w:line="240" w:lineRule="auto"/>
                          <w:jc w:val="center"/>
                          <w:rPr>
                            <w:rFonts w:ascii="Times New Roman" w:hAnsi="Times New Roman" w:cs="Times New Roman"/>
                            <w:b/>
                            <w:bCs/>
                            <w:color w:val="00B050"/>
                            <w:sz w:val="24"/>
                            <w:szCs w:val="24"/>
                            <w:lang w:val="kk-KZ"/>
                          </w:rPr>
                        </w:pPr>
                        <w:r>
                          <w:rPr>
                            <w:rFonts w:ascii="Times New Roman" w:hAnsi="Times New Roman" w:cs="Times New Roman"/>
                            <w:b/>
                            <w:bCs/>
                            <w:color w:val="00B050"/>
                            <w:sz w:val="24"/>
                            <w:szCs w:val="24"/>
                            <w:lang w:val="kk-KZ"/>
                          </w:rPr>
                          <w:t>ТАИ</w:t>
                        </w:r>
                      </w:p>
                    </w:txbxContent>
                  </v:textbox>
                </v:rect>
                <v:shapetype id="_x0000_t135" coordsize="21600,21600" o:spt="135" path="m10800,qx21600,10800,10800,21600l,21600,,xe">
                  <v:stroke joinstyle="miter"/>
                  <v:path gradientshapeok="t" o:connecttype="rect" textboxrect="0,3163,18437,18437"/>
                </v:shapetype>
                <v:shape id="Flowchart: Delay 20" o:spid="_x0000_s1124" type="#_x0000_t135" style="position:absolute;left:23063;top:-9941;width:7677;height:2755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Ex78A&#10;AADbAAAADwAAAGRycy9kb3ducmV2LnhtbERPy4rCMBTdD/gP4QruxlQFGatRxAfoyifi8tJc22pz&#10;U5qo7d+bhTDLw3lPZrUpxIsql1tW0OtGIIgTq3NOFZxP698/EM4jaywsk4KGHMymrZ8Jxtq++UCv&#10;o09FCGEXo4LM+zKW0iUZGXRdWxIH7mYrgz7AKpW6wncIN4XsR9FQGsw5NGRY0iKj5HF8GgW3TWlX&#10;y6sb3K+70XzbXJrVdp8r1WnX8zEIT7X/F3/dG62gH9aHL+EHyO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G8THvwAAANsAAAAPAAAAAAAAAAAAAAAAAJgCAABkcnMvZG93bnJl&#10;di54bWxQSwUGAAAAAAQABAD1AAAAhAMAAAAA&#10;" fillcolor="#c39">
                  <v:textbox>
                    <w:txbxContent>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Табиғи инноваторлар ретінде әрекет ету</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Тұрақты серіктестік</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Қызметкерлерді</w:t>
                        </w:r>
                        <w:r>
                          <w:rPr>
                            <w:rFonts w:ascii="Times New Roman" w:hAnsi="Times New Roman" w:cs="Times New Roman"/>
                            <w:b/>
                            <w:bCs/>
                            <w:color w:val="FFFFFF" w:themeColor="background1"/>
                            <w:sz w:val="16"/>
                            <w:szCs w:val="16"/>
                            <w:lang w:val="kk-KZ"/>
                          </w:rPr>
                          <w:t xml:space="preserve"> тарту</w:t>
                        </w:r>
                      </w:p>
                    </w:txbxContent>
                  </v:textbox>
                </v:shape>
                <v:shape id="Flowchart: Delay 17" o:spid="_x0000_s1125" type="#_x0000_t135" style="position:absolute;left:40810;top:18114;width:6985;height:249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82TcAA&#10;AADbAAAADwAAAGRycy9kb3ducmV2LnhtbERPTYvCMBC9L+x/CLPgRWyqyCq1UWRR8CBCVfQ6NGNb&#10;tpmUJmr990YQvM3jfU666EwtbtS6yrKCYRSDIM6trrhQcDysB1MQziNrrC2Tggc5WMy/v1JMtL1z&#10;Rre9L0QIYZeggtL7JpHS5SUZdJFtiAN3sa1BH2BbSN3iPYSbWo7i+FcarDg0lNjQX0n5//5qFHQ7&#10;2x/3bbbkDWan6Xa1Oj+qo1K9n245A+Gp8x/x273RYf4EXr+E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I82TcAAAADbAAAADwAAAAAAAAAAAAAAAACYAgAAZHJzL2Rvd25y&#10;ZXYueG1sUEsFBgAAAAAEAAQA9QAAAIUDAAAAAA==&#10;" fillcolor="#f60">
                  <v:textbox>
                    <w:txbxContent>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Тұрақты азық</w:t>
                        </w:r>
                        <w:r>
                          <w:rPr>
                            <w:rFonts w:ascii="Times New Roman" w:hAnsi="Times New Roman" w:cs="Times New Roman"/>
                            <w:b/>
                            <w:bCs/>
                            <w:color w:val="FFFFFF" w:themeColor="background1"/>
                            <w:sz w:val="16"/>
                            <w:szCs w:val="16"/>
                          </w:rPr>
                          <w:t>-</w:t>
                        </w:r>
                        <w:r>
                          <w:rPr>
                            <w:rFonts w:ascii="Times New Roman" w:hAnsi="Times New Roman" w:cs="Times New Roman"/>
                            <w:b/>
                            <w:bCs/>
                            <w:color w:val="FFFFFF" w:themeColor="background1"/>
                            <w:sz w:val="16"/>
                            <w:szCs w:val="16"/>
                            <w:lang w:val="kk-KZ"/>
                          </w:rPr>
                          <w:t>түлік тізбегі</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Цифрлық платформалар</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Деректерді талдау</w:t>
                        </w:r>
                      </w:p>
                    </w:txbxContent>
                  </v:textbox>
                </v:shape>
                <v:shape id="Flowchart: Delay 21" o:spid="_x0000_s1126" type="#_x0000_t135" style="position:absolute;left:8889;top:17699;width:7557;height:253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8DcEA&#10;AADbAAAADwAAAGRycy9kb3ducmV2LnhtbESPQWsCMRSE74X+h/AKvdWsIiJboxShoDerll4fm9fd&#10;0ORlmzx1++8bQfA4zMw3zGI1BK/OlLKLbGA8qkARN9E6bg0cD+8vc1BZkC36yGTgjzKslo8PC6xt&#10;vPAHnffSqgLhXKOBTqSvtc5NRwHzKPbExfuOKaAUmVptE14KPHg9qaqZDui4LHTY07qj5md/CgY2&#10;bidrIX/azpPzuPv9/Jpab8zz0/D2CkpokHv41t5YA5MxXL+UH6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mPA3BAAAA2wAAAA8AAAAAAAAAAAAAAAAAmAIAAGRycy9kb3du&#10;cmV2LnhtbFBLBQYAAAAABAAEAPUAAACGAwAAAAA=&#10;" fillcolor="#09c">
                  <v:textbox>
                    <w:txbxContent>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ТДМ</w:t>
                        </w:r>
                        <w:r>
                          <w:rPr>
                            <w:rFonts w:ascii="Times New Roman" w:hAnsi="Times New Roman" w:cs="Times New Roman"/>
                            <w:b/>
                            <w:bCs/>
                            <w:color w:val="FFFFFF" w:themeColor="background1"/>
                            <w:sz w:val="16"/>
                            <w:szCs w:val="16"/>
                          </w:rPr>
                          <w:t>-</w:t>
                        </w:r>
                        <w:r>
                          <w:rPr>
                            <w:rFonts w:ascii="Times New Roman" w:hAnsi="Times New Roman" w:cs="Times New Roman"/>
                            <w:b/>
                            <w:bCs/>
                            <w:color w:val="FFFFFF" w:themeColor="background1"/>
                            <w:sz w:val="16"/>
                            <w:szCs w:val="16"/>
                            <w:lang w:val="kk-KZ"/>
                          </w:rPr>
                          <w:t>ға</w:t>
                        </w:r>
                        <w:r>
                          <w:rPr>
                            <w:rFonts w:ascii="Times New Roman" w:hAnsi="Times New Roman" w:cs="Times New Roman"/>
                            <w:b/>
                            <w:bCs/>
                            <w:color w:val="FFFFFF" w:themeColor="background1"/>
                            <w:sz w:val="16"/>
                            <w:szCs w:val="16"/>
                            <w:lang w:val="kk-KZ"/>
                          </w:rPr>
                          <w:t xml:space="preserve"> қол жеткізу</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БҰҰ-ның Жаһандық келісімдегі жетекші рөл</w:t>
                        </w:r>
                      </w:p>
                      <w:p w:rsidR="005118AF" w:rsidRDefault="00EF60C3">
                        <w:pPr>
                          <w:spacing w:after="0" w:line="240" w:lineRule="auto"/>
                          <w:jc w:val="center"/>
                          <w:rPr>
                            <w:rFonts w:ascii="Times New Roman" w:hAnsi="Times New Roman" w:cs="Times New Roman"/>
                            <w:b/>
                            <w:bCs/>
                            <w:color w:val="FFFFFF" w:themeColor="background1"/>
                            <w:sz w:val="16"/>
                            <w:szCs w:val="16"/>
                            <w:lang w:val="kk-KZ"/>
                          </w:rPr>
                        </w:pPr>
                        <w:r>
                          <w:rPr>
                            <w:rFonts w:ascii="Times New Roman" w:hAnsi="Times New Roman" w:cs="Times New Roman"/>
                            <w:b/>
                            <w:bCs/>
                            <w:color w:val="FFFFFF" w:themeColor="background1"/>
                            <w:sz w:val="16"/>
                            <w:szCs w:val="16"/>
                            <w:lang w:val="kk-KZ"/>
                          </w:rPr>
                          <w:t>Тұраұты даму қағидаттарына өту</w:t>
                        </w:r>
                      </w:p>
                      <w:p w:rsidR="005118AF" w:rsidRDefault="005118AF">
                        <w:pPr>
                          <w:spacing w:after="0" w:line="240" w:lineRule="auto"/>
                          <w:jc w:val="center"/>
                          <w:rPr>
                            <w:rFonts w:ascii="Times New Roman" w:hAnsi="Times New Roman" w:cs="Times New Roman"/>
                            <w:b/>
                            <w:bCs/>
                            <w:color w:val="FFFFFF" w:themeColor="background1"/>
                            <w:sz w:val="16"/>
                            <w:szCs w:val="16"/>
                            <w:lang w:val="kk-KZ"/>
                          </w:rPr>
                        </w:pPr>
                      </w:p>
                    </w:txbxContent>
                  </v:textbox>
                </v:shape>
                <v:shape id="Straight Arrow Connector 19" o:spid="_x0000_s1127" type="#_x0000_t32" style="position:absolute;left:5232;top:6144;width:9715;height:208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PIIMMAAADbAAAADwAAAGRycy9kb3ducmV2LnhtbERPTWvCQBC9C/6HZQQvopsWrDV1FVsQ&#10;RBDUetDbmJ0m0exsyK4x/nu3IHibx/ucyawxhaipcrllBW+DCARxYnXOqYL976L/CcJ5ZI2FZVJw&#10;Jwezabs1wVjbG2+p3vlUhBB2MSrIvC9jKV2SkUE3sCVx4P5sZdAHWKVSV3gL4aaQ71H0IQ3mHBoy&#10;LOkno+SyuxoF9fUwXK2PfLqscbT5PhnaL849pbqdZv4FwlPjX+Kne6nD/DH8/xIO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TyCDDAAAA2wAAAA8AAAAAAAAAAAAA&#10;AAAAoQIAAGRycy9kb3ducmV2LnhtbFBLBQYAAAAABAAEAPkAAACRAwAAAAA=&#10;" strokecolor="#00b050" strokeweight="1pt">
                  <v:stroke startarrow="block" endarrow="block"/>
                </v:shape>
                <v:shape id="Straight Arrow Connector 10" o:spid="_x0000_s1128" type="#_x0000_t32" style="position:absolute;left:39314;top:5977;width:7303;height:20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SmbsQAAADbAAAADwAAAGRycy9kb3ducmV2LnhtbESPQWvCQBCF7wX/wzJCb3Wjh1JSV9FI&#10;sdBS0PoDxuyYxGRnw+5W4793DgVvM7w3730zXw6uUxcKsfFsYDrJQBGX3jZcGTj8fry8gYoJ2WLn&#10;mQzcKMJyMXqaY279lXd02adKSQjHHA3UKfW51rGsyWGc+J5YtJMPDpOsodI24FXCXadnWfaqHTYs&#10;DTX2VNRUtvs/ZyALelZ9t+3X+vyjfdEV282x2RrzPB5W76ASDelh/r/+tIIv9PKLD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KZuxAAAANsAAAAPAAAAAAAAAAAA&#10;AAAAAKECAABkcnMvZG93bnJldi54bWxQSwUGAAAAAAQABAD5AAAAkgMAAAAA&#10;" strokecolor="#00b050" strokeweight="1pt">
                  <v:stroke startarrow="block" endarrow="block"/>
                </v:shape>
                <v:shape id="Straight Arrow Connector 18" o:spid="_x0000_s1129" type="#_x0000_t32" style="position:absolute;left:25182;top:31830;width:6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FbQMMAAADbAAAADwAAAGRycy9kb3ducmV2LnhtbESPQWvCQBCF7wX/wzKCF9GNHkqJrqKC&#10;IBQPjQWv0+yYrGZnQ3ar8d87h0JvM7w3732zXPe+UXfqogtsYDbNQBGXwTquDHyf9pMPUDEhW2wC&#10;k4EnRVivBm9LzG148Bfdi1QpCeGYo4E6pTbXOpY1eYzT0BKLdgmdxyRrV2nb4UPCfaPnWfauPTqW&#10;hhpb2tVU3opfb8Bt91fnxj/nw7nHcXE86c/jRhszGvabBahEffo3/10frOALrPwiA+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BW0DDAAAA2wAAAA8AAAAAAAAAAAAA&#10;AAAAoQIAAGRycy9kb3ducmV2LnhtbFBLBQYAAAAABAAEAPkAAACRAwAAAAA=&#10;" strokecolor="#00b050">
                  <v:stroke startarrow="block" endarrow="block"/>
                </v:shape>
              </v:group>
            </w:pict>
          </mc:Fallback>
        </mc:AlternateContent>
      </w: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rPr>
          <w:rFonts w:ascii="Times New Roman" w:eastAsia="Times New Roman" w:hAnsi="Times New Roman"/>
          <w:sz w:val="28"/>
          <w:szCs w:val="28"/>
          <w:lang w:val="kk-KZ"/>
        </w:rPr>
      </w:pPr>
    </w:p>
    <w:p w:rsidR="005118AF" w:rsidRDefault="005118AF">
      <w:pPr>
        <w:rPr>
          <w:rFonts w:ascii="Times New Roman" w:eastAsia="Times New Roman" w:hAnsi="Times New Roman"/>
          <w:sz w:val="28"/>
          <w:szCs w:val="28"/>
          <w:lang w:val="kk-KZ"/>
        </w:rPr>
      </w:pPr>
    </w:p>
    <w:p w:rsidR="005118AF" w:rsidRDefault="005118AF">
      <w:pPr>
        <w:rPr>
          <w:rFonts w:ascii="Times New Roman" w:eastAsia="Times New Roman" w:hAnsi="Times New Roman"/>
          <w:sz w:val="28"/>
          <w:szCs w:val="28"/>
          <w:lang w:val="kk-KZ"/>
        </w:rPr>
      </w:pPr>
    </w:p>
    <w:p w:rsidR="005118AF" w:rsidRDefault="005118AF">
      <w:pPr>
        <w:rPr>
          <w:rFonts w:ascii="Times New Roman" w:eastAsia="Times New Roman" w:hAnsi="Times New Roman"/>
          <w:sz w:val="28"/>
          <w:szCs w:val="28"/>
          <w:lang w:val="kk-KZ"/>
        </w:rPr>
      </w:pPr>
    </w:p>
    <w:p w:rsidR="005118AF" w:rsidRDefault="005118AF">
      <w:pPr>
        <w:spacing w:after="0" w:line="240" w:lineRule="auto"/>
        <w:rPr>
          <w:rFonts w:ascii="Times New Roman" w:eastAsia="Times New Roman" w:hAnsi="Times New Roman"/>
          <w:color w:val="000000"/>
          <w:sz w:val="28"/>
          <w:szCs w:val="28"/>
          <w:lang w:val="kk-KZ"/>
        </w:rPr>
      </w:pPr>
    </w:p>
    <w:p w:rsidR="005118AF" w:rsidRDefault="005118AF">
      <w:pPr>
        <w:tabs>
          <w:tab w:val="left" w:pos="2814"/>
        </w:tabs>
        <w:spacing w:after="0" w:line="240" w:lineRule="auto"/>
        <w:jc w:val="center"/>
        <w:rPr>
          <w:rFonts w:ascii="Times New Roman" w:eastAsia="Times New Roman" w:hAnsi="Times New Roman"/>
          <w:color w:val="000000"/>
          <w:sz w:val="16"/>
          <w:szCs w:val="16"/>
          <w:lang w:val="kk-KZ"/>
        </w:rPr>
      </w:pPr>
    </w:p>
    <w:p w:rsidR="005118AF" w:rsidRDefault="005118AF">
      <w:pPr>
        <w:tabs>
          <w:tab w:val="left" w:pos="2814"/>
        </w:tabs>
        <w:spacing w:after="0" w:line="240" w:lineRule="auto"/>
        <w:jc w:val="center"/>
        <w:rPr>
          <w:rFonts w:ascii="Times New Roman" w:eastAsia="Times New Roman" w:hAnsi="Times New Roman"/>
          <w:color w:val="000000"/>
          <w:sz w:val="16"/>
          <w:szCs w:val="16"/>
          <w:lang w:val="kk-KZ"/>
        </w:rPr>
      </w:pPr>
    </w:p>
    <w:p w:rsidR="005118AF" w:rsidRDefault="00EF60C3">
      <w:pPr>
        <w:tabs>
          <w:tab w:val="left" w:pos="2814"/>
        </w:tabs>
        <w:spacing w:after="0" w:line="240" w:lineRule="auto"/>
        <w:jc w:val="center"/>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Сурет 7 </w:t>
      </w:r>
      <w:r>
        <w:rPr>
          <w:rFonts w:ascii="Times New Roman" w:eastAsia="Times New Roman" w:hAnsi="Times New Roman" w:cs="Times New Roman"/>
          <w:color w:val="000000"/>
          <w:sz w:val="28"/>
          <w:szCs w:val="28"/>
          <w:lang w:val="kk-KZ"/>
        </w:rPr>
        <w:t>‒</w:t>
      </w:r>
      <w:r>
        <w:rPr>
          <w:rFonts w:ascii="Times New Roman" w:eastAsia="Times New Roman" w:hAnsi="Times New Roman"/>
          <w:color w:val="000000"/>
          <w:sz w:val="28"/>
          <w:szCs w:val="28"/>
          <w:lang w:val="kk-KZ"/>
        </w:rPr>
        <w:t xml:space="preserve"> Тұрақты ашық инновацияға өту жолына әсер еткен шешуші қадамдар</w:t>
      </w:r>
    </w:p>
    <w:p w:rsidR="005118AF" w:rsidRDefault="00EF60C3">
      <w:pPr>
        <w:spacing w:after="0" w:line="240" w:lineRule="auto"/>
        <w:ind w:firstLine="567"/>
        <w:jc w:val="both"/>
        <w:rPr>
          <w:rFonts w:ascii="Times New Roman" w:eastAsia="Times New Roman" w:hAnsi="Times New Roman" w:cs="Times New Roman"/>
          <w:color w:val="000000"/>
          <w:sz w:val="24"/>
          <w:szCs w:val="24"/>
          <w:lang w:val="en-US" w:eastAsia="zh-CN"/>
        </w:rPr>
      </w:pPr>
      <w:r>
        <w:rPr>
          <w:rFonts w:ascii="Times New Roman" w:eastAsia="Times New Roman" w:hAnsi="Times New Roman" w:cs="Times New Roman"/>
          <w:color w:val="000000"/>
          <w:sz w:val="24"/>
          <w:szCs w:val="24"/>
          <w:lang w:val="kk-KZ" w:eastAsia="zh-CN"/>
        </w:rPr>
        <w:t>Ескерту</w:t>
      </w:r>
      <w:r>
        <w:rPr>
          <w:rFonts w:ascii="Times New Roman" w:eastAsia="Times New Roman" w:hAnsi="Times New Roman" w:cs="Times New Roman"/>
          <w:color w:val="000000"/>
          <w:sz w:val="24"/>
          <w:szCs w:val="24"/>
          <w:lang w:eastAsia="zh-CN"/>
        </w:rPr>
        <w:t xml:space="preserve"> - </w:t>
      </w:r>
      <w:r>
        <w:rPr>
          <w:rFonts w:ascii="Times New Roman" w:eastAsia="Times New Roman" w:hAnsi="Times New Roman" w:cs="Times New Roman"/>
          <w:color w:val="000000"/>
          <w:sz w:val="24"/>
          <w:szCs w:val="24"/>
          <w:lang w:val="kk-KZ" w:eastAsia="zh-CN"/>
        </w:rPr>
        <w:t xml:space="preserve">Әдебиет негізінде құрастырылған </w:t>
      </w:r>
      <w:r>
        <w:rPr>
          <w:rFonts w:ascii="Times New Roman" w:eastAsia="Times New Roman" w:hAnsi="Times New Roman" w:cs="Times New Roman"/>
          <w:color w:val="000000"/>
          <w:sz w:val="24"/>
          <w:szCs w:val="24"/>
          <w:lang w:val="en-US" w:eastAsia="zh-CN"/>
        </w:rPr>
        <w:t>[60]</w:t>
      </w:r>
    </w:p>
    <w:p w:rsidR="005118AF" w:rsidRDefault="005118AF">
      <w:pPr>
        <w:spacing w:after="0" w:line="240" w:lineRule="auto"/>
        <w:ind w:firstLine="567"/>
        <w:jc w:val="both"/>
        <w:rPr>
          <w:rFonts w:ascii="Times New Roman" w:eastAsia="Times New Roman" w:hAnsi="Times New Roman" w:cs="Times New Roman"/>
          <w:color w:val="000000"/>
          <w:sz w:val="24"/>
          <w:szCs w:val="24"/>
          <w:lang w:val="kk-KZ" w:eastAsia="zh-CN"/>
        </w:rPr>
      </w:pP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rPr>
        <w:t xml:space="preserve">Агроазық-түлік секторындағы ашық инновациялар жолында тұрақты жеткізу тізбегін құру негізгі құндылық болып табылады. Бұл ретте жабдықтаушылар </w:t>
      </w:r>
      <w:r>
        <w:rPr>
          <w:rFonts w:ascii="Times New Roman" w:eastAsia="Times New Roman" w:hAnsi="Times New Roman"/>
          <w:color w:val="000000"/>
          <w:sz w:val="28"/>
          <w:szCs w:val="28"/>
          <w:lang w:val="kk-KZ"/>
        </w:rPr>
        <w:t>өнімі қадағаланатын, сапа және қауіпсіздігімен сипатталатын ауылшаруашылық және азық-түлік өндірісін қамтамасыз ететін стратегиялық серкіктеске айналады.</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Осылайша, тұрақты ашық инновациялар қазіргі кезде ашық инновация моделінің жаңа даму бағыты ретінде қа</w:t>
      </w:r>
      <w:r>
        <w:rPr>
          <w:rFonts w:ascii="Times New Roman" w:eastAsia="Times New Roman" w:hAnsi="Times New Roman"/>
          <w:color w:val="000000"/>
          <w:sz w:val="28"/>
          <w:szCs w:val="28"/>
          <w:lang w:val="kk-KZ" w:eastAsia="zh-CN"/>
        </w:rPr>
        <w:t xml:space="preserve">лыптастып отыр. Ол корпоративтік тұрақтылық көрсеткіштерін қамтамасыз етудің жаңа ұлттық инновациялық жүйелерін күшейтудің пәрменді құралы болыр табылады.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Қазіргі таңда тамақ өнеркәсібі саласы үшін тұрақты даму қағидаттарын жүзеге асыру, экологиялық және</w:t>
      </w:r>
      <w:r>
        <w:rPr>
          <w:rFonts w:ascii="Times New Roman" w:eastAsia="Times New Roman" w:hAnsi="Times New Roman"/>
          <w:color w:val="000000"/>
          <w:sz w:val="28"/>
          <w:szCs w:val="28"/>
          <w:lang w:val="kk-KZ" w:eastAsia="zh-CN"/>
        </w:rPr>
        <w:t xml:space="preserve"> әлеуметтік жауапкершілікті күшейту міндеттері алдыңғы қатарға шығып отыр. Осы тұрғыдан алғанда, тұрақты ашық инновациялар тамақ өнеркәсібін жаңғыртудың және оның ұзақ мерзімді тұрақтылығын қамтамасыз етудің маңызды құралы болып саналды. Себебі, бірінші ке</w:t>
      </w:r>
      <w:r>
        <w:rPr>
          <w:rFonts w:ascii="Times New Roman" w:eastAsia="Times New Roman" w:hAnsi="Times New Roman"/>
          <w:color w:val="000000"/>
          <w:sz w:val="28"/>
          <w:szCs w:val="28"/>
          <w:lang w:val="kk-KZ" w:eastAsia="zh-CN"/>
        </w:rPr>
        <w:t>зекте, тұрақты ашық инновациялар кәсіпорындардың шектеулі зерттеу әлеуетін толықтырып, сыртқы білім мен технологияларды тарту арқылы инновациялық әлеуетті арттырады. Бұл әсіресе шағын және орта кәсіпорындар үшін маңызды, себебі олар жеке ғылыми зерттеу-зер</w:t>
      </w:r>
      <w:r>
        <w:rPr>
          <w:rFonts w:ascii="Times New Roman" w:eastAsia="Times New Roman" w:hAnsi="Times New Roman"/>
          <w:color w:val="000000"/>
          <w:sz w:val="28"/>
          <w:szCs w:val="28"/>
          <w:lang w:val="kk-KZ" w:eastAsia="zh-CN"/>
        </w:rPr>
        <w:t>тханалық жұмыстарды жүргізуге қаржылық мүмкіндігі шектеулі [61, р. 1895-1910]. Екіншіден, тұрақты ашық инновациялар экологиялық тиімді технологияларды енгізуге, ресурстарды үнемдеуге және қадықтарды азайтуға мүмкіндік береді. Бұл халықаралық ESG стандартта</w:t>
      </w:r>
      <w:r>
        <w:rPr>
          <w:rFonts w:ascii="Times New Roman" w:eastAsia="Times New Roman" w:hAnsi="Times New Roman"/>
          <w:color w:val="000000"/>
          <w:sz w:val="28"/>
          <w:szCs w:val="28"/>
          <w:lang w:val="kk-KZ" w:eastAsia="zh-CN"/>
        </w:rPr>
        <w:t>рына сәйкес келуді қамтамасыз етіп қана қоймай, отандық өнімдердің экспорттық әлеуетін арттырады [63]. Үшіншіден, ашық инновациялар ғылым, бизнес және мемлекет арасындағы ынтымақтастықты күшейтеді. Бұл өз кезегінде инновациялық кластерлердің дамуына, старт</w:t>
      </w:r>
      <w:r>
        <w:rPr>
          <w:rFonts w:ascii="Times New Roman" w:eastAsia="Times New Roman" w:hAnsi="Times New Roman"/>
          <w:color w:val="000000"/>
          <w:sz w:val="28"/>
          <w:szCs w:val="28"/>
          <w:lang w:val="kk-KZ" w:eastAsia="zh-CN"/>
        </w:rPr>
        <w:t xml:space="preserve">аптарды қолдауға және салаға жаңа технологияларды жылдам енгізуге ықпал етеді [62, р. 1-13]. </w:t>
      </w:r>
    </w:p>
    <w:p w:rsidR="005118AF" w:rsidRDefault="00EF60C3">
      <w:pPr>
        <w:spacing w:after="0" w:line="240" w:lineRule="auto"/>
        <w:ind w:firstLine="709"/>
        <w:jc w:val="both"/>
        <w:rPr>
          <w:rFonts w:ascii="Times New Roman" w:eastAsia="Times New Roman" w:hAnsi="Times New Roman"/>
          <w:color w:val="000000"/>
          <w:sz w:val="28"/>
          <w:szCs w:val="28"/>
          <w:lang w:val="kk-KZ" w:eastAsia="zh-CN"/>
        </w:rPr>
      </w:pPr>
      <w:r>
        <w:rPr>
          <w:rFonts w:ascii="Times New Roman" w:eastAsia="Times New Roman" w:hAnsi="Times New Roman"/>
          <w:color w:val="000000"/>
          <w:sz w:val="28"/>
          <w:szCs w:val="28"/>
          <w:lang w:val="kk-KZ" w:eastAsia="zh-CN"/>
        </w:rPr>
        <w:t>Сонымен, тұрақты ашық инновациялар тамақ өнеркәсібінің дамуы үшін стратегиялық маңызға ие болғанымен, оларды тиімді жүзеге асыру үшін институционалдық, инфрақұрыл</w:t>
      </w:r>
      <w:r>
        <w:rPr>
          <w:rFonts w:ascii="Times New Roman" w:eastAsia="Times New Roman" w:hAnsi="Times New Roman"/>
          <w:color w:val="000000"/>
          <w:sz w:val="28"/>
          <w:szCs w:val="28"/>
          <w:lang w:val="kk-KZ" w:eastAsia="zh-CN"/>
        </w:rPr>
        <w:t>ымдық және қаржылық қолдау тетіктерін күшейту қажет. Бұл бағыттағы шаралар Қазақстанның тамақ өнеркәсібін жаһандық нарықта бәсекеге қабілетті және тұрақты сала ретіне қалыптасуына ықпал етеді.</w:t>
      </w:r>
    </w:p>
    <w:p w:rsidR="005118AF" w:rsidRDefault="005118AF">
      <w:pPr>
        <w:tabs>
          <w:tab w:val="left" w:pos="800"/>
          <w:tab w:val="left" w:pos="1134"/>
          <w:tab w:val="left" w:pos="1400"/>
          <w:tab w:val="left" w:pos="1600"/>
          <w:tab w:val="left" w:pos="1800"/>
        </w:tabs>
        <w:spacing w:after="0" w:line="240" w:lineRule="auto"/>
        <w:ind w:firstLineChars="300" w:firstLine="840"/>
        <w:jc w:val="both"/>
        <w:rPr>
          <w:rFonts w:ascii="Times New Roman" w:hAnsi="Times New Roman" w:cs="Times New Roman"/>
          <w:b/>
          <w:bCs/>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300" w:firstLine="840"/>
        <w:jc w:val="both"/>
        <w:rPr>
          <w:rFonts w:ascii="Times New Roman" w:hAnsi="Times New Roman"/>
          <w:sz w:val="28"/>
          <w:szCs w:val="28"/>
          <w:lang w:val="kk-KZ" w:eastAsia="zh-CN"/>
        </w:rPr>
      </w:pPr>
      <w:r>
        <w:rPr>
          <w:rFonts w:ascii="Times New Roman" w:hAnsi="Times New Roman" w:cs="Times New Roman"/>
          <w:b/>
          <w:bCs/>
          <w:sz w:val="28"/>
          <w:szCs w:val="28"/>
          <w:lang w:val="kk-KZ" w:eastAsia="zh-CN"/>
        </w:rPr>
        <w:t>1.3</w:t>
      </w:r>
      <w:r>
        <w:rPr>
          <w:rFonts w:ascii="Times New Roman" w:hAnsi="Times New Roman" w:cs="Times New Roman"/>
          <w:b/>
          <w:bCs/>
          <w:sz w:val="28"/>
          <w:szCs w:val="28"/>
          <w:lang w:val="kk-KZ" w:eastAsia="zh-CN"/>
        </w:rPr>
        <w:tab/>
      </w:r>
      <w:r>
        <w:rPr>
          <w:rFonts w:ascii="Times New Roman" w:hAnsi="Times New Roman"/>
          <w:b/>
          <w:bCs/>
          <w:sz w:val="28"/>
          <w:szCs w:val="28"/>
          <w:lang w:val="kk-KZ" w:eastAsia="zh-CN"/>
        </w:rPr>
        <w:t>Тамақ өнеркәсібі кәсіпорындарының инновациялық дамуын басқ</w:t>
      </w:r>
      <w:r>
        <w:rPr>
          <w:rFonts w:ascii="Times New Roman" w:hAnsi="Times New Roman"/>
          <w:b/>
          <w:bCs/>
          <w:sz w:val="28"/>
          <w:szCs w:val="28"/>
          <w:lang w:val="kk-KZ" w:eastAsia="zh-CN"/>
        </w:rPr>
        <w:t>арудың шетелдік тәжірибесі</w:t>
      </w:r>
    </w:p>
    <w:p w:rsidR="005118AF" w:rsidRDefault="00EF60C3">
      <w:pPr>
        <w:tabs>
          <w:tab w:val="left" w:pos="800"/>
          <w:tab w:val="left" w:pos="1134"/>
          <w:tab w:val="left" w:pos="1400"/>
          <w:tab w:val="left" w:pos="1600"/>
          <w:tab w:val="left" w:pos="1800"/>
        </w:tabs>
        <w:spacing w:after="0" w:line="240" w:lineRule="auto"/>
        <w:ind w:firstLine="709"/>
        <w:jc w:val="both"/>
        <w:rPr>
          <w:rFonts w:ascii="Times New Roman" w:hAnsi="Times New Roman"/>
          <w:sz w:val="28"/>
          <w:szCs w:val="28"/>
          <w:lang w:val="kk-KZ" w:eastAsia="zh-CN"/>
        </w:rPr>
      </w:pPr>
      <w:r>
        <w:rPr>
          <w:rFonts w:ascii="Times New Roman" w:hAnsi="Times New Roman"/>
          <w:sz w:val="28"/>
          <w:szCs w:val="28"/>
          <w:lang w:val="kk-KZ" w:eastAsia="zh-CN"/>
        </w:rPr>
        <w:t xml:space="preserve">Тамақ өнеркәсібіндегі инновациялық дамуды басқару бәсекелестіктің артуына, тұтынушылардың қалауларының өзгеруіне, экологиялық мәселелерге және цифрлық трансформацияға жауап ретінде жаһандық басымдыққа айналды. Бүкіл әлемде елдер </w:t>
      </w:r>
      <w:r>
        <w:rPr>
          <w:rFonts w:ascii="Times New Roman" w:hAnsi="Times New Roman"/>
          <w:sz w:val="28"/>
          <w:szCs w:val="28"/>
          <w:lang w:val="kk-KZ" w:eastAsia="zh-CN"/>
        </w:rPr>
        <w:t>азық-түлік секторындағы инновацияларды ынталандыру үшін әртүрлі стратегияларды енгізді. Шетелдік тәжірибені зерделеу тамақ өнеркәсібі кәсіпорындарын жаңғырту мен инновациялау ұлттық индустриялдық және технологиялық даму мақсаттарына сәйкес стратегиялық мін</w:t>
      </w:r>
      <w:r>
        <w:rPr>
          <w:rFonts w:ascii="Times New Roman" w:hAnsi="Times New Roman"/>
          <w:sz w:val="28"/>
          <w:szCs w:val="28"/>
          <w:lang w:val="kk-KZ" w:eastAsia="zh-CN"/>
        </w:rPr>
        <w:t>дет болып табылатын отандық тамақ өнеркәсібін дамыту үшін құнды білімдер береді.</w:t>
      </w:r>
    </w:p>
    <w:p w:rsidR="005118AF" w:rsidRDefault="00EF60C3">
      <w:pPr>
        <w:tabs>
          <w:tab w:val="left" w:pos="800"/>
          <w:tab w:val="left" w:pos="1134"/>
          <w:tab w:val="left" w:pos="1400"/>
          <w:tab w:val="left" w:pos="1600"/>
          <w:tab w:val="left" w:pos="1800"/>
        </w:tabs>
        <w:spacing w:after="0" w:line="240" w:lineRule="auto"/>
        <w:ind w:firstLine="709"/>
        <w:jc w:val="both"/>
        <w:rPr>
          <w:rFonts w:ascii="Times New Roman" w:hAnsi="Times New Roman"/>
          <w:sz w:val="28"/>
          <w:szCs w:val="28"/>
          <w:lang w:val="kk-KZ" w:eastAsia="zh-CN"/>
        </w:rPr>
      </w:pPr>
      <w:r>
        <w:rPr>
          <w:rFonts w:ascii="Times New Roman" w:hAnsi="Times New Roman"/>
          <w:sz w:val="28"/>
          <w:szCs w:val="28"/>
          <w:lang w:val="kk-KZ" w:eastAsia="zh-CN"/>
        </w:rPr>
        <w:t xml:space="preserve">Бұл тарауда тамақ өнеркәсібіндегі инновацияларды басқарудың халықаралық тәжірибелері мен модельдері зерттелді, сонымен қатар олардың еліміздің ұлттық инновациялық саясаты мен </w:t>
      </w:r>
      <w:r>
        <w:rPr>
          <w:rFonts w:ascii="Times New Roman" w:hAnsi="Times New Roman"/>
          <w:sz w:val="28"/>
          <w:szCs w:val="28"/>
          <w:lang w:val="kk-KZ" w:eastAsia="zh-CN"/>
        </w:rPr>
        <w:t xml:space="preserve">кәсіпорын деңгейіндегі стратегияларға біріктірілу мүмкіндіктері сараланды. </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Жаһандық деңгейде тамақ өнеркәсібіндегі инновациялар бірнеше дүниежүзілік</w:t>
      </w:r>
      <w:r>
        <w:rPr>
          <w:rFonts w:ascii="Times New Roman" w:hAnsi="Times New Roman"/>
          <w:sz w:val="28"/>
          <w:szCs w:val="28"/>
          <w:lang w:val="kk-KZ" w:eastAsia="zh-CN"/>
        </w:rPr>
        <w:t xml:space="preserve"> </w:t>
      </w:r>
      <w:r>
        <w:rPr>
          <w:rFonts w:ascii="Times New Roman" w:hAnsi="Times New Roman"/>
          <w:sz w:val="28"/>
          <w:szCs w:val="28"/>
          <w:lang w:val="kk-KZ" w:eastAsia="zh-CN"/>
        </w:rPr>
        <w:t xml:space="preserve">трендтермен қалыптасады: </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 xml:space="preserve">1. Цифрландыру және Индустрия 4.0: ЖИ, IoT және робототехниканы өндіріс пен </w:t>
      </w:r>
      <w:r>
        <w:rPr>
          <w:rFonts w:ascii="Times New Roman" w:hAnsi="Times New Roman"/>
          <w:sz w:val="28"/>
          <w:szCs w:val="28"/>
          <w:lang w:val="kk-KZ" w:eastAsia="zh-CN"/>
        </w:rPr>
        <w:t>жеткізу тізбегінде біріктіру (Германия, Нидерланды</w:t>
      </w:r>
      <w:r>
        <w:rPr>
          <w:rFonts w:ascii="Times New Roman" w:hAnsi="Times New Roman"/>
          <w:sz w:val="28"/>
          <w:szCs w:val="28"/>
          <w:lang w:val="kk-KZ" w:eastAsia="zh-CN"/>
        </w:rPr>
        <w:t xml:space="preserve"> мысалында</w:t>
      </w:r>
      <w:r>
        <w:rPr>
          <w:rFonts w:ascii="Times New Roman" w:hAnsi="Times New Roman"/>
          <w:sz w:val="28"/>
          <w:szCs w:val="28"/>
          <w:lang w:val="kk-KZ" w:eastAsia="zh-CN"/>
        </w:rPr>
        <w:t>).</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2. Тұрақтылық және циркулярлы экономика: эко-дизайнға, тамақ қалдықтарын азайтуға және жасыл каптамаға баса назар аудару (Скандинавия, ЕО</w:t>
      </w:r>
      <w:r>
        <w:rPr>
          <w:rFonts w:ascii="Times New Roman" w:hAnsi="Times New Roman"/>
          <w:sz w:val="28"/>
          <w:szCs w:val="28"/>
          <w:lang w:val="kk-KZ" w:eastAsia="zh-CN"/>
        </w:rPr>
        <w:t xml:space="preserve"> мысалында</w:t>
      </w:r>
      <w:r>
        <w:rPr>
          <w:rFonts w:ascii="Times New Roman" w:hAnsi="Times New Roman"/>
          <w:sz w:val="28"/>
          <w:szCs w:val="28"/>
          <w:lang w:val="kk-KZ" w:eastAsia="zh-CN"/>
        </w:rPr>
        <w:t>).</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3. Денсаулық және тамақтану: функционалды т</w:t>
      </w:r>
      <w:r>
        <w:rPr>
          <w:rFonts w:ascii="Times New Roman" w:hAnsi="Times New Roman"/>
          <w:sz w:val="28"/>
          <w:szCs w:val="28"/>
          <w:lang w:val="kk-KZ" w:eastAsia="zh-CN"/>
        </w:rPr>
        <w:t>ағамдар және өсімдік негізіндегі баламалар (АҚШ, Жапония</w:t>
      </w:r>
      <w:r>
        <w:rPr>
          <w:rFonts w:ascii="Times New Roman" w:hAnsi="Times New Roman"/>
          <w:sz w:val="28"/>
          <w:szCs w:val="28"/>
          <w:lang w:val="kk-KZ" w:eastAsia="zh-CN"/>
        </w:rPr>
        <w:t xml:space="preserve"> мысалында</w:t>
      </w:r>
      <w:r>
        <w:rPr>
          <w:rFonts w:ascii="Times New Roman" w:hAnsi="Times New Roman"/>
          <w:sz w:val="28"/>
          <w:szCs w:val="28"/>
          <w:lang w:val="kk-KZ" w:eastAsia="zh-CN"/>
        </w:rPr>
        <w:t>) сияқты сұранысқа негізделген өнімдік инновациялар;</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 xml:space="preserve">4. Жеткізу шынжырын қысқару: сандық платформаларды (Италия, Канада) пайдалана отырып, аймақтандыру және тұтынушыға тікелей модельдер. </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Бұ</w:t>
      </w:r>
      <w:r>
        <w:rPr>
          <w:rFonts w:ascii="Times New Roman" w:hAnsi="Times New Roman"/>
          <w:sz w:val="28"/>
          <w:szCs w:val="28"/>
          <w:lang w:val="kk-KZ" w:eastAsia="zh-CN"/>
        </w:rPr>
        <w:t xml:space="preserve">л тенденциялар кәсіпорын деңгейінде де, ұлттық деңгейде де бейімделген инновациялық басқару жүйелерін қажет етеді. </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Тамақ өнеркәсібі саласындағы әлемдегі үздік тәжірибелердің бірқатарын зерттеу мақсатында Еуропалық Одақтың кластерлік тәсілі және үштік спир</w:t>
      </w:r>
      <w:r>
        <w:rPr>
          <w:rFonts w:ascii="Times New Roman" w:hAnsi="Times New Roman"/>
          <w:sz w:val="28"/>
          <w:szCs w:val="28"/>
          <w:lang w:val="kk-KZ" w:eastAsia="zh-CN"/>
        </w:rPr>
        <w:t>аль моделін, АҚШ-тың нарыққа негізделген және венчурға бағытталған инновациялары, Жапония мен Оңтүстік Кореяның технологиялық инновациялар мен үнемді өндіріс технологиясы, Қытайдың технологиялық секіріс пен үкімет басқаратын инновациялары, сонымен қатар, А</w:t>
      </w:r>
      <w:r>
        <w:rPr>
          <w:rFonts w:ascii="Times New Roman" w:hAnsi="Times New Roman"/>
          <w:sz w:val="28"/>
          <w:szCs w:val="28"/>
          <w:lang w:val="kk-KZ" w:eastAsia="zh-CN"/>
        </w:rPr>
        <w:t xml:space="preserve">встралия мен Канаданың тұрақтылыққа бағытталған инновациялар тәжірибелеріне талдау жасалды. </w:t>
      </w:r>
    </w:p>
    <w:p w:rsidR="005118AF" w:rsidRDefault="00EF60C3">
      <w:pPr>
        <w:tabs>
          <w:tab w:val="left" w:pos="800"/>
          <w:tab w:val="left" w:pos="1134"/>
          <w:tab w:val="left" w:pos="1400"/>
          <w:tab w:val="left" w:pos="1600"/>
          <w:tab w:val="left" w:pos="1800"/>
        </w:tabs>
        <w:spacing w:after="0" w:line="240" w:lineRule="auto"/>
        <w:ind w:firstLine="709"/>
        <w:jc w:val="both"/>
        <w:rPr>
          <w:rFonts w:ascii="Times New Roman" w:hAnsi="Times New Roman"/>
          <w:bCs/>
          <w:i/>
          <w:iCs/>
          <w:sz w:val="28"/>
          <w:szCs w:val="28"/>
          <w:lang w:val="kk-KZ" w:eastAsia="zh-CN"/>
        </w:rPr>
      </w:pPr>
      <w:r>
        <w:rPr>
          <w:rFonts w:ascii="Times New Roman" w:hAnsi="Times New Roman"/>
          <w:bCs/>
          <w:i/>
          <w:iCs/>
          <w:sz w:val="28"/>
          <w:szCs w:val="28"/>
          <w:lang w:val="kk-KZ" w:eastAsia="zh-CN"/>
        </w:rPr>
        <w:t>Еуропалық Одақтың кластерлік тәсілі, үштік спираль моделі және тұрақты ашық инновация тұжырымдамасы</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Еуропалық Одақтың тамақ</w:t>
      </w:r>
      <w:r>
        <w:rPr>
          <w:rFonts w:ascii="Times New Roman" w:hAnsi="Times New Roman"/>
          <w:sz w:val="28"/>
          <w:szCs w:val="28"/>
          <w:lang w:val="kk-KZ" w:eastAsia="zh-CN"/>
        </w:rPr>
        <w:t xml:space="preserve"> өнеркәсібі</w:t>
      </w:r>
      <w:r>
        <w:rPr>
          <w:rFonts w:ascii="Times New Roman" w:hAnsi="Times New Roman"/>
          <w:sz w:val="28"/>
          <w:szCs w:val="28"/>
          <w:lang w:val="kk-KZ" w:eastAsia="zh-CN"/>
        </w:rPr>
        <w:t xml:space="preserve"> кәсіпорындарына арналған инн</w:t>
      </w:r>
      <w:r>
        <w:rPr>
          <w:rFonts w:ascii="Times New Roman" w:hAnsi="Times New Roman"/>
          <w:sz w:val="28"/>
          <w:szCs w:val="28"/>
          <w:lang w:val="kk-KZ" w:eastAsia="zh-CN"/>
        </w:rPr>
        <w:t>овациялық саясаты кластерлерге және аймақтық инновациялық экожүйелерге баса назар аударылған. Сонымен қатар, Үкімет, академиялық орта және өнеркәсіп арасындағы ынтымақтастыққа баса назар аударатын Үштік спираль моделі инновацияларды ынталандыруда және кеде</w:t>
      </w:r>
      <w:r>
        <w:rPr>
          <w:rFonts w:ascii="Times New Roman" w:hAnsi="Times New Roman"/>
          <w:sz w:val="28"/>
          <w:szCs w:val="28"/>
          <w:lang w:val="kk-KZ" w:eastAsia="zh-CN"/>
        </w:rPr>
        <w:t>ргілерді</w:t>
      </w:r>
      <w:r>
        <w:rPr>
          <w:rFonts w:ascii="Times New Roman" w:hAnsi="Times New Roman"/>
          <w:sz w:val="28"/>
          <w:szCs w:val="28"/>
          <w:lang w:val="kk-KZ" w:eastAsia="zh-CN"/>
        </w:rPr>
        <w:t xml:space="preserve"> еңсеру</w:t>
      </w:r>
      <w:r>
        <w:rPr>
          <w:rFonts w:ascii="Times New Roman" w:hAnsi="Times New Roman"/>
          <w:sz w:val="28"/>
          <w:szCs w:val="28"/>
          <w:lang w:val="kk-KZ" w:eastAsia="zh-CN"/>
        </w:rPr>
        <w:t xml:space="preserve"> үшін еуропалық тамақ өнеркәсібінде әртүрлі тәсілдермен енгізілді.</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Мысалы, Нидерландыдағы Азық-түлік алқабы (Food Valley) азық-түлік кластерлері фирмалар, ғылыми мекемелер және мемлекеттік органдар арасындағы ынтымақтастықты жеңілдетеді. Foo</w:t>
      </w:r>
      <w:r>
        <w:rPr>
          <w:rFonts w:ascii="Times New Roman" w:hAnsi="Times New Roman"/>
          <w:sz w:val="28"/>
          <w:szCs w:val="28"/>
          <w:lang w:val="kk-KZ" w:eastAsia="zh-CN"/>
        </w:rPr>
        <w:t>d Valley - бұл Кремний алқабы сияқты халықаралық тамақ өнеркәсібі компаниялары, ғылыми зерттеу институттары, сондай-ақ Вангинген университеті мен ауыл шаруашылығы білімдерінің ғылыми-зерттеу орталығы шоғырланған  Нидерландыдағы аймақ.  Food Valley аймағы т</w:t>
      </w:r>
      <w:r>
        <w:rPr>
          <w:rFonts w:ascii="Times New Roman" w:hAnsi="Times New Roman"/>
          <w:sz w:val="28"/>
          <w:szCs w:val="28"/>
          <w:lang w:val="kk-KZ" w:eastAsia="zh-CN"/>
        </w:rPr>
        <w:t>амақ өнімдері мен технологиялық дамытумен байланысты ғылыммен тұрақты түрде айналысатын 15 мыңнан астам мамандардан құралған тамақ өнеркәсібі бойынша трансұлттық корпорациялардың көптеген санының штаб-пәтері саналады. Food Valley азық-түлік өнімдерін өндір</w:t>
      </w:r>
      <w:r>
        <w:rPr>
          <w:rFonts w:ascii="Times New Roman" w:hAnsi="Times New Roman"/>
          <w:sz w:val="28"/>
          <w:szCs w:val="28"/>
          <w:lang w:val="kk-KZ" w:eastAsia="zh-CN"/>
        </w:rPr>
        <w:t xml:space="preserve">ушілер мен зерттеу ұйымдары жаңа және инновациялық азық-түлік тұжырымдамаларын әзірлеу үшін бірлесіп жұмыс істей алатын орта құруды мақсат етеді [64]. </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Нидерланды тәжірибесі бойынша тағы да жақсы мысал ретінде ауыл шаруашылығын дәстүрлі әдістерден технолог</w:t>
      </w:r>
      <w:r>
        <w:rPr>
          <w:rFonts w:ascii="Times New Roman" w:hAnsi="Times New Roman"/>
          <w:sz w:val="28"/>
          <w:szCs w:val="28"/>
          <w:lang w:val="kk-KZ" w:eastAsia="zh-CN"/>
        </w:rPr>
        <w:t xml:space="preserve">ияға негізделген индустрияға айналдыру үшін көптеген компаниялармен негізгі білім серіктесі ретінде әрекет ететін Вагенинген университеті және зерттеу орталығын (WUR) атап көрсетуге болады. </w:t>
      </w:r>
      <w:r>
        <w:rPr>
          <w:rFonts w:ascii="Times New Roman" w:eastAsia="Times New Roman" w:hAnsi="Times New Roman" w:cs="Times New Roman"/>
          <w:color w:val="000000"/>
          <w:sz w:val="28"/>
          <w:szCs w:val="28"/>
          <w:lang w:val="kk-KZ" w:eastAsia="zh-CN"/>
        </w:rPr>
        <w:t>Вагенинген университеті және зерттеулер орталығы әлемдегі ең үздік</w:t>
      </w:r>
      <w:r>
        <w:rPr>
          <w:rFonts w:ascii="Times New Roman" w:eastAsia="Times New Roman" w:hAnsi="Times New Roman" w:cs="Times New Roman"/>
          <w:color w:val="000000"/>
          <w:sz w:val="28"/>
          <w:szCs w:val="28"/>
          <w:lang w:val="kk-KZ" w:eastAsia="zh-CN"/>
        </w:rPr>
        <w:t xml:space="preserve"> ауылшаруашылық ғылыми-зерттеу мекемесі және азық-түлік алқабының орталығы (Кремний алқабының голландиялық агротехнологиялық нұсқасы), агротехнологиялық стартаптар мен тәжірибелік фермалардың кең кластері ретінде кеңінен қарастырылады.Unilever сияқты жетек</w:t>
      </w:r>
      <w:r>
        <w:rPr>
          <w:rFonts w:ascii="Times New Roman" w:eastAsia="Times New Roman" w:hAnsi="Times New Roman" w:cs="Times New Roman"/>
          <w:color w:val="000000"/>
          <w:sz w:val="28"/>
          <w:szCs w:val="28"/>
          <w:lang w:val="kk-KZ" w:eastAsia="zh-CN"/>
        </w:rPr>
        <w:t>ші азық-түлік компаниялары жапондық Kubota сияқты агротех инноваторларымен бірге Вегенинген зерттеу институттар желісімен ҒЗТКЖ бойынша бірлесіп жұмыс істейді. Тағы да бір бастама қатарында, агро-азық-түлік зертханасына арналған ЖИ, төрт голландиялық техно</w:t>
      </w:r>
      <w:r>
        <w:rPr>
          <w:rFonts w:ascii="Times New Roman" w:eastAsia="Times New Roman" w:hAnsi="Times New Roman" w:cs="Times New Roman"/>
          <w:color w:val="000000"/>
          <w:sz w:val="28"/>
          <w:szCs w:val="28"/>
          <w:lang w:val="kk-KZ" w:eastAsia="zh-CN"/>
        </w:rPr>
        <w:t xml:space="preserve">логия университетті мен OnePlanet зерттеу орталығы арасындағы серіктестік. OnePlanet - бұл WUR, Radboud UMC және IMEC нанотехнологиялық компанияларының технологияға негізделген азық-түлік шешімдерін әзірлеу жөніндегі ынтымақтастығы [65].  </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Жалпы, Нидерланд</w:t>
      </w:r>
      <w:r>
        <w:rPr>
          <w:rFonts w:ascii="Times New Roman" w:eastAsia="Times New Roman" w:hAnsi="Times New Roman" w:cs="Times New Roman"/>
          <w:color w:val="000000"/>
          <w:sz w:val="28"/>
          <w:szCs w:val="28"/>
          <w:lang w:val="kk-KZ" w:eastAsia="zh-CN"/>
        </w:rPr>
        <w:t xml:space="preserve">ы шағын мемлекет болғанымен, ауыл шаруашылығы және азық-түлік өндірісіне қатысты әлемде ірі инновациялық ойыншы болып табылады. </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Қазақстан территория аумағы бойынша Нидерландыдан 65 есе үлкен, бірақ халық саны шамамен бірдей. Нидерланды кішкентай мемлекет </w:t>
      </w:r>
      <w:r>
        <w:rPr>
          <w:rFonts w:ascii="Times New Roman" w:eastAsia="Times New Roman" w:hAnsi="Times New Roman" w:cs="Times New Roman"/>
          <w:color w:val="000000"/>
          <w:sz w:val="28"/>
          <w:szCs w:val="28"/>
          <w:lang w:val="kk-KZ" w:eastAsia="zh-CN"/>
        </w:rPr>
        <w:t>болғанына қарамастан дүние жүзіндегі азық-түлік экспорты бойынша АҚШ-тан кейін (құрылық көлемі бойынша 270 есе үлкен) екінші орында көш бастап тұр. Ел жерінің жартысынан астамы ауыл шаруашылығы мен бау-бақша шаруашылығында пайдаланылады. Елде 5300-ден аста</w:t>
      </w:r>
      <w:r>
        <w:rPr>
          <w:rFonts w:ascii="Times New Roman" w:eastAsia="Times New Roman" w:hAnsi="Times New Roman" w:cs="Times New Roman"/>
          <w:color w:val="000000"/>
          <w:sz w:val="28"/>
          <w:szCs w:val="28"/>
          <w:lang w:val="kk-KZ" w:eastAsia="zh-CN"/>
        </w:rPr>
        <w:t xml:space="preserve">м ауыл шаруашылығы/азық-түлік компаниялары, сондай-ақ осы саладағы әлемдегі ең ірі өндіріс және ҒЗТКЖ алаңдары бар [65]. </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Бұл секторда азық-түлік инновациялары бойынша әлемдік деңгейдегі ғылыми-зерттеу институттары, медициналық университеттер және ғылым, ө</w:t>
      </w:r>
      <w:r>
        <w:rPr>
          <w:rFonts w:ascii="Times New Roman" w:eastAsia="Times New Roman" w:hAnsi="Times New Roman" w:cs="Times New Roman"/>
          <w:color w:val="000000"/>
          <w:sz w:val="28"/>
          <w:szCs w:val="28"/>
          <w:lang w:val="kk-KZ" w:eastAsia="zh-CN"/>
        </w:rPr>
        <w:t>неркәсіп және үкімет арасындағы көптеген мемлекеттік-жекеменшік әріптестіктер бар (8-сурет).</w:t>
      </w: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668480" behindDoc="0" locked="0" layoutInCell="1" allowOverlap="1">
                <wp:simplePos x="0" y="0"/>
                <wp:positionH relativeFrom="column">
                  <wp:posOffset>-73660</wp:posOffset>
                </wp:positionH>
                <wp:positionV relativeFrom="paragraph">
                  <wp:posOffset>106045</wp:posOffset>
                </wp:positionV>
                <wp:extent cx="6021705" cy="4704715"/>
                <wp:effectExtent l="0" t="0" r="17780" b="19685"/>
                <wp:wrapNone/>
                <wp:docPr id="1823708009" name="Группа 1823708009"/>
                <wp:cNvGraphicFramePr/>
                <a:graphic xmlns:a="http://schemas.openxmlformats.org/drawingml/2006/main">
                  <a:graphicData uri="http://schemas.microsoft.com/office/word/2010/wordprocessingGroup">
                    <wpg:wgp>
                      <wpg:cNvGrpSpPr/>
                      <wpg:grpSpPr>
                        <a:xfrm>
                          <a:off x="0" y="0"/>
                          <a:ext cx="6021648" cy="4704773"/>
                          <a:chOff x="0" y="0"/>
                          <a:chExt cx="6021648" cy="4704773"/>
                        </a:xfrm>
                      </wpg:grpSpPr>
                      <wps:wsp>
                        <wps:cNvPr id="1120653917" name="Oval 215"/>
                        <wps:cNvSpPr>
                          <a:spLocks noChangeArrowheads="1"/>
                        </wps:cNvSpPr>
                        <wps:spPr bwMode="auto">
                          <a:xfrm>
                            <a:off x="1720735" y="1230283"/>
                            <a:ext cx="2692400" cy="215265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sz w:val="20"/>
                                  <w:szCs w:val="20"/>
                                  <w:lang w:val="en-US" w:eastAsia="zh-CN"/>
                                </w:rPr>
                              </w:pPr>
                              <w:r>
                                <w:rPr>
                                  <w:noProof/>
                                  <w:sz w:val="20"/>
                                  <w:szCs w:val="20"/>
                                </w:rPr>
                                <w:drawing>
                                  <wp:inline distT="0" distB="0" distL="0" distR="0">
                                    <wp:extent cx="1231265" cy="1450975"/>
                                    <wp:effectExtent l="0" t="0" r="635" b="9525"/>
                                    <wp:docPr id="27" name="Рисунок 27"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Изображение выглядит как карта&#10;&#10;Автоматически созданное описание"/>
                                            <pic:cNvPicPr>
                                              <a:picLocks noChangeAspect="1"/>
                                            </pic:cNvPicPr>
                                          </pic:nvPicPr>
                                          <pic:blipFill>
                                            <a:blip r:embed="rId10"/>
                                            <a:stretch>
                                              <a:fillRect/>
                                            </a:stretch>
                                          </pic:blipFill>
                                          <pic:spPr>
                                            <a:xfrm>
                                              <a:off x="0" y="0"/>
                                              <a:ext cx="1231265" cy="1450975"/>
                                            </a:xfrm>
                                            <a:prstGeom prst="rect">
                                              <a:avLst/>
                                            </a:prstGeom>
                                          </pic:spPr>
                                        </pic:pic>
                                      </a:graphicData>
                                    </a:graphic>
                                  </wp:inline>
                                </w:drawing>
                              </w:r>
                            </w:p>
                          </w:txbxContent>
                        </wps:txbx>
                        <wps:bodyPr rot="0" vert="horz" wrap="square" lIns="91440" tIns="45720" rIns="91440" bIns="45720" anchor="t" anchorCtr="0" upright="1">
                          <a:noAutofit/>
                        </wps:bodyPr>
                      </wps:wsp>
                      <wps:wsp>
                        <wps:cNvPr id="887788336" name="Oval 216"/>
                        <wps:cNvSpPr>
                          <a:spLocks noChangeArrowheads="1"/>
                        </wps:cNvSpPr>
                        <wps:spPr bwMode="auto">
                          <a:xfrm>
                            <a:off x="2934393" y="0"/>
                            <a:ext cx="2006600" cy="158750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Әлемдегі</w:t>
                              </w:r>
                              <w:r>
                                <w:rPr>
                                  <w:rFonts w:ascii="Times New Roman" w:hAnsi="Times New Roman" w:cs="Times New Roman"/>
                                  <w:sz w:val="20"/>
                                  <w:szCs w:val="20"/>
                                  <w:lang w:val="kk-KZ" w:eastAsia="zh-CN"/>
                                </w:rPr>
                                <w:t xml:space="preserve"> ең үздік </w:t>
                              </w:r>
                              <w:r>
                                <w:rPr>
                                  <w:rFonts w:ascii="Times New Roman" w:hAnsi="Times New Roman" w:cs="Times New Roman"/>
                                  <w:sz w:val="20"/>
                                  <w:szCs w:val="20"/>
                                  <w:lang w:val="en-US" w:eastAsia="zh-CN"/>
                                </w:rPr>
                                <w:t xml:space="preserve">3 </w:t>
                              </w:r>
                              <w:r>
                                <w:rPr>
                                  <w:rFonts w:ascii="Times New Roman" w:hAnsi="Times New Roman" w:cs="Times New Roman"/>
                                  <w:sz w:val="20"/>
                                  <w:szCs w:val="20"/>
                                  <w:lang w:val="kk-KZ" w:eastAsia="zh-CN"/>
                                </w:rPr>
                                <w:t>Агро азық</w:t>
                              </w:r>
                              <w:r>
                                <w:rPr>
                                  <w:rFonts w:ascii="Times New Roman" w:hAnsi="Times New Roman" w:cs="Times New Roman"/>
                                  <w:sz w:val="20"/>
                                  <w:szCs w:val="20"/>
                                  <w:lang w:val="en-US" w:eastAsia="zh-CN"/>
                                </w:rPr>
                                <w:t>-</w:t>
                              </w:r>
                              <w:r>
                                <w:rPr>
                                  <w:rFonts w:ascii="Times New Roman" w:hAnsi="Times New Roman" w:cs="Times New Roman"/>
                                  <w:sz w:val="20"/>
                                  <w:szCs w:val="20"/>
                                  <w:lang w:val="kk-KZ" w:eastAsia="zh-CN"/>
                                </w:rPr>
                                <w:t>түлік университеттерінің</w:t>
                              </w:r>
                              <w:r>
                                <w:rPr>
                                  <w:rFonts w:ascii="Times New Roman" w:hAnsi="Times New Roman" w:cs="Times New Roman"/>
                                  <w:sz w:val="20"/>
                                  <w:szCs w:val="20"/>
                                  <w:lang w:val="en-US" w:eastAsia="zh-CN"/>
                                </w:rPr>
                                <w:t>1</w:t>
                              </w:r>
                              <w:r>
                                <w:rPr>
                                  <w:rFonts w:ascii="Times New Roman" w:hAnsi="Times New Roman" w:cs="Times New Roman"/>
                                  <w:sz w:val="20"/>
                                  <w:szCs w:val="20"/>
                                  <w:lang w:val="kk-KZ" w:eastAsia="zh-CN"/>
                                </w:rPr>
                                <w:t>-уі</w:t>
                              </w:r>
                            </w:p>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bCs/>
                                  <w:i/>
                                  <w:iCs/>
                                  <w:sz w:val="20"/>
                                  <w:szCs w:val="20"/>
                                  <w:lang w:val="en-US" w:eastAsia="zh-CN"/>
                                </w:rPr>
                                <w:t>Wageningen University and Research center</w:t>
                              </w:r>
                            </w:p>
                          </w:txbxContent>
                        </wps:txbx>
                        <wps:bodyPr rot="0" vert="horz" wrap="square" lIns="91440" tIns="45720" rIns="91440" bIns="45720" anchor="t" anchorCtr="0" upright="1">
                          <a:noAutofit/>
                        </wps:bodyPr>
                      </wps:wsp>
                      <wps:wsp>
                        <wps:cNvPr id="839962216" name="Oval 217"/>
                        <wps:cNvSpPr>
                          <a:spLocks noChangeArrowheads="1"/>
                        </wps:cNvSpPr>
                        <wps:spPr bwMode="auto">
                          <a:xfrm>
                            <a:off x="839586" y="33251"/>
                            <a:ext cx="2006600" cy="160020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 xml:space="preserve">Агро азық-түлік саласындағы өнімдер мен үдерістер үшін қолданбалы зерттеулер </w:t>
                              </w:r>
                            </w:p>
                            <w:p w:rsidR="005118AF" w:rsidRDefault="00EF60C3">
                              <w:pPr>
                                <w:spacing w:after="0" w:line="240" w:lineRule="auto"/>
                                <w:jc w:val="center"/>
                                <w:rPr>
                                  <w:rFonts w:ascii="Times New Roman" w:hAnsi="Times New Roman" w:cs="Times New Roman"/>
                                  <w:bCs/>
                                  <w:i/>
                                  <w:iCs/>
                                  <w:sz w:val="20"/>
                                  <w:szCs w:val="20"/>
                                  <w:lang w:val="kk-KZ" w:eastAsia="zh-CN"/>
                                </w:rPr>
                              </w:pPr>
                              <w:r>
                                <w:rPr>
                                  <w:rFonts w:ascii="Times New Roman" w:hAnsi="Times New Roman" w:cs="Times New Roman"/>
                                  <w:bCs/>
                                  <w:i/>
                                  <w:iCs/>
                                  <w:sz w:val="20"/>
                                  <w:szCs w:val="20"/>
                                  <w:lang w:val="en-US" w:eastAsia="zh-CN"/>
                                </w:rPr>
                                <w:t>NIZO Food Research</w:t>
                              </w:r>
                              <w:r>
                                <w:rPr>
                                  <w:rFonts w:ascii="Times New Roman" w:hAnsi="Times New Roman" w:cs="Times New Roman"/>
                                  <w:bCs/>
                                  <w:i/>
                                  <w:iCs/>
                                  <w:sz w:val="20"/>
                                  <w:szCs w:val="20"/>
                                  <w:lang w:val="kk-KZ" w:eastAsia="zh-CN"/>
                                </w:rPr>
                                <w:t xml:space="preserve"> </w:t>
                              </w:r>
                            </w:p>
                            <w:p w:rsidR="005118AF" w:rsidRDefault="005118AF">
                              <w:pPr>
                                <w:spacing w:after="0" w:line="240" w:lineRule="auto"/>
                                <w:jc w:val="center"/>
                                <w:rPr>
                                  <w:rFonts w:ascii="Times New Roman" w:hAnsi="Times New Roman" w:cs="Times New Roman"/>
                                  <w:sz w:val="20"/>
                                  <w:szCs w:val="20"/>
                                  <w:lang w:val="kk-KZ" w:eastAsia="zh-CN"/>
                                </w:rPr>
                              </w:pPr>
                            </w:p>
                          </w:txbxContent>
                        </wps:txbx>
                        <wps:bodyPr rot="0" vert="horz" wrap="square" lIns="91440" tIns="45720" rIns="91440" bIns="45720" anchor="t" anchorCtr="0" upright="1">
                          <a:noAutofit/>
                        </wps:bodyPr>
                      </wps:wsp>
                      <wps:wsp>
                        <wps:cNvPr id="923073441" name="Oval 218"/>
                        <wps:cNvSpPr>
                          <a:spLocks noChangeArrowheads="1"/>
                        </wps:cNvSpPr>
                        <wps:spPr bwMode="auto">
                          <a:xfrm>
                            <a:off x="4015048" y="1463040"/>
                            <a:ext cx="2006600" cy="158750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Агро азық-түлікпен байланысты тақырыптағы</w:t>
                              </w:r>
                            </w:p>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 xml:space="preserve">Еуропадағы </w:t>
                              </w:r>
                              <w:r>
                                <w:rPr>
                                  <w:rFonts w:ascii="Times New Roman" w:hAnsi="Times New Roman" w:cs="Times New Roman"/>
                                  <w:bCs/>
                                  <w:i/>
                                  <w:iCs/>
                                  <w:sz w:val="20"/>
                                  <w:szCs w:val="20"/>
                                  <w:lang w:val="kk-KZ" w:eastAsia="zh-CN"/>
                                </w:rPr>
                                <w:t>ҮЗДІК</w:t>
                              </w:r>
                              <w:r>
                                <w:rPr>
                                  <w:rFonts w:ascii="Times New Roman" w:hAnsi="Times New Roman" w:cs="Times New Roman"/>
                                  <w:bCs/>
                                  <w:i/>
                                  <w:iCs/>
                                  <w:sz w:val="20"/>
                                  <w:szCs w:val="20"/>
                                  <w:lang w:val="kk-KZ" w:eastAsia="zh-CN"/>
                                </w:rPr>
                                <w:t xml:space="preserve"> ОН</w:t>
                              </w:r>
                              <w:r>
                                <w:rPr>
                                  <w:rFonts w:ascii="Times New Roman" w:hAnsi="Times New Roman" w:cs="Times New Roman"/>
                                  <w:sz w:val="20"/>
                                  <w:szCs w:val="20"/>
                                  <w:lang w:val="kk-KZ" w:eastAsia="zh-CN"/>
                                </w:rPr>
                                <w:t xml:space="preserve">  жарияланымдар</w:t>
                              </w:r>
                            </w:p>
                          </w:txbxContent>
                        </wps:txbx>
                        <wps:bodyPr rot="0" vert="horz" wrap="square" lIns="91440" tIns="45720" rIns="91440" bIns="45720" anchor="t" anchorCtr="0" upright="1">
                          <a:noAutofit/>
                        </wps:bodyPr>
                      </wps:wsp>
                      <wps:wsp>
                        <wps:cNvPr id="1644214528" name="Oval 219"/>
                        <wps:cNvSpPr>
                          <a:spLocks noChangeArrowheads="1"/>
                        </wps:cNvSpPr>
                        <wps:spPr bwMode="auto">
                          <a:xfrm>
                            <a:off x="0" y="1662545"/>
                            <a:ext cx="2006600" cy="158750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Ең негізгі агро азық-түлік компаниялары, Зерттеу иституттары және Ғылыми ком</w:t>
                              </w:r>
                              <w:r>
                                <w:rPr>
                                  <w:rFonts w:ascii="Times New Roman" w:hAnsi="Times New Roman" w:cs="Times New Roman"/>
                                  <w:sz w:val="20"/>
                                  <w:szCs w:val="20"/>
                                  <w:lang w:val="kk-KZ" w:eastAsia="zh-CN"/>
                                </w:rPr>
                                <w:t>паниялар</w:t>
                              </w:r>
                            </w:p>
                            <w:p w:rsidR="005118AF" w:rsidRDefault="00EF60C3">
                              <w:pPr>
                                <w:spacing w:after="0" w:line="240" w:lineRule="auto"/>
                                <w:jc w:val="center"/>
                                <w:rPr>
                                  <w:rFonts w:ascii="Times New Roman" w:hAnsi="Times New Roman" w:cs="Times New Roman"/>
                                  <w:sz w:val="20"/>
                                  <w:szCs w:val="20"/>
                                  <w:lang w:val="en-US" w:eastAsia="zh-CN"/>
                                </w:rPr>
                              </w:pPr>
                              <w:r>
                                <w:rPr>
                                  <w:rFonts w:ascii="Times New Roman" w:hAnsi="Times New Roman" w:cs="Times New Roman"/>
                                  <w:bCs/>
                                  <w:i/>
                                  <w:iCs/>
                                  <w:sz w:val="20"/>
                                  <w:szCs w:val="20"/>
                                  <w:lang w:val="en-US" w:eastAsia="zh-CN"/>
                                </w:rPr>
                                <w:t>Food Valley NL</w:t>
                              </w:r>
                            </w:p>
                          </w:txbxContent>
                        </wps:txbx>
                        <wps:bodyPr rot="0" vert="horz" wrap="square" lIns="91440" tIns="45720" rIns="91440" bIns="45720" anchor="t" anchorCtr="0" upright="1">
                          <a:noAutofit/>
                        </wps:bodyPr>
                      </wps:wsp>
                      <wps:wsp>
                        <wps:cNvPr id="1406092181" name="Oval 220"/>
                        <wps:cNvSpPr>
                          <a:spLocks noChangeArrowheads="1"/>
                        </wps:cNvSpPr>
                        <wps:spPr bwMode="auto">
                          <a:xfrm>
                            <a:off x="1288473" y="3117273"/>
                            <a:ext cx="2006600" cy="158750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en-US" w:eastAsia="zh-CN"/>
                                </w:rPr>
                                <w:t>223</w:t>
                              </w:r>
                              <w:r>
                                <w:rPr>
                                  <w:rFonts w:ascii="Times New Roman" w:hAnsi="Times New Roman" w:cs="Times New Roman"/>
                                  <w:sz w:val="20"/>
                                  <w:szCs w:val="20"/>
                                  <w:lang w:val="kk-KZ" w:eastAsia="zh-CN"/>
                                </w:rPr>
                                <w:t xml:space="preserve"> азық-түлік және тамақтану жобаларында</w:t>
                              </w:r>
                              <w:r>
                                <w:rPr>
                                  <w:rFonts w:ascii="Times New Roman" w:hAnsi="Times New Roman" w:cs="Times New Roman"/>
                                  <w:sz w:val="20"/>
                                  <w:szCs w:val="20"/>
                                  <w:lang w:val="en-US" w:eastAsia="zh-CN"/>
                                </w:rPr>
                                <w:t xml:space="preserve"> </w:t>
                              </w:r>
                              <w:r>
                                <w:rPr>
                                  <w:rFonts w:ascii="Times New Roman" w:hAnsi="Times New Roman" w:cs="Times New Roman"/>
                                  <w:sz w:val="20"/>
                                  <w:szCs w:val="20"/>
                                  <w:lang w:val="kk-KZ" w:eastAsia="zh-CN"/>
                                </w:rPr>
                                <w:t>әр</w:t>
                              </w:r>
                              <w:r>
                                <w:rPr>
                                  <w:rFonts w:ascii="Times New Roman" w:hAnsi="Times New Roman" w:cs="Times New Roman"/>
                                  <w:sz w:val="20"/>
                                  <w:szCs w:val="20"/>
                                  <w:lang w:val="kk-KZ" w:eastAsia="zh-CN"/>
                                </w:rPr>
                                <w:t xml:space="preserve"> салалардан </w:t>
                              </w:r>
                              <w:r>
                                <w:rPr>
                                  <w:rFonts w:ascii="Times New Roman" w:hAnsi="Times New Roman" w:cs="Times New Roman"/>
                                  <w:sz w:val="20"/>
                                  <w:szCs w:val="20"/>
                                  <w:lang w:val="en-US" w:eastAsia="zh-CN"/>
                                </w:rPr>
                                <w:t>383</w:t>
                              </w:r>
                              <w:r>
                                <w:rPr>
                                  <w:rFonts w:ascii="Times New Roman" w:hAnsi="Times New Roman" w:cs="Times New Roman"/>
                                  <w:sz w:val="20"/>
                                  <w:szCs w:val="20"/>
                                  <w:lang w:val="kk-KZ" w:eastAsia="zh-CN"/>
                                </w:rPr>
                                <w:t xml:space="preserve"> бизнес</w:t>
                              </w:r>
                            </w:p>
                            <w:p w:rsidR="005118AF" w:rsidRDefault="00EF60C3">
                              <w:pPr>
                                <w:spacing w:after="0" w:line="240" w:lineRule="auto"/>
                                <w:jc w:val="center"/>
                                <w:rPr>
                                  <w:rFonts w:ascii="Times New Roman" w:hAnsi="Times New Roman" w:cs="Times New Roman"/>
                                  <w:sz w:val="20"/>
                                  <w:szCs w:val="20"/>
                                  <w:lang w:val="en-US" w:eastAsia="zh-CN"/>
                                </w:rPr>
                              </w:pPr>
                              <w:r>
                                <w:rPr>
                                  <w:rFonts w:ascii="Times New Roman" w:hAnsi="Times New Roman" w:cs="Times New Roman"/>
                                  <w:bCs/>
                                  <w:i/>
                                  <w:iCs/>
                                  <w:sz w:val="20"/>
                                  <w:szCs w:val="20"/>
                                  <w:lang w:val="en-US" w:eastAsia="zh-CN"/>
                                </w:rPr>
                                <w:t>Food Nutrition Delta (FND)</w:t>
                              </w:r>
                            </w:p>
                          </w:txbxContent>
                        </wps:txbx>
                        <wps:bodyPr rot="0" vert="horz" wrap="square" lIns="91440" tIns="45720" rIns="91440" bIns="45720" anchor="t" anchorCtr="0" upright="1">
                          <a:noAutofit/>
                        </wps:bodyPr>
                      </wps:wsp>
                      <wps:wsp>
                        <wps:cNvPr id="1086246442" name="Oval 221"/>
                        <wps:cNvSpPr>
                          <a:spLocks noChangeArrowheads="1"/>
                        </wps:cNvSpPr>
                        <wps:spPr bwMode="auto">
                          <a:xfrm>
                            <a:off x="3325091" y="2959331"/>
                            <a:ext cx="2006600" cy="1587500"/>
                          </a:xfrm>
                          <a:prstGeom prst="ellipse">
                            <a:avLst/>
                          </a:prstGeom>
                          <a:solidFill>
                            <a:srgbClr val="FFFFFF"/>
                          </a:solidFill>
                          <a:ln w="9525">
                            <a:solidFill>
                              <a:srgbClr val="000000"/>
                            </a:solidFill>
                            <a:round/>
                          </a:ln>
                        </wps:spPr>
                        <wps:txb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Мемлекет, Академиялық орта және Жеке сектор ойыншыларын біріктіреді</w:t>
                              </w:r>
                            </w:p>
                            <w:p w:rsidR="005118AF" w:rsidRDefault="00EF60C3">
                              <w:pPr>
                                <w:spacing w:after="0" w:line="240" w:lineRule="auto"/>
                                <w:jc w:val="center"/>
                                <w:rPr>
                                  <w:rFonts w:ascii="Times New Roman" w:hAnsi="Times New Roman" w:cs="Times New Roman"/>
                                  <w:sz w:val="20"/>
                                  <w:szCs w:val="20"/>
                                  <w:lang w:val="en-US" w:eastAsia="zh-CN"/>
                                </w:rPr>
                              </w:pPr>
                              <w:r>
                                <w:rPr>
                                  <w:rFonts w:ascii="Times New Roman" w:hAnsi="Times New Roman" w:cs="Times New Roman"/>
                                  <w:bCs/>
                                  <w:i/>
                                  <w:iCs/>
                                  <w:sz w:val="20"/>
                                  <w:szCs w:val="20"/>
                                  <w:lang w:val="en-US" w:eastAsia="zh-CN"/>
                                </w:rPr>
                                <w:t>Top Institute Food and Nutrition (TIFN)</w:t>
                              </w:r>
                            </w:p>
                          </w:txbxContent>
                        </wps:txbx>
                        <wps:bodyPr rot="0" vert="horz" wrap="square" lIns="91440" tIns="45720" rIns="91440" bIns="45720" anchor="t" anchorCtr="0" upright="1">
                          <a:noAutofit/>
                        </wps:bodyPr>
                      </wps:wsp>
                    </wpg:wgp>
                  </a:graphicData>
                </a:graphic>
              </wp:anchor>
            </w:drawing>
          </mc:Choice>
          <mc:Fallback>
            <w:pict>
              <v:group id="Группа 1823708009" o:spid="_x0000_s1130" style="position:absolute;left:0;text-align:left;margin-left:-5.8pt;margin-top:8.35pt;width:474.15pt;height:370.45pt;z-index:251668480" coordsize="60216,47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">
                <v:oval id="Oval 215" o:spid="_x0000_s1131" style="position:absolute;left:17207;top:12302;width:26924;height:21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GAVMcA&#10;AADjAAAADwAAAGRycy9kb3ducmV2LnhtbERPzUrDQBC+C77DMoI3u0lDoo3dlmIR6sFDo70P2WkS&#10;mp0N2TGNb+8Kgsf5/me9nV2vJhpD59lAukhAEdfedtwY+Px4fXgCFQTZYu+ZDHxTgO3m9maNpfVX&#10;PtJUSaNiCIcSDbQiQ6l1qFtyGBZ+II7c2Y8OJZ5jo+2I1xjuer1MkkI77Dg2tDjQS0v1pfpyBvbN&#10;riomnUmenfcHyS+n97csNeb+bt49gxKa5V/85z7YOD9dJkWerdJH+P0pAq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BgFTHAAAA4wAAAA8AAAAAAAAAAAAAAAAAmAIAAGRy&#10;cy9kb3ducmV2LnhtbFBLBQYAAAAABAAEAPUAAACMAwAAAAA=&#10;">
                  <v:textbox>
                    <w:txbxContent>
                      <w:p w:rsidR="005118AF" w:rsidRDefault="00EF60C3">
                        <w:pPr>
                          <w:spacing w:after="0" w:line="240" w:lineRule="auto"/>
                          <w:jc w:val="center"/>
                          <w:rPr>
                            <w:sz w:val="20"/>
                            <w:szCs w:val="20"/>
                            <w:lang w:val="en-US" w:eastAsia="zh-CN"/>
                          </w:rPr>
                        </w:pPr>
                        <w:r>
                          <w:rPr>
                            <w:noProof/>
                            <w:sz w:val="20"/>
                            <w:szCs w:val="20"/>
                          </w:rPr>
                          <w:drawing>
                            <wp:inline distT="0" distB="0" distL="0" distR="0">
                              <wp:extent cx="1231265" cy="1450975"/>
                              <wp:effectExtent l="0" t="0" r="635" b="9525"/>
                              <wp:docPr id="27" name="Рисунок 27"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Изображение выглядит как карта&#10;&#10;Автоматически созданное описание"/>
                                      <pic:cNvPicPr>
                                        <a:picLocks noChangeAspect="1"/>
                                      </pic:cNvPicPr>
                                    </pic:nvPicPr>
                                    <pic:blipFill>
                                      <a:blip r:embed="rId10"/>
                                      <a:stretch>
                                        <a:fillRect/>
                                      </a:stretch>
                                    </pic:blipFill>
                                    <pic:spPr>
                                      <a:xfrm>
                                        <a:off x="0" y="0"/>
                                        <a:ext cx="1231265" cy="1450975"/>
                                      </a:xfrm>
                                      <a:prstGeom prst="rect">
                                        <a:avLst/>
                                      </a:prstGeom>
                                    </pic:spPr>
                                  </pic:pic>
                                </a:graphicData>
                              </a:graphic>
                            </wp:inline>
                          </w:drawing>
                        </w:r>
                      </w:p>
                    </w:txbxContent>
                  </v:textbox>
                </v:oval>
                <v:oval id="Oval 216" o:spid="_x0000_s1132" style="position:absolute;left:29343;width:20066;height:15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dNMkA&#10;AADiAAAADwAAAGRycy9kb3ducmV2LnhtbESPwWrDMBBE74X+g9hCbo2cijjCjRJCQyA99FAnuS/W&#10;xjaxVsZSHffvq0Khx2Fm3jDr7eQ6MdIQWs8GFvMMBHHlbcu1gfPp8KxBhIhssfNMBr4pwHbz+LDG&#10;wvo7f9JYxlokCIcCDTQx9oWUoWrIYZj7njh5Vz84jEkOtbQD3hPcdfIly3LpsOW00GBPbw1Vt/LL&#10;GdjXuzIfpYpLdd0f4/J2+XhXC2NmT9PuFUSkKf6H/9pHa0Dr1UprpXL4vZTu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MAdNMkAAADiAAAADwAAAAAAAAAAAAAAAACYAgAA&#10;ZHJzL2Rvd25yZXYueG1sUEsFBgAAAAAEAAQA9QAAAI4DAAAAAA==&#10;">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Әлемдегі</w:t>
                        </w:r>
                        <w:r>
                          <w:rPr>
                            <w:rFonts w:ascii="Times New Roman" w:hAnsi="Times New Roman" w:cs="Times New Roman"/>
                            <w:sz w:val="20"/>
                            <w:szCs w:val="20"/>
                            <w:lang w:val="kk-KZ" w:eastAsia="zh-CN"/>
                          </w:rPr>
                          <w:t xml:space="preserve"> ең үздік </w:t>
                        </w:r>
                        <w:r>
                          <w:rPr>
                            <w:rFonts w:ascii="Times New Roman" w:hAnsi="Times New Roman" w:cs="Times New Roman"/>
                            <w:sz w:val="20"/>
                            <w:szCs w:val="20"/>
                            <w:lang w:val="en-US" w:eastAsia="zh-CN"/>
                          </w:rPr>
                          <w:t xml:space="preserve">3 </w:t>
                        </w:r>
                        <w:r>
                          <w:rPr>
                            <w:rFonts w:ascii="Times New Roman" w:hAnsi="Times New Roman" w:cs="Times New Roman"/>
                            <w:sz w:val="20"/>
                            <w:szCs w:val="20"/>
                            <w:lang w:val="kk-KZ" w:eastAsia="zh-CN"/>
                          </w:rPr>
                          <w:t>Агро азық</w:t>
                        </w:r>
                        <w:r>
                          <w:rPr>
                            <w:rFonts w:ascii="Times New Roman" w:hAnsi="Times New Roman" w:cs="Times New Roman"/>
                            <w:sz w:val="20"/>
                            <w:szCs w:val="20"/>
                            <w:lang w:val="en-US" w:eastAsia="zh-CN"/>
                          </w:rPr>
                          <w:t>-</w:t>
                        </w:r>
                        <w:r>
                          <w:rPr>
                            <w:rFonts w:ascii="Times New Roman" w:hAnsi="Times New Roman" w:cs="Times New Roman"/>
                            <w:sz w:val="20"/>
                            <w:szCs w:val="20"/>
                            <w:lang w:val="kk-KZ" w:eastAsia="zh-CN"/>
                          </w:rPr>
                          <w:t>түлік университеттерінің</w:t>
                        </w:r>
                        <w:r>
                          <w:rPr>
                            <w:rFonts w:ascii="Times New Roman" w:hAnsi="Times New Roman" w:cs="Times New Roman"/>
                            <w:sz w:val="20"/>
                            <w:szCs w:val="20"/>
                            <w:lang w:val="en-US" w:eastAsia="zh-CN"/>
                          </w:rPr>
                          <w:t>1</w:t>
                        </w:r>
                        <w:r>
                          <w:rPr>
                            <w:rFonts w:ascii="Times New Roman" w:hAnsi="Times New Roman" w:cs="Times New Roman"/>
                            <w:sz w:val="20"/>
                            <w:szCs w:val="20"/>
                            <w:lang w:val="kk-KZ" w:eastAsia="zh-CN"/>
                          </w:rPr>
                          <w:t>-уі</w:t>
                        </w:r>
                      </w:p>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bCs/>
                            <w:i/>
                            <w:iCs/>
                            <w:sz w:val="20"/>
                            <w:szCs w:val="20"/>
                            <w:lang w:val="en-US" w:eastAsia="zh-CN"/>
                          </w:rPr>
                          <w:t>Wageningen University and Research center</w:t>
                        </w:r>
                      </w:p>
                    </w:txbxContent>
                  </v:textbox>
                </v:oval>
                <v:oval id="Oval 217" o:spid="_x0000_s1133" style="position:absolute;left:8395;top:332;width:20066;height:16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49fMkA&#10;AADiAAAADwAAAGRycy9kb3ducmV2LnhtbESPT0vDQBTE70K/w/IK3uzmDw1t7LYUi1APHox6f2Rf&#10;k9Ds25B9pvHbu4LgcZiZ3zC7w+x6NdEYOs8G0lUCirj2tuPGwMf788MGVBBki71nMvBNAQ77xd0O&#10;S+tv/EZTJY2KEA4lGmhFhlLrULfkMKz8QBy9ix8dSpRjo+2Itwh3vc6SpNAOO44LLQ701FJ9rb6c&#10;gVNzrIpJ57LOL6ezrK+fry95asz9cj4+ghKa5T/81z5bA5t8uy2yLC3g91K8A3r/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249fMkAAADiAAAADwAAAAAAAAAAAAAAAACYAgAA&#10;ZHJzL2Rvd25yZXYueG1sUEsFBgAAAAAEAAQA9QAAAI4DAAAAAA==&#10;">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 xml:space="preserve">Агро азық-түлік саласындағы өнімдер мен үдерістер үшін қолданбалы зерттеулер </w:t>
                        </w:r>
                      </w:p>
                      <w:p w:rsidR="005118AF" w:rsidRDefault="00EF60C3">
                        <w:pPr>
                          <w:spacing w:after="0" w:line="240" w:lineRule="auto"/>
                          <w:jc w:val="center"/>
                          <w:rPr>
                            <w:rFonts w:ascii="Times New Roman" w:hAnsi="Times New Roman" w:cs="Times New Roman"/>
                            <w:bCs/>
                            <w:i/>
                            <w:iCs/>
                            <w:sz w:val="20"/>
                            <w:szCs w:val="20"/>
                            <w:lang w:val="kk-KZ" w:eastAsia="zh-CN"/>
                          </w:rPr>
                        </w:pPr>
                        <w:r>
                          <w:rPr>
                            <w:rFonts w:ascii="Times New Roman" w:hAnsi="Times New Roman" w:cs="Times New Roman"/>
                            <w:bCs/>
                            <w:i/>
                            <w:iCs/>
                            <w:sz w:val="20"/>
                            <w:szCs w:val="20"/>
                            <w:lang w:val="en-US" w:eastAsia="zh-CN"/>
                          </w:rPr>
                          <w:t>NIZO Food Research</w:t>
                        </w:r>
                        <w:r>
                          <w:rPr>
                            <w:rFonts w:ascii="Times New Roman" w:hAnsi="Times New Roman" w:cs="Times New Roman"/>
                            <w:bCs/>
                            <w:i/>
                            <w:iCs/>
                            <w:sz w:val="20"/>
                            <w:szCs w:val="20"/>
                            <w:lang w:val="kk-KZ" w:eastAsia="zh-CN"/>
                          </w:rPr>
                          <w:t xml:space="preserve"> </w:t>
                        </w:r>
                      </w:p>
                      <w:p w:rsidR="005118AF" w:rsidRDefault="005118AF">
                        <w:pPr>
                          <w:spacing w:after="0" w:line="240" w:lineRule="auto"/>
                          <w:jc w:val="center"/>
                          <w:rPr>
                            <w:rFonts w:ascii="Times New Roman" w:hAnsi="Times New Roman" w:cs="Times New Roman"/>
                            <w:sz w:val="20"/>
                            <w:szCs w:val="20"/>
                            <w:lang w:val="kk-KZ" w:eastAsia="zh-CN"/>
                          </w:rPr>
                        </w:pPr>
                      </w:p>
                    </w:txbxContent>
                  </v:textbox>
                </v:oval>
                <v:oval id="Oval 218" o:spid="_x0000_s1134" style="position:absolute;left:40150;top:14630;width:20066;height:15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9tO8oA&#10;AADiAAAADwAAAGRycy9kb3ducmV2LnhtbESPQUvDQBSE74L/YXmCN7tJt60auy3FItRDD0a9P7Kv&#10;SWj2bcg+0/jvXUHwOMzMN8x6O/lOjTTENrCFfJaBIq6Ca7m28PH+cvcAKgqywy4wWfimCNvN9dUa&#10;Cxcu/EZjKbVKEI4FWmhE+kLrWDXkMc5CT5y8Uxg8SpJDrd2AlwT3nZ5n2Up7bDktNNjTc0PVufzy&#10;Fvb1rlyN2sjSnPYHWZ4/j68mt/b2Zto9gRKa5D/81z44C49zk92bxSKH30vpDu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TPbTvKAAAA4gAAAA8AAAAAAAAAAAAAAAAAmAIA&#10;AGRycy9kb3ducmV2LnhtbFBLBQYAAAAABAAEAPUAAACPAwAAAAA=&#10;">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Агро азық-түлікпен байланысты тақырыптағы</w:t>
                        </w:r>
                      </w:p>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 xml:space="preserve">Еуропадағы </w:t>
                        </w:r>
                        <w:r>
                          <w:rPr>
                            <w:rFonts w:ascii="Times New Roman" w:hAnsi="Times New Roman" w:cs="Times New Roman"/>
                            <w:bCs/>
                            <w:i/>
                            <w:iCs/>
                            <w:sz w:val="20"/>
                            <w:szCs w:val="20"/>
                            <w:lang w:val="kk-KZ" w:eastAsia="zh-CN"/>
                          </w:rPr>
                          <w:t>ҮЗДІК</w:t>
                        </w:r>
                        <w:r>
                          <w:rPr>
                            <w:rFonts w:ascii="Times New Roman" w:hAnsi="Times New Roman" w:cs="Times New Roman"/>
                            <w:bCs/>
                            <w:i/>
                            <w:iCs/>
                            <w:sz w:val="20"/>
                            <w:szCs w:val="20"/>
                            <w:lang w:val="kk-KZ" w:eastAsia="zh-CN"/>
                          </w:rPr>
                          <w:t xml:space="preserve"> ОН</w:t>
                        </w:r>
                        <w:r>
                          <w:rPr>
                            <w:rFonts w:ascii="Times New Roman" w:hAnsi="Times New Roman" w:cs="Times New Roman"/>
                            <w:sz w:val="20"/>
                            <w:szCs w:val="20"/>
                            <w:lang w:val="kk-KZ" w:eastAsia="zh-CN"/>
                          </w:rPr>
                          <w:t xml:space="preserve">  жарияланымдар</w:t>
                        </w:r>
                      </w:p>
                    </w:txbxContent>
                  </v:textbox>
                </v:oval>
                <v:oval id="Oval 219" o:spid="_x0000_s1135" style="position:absolute;top:16625;width:20066;height:15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0j+skA&#10;AADjAAAADwAAAGRycy9kb3ducmV2LnhtbESPzU7DQAyE70i8w8pI3OjmXyh0W1VUSOXAgQB3K+sm&#10;UbPeKGvS8PbsAYmjPeOZz9v96ka10BwGzwbSTQKKuPV24M7A58fLwyOoIMgWR89k4IcC7He3N1us&#10;rb/yOy2NdCqGcKjRQC8y1VqHtieHYeMn4qid/exQ4jh32s54jeFu1FmSVNrhwLGhx4mee2ovzbcz&#10;cOwOTbXoXMr8fDxJefl6e81TY+7v1sMTKKFV/s1/1ycb8auiyNKizCJ0/CkuQO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r0j+skAAADjAAAADwAAAAAAAAAAAAAAAACYAgAA&#10;ZHJzL2Rvd25yZXYueG1sUEsFBgAAAAAEAAQA9QAAAI4DAAAAAA==&#10;">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Ең негізгі агро азық-түлік компаниялары, Зерттеу иституттары және Ғылыми ком</w:t>
                        </w:r>
                        <w:r>
                          <w:rPr>
                            <w:rFonts w:ascii="Times New Roman" w:hAnsi="Times New Roman" w:cs="Times New Roman"/>
                            <w:sz w:val="20"/>
                            <w:szCs w:val="20"/>
                            <w:lang w:val="kk-KZ" w:eastAsia="zh-CN"/>
                          </w:rPr>
                          <w:t>паниялар</w:t>
                        </w:r>
                      </w:p>
                      <w:p w:rsidR="005118AF" w:rsidRDefault="00EF60C3">
                        <w:pPr>
                          <w:spacing w:after="0" w:line="240" w:lineRule="auto"/>
                          <w:jc w:val="center"/>
                          <w:rPr>
                            <w:rFonts w:ascii="Times New Roman" w:hAnsi="Times New Roman" w:cs="Times New Roman"/>
                            <w:sz w:val="20"/>
                            <w:szCs w:val="20"/>
                            <w:lang w:val="en-US" w:eastAsia="zh-CN"/>
                          </w:rPr>
                        </w:pPr>
                        <w:r>
                          <w:rPr>
                            <w:rFonts w:ascii="Times New Roman" w:hAnsi="Times New Roman" w:cs="Times New Roman"/>
                            <w:bCs/>
                            <w:i/>
                            <w:iCs/>
                            <w:sz w:val="20"/>
                            <w:szCs w:val="20"/>
                            <w:lang w:val="en-US" w:eastAsia="zh-CN"/>
                          </w:rPr>
                          <w:t>Food Valley NL</w:t>
                        </w:r>
                      </w:p>
                    </w:txbxContent>
                  </v:textbox>
                </v:oval>
                <v:oval id="Oval 220" o:spid="_x0000_s1136" style="position:absolute;left:12884;top:31172;width:20066;height:15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Xe58cA&#10;AADjAAAADwAAAGRycy9kb3ducmV2LnhtbERPzUrDQBC+C77DMoI3u5vGhhq7LcUi1IMHo96H7DQJ&#10;zc6G7JjGt3cFweN8/7PZzb5XE42xC2whWxhQxHVwHTcWPt6f79agoiA77AOThW+KsNteX22wdOHC&#10;bzRV0qgUwrFEC63IUGod65Y8xkUYiBN3CqNHSefYaDfiJYX7Xi+NKbTHjlNDiwM9tVSfqy9v4dDs&#10;q2LSuazy0+Eoq/Pn60ueWXt7M+8fQQnN8i/+cx9dmn9vCvOwzNYZ/P6UAN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l3ufHAAAA4wAAAA8AAAAAAAAAAAAAAAAAmAIAAGRy&#10;cy9kb3ducmV2LnhtbFBLBQYAAAAABAAEAPUAAACMAwAAAAA=&#10;">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en-US" w:eastAsia="zh-CN"/>
                          </w:rPr>
                          <w:t>223</w:t>
                        </w:r>
                        <w:r>
                          <w:rPr>
                            <w:rFonts w:ascii="Times New Roman" w:hAnsi="Times New Roman" w:cs="Times New Roman"/>
                            <w:sz w:val="20"/>
                            <w:szCs w:val="20"/>
                            <w:lang w:val="kk-KZ" w:eastAsia="zh-CN"/>
                          </w:rPr>
                          <w:t xml:space="preserve"> азық-түлік және тамақтану жобаларында</w:t>
                        </w:r>
                        <w:r>
                          <w:rPr>
                            <w:rFonts w:ascii="Times New Roman" w:hAnsi="Times New Roman" w:cs="Times New Roman"/>
                            <w:sz w:val="20"/>
                            <w:szCs w:val="20"/>
                            <w:lang w:val="en-US" w:eastAsia="zh-CN"/>
                          </w:rPr>
                          <w:t xml:space="preserve"> </w:t>
                        </w:r>
                        <w:r>
                          <w:rPr>
                            <w:rFonts w:ascii="Times New Roman" w:hAnsi="Times New Roman" w:cs="Times New Roman"/>
                            <w:sz w:val="20"/>
                            <w:szCs w:val="20"/>
                            <w:lang w:val="kk-KZ" w:eastAsia="zh-CN"/>
                          </w:rPr>
                          <w:t>әр</w:t>
                        </w:r>
                        <w:r>
                          <w:rPr>
                            <w:rFonts w:ascii="Times New Roman" w:hAnsi="Times New Roman" w:cs="Times New Roman"/>
                            <w:sz w:val="20"/>
                            <w:szCs w:val="20"/>
                            <w:lang w:val="kk-KZ" w:eastAsia="zh-CN"/>
                          </w:rPr>
                          <w:t xml:space="preserve"> салалардан </w:t>
                        </w:r>
                        <w:r>
                          <w:rPr>
                            <w:rFonts w:ascii="Times New Roman" w:hAnsi="Times New Roman" w:cs="Times New Roman"/>
                            <w:sz w:val="20"/>
                            <w:szCs w:val="20"/>
                            <w:lang w:val="en-US" w:eastAsia="zh-CN"/>
                          </w:rPr>
                          <w:t>383</w:t>
                        </w:r>
                        <w:r>
                          <w:rPr>
                            <w:rFonts w:ascii="Times New Roman" w:hAnsi="Times New Roman" w:cs="Times New Roman"/>
                            <w:sz w:val="20"/>
                            <w:szCs w:val="20"/>
                            <w:lang w:val="kk-KZ" w:eastAsia="zh-CN"/>
                          </w:rPr>
                          <w:t xml:space="preserve"> бизнес</w:t>
                        </w:r>
                      </w:p>
                      <w:p w:rsidR="005118AF" w:rsidRDefault="00EF60C3">
                        <w:pPr>
                          <w:spacing w:after="0" w:line="240" w:lineRule="auto"/>
                          <w:jc w:val="center"/>
                          <w:rPr>
                            <w:rFonts w:ascii="Times New Roman" w:hAnsi="Times New Roman" w:cs="Times New Roman"/>
                            <w:sz w:val="20"/>
                            <w:szCs w:val="20"/>
                            <w:lang w:val="en-US" w:eastAsia="zh-CN"/>
                          </w:rPr>
                        </w:pPr>
                        <w:r>
                          <w:rPr>
                            <w:rFonts w:ascii="Times New Roman" w:hAnsi="Times New Roman" w:cs="Times New Roman"/>
                            <w:bCs/>
                            <w:i/>
                            <w:iCs/>
                            <w:sz w:val="20"/>
                            <w:szCs w:val="20"/>
                            <w:lang w:val="en-US" w:eastAsia="zh-CN"/>
                          </w:rPr>
                          <w:t>Food Nutrition Delta (FND)</w:t>
                        </w:r>
                      </w:p>
                    </w:txbxContent>
                  </v:textbox>
                </v:oval>
                <v:oval id="Oval 221" o:spid="_x0000_s1137" style="position:absolute;left:33250;top:29593;width:20066;height:15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nscA&#10;AADjAAAADwAAAGRycy9kb3ducmV2LnhtbERPzUrDQBC+C32HZQre7KZJGkrsthSLUA8ejHofstMk&#10;NDsbsmMa394VBI/z/c/uMLteTTSGzrOB9SoBRVx723Fj4OP9+WELKgiyxd4zGfimAIf94m6HpfU3&#10;fqOpkkbFEA4lGmhFhlLrULfkMKz8QBy5ix8dSjzHRtsRbzHc9TpNkkI77Dg2tDjQU0v1tfpyBk7N&#10;sSomnckmu5zOsrl+vr5ka2Pul/PxEZTQLP/iP/fZxvnJtkjzIs9T+P0pAqD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hH57HAAAA4wAAAA8AAAAAAAAAAAAAAAAAmAIAAGRy&#10;cy9kb3ducmV2LnhtbFBLBQYAAAAABAAEAPUAAACMAwAAAAA=&#10;">
                  <v:textbox>
                    <w:txbxContent>
                      <w:p w:rsidR="005118AF" w:rsidRDefault="00EF60C3">
                        <w:pPr>
                          <w:spacing w:after="0" w:line="240" w:lineRule="auto"/>
                          <w:jc w:val="center"/>
                          <w:rPr>
                            <w:rFonts w:ascii="Times New Roman" w:hAnsi="Times New Roman" w:cs="Times New Roman"/>
                            <w:sz w:val="20"/>
                            <w:szCs w:val="20"/>
                            <w:lang w:val="kk-KZ" w:eastAsia="zh-CN"/>
                          </w:rPr>
                        </w:pPr>
                        <w:r>
                          <w:rPr>
                            <w:rFonts w:ascii="Times New Roman" w:hAnsi="Times New Roman" w:cs="Times New Roman"/>
                            <w:sz w:val="20"/>
                            <w:szCs w:val="20"/>
                            <w:lang w:val="kk-KZ" w:eastAsia="zh-CN"/>
                          </w:rPr>
                          <w:t>Мемлекет, Академиялық орта және Жеке сектор ойыншыларын біріктіреді</w:t>
                        </w:r>
                      </w:p>
                      <w:p w:rsidR="005118AF" w:rsidRDefault="00EF60C3">
                        <w:pPr>
                          <w:spacing w:after="0" w:line="240" w:lineRule="auto"/>
                          <w:jc w:val="center"/>
                          <w:rPr>
                            <w:rFonts w:ascii="Times New Roman" w:hAnsi="Times New Roman" w:cs="Times New Roman"/>
                            <w:sz w:val="20"/>
                            <w:szCs w:val="20"/>
                            <w:lang w:val="en-US" w:eastAsia="zh-CN"/>
                          </w:rPr>
                        </w:pPr>
                        <w:r>
                          <w:rPr>
                            <w:rFonts w:ascii="Times New Roman" w:hAnsi="Times New Roman" w:cs="Times New Roman"/>
                            <w:bCs/>
                            <w:i/>
                            <w:iCs/>
                            <w:sz w:val="20"/>
                            <w:szCs w:val="20"/>
                            <w:lang w:val="en-US" w:eastAsia="zh-CN"/>
                          </w:rPr>
                          <w:t>Top Institute Food and Nutrition (TIFN)</w:t>
                        </w:r>
                      </w:p>
                    </w:txbxContent>
                  </v:textbox>
                </v:oval>
              </v:group>
            </w:pict>
          </mc:Fallback>
        </mc:AlternateContent>
      </w: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16"/>
          <w:szCs w:val="16"/>
          <w:lang w:val="kk-KZ" w:eastAsia="zh-CN"/>
        </w:rPr>
      </w:pP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16"/>
          <w:szCs w:val="16"/>
          <w:lang w:val="kk-KZ" w:eastAsia="zh-CN"/>
        </w:rPr>
      </w:pPr>
    </w:p>
    <w:p w:rsidR="005118AF" w:rsidRDefault="00EF60C3">
      <w:pPr>
        <w:tabs>
          <w:tab w:val="left" w:pos="993"/>
        </w:tabs>
        <w:spacing w:after="0" w:line="240" w:lineRule="auto"/>
        <w:jc w:val="center"/>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Сурет 8 ‒ Нидерландының агро азық-түлік секторындағы инновациялық жүйе элементтері</w:t>
      </w: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16"/>
          <w:szCs w:val="16"/>
          <w:lang w:val="kk-KZ" w:eastAsia="zh-CN"/>
        </w:rPr>
      </w:pP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w:t>
      </w:r>
      <w:r>
        <w:rPr>
          <w:rFonts w:ascii="Times New Roman" w:eastAsia="Times New Roman" w:hAnsi="Times New Roman" w:cs="Times New Roman"/>
          <w:color w:val="000000"/>
          <w:sz w:val="24"/>
          <w:szCs w:val="24"/>
          <w:lang w:val="kk-KZ" w:eastAsia="zh-CN"/>
        </w:rPr>
        <w:t xml:space="preserve"> [65]</w:t>
      </w: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Осылайша, Үштік спираль моделі (Университет</w:t>
      </w:r>
      <w:r>
        <w:rPr>
          <w:rFonts w:ascii="Times New Roman" w:hAnsi="Times New Roman"/>
          <w:sz w:val="28"/>
          <w:szCs w:val="28"/>
          <w:lang w:val="kk-KZ" w:eastAsia="zh-CN"/>
        </w:rPr>
        <w:t xml:space="preserve"> </w:t>
      </w:r>
      <w:r>
        <w:rPr>
          <w:rFonts w:ascii="Times New Roman" w:hAnsi="Times New Roman"/>
          <w:sz w:val="28"/>
          <w:szCs w:val="28"/>
          <w:lang w:val="kk-KZ" w:eastAsia="zh-CN"/>
        </w:rPr>
        <w:t>-</w:t>
      </w:r>
      <w:r>
        <w:rPr>
          <w:rFonts w:ascii="Times New Roman" w:hAnsi="Times New Roman"/>
          <w:sz w:val="28"/>
          <w:szCs w:val="28"/>
          <w:lang w:val="kk-KZ" w:eastAsia="zh-CN"/>
        </w:rPr>
        <w:t xml:space="preserve"> </w:t>
      </w:r>
      <w:r>
        <w:rPr>
          <w:rFonts w:ascii="Times New Roman" w:hAnsi="Times New Roman"/>
          <w:sz w:val="28"/>
          <w:szCs w:val="28"/>
          <w:lang w:val="kk-KZ" w:eastAsia="zh-CN"/>
        </w:rPr>
        <w:t>Өнеркәсіп</w:t>
      </w:r>
      <w:r>
        <w:rPr>
          <w:rFonts w:ascii="Times New Roman" w:hAnsi="Times New Roman"/>
          <w:sz w:val="28"/>
          <w:szCs w:val="28"/>
          <w:lang w:val="kk-KZ" w:eastAsia="zh-CN"/>
        </w:rPr>
        <w:t xml:space="preserve"> </w:t>
      </w:r>
      <w:r>
        <w:rPr>
          <w:rFonts w:ascii="Times New Roman" w:hAnsi="Times New Roman"/>
          <w:sz w:val="28"/>
          <w:szCs w:val="28"/>
          <w:lang w:val="kk-KZ" w:eastAsia="zh-CN"/>
        </w:rPr>
        <w:t>-</w:t>
      </w:r>
      <w:r>
        <w:rPr>
          <w:rFonts w:ascii="Times New Roman" w:hAnsi="Times New Roman"/>
          <w:sz w:val="28"/>
          <w:szCs w:val="28"/>
          <w:lang w:val="kk-KZ" w:eastAsia="zh-CN"/>
        </w:rPr>
        <w:t xml:space="preserve"> </w:t>
      </w:r>
      <w:r>
        <w:rPr>
          <w:rFonts w:ascii="Times New Roman" w:hAnsi="Times New Roman"/>
          <w:sz w:val="28"/>
          <w:szCs w:val="28"/>
          <w:lang w:val="kk-KZ" w:eastAsia="zh-CN"/>
        </w:rPr>
        <w:t>Үкіметтің</w:t>
      </w:r>
      <w:r>
        <w:rPr>
          <w:rFonts w:ascii="Times New Roman" w:hAnsi="Times New Roman"/>
          <w:sz w:val="28"/>
          <w:szCs w:val="28"/>
          <w:lang w:val="kk-KZ" w:eastAsia="zh-CN"/>
        </w:rPr>
        <w:t xml:space="preserve"> өзара әрекеттесуі) ғылыми зерттеулерді коммерцияландыру және </w:t>
      </w:r>
      <w:r>
        <w:rPr>
          <w:rFonts w:ascii="Times New Roman" w:hAnsi="Times New Roman"/>
          <w:sz w:val="28"/>
          <w:szCs w:val="28"/>
          <w:lang w:val="kk-KZ" w:eastAsia="zh-CN"/>
        </w:rPr>
        <w:t>технологиялық трансфертті ынталандыру үшін</w:t>
      </w:r>
      <w:r>
        <w:rPr>
          <w:rFonts w:ascii="Times New Roman" w:hAnsi="Times New Roman"/>
          <w:sz w:val="28"/>
          <w:szCs w:val="28"/>
          <w:lang w:val="kk-KZ" w:eastAsia="zh-CN"/>
        </w:rPr>
        <w:t xml:space="preserve"> шешім</w:t>
      </w:r>
      <w:r>
        <w:rPr>
          <w:rFonts w:ascii="Times New Roman" w:hAnsi="Times New Roman"/>
          <w:sz w:val="28"/>
          <w:szCs w:val="28"/>
          <w:lang w:val="kk-KZ" w:eastAsia="zh-CN"/>
        </w:rPr>
        <w:t xml:space="preserve"> болып табылады [66].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Кәсіпорын деңгейінде тұрақты ашық инновацияға негізделген бизнес-модель енгізудің үздік тәжірибесіне Италиядағы глютенсіз және өсімдік негізіндегі тағам өнімдерінің көшбасшысы саналатын</w:t>
      </w:r>
      <w:r>
        <w:rPr>
          <w:rFonts w:ascii="Times New Roman" w:hAnsi="Times New Roman"/>
          <w:sz w:val="28"/>
          <w:szCs w:val="28"/>
          <w:lang w:val="kk-KZ" w:eastAsia="zh-CN"/>
        </w:rPr>
        <w:t xml:space="preserve"> Андриани компаниясының табыс стратегиясын болып табылатын</w:t>
      </w:r>
      <w:r>
        <w:rPr>
          <w:rFonts w:ascii="Times New Roman" w:hAnsi="Times New Roman"/>
          <w:sz w:val="28"/>
          <w:szCs w:val="28"/>
          <w:lang w:val="kk-KZ" w:eastAsia="zh-CN"/>
        </w:rPr>
        <w:t>,</w:t>
      </w:r>
      <w:r>
        <w:rPr>
          <w:rFonts w:ascii="Times New Roman" w:hAnsi="Times New Roman"/>
          <w:sz w:val="28"/>
          <w:szCs w:val="28"/>
          <w:lang w:val="kk-KZ" w:eastAsia="zh-CN"/>
        </w:rPr>
        <w:t xml:space="preserve"> Тұрақты ашық инновация моделіне толыққанды көшу мысалын қарастыруға болады. Бұл трансформация жай ғана технологиялық жаңғыру емес, ол компанияның ESG мақсаттарына жету жолындағы стратегиялық бағда</w:t>
      </w:r>
      <w:r>
        <w:rPr>
          <w:rFonts w:ascii="Times New Roman" w:hAnsi="Times New Roman"/>
          <w:sz w:val="28"/>
          <w:szCs w:val="28"/>
          <w:lang w:val="kk-KZ" w:eastAsia="zh-CN"/>
        </w:rPr>
        <w:t>ры болып табылады [67].</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Андрианидің Тұрақты ашық инновацияға деген міндеттемесі оның "Бенефит</w:t>
      </w:r>
      <w:r>
        <w:rPr>
          <w:rFonts w:ascii="Times New Roman" w:hAnsi="Times New Roman"/>
          <w:sz w:val="28"/>
          <w:szCs w:val="28"/>
          <w:lang w:val="kk-KZ" w:eastAsia="zh-CN"/>
        </w:rPr>
        <w:t xml:space="preserve"> Корпорация</w:t>
      </w:r>
      <w:r>
        <w:rPr>
          <w:rFonts w:ascii="Times New Roman" w:hAnsi="Times New Roman"/>
          <w:sz w:val="28"/>
          <w:szCs w:val="28"/>
          <w:lang w:val="kk-KZ" w:eastAsia="zh-CN"/>
        </w:rPr>
        <w:t>" ретінде заңды мәртебе алуынан айқын көрінеді, бұл олардың жарғысында қаржылық пайдамен қатар әлеуметтік және экологиялық игіліктерді көздеу міндеттелг</w:t>
      </w:r>
      <w:r>
        <w:rPr>
          <w:rFonts w:ascii="Times New Roman" w:hAnsi="Times New Roman"/>
          <w:sz w:val="28"/>
          <w:szCs w:val="28"/>
          <w:lang w:val="kk-KZ" w:eastAsia="zh-CN"/>
        </w:rPr>
        <w:t>енін білдіреді. Бұл негізгі міндеттемелер компанияның Топ-менеджмент деңгейінде бекітіліп, БҰҰ-ның Тұрақты даму мақсаттарына сәйкес жыл сайын есеп беріп отыруды талап етеді.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Басты тәжірибелік қадам ретінде, Андриани Ғылыми-зерттеу және тәжірибелік-конструк</w:t>
      </w:r>
      <w:r>
        <w:rPr>
          <w:rFonts w:ascii="Times New Roman" w:hAnsi="Times New Roman"/>
          <w:sz w:val="28"/>
          <w:szCs w:val="28"/>
          <w:lang w:val="kk-KZ" w:eastAsia="zh-CN"/>
        </w:rPr>
        <w:t>торлық жұмыстарды тек ішкі ресурстармен шектемей, сыртқы экожүйеге толығымен ашқан. Олар стратегиялық серіктестіктер, университеттер мен зерттеу орталықтарымен белсенді ынтымақтаса отырып, тұрақты шешімдерді бірлесіп әзірлейді.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Бұл инновациялық бағдар әсір</w:t>
      </w:r>
      <w:r>
        <w:rPr>
          <w:rFonts w:ascii="Times New Roman" w:hAnsi="Times New Roman"/>
          <w:sz w:val="28"/>
          <w:szCs w:val="28"/>
          <w:lang w:val="kk-KZ" w:eastAsia="zh-CN"/>
        </w:rPr>
        <w:t>есе ауылшаруашылық тізбегінде айқын көрінеді. Компания тұрақты және регенеративті ауыл шаруашылығын қолдайтын шикізатты (мысалы, арнайы дақылдарды) таңдау арқылы биоәртүрлілікті сақтауға атсалысады. Сондай-ақ, олардың дөңгелек экономикаға негізделген нақты</w:t>
      </w:r>
      <w:r>
        <w:rPr>
          <w:rFonts w:ascii="Times New Roman" w:hAnsi="Times New Roman"/>
          <w:sz w:val="28"/>
          <w:szCs w:val="28"/>
          <w:lang w:val="kk-KZ" w:eastAsia="zh-CN"/>
        </w:rPr>
        <w:t xml:space="preserve"> жобасы бар. Мысалы, бас кеңсе жанындағы "Spirulina Park" – бұл макарон өндірісінен шыққан суды тазарту және оны қайта пайдалану арқылы спирулина өсіруге арналған кешен. Бұл қалдықтарды ресурстарға айналдырудың озық үлгісі [67].</w:t>
      </w:r>
    </w:p>
    <w:p w:rsidR="005118AF" w:rsidRDefault="00EF60C3">
      <w:pPr>
        <w:spacing w:after="0" w:line="240" w:lineRule="auto"/>
        <w:ind w:firstLineChars="252" w:firstLine="706"/>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Жалпы компанияның </w:t>
      </w:r>
      <w:r>
        <w:rPr>
          <w:rFonts w:ascii="Times New Roman" w:eastAsia="Times New Roman" w:hAnsi="Times New Roman"/>
          <w:color w:val="000000"/>
          <w:sz w:val="28"/>
          <w:szCs w:val="28"/>
          <w:lang w:val="kk-KZ"/>
        </w:rPr>
        <w:t>Корпоративтік басқару құрылымы да өзіндік инновациялық сипатқа ие. Ол ашық корпоративтік басқару мен корпоративтік стильді құруға бағытталған. Басқару құрылымының негізгі ерекшелігі Корпоративтік басқару мен қатар, Тұрақтылықты басқару бойынша маңызды коми</w:t>
      </w:r>
      <w:r>
        <w:rPr>
          <w:rFonts w:ascii="Times New Roman" w:eastAsia="Times New Roman" w:hAnsi="Times New Roman"/>
          <w:color w:val="000000"/>
          <w:sz w:val="28"/>
          <w:szCs w:val="28"/>
          <w:lang w:val="kk-KZ"/>
        </w:rPr>
        <w:t>теттердің құрылуы, мысалы, Тамақтануды бақылау кеңесі, Этикалық комитет және Әсер ету менеджері жатқызуға болады (9-сурет).</w:t>
      </w:r>
    </w:p>
    <w:p w:rsidR="005118AF" w:rsidRDefault="00EF60C3">
      <w:pPr>
        <w:spacing w:after="0" w:line="240" w:lineRule="auto"/>
        <w:ind w:firstLineChars="252" w:firstLine="706"/>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Тамақтануды бақылау кеңесі – бұл Адриани компаниясының Директорлар кеңесінің консультациялық органы болып табылады және Бас компания</w:t>
      </w:r>
      <w:r>
        <w:rPr>
          <w:rFonts w:ascii="Times New Roman" w:eastAsia="Times New Roman" w:hAnsi="Times New Roman"/>
          <w:color w:val="000000"/>
          <w:sz w:val="28"/>
          <w:szCs w:val="28"/>
          <w:lang w:val="kk-KZ"/>
        </w:rPr>
        <w:t>ның мақсаттарына сәйкес ғылыми жобалар мен бастамаларды ілгерілетуге арналған кеңес беру, техникалық және ғылыми қолдау функцияларын атқарады. Сонымен қатар, компания мен оның серіктестері қабылдаған бағдарламаларда ғылыми әзірлемелер бойынша бағалау мен ұ</w:t>
      </w:r>
      <w:r>
        <w:rPr>
          <w:rFonts w:ascii="Times New Roman" w:eastAsia="Times New Roman" w:hAnsi="Times New Roman"/>
          <w:color w:val="000000"/>
          <w:sz w:val="28"/>
          <w:szCs w:val="28"/>
          <w:lang w:val="kk-KZ"/>
        </w:rPr>
        <w:t>сыныстар беру міндеті бар. Тамақтануды Бақылау кеңесін Басқарма тағайындайды және ол үш жыл мерзімге тағайындалады. Кеңес мүшелері 5 сыртқы: Қадағалау кеңесінің мүшесі, медицинаның іш аурулары саласы бойынша оқытушы, аграрлық микробиология оқытушысы, дието</w:t>
      </w:r>
      <w:r>
        <w:rPr>
          <w:rFonts w:ascii="Times New Roman" w:eastAsia="Times New Roman" w:hAnsi="Times New Roman"/>
          <w:color w:val="000000"/>
          <w:sz w:val="28"/>
          <w:szCs w:val="28"/>
          <w:lang w:val="kk-KZ"/>
        </w:rPr>
        <w:t xml:space="preserve">логия оқытушысы, педиатр және 5 ішкі: Зерттеулер мен әзірлемелер, жеткізу тізбегі, Өндіріс, Коммуникация бөлімдерінің қызметкерлері мен Визуалды дизайнерден құралған. </w:t>
      </w:r>
    </w:p>
    <w:p w:rsidR="005118AF" w:rsidRDefault="00EF60C3">
      <w:pPr>
        <w:spacing w:after="0" w:line="240" w:lineRule="auto"/>
        <w:ind w:firstLine="567"/>
        <w:jc w:val="both"/>
        <w:rPr>
          <w:rFonts w:ascii="Times New Roman" w:eastAsia="Times New Roman" w:hAnsi="Times New Roman"/>
          <w:color w:val="000000"/>
          <w:sz w:val="28"/>
          <w:szCs w:val="28"/>
          <w:lang w:val="kk-KZ"/>
        </w:rPr>
      </w:pPr>
      <w:r>
        <w:rPr>
          <w:rFonts w:ascii="Times New Roman" w:eastAsia="Times New Roman" w:hAnsi="Times New Roman"/>
          <w:noProof/>
          <w:color w:val="000000"/>
          <w:sz w:val="28"/>
          <w:szCs w:val="28"/>
        </w:rPr>
        <mc:AlternateContent>
          <mc:Choice Requires="wpg">
            <w:drawing>
              <wp:anchor distT="0" distB="0" distL="114300" distR="114300" simplePos="0" relativeHeight="251693056" behindDoc="0" locked="0" layoutInCell="1" allowOverlap="1">
                <wp:simplePos x="0" y="0"/>
                <wp:positionH relativeFrom="column">
                  <wp:posOffset>240665</wp:posOffset>
                </wp:positionH>
                <wp:positionV relativeFrom="paragraph">
                  <wp:posOffset>22225</wp:posOffset>
                </wp:positionV>
                <wp:extent cx="5775960" cy="3183255"/>
                <wp:effectExtent l="0" t="0" r="15240" b="0"/>
                <wp:wrapNone/>
                <wp:docPr id="1823708011" name="Группа 1823708011"/>
                <wp:cNvGraphicFramePr/>
                <a:graphic xmlns:a="http://schemas.openxmlformats.org/drawingml/2006/main">
                  <a:graphicData uri="http://schemas.microsoft.com/office/word/2010/wordprocessingGroup">
                    <wpg:wgp>
                      <wpg:cNvGrpSpPr/>
                      <wpg:grpSpPr>
                        <a:xfrm>
                          <a:off x="0" y="0"/>
                          <a:ext cx="5775960" cy="3183255"/>
                          <a:chOff x="0" y="0"/>
                          <a:chExt cx="5775960" cy="3183775"/>
                        </a:xfrm>
                      </wpg:grpSpPr>
                      <wps:wsp>
                        <wps:cNvPr id="49" name="Rectangles 49"/>
                        <wps:cNvSpPr/>
                        <wps:spPr>
                          <a:xfrm>
                            <a:off x="2734887" y="2701636"/>
                            <a:ext cx="1137285" cy="450850"/>
                          </a:xfrm>
                          <a:prstGeom prst="rect">
                            <a:avLst/>
                          </a:prstGeom>
                          <a:solidFill>
                            <a:srgbClr val="FFFFFF"/>
                          </a:solidFill>
                          <a:ln>
                            <a:noFill/>
                          </a:ln>
                        </wps:spPr>
                        <wps:txbx>
                          <w:txbxContent>
                            <w:p w:rsidR="005118AF" w:rsidRDefault="00EF60C3">
                              <w:pPr>
                                <w:jc w:val="center"/>
                                <w:rPr>
                                  <w:rFonts w:ascii="Times New Roman" w:hAnsi="Times New Roman" w:cs="Times New Roman"/>
                                  <w:bCs/>
                                  <w:i/>
                                  <w:color w:val="00B050"/>
                                  <w:lang w:val="kk-KZ"/>
                                </w:rPr>
                              </w:pPr>
                              <w:r>
                                <w:rPr>
                                  <w:rFonts w:ascii="Times New Roman" w:hAnsi="Times New Roman" w:cs="Times New Roman"/>
                                  <w:bCs/>
                                  <w:i/>
                                  <w:color w:val="00B050"/>
                                  <w:lang w:val="kk-KZ"/>
                                </w:rPr>
                                <w:t>Этикалық комитет</w:t>
                              </w:r>
                            </w:p>
                          </w:txbxContent>
                        </wps:txbx>
                        <wps:bodyPr upright="1"/>
                      </wps:wsp>
                      <wpg:grpSp>
                        <wpg:cNvPr id="1823708010" name="Группа 1823708010"/>
                        <wpg:cNvGrpSpPr/>
                        <wpg:grpSpPr>
                          <a:xfrm>
                            <a:off x="0" y="0"/>
                            <a:ext cx="5775960" cy="3183775"/>
                            <a:chOff x="0" y="0"/>
                            <a:chExt cx="5776364" cy="3183828"/>
                          </a:xfrm>
                        </wpg:grpSpPr>
                        <wps:wsp>
                          <wps:cNvPr id="26" name="Oval 26"/>
                          <wps:cNvSpPr/>
                          <wps:spPr>
                            <a:xfrm>
                              <a:off x="1995054" y="980901"/>
                              <a:ext cx="1786255" cy="1202690"/>
                            </a:xfrm>
                            <a:prstGeom prst="ellipse">
                              <a:avLst/>
                            </a:prstGeom>
                            <a:solidFill>
                              <a:srgbClr val="FFFFFF"/>
                            </a:solidFill>
                            <a:ln w="19050" cap="flat" cmpd="sng">
                              <a:solidFill>
                                <a:srgbClr val="C00000"/>
                              </a:solidFill>
                              <a:prstDash val="solid"/>
                              <a:headEnd type="none" w="med" len="med"/>
                              <a:tailEnd type="none" w="med" len="med"/>
                            </a:ln>
                          </wps:spPr>
                          <wps:txbx>
                            <w:txbxContent>
                              <w:p w:rsidR="005118AF" w:rsidRDefault="005118AF">
                                <w:pPr>
                                  <w:spacing w:after="0" w:line="240" w:lineRule="auto"/>
                                  <w:jc w:val="center"/>
                                  <w:rPr>
                                    <w:rFonts w:ascii="Times New Roman" w:hAnsi="Times New Roman" w:cs="Times New Roman"/>
                                    <w:i/>
                                    <w:sz w:val="28"/>
                                    <w:szCs w:val="28"/>
                                    <w:lang w:val="kk-KZ"/>
                                  </w:rPr>
                                </w:pPr>
                              </w:p>
                              <w:p w:rsidR="005118AF" w:rsidRDefault="00EF60C3">
                                <w:pPr>
                                  <w:spacing w:after="0" w:line="240" w:lineRule="auto"/>
                                  <w:jc w:val="center"/>
                                  <w:rPr>
                                    <w:rFonts w:ascii="Times New Roman" w:hAnsi="Times New Roman" w:cs="Times New Roman"/>
                                    <w:bCs/>
                                    <w:i/>
                                    <w:color w:val="C00000"/>
                                    <w:sz w:val="28"/>
                                    <w:szCs w:val="28"/>
                                    <w:lang w:val="kk-KZ"/>
                                  </w:rPr>
                                </w:pPr>
                                <w:r>
                                  <w:rPr>
                                    <w:rFonts w:ascii="Times New Roman" w:hAnsi="Times New Roman" w:cs="Times New Roman"/>
                                    <w:bCs/>
                                    <w:i/>
                                    <w:color w:val="C00000"/>
                                    <w:sz w:val="28"/>
                                    <w:szCs w:val="28"/>
                                    <w:lang w:val="kk-KZ"/>
                                  </w:rPr>
                                  <w:t>Директорлар кеңесі</w:t>
                                </w:r>
                              </w:p>
                            </w:txbxContent>
                          </wps:txbx>
                          <wps:bodyPr upright="1"/>
                        </wps:wsp>
                        <wps:wsp>
                          <wps:cNvPr id="48" name="Straight Arrow Connector 48"/>
                          <wps:cNvCnPr/>
                          <wps:spPr>
                            <a:xfrm>
                              <a:off x="16625" y="1828800"/>
                              <a:ext cx="1969135" cy="0"/>
                            </a:xfrm>
                            <a:prstGeom prst="straightConnector1">
                              <a:avLst/>
                            </a:prstGeom>
                            <a:ln w="12700" cap="flat" cmpd="sng">
                              <a:solidFill>
                                <a:srgbClr val="0099CC"/>
                              </a:solidFill>
                              <a:prstDash val="solid"/>
                              <a:headEnd type="none" w="med" len="med"/>
                              <a:tailEnd type="none" w="med" len="med"/>
                            </a:ln>
                          </wps:spPr>
                          <wps:bodyPr/>
                        </wps:wsp>
                        <wps:wsp>
                          <wps:cNvPr id="51" name="Straight Arrow Connector 51"/>
                          <wps:cNvCnPr/>
                          <wps:spPr>
                            <a:xfrm>
                              <a:off x="3807229" y="1812174"/>
                              <a:ext cx="1969135" cy="0"/>
                            </a:xfrm>
                            <a:prstGeom prst="straightConnector1">
                              <a:avLst/>
                            </a:prstGeom>
                            <a:ln w="12700" cap="flat" cmpd="sng">
                              <a:solidFill>
                                <a:srgbClr val="0099CC"/>
                              </a:solidFill>
                              <a:prstDash val="solid"/>
                              <a:headEnd type="none" w="med" len="med"/>
                              <a:tailEnd type="none" w="med" len="med"/>
                            </a:ln>
                          </wps:spPr>
                          <wps:bodyPr/>
                        </wps:wsp>
                        <wps:wsp>
                          <wps:cNvPr id="43" name="Rectangles 43"/>
                          <wps:cNvSpPr/>
                          <wps:spPr>
                            <a:xfrm>
                              <a:off x="1504603" y="157941"/>
                              <a:ext cx="900430" cy="598170"/>
                            </a:xfrm>
                            <a:prstGeom prst="rect">
                              <a:avLst/>
                            </a:prstGeom>
                            <a:solidFill>
                              <a:srgbClr val="FFFFFF"/>
                            </a:solidFill>
                            <a:ln>
                              <a:noFill/>
                            </a:ln>
                          </wps:spPr>
                          <wps:txbx>
                            <w:txbxContent>
                              <w:p w:rsidR="005118AF" w:rsidRDefault="00EF60C3">
                                <w:pPr>
                                  <w:jc w:val="center"/>
                                  <w:rPr>
                                    <w:rFonts w:ascii="Times New Roman" w:hAnsi="Times New Roman" w:cs="Times New Roman"/>
                                    <w:bCs/>
                                    <w:i/>
                                    <w:color w:val="0099CC"/>
                                    <w:lang w:val="kk-KZ"/>
                                  </w:rPr>
                                </w:pPr>
                                <w:r>
                                  <w:rPr>
                                    <w:rFonts w:ascii="Times New Roman" w:hAnsi="Times New Roman" w:cs="Times New Roman"/>
                                    <w:bCs/>
                                    <w:i/>
                                    <w:color w:val="0099CC"/>
                                    <w:lang w:val="kk-KZ"/>
                                  </w:rPr>
                                  <w:t>Атқару комитеті</w:t>
                                </w:r>
                              </w:p>
                            </w:txbxContent>
                          </wps:txbx>
                          <wps:bodyPr upright="1"/>
                        </wps:wsp>
                        <wps:wsp>
                          <wps:cNvPr id="24" name="Rectangles 24"/>
                          <wps:cNvSpPr/>
                          <wps:spPr>
                            <a:xfrm>
                              <a:off x="3241963" y="0"/>
                              <a:ext cx="1090930" cy="654685"/>
                            </a:xfrm>
                            <a:prstGeom prst="rect">
                              <a:avLst/>
                            </a:prstGeom>
                            <a:solidFill>
                              <a:srgbClr val="FFFFFF"/>
                            </a:solidFill>
                            <a:ln>
                              <a:noFill/>
                            </a:ln>
                          </wps:spPr>
                          <wps:txbx>
                            <w:txbxContent>
                              <w:p w:rsidR="005118AF" w:rsidRDefault="00EF60C3">
                                <w:pPr>
                                  <w:jc w:val="center"/>
                                  <w:rPr>
                                    <w:rFonts w:ascii="Times New Roman" w:hAnsi="Times New Roman" w:cs="Times New Roman"/>
                                    <w:bCs/>
                                    <w:i/>
                                    <w:color w:val="0099CC"/>
                                  </w:rPr>
                                </w:pPr>
                                <w:r>
                                  <w:rPr>
                                    <w:rFonts w:ascii="Times New Roman" w:hAnsi="Times New Roman" w:cs="Times New Roman"/>
                                    <w:bCs/>
                                    <w:i/>
                                    <w:color w:val="0099CC"/>
                                    <w:lang w:val="kk-KZ"/>
                                  </w:rPr>
                                  <w:t>Қадағалау</w:t>
                                </w:r>
                                <w:r>
                                  <w:rPr>
                                    <w:rFonts w:ascii="Times New Roman" w:hAnsi="Times New Roman" w:cs="Times New Roman"/>
                                    <w:bCs/>
                                    <w:i/>
                                    <w:color w:val="0099CC"/>
                                    <w:lang w:val="kk-KZ"/>
                                  </w:rPr>
                                  <w:t xml:space="preserve"> кеңесі </w:t>
                                </w:r>
                                <w:r>
                                  <w:rPr>
                                    <w:rFonts w:ascii="Times New Roman" w:hAnsi="Times New Roman" w:cs="Times New Roman"/>
                                    <w:bCs/>
                                    <w:i/>
                                    <w:color w:val="0099CC"/>
                                  </w:rPr>
                                  <w:t>231/01</w:t>
                                </w:r>
                              </w:p>
                            </w:txbxContent>
                          </wps:txbx>
                          <wps:bodyPr upright="1"/>
                        </wps:wsp>
                        <wps:wsp>
                          <wps:cNvPr id="25" name="Rectangles 25"/>
                          <wps:cNvSpPr/>
                          <wps:spPr>
                            <a:xfrm>
                              <a:off x="4073236" y="814647"/>
                              <a:ext cx="1090930" cy="654685"/>
                            </a:xfrm>
                            <a:prstGeom prst="rect">
                              <a:avLst/>
                            </a:prstGeom>
                            <a:solidFill>
                              <a:srgbClr val="FFFFFF"/>
                            </a:solidFill>
                            <a:ln>
                              <a:noFill/>
                            </a:ln>
                          </wps:spPr>
                          <wps:txbx>
                            <w:txbxContent>
                              <w:p w:rsidR="005118AF" w:rsidRDefault="00EF60C3">
                                <w:pPr>
                                  <w:jc w:val="center"/>
                                  <w:rPr>
                                    <w:rFonts w:ascii="Times New Roman" w:hAnsi="Times New Roman" w:cs="Times New Roman"/>
                                    <w:bCs/>
                                    <w:i/>
                                    <w:color w:val="0099CC"/>
                                  </w:rPr>
                                </w:pPr>
                                <w:r>
                                  <w:rPr>
                                    <w:rFonts w:ascii="Times New Roman" w:hAnsi="Times New Roman" w:cs="Times New Roman"/>
                                    <w:bCs/>
                                    <w:i/>
                                    <w:color w:val="0099CC"/>
                                    <w:lang w:val="kk-KZ"/>
                                  </w:rPr>
                                  <w:t>Жарғылық аудиторлар комиссиясы</w:t>
                                </w:r>
                              </w:p>
                            </w:txbxContent>
                          </wps:txbx>
                          <wps:bodyPr upright="1"/>
                        </wps:wsp>
                        <wps:wsp>
                          <wps:cNvPr id="44" name="Rectangles 44"/>
                          <wps:cNvSpPr/>
                          <wps:spPr>
                            <a:xfrm>
                              <a:off x="99753" y="1155469"/>
                              <a:ext cx="1329055" cy="494665"/>
                            </a:xfrm>
                            <a:prstGeom prst="rect">
                              <a:avLst/>
                            </a:prstGeom>
                            <a:solidFill>
                              <a:srgbClr val="FFFFFF"/>
                            </a:solidFill>
                            <a:ln>
                              <a:noFill/>
                            </a:ln>
                          </wps:spPr>
                          <wps:txbx>
                            <w:txbxContent>
                              <w:p w:rsidR="005118AF" w:rsidRDefault="00EF60C3">
                                <w:pPr>
                                  <w:rPr>
                                    <w:rFonts w:ascii="Times New Roman" w:hAnsi="Times New Roman" w:cs="Times New Roman"/>
                                    <w:bCs/>
                                    <w:i/>
                                    <w:color w:val="0099CC"/>
                                    <w:sz w:val="24"/>
                                    <w:szCs w:val="24"/>
                                  </w:rPr>
                                </w:pPr>
                                <w:r>
                                  <w:rPr>
                                    <w:rFonts w:ascii="Times New Roman" w:hAnsi="Times New Roman" w:cs="Times New Roman"/>
                                    <w:bCs/>
                                    <w:i/>
                                    <w:color w:val="0099CC"/>
                                    <w:sz w:val="24"/>
                                    <w:szCs w:val="24"/>
                                    <w:lang w:val="kk-KZ"/>
                                  </w:rPr>
                                  <w:t>Корпоративтік басқару</w:t>
                                </w:r>
                              </w:p>
                            </w:txbxContent>
                          </wps:txbx>
                          <wps:bodyPr upright="1"/>
                        </wps:wsp>
                        <wps:wsp>
                          <wps:cNvPr id="42" name="Rectangles 42"/>
                          <wps:cNvSpPr/>
                          <wps:spPr>
                            <a:xfrm>
                              <a:off x="0" y="1928552"/>
                              <a:ext cx="1329055" cy="1255276"/>
                            </a:xfrm>
                            <a:prstGeom prst="rect">
                              <a:avLst/>
                            </a:prstGeom>
                            <a:solidFill>
                              <a:srgbClr val="FFFFFF"/>
                            </a:solidFill>
                            <a:ln>
                              <a:noFill/>
                            </a:ln>
                          </wps:spPr>
                          <wps:txbx>
                            <w:txbxContent>
                              <w:p w:rsidR="005118AF" w:rsidRDefault="00EF60C3">
                                <w:pPr>
                                  <w:rPr>
                                    <w:rFonts w:ascii="Times New Roman" w:hAnsi="Times New Roman" w:cs="Times New Roman"/>
                                    <w:bCs/>
                                    <w:i/>
                                    <w:color w:val="00B050"/>
                                    <w:sz w:val="24"/>
                                    <w:szCs w:val="24"/>
                                    <w:lang w:val="kk-KZ"/>
                                  </w:rPr>
                                </w:pPr>
                                <w:r>
                                  <w:rPr>
                                    <w:rFonts w:ascii="Times New Roman" w:hAnsi="Times New Roman" w:cs="Times New Roman"/>
                                    <w:bCs/>
                                    <w:i/>
                                    <w:color w:val="00B050"/>
                                    <w:sz w:val="24"/>
                                    <w:szCs w:val="24"/>
                                    <w:lang w:val="kk-KZ"/>
                                  </w:rPr>
                                  <w:t>Тұрақтылық бойынша басқару</w:t>
                                </w:r>
                              </w:p>
                              <w:p w:rsidR="005118AF" w:rsidRDefault="00EF60C3">
                                <w:pPr>
                                  <w:rPr>
                                    <w:rFonts w:ascii="Times New Roman" w:hAnsi="Times New Roman" w:cs="Times New Roman"/>
                                    <w:bCs/>
                                    <w:i/>
                                    <w:color w:val="00B050"/>
                                    <w:sz w:val="24"/>
                                    <w:szCs w:val="24"/>
                                    <w:lang w:val="kk-KZ"/>
                                  </w:rPr>
                                </w:pPr>
                                <w:r>
                                  <w:rPr>
                                    <w:rFonts w:ascii="Times New Roman" w:hAnsi="Times New Roman" w:cs="Times New Roman"/>
                                    <w:bCs/>
                                    <w:i/>
                                    <w:noProof/>
                                    <w:color w:val="00B050"/>
                                    <w:sz w:val="24"/>
                                    <w:szCs w:val="24"/>
                                  </w:rPr>
                                  <w:drawing>
                                    <wp:inline distT="0" distB="0" distL="0" distR="0">
                                      <wp:extent cx="485775" cy="485775"/>
                                      <wp:effectExtent l="0" t="0" r="0" b="0"/>
                                      <wp:docPr id="23" name="Рисунок 2" descr="Уменьшить яркость (солнце меньшего размера)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 descr="Уменьшить яркость (солнце меньшего размера) контур"/>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12"/>
                                                  </a:ext>
                                                </a:extLst>
                                              </a:blip>
                                              <a:stretch>
                                                <a:fillRect/>
                                              </a:stretch>
                                            </pic:blipFill>
                                            <pic:spPr>
                                              <a:xfrm>
                                                <a:off x="0" y="0"/>
                                                <a:ext cx="496534" cy="496534"/>
                                              </a:xfrm>
                                              <a:prstGeom prst="rect">
                                                <a:avLst/>
                                              </a:prstGeom>
                                            </pic:spPr>
                                          </pic:pic>
                                        </a:graphicData>
                                      </a:graphic>
                                    </wp:inline>
                                  </w:drawing>
                                </w:r>
                              </w:p>
                            </w:txbxContent>
                          </wps:txbx>
                          <wps:bodyPr upright="1"/>
                        </wps:wsp>
                        <wps:wsp>
                          <wps:cNvPr id="52" name="Rectangles 52"/>
                          <wps:cNvSpPr/>
                          <wps:spPr>
                            <a:xfrm>
                              <a:off x="1288473" y="2568632"/>
                              <a:ext cx="1137285" cy="598805"/>
                            </a:xfrm>
                            <a:prstGeom prst="rect">
                              <a:avLst/>
                            </a:prstGeom>
                            <a:solidFill>
                              <a:srgbClr val="FFFFFF"/>
                            </a:solidFill>
                            <a:ln>
                              <a:noFill/>
                            </a:ln>
                          </wps:spPr>
                          <wps:txbx>
                            <w:txbxContent>
                              <w:p w:rsidR="005118AF" w:rsidRDefault="00EF60C3">
                                <w:pPr>
                                  <w:jc w:val="center"/>
                                  <w:rPr>
                                    <w:rFonts w:ascii="Times New Roman" w:hAnsi="Times New Roman" w:cs="Times New Roman"/>
                                    <w:bCs/>
                                    <w:i/>
                                    <w:color w:val="00B050"/>
                                    <w:lang w:val="kk-KZ"/>
                                  </w:rPr>
                                </w:pPr>
                                <w:r>
                                  <w:rPr>
                                    <w:rFonts w:ascii="Times New Roman" w:hAnsi="Times New Roman" w:cs="Times New Roman"/>
                                    <w:bCs/>
                                    <w:i/>
                                    <w:color w:val="00B050"/>
                                    <w:lang w:val="kk-KZ"/>
                                  </w:rPr>
                                  <w:t>Тамақтануды бақылау кеңесі</w:t>
                                </w:r>
                              </w:p>
                            </w:txbxContent>
                          </wps:txbx>
                          <wps:bodyPr upright="1"/>
                        </wps:wsp>
                        <wps:wsp>
                          <wps:cNvPr id="50" name="Rectangles 50"/>
                          <wps:cNvSpPr/>
                          <wps:spPr>
                            <a:xfrm>
                              <a:off x="4197927" y="2086494"/>
                              <a:ext cx="1137285" cy="450850"/>
                            </a:xfrm>
                            <a:prstGeom prst="rect">
                              <a:avLst/>
                            </a:prstGeom>
                            <a:solidFill>
                              <a:srgbClr val="FFFFFF"/>
                            </a:solidFill>
                            <a:ln>
                              <a:noFill/>
                            </a:ln>
                          </wps:spPr>
                          <wps:txbx>
                            <w:txbxContent>
                              <w:p w:rsidR="005118AF" w:rsidRDefault="00EF60C3">
                                <w:pPr>
                                  <w:jc w:val="center"/>
                                  <w:rPr>
                                    <w:rFonts w:ascii="Times New Roman" w:hAnsi="Times New Roman" w:cs="Times New Roman"/>
                                    <w:bCs/>
                                    <w:i/>
                                    <w:color w:val="00B050"/>
                                    <w:lang w:val="kk-KZ"/>
                                  </w:rPr>
                                </w:pPr>
                                <w:r>
                                  <w:rPr>
                                    <w:rFonts w:ascii="Times New Roman" w:hAnsi="Times New Roman" w:cs="Times New Roman"/>
                                    <w:bCs/>
                                    <w:i/>
                                    <w:color w:val="00B050"/>
                                    <w:lang w:val="kk-KZ"/>
                                  </w:rPr>
                                  <w:t>Әсер</w:t>
                                </w:r>
                                <w:r>
                                  <w:rPr>
                                    <w:rFonts w:ascii="Times New Roman" w:hAnsi="Times New Roman" w:cs="Times New Roman"/>
                                    <w:bCs/>
                                    <w:i/>
                                    <w:color w:val="00B050"/>
                                    <w:lang w:val="kk-KZ"/>
                                  </w:rPr>
                                  <w:t xml:space="preserve"> ету менеджері</w:t>
                                </w:r>
                              </w:p>
                            </w:txbxContent>
                          </wps:txbx>
                          <wps:bodyPr upright="1"/>
                        </wps:wsp>
                        <wps:wsp>
                          <wps:cNvPr id="55" name="Straight Arrow Connector 55"/>
                          <wps:cNvCnPr/>
                          <wps:spPr>
                            <a:xfrm flipH="1" flipV="1">
                              <a:off x="3175462" y="2402378"/>
                              <a:ext cx="120650" cy="309245"/>
                            </a:xfrm>
                            <a:prstGeom prst="straightConnector1">
                              <a:avLst/>
                            </a:prstGeom>
                            <a:ln w="9525" cap="flat" cmpd="sng">
                              <a:solidFill>
                                <a:srgbClr val="00B050"/>
                              </a:solidFill>
                              <a:prstDash val="solid"/>
                              <a:headEnd type="none" w="med" len="med"/>
                              <a:tailEnd type="triangle" w="med" len="med"/>
                            </a:ln>
                          </wps:spPr>
                          <wps:bodyPr/>
                        </wps:wsp>
                        <wps:wsp>
                          <wps:cNvPr id="54" name="Straight Arrow Connector 54"/>
                          <wps:cNvCnPr/>
                          <wps:spPr>
                            <a:xfrm flipV="1">
                              <a:off x="2069869" y="2252749"/>
                              <a:ext cx="210820" cy="262255"/>
                            </a:xfrm>
                            <a:prstGeom prst="straightConnector1">
                              <a:avLst/>
                            </a:prstGeom>
                            <a:ln w="9525" cap="flat" cmpd="sng">
                              <a:solidFill>
                                <a:srgbClr val="00B050"/>
                              </a:solidFill>
                              <a:prstDash val="solid"/>
                              <a:headEnd type="none" w="med" len="med"/>
                              <a:tailEnd type="triangle" w="med" len="med"/>
                            </a:ln>
                          </wps:spPr>
                          <wps:bodyPr/>
                        </wps:wsp>
                        <wps:wsp>
                          <wps:cNvPr id="53" name="Straight Arrow Connector 53"/>
                          <wps:cNvCnPr/>
                          <wps:spPr>
                            <a:xfrm flipH="1" flipV="1">
                              <a:off x="3798916" y="2028305"/>
                              <a:ext cx="502285" cy="110490"/>
                            </a:xfrm>
                            <a:prstGeom prst="straightConnector1">
                              <a:avLst/>
                            </a:prstGeom>
                            <a:ln w="9525" cap="flat" cmpd="sng">
                              <a:solidFill>
                                <a:srgbClr val="00B050"/>
                              </a:solidFill>
                              <a:prstDash val="solid"/>
                              <a:headEnd type="none" w="med" len="med"/>
                              <a:tailEnd type="triangle" w="med" len="med"/>
                            </a:ln>
                          </wps:spPr>
                          <wps:bodyPr/>
                        </wps:wsp>
                        <wps:wsp>
                          <wps:cNvPr id="47" name="Straight Arrow Connector 47"/>
                          <wps:cNvCnPr/>
                          <wps:spPr>
                            <a:xfrm>
                              <a:off x="1995054" y="581891"/>
                              <a:ext cx="173990" cy="483235"/>
                            </a:xfrm>
                            <a:prstGeom prst="straightConnector1">
                              <a:avLst/>
                            </a:prstGeom>
                            <a:ln w="9525" cap="flat" cmpd="sng">
                              <a:solidFill>
                                <a:srgbClr val="0099CC"/>
                              </a:solidFill>
                              <a:prstDash val="solid"/>
                              <a:headEnd type="none" w="med" len="med"/>
                              <a:tailEnd type="triangle" w="med" len="med"/>
                            </a:ln>
                          </wps:spPr>
                          <wps:bodyPr/>
                        </wps:wsp>
                        <wps:wsp>
                          <wps:cNvPr id="46" name="Straight Arrow Connector 46"/>
                          <wps:cNvCnPr/>
                          <wps:spPr>
                            <a:xfrm flipH="1">
                              <a:off x="3300153" y="507076"/>
                              <a:ext cx="186690" cy="462280"/>
                            </a:xfrm>
                            <a:prstGeom prst="straightConnector1">
                              <a:avLst/>
                            </a:prstGeom>
                            <a:ln w="9525" cap="flat" cmpd="sng">
                              <a:solidFill>
                                <a:srgbClr val="0099CC"/>
                              </a:solidFill>
                              <a:prstDash val="solid"/>
                              <a:headEnd type="none" w="med" len="med"/>
                              <a:tailEnd type="triangle" w="med" len="med"/>
                            </a:ln>
                          </wps:spPr>
                          <wps:bodyPr/>
                        </wps:wsp>
                        <wps:wsp>
                          <wps:cNvPr id="38" name="Straight Arrow Connector 38"/>
                          <wps:cNvCnPr/>
                          <wps:spPr>
                            <a:xfrm flipH="1">
                              <a:off x="3823854" y="1296785"/>
                              <a:ext cx="318135" cy="84455"/>
                            </a:xfrm>
                            <a:prstGeom prst="straightConnector1">
                              <a:avLst/>
                            </a:prstGeom>
                            <a:ln w="9525" cap="flat" cmpd="sng">
                              <a:solidFill>
                                <a:srgbClr val="0099CC"/>
                              </a:solidFill>
                              <a:prstDash val="solid"/>
                              <a:headEnd type="none" w="med" len="med"/>
                              <a:tailEnd type="triangle" w="med" len="med"/>
                            </a:ln>
                          </wps:spPr>
                          <wps:bodyPr/>
                        </wps:wsp>
                        <wps:wsp>
                          <wps:cNvPr id="45" name="Straight Arrow Connector 45"/>
                          <wps:cNvCnPr/>
                          <wps:spPr>
                            <a:xfrm>
                              <a:off x="4247803" y="440574"/>
                              <a:ext cx="267335" cy="330835"/>
                            </a:xfrm>
                            <a:prstGeom prst="straightConnector1">
                              <a:avLst/>
                            </a:prstGeom>
                            <a:ln w="9525" cap="flat" cmpd="sng">
                              <a:solidFill>
                                <a:srgbClr val="0099CC"/>
                              </a:solidFill>
                              <a:prstDash val="solid"/>
                              <a:headEnd type="triangle" w="med" len="med"/>
                              <a:tailEnd type="triangle" w="med" len="med"/>
                            </a:ln>
                          </wps:spPr>
                          <wps:bodyPr/>
                        </wps:wsp>
                        <wps:wsp>
                          <wps:cNvPr id="41" name="Straight Arrow Connector 41"/>
                          <wps:cNvCnPr/>
                          <wps:spPr>
                            <a:xfrm>
                              <a:off x="4655127" y="1629294"/>
                              <a:ext cx="9525" cy="370205"/>
                            </a:xfrm>
                            <a:prstGeom prst="straightConnector1">
                              <a:avLst/>
                            </a:prstGeom>
                            <a:ln w="9525" cap="flat" cmpd="sng">
                              <a:solidFill>
                                <a:srgbClr val="0099CC"/>
                              </a:solidFill>
                              <a:prstDash val="solid"/>
                              <a:headEnd type="triangle" w="med" len="med"/>
                              <a:tailEnd type="triangle" w="med" len="med"/>
                            </a:ln>
                          </wps:spPr>
                          <wps:bodyPr/>
                        </wps:wsp>
                      </wpg:grpSp>
                    </wpg:wgp>
                  </a:graphicData>
                </a:graphic>
              </wp:anchor>
            </w:drawing>
          </mc:Choice>
          <mc:Fallback>
            <w:pict>
              <v:group id="Группа 1823708011" o:spid="_x0000_s1138" style="position:absolute;left:0;text-align:left;margin-left:18.95pt;margin-top:1.75pt;width:454.8pt;height:250.65pt;z-index:251693056" coordsize="57759,31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">
                <v:rect id="Rectangles 49" o:spid="_x0000_s1139" style="position:absolute;left:27348;top:27016;width:11373;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textbox>
                    <w:txbxContent>
                      <w:p w:rsidR="005118AF" w:rsidRDefault="00EF60C3">
                        <w:pPr>
                          <w:jc w:val="center"/>
                          <w:rPr>
                            <w:rFonts w:ascii="Times New Roman" w:hAnsi="Times New Roman" w:cs="Times New Roman"/>
                            <w:bCs/>
                            <w:i/>
                            <w:color w:val="00B050"/>
                            <w:lang w:val="kk-KZ"/>
                          </w:rPr>
                        </w:pPr>
                        <w:r>
                          <w:rPr>
                            <w:rFonts w:ascii="Times New Roman" w:hAnsi="Times New Roman" w:cs="Times New Roman"/>
                            <w:bCs/>
                            <w:i/>
                            <w:color w:val="00B050"/>
                            <w:lang w:val="kk-KZ"/>
                          </w:rPr>
                          <w:t>Этикалық комитет</w:t>
                        </w:r>
                      </w:p>
                    </w:txbxContent>
                  </v:textbox>
                </v:rect>
                <v:group id="Группа 1823708010" o:spid="_x0000_s1140" style="position:absolute;width:57759;height:31837" coordsize="57763,31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P6XK8&#10;zAAAAOMAAAAPAAAAAAAAAAAAAAAAAKoCAABkcnMvZG93bnJldi54bWxQSwUGAAAAAAQABAD6AAAA&#10;owMAAAAA&#10;">
                  <v:oval id="Oval 26" o:spid="_x0000_s1141" style="position:absolute;left:19950;top:9809;width:17863;height:12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gf8QA&#10;AADbAAAADwAAAGRycy9kb3ducmV2LnhtbESPQWvCQBSE7wX/w/IEb3XTUETSrCKKreipaUF6e8k+&#10;k9Ds27C7NfHfdwsFj8PMfMPk69F04krOt5YVPM0TEMSV1S3XCj4/9o9LED4ga+wsk4IbeVivJg85&#10;ZtoO/E7XItQiQthnqKAJoc+k9FVDBv3c9sTRu1hnMETpaqkdDhFuOpkmyUIabDkuNNjTtqHqu/gx&#10;Ck5f5/L8ekztstgOb+WudwU9n5SaTcfNC4hAY7iH/9sHrSBdwN+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4H/EAAAA2wAAAA8AAAAAAAAAAAAAAAAAmAIAAGRycy9k&#10;b3ducmV2LnhtbFBLBQYAAAAABAAEAPUAAACJAwAAAAA=&#10;" strokecolor="#c00000" strokeweight="1.5pt">
                    <v:textbox>
                      <w:txbxContent>
                        <w:p w:rsidR="005118AF" w:rsidRDefault="005118AF">
                          <w:pPr>
                            <w:spacing w:after="0" w:line="240" w:lineRule="auto"/>
                            <w:jc w:val="center"/>
                            <w:rPr>
                              <w:rFonts w:ascii="Times New Roman" w:hAnsi="Times New Roman" w:cs="Times New Roman"/>
                              <w:i/>
                              <w:sz w:val="28"/>
                              <w:szCs w:val="28"/>
                              <w:lang w:val="kk-KZ"/>
                            </w:rPr>
                          </w:pPr>
                        </w:p>
                        <w:p w:rsidR="005118AF" w:rsidRDefault="00EF60C3">
                          <w:pPr>
                            <w:spacing w:after="0" w:line="240" w:lineRule="auto"/>
                            <w:jc w:val="center"/>
                            <w:rPr>
                              <w:rFonts w:ascii="Times New Roman" w:hAnsi="Times New Roman" w:cs="Times New Roman"/>
                              <w:bCs/>
                              <w:i/>
                              <w:color w:val="C00000"/>
                              <w:sz w:val="28"/>
                              <w:szCs w:val="28"/>
                              <w:lang w:val="kk-KZ"/>
                            </w:rPr>
                          </w:pPr>
                          <w:r>
                            <w:rPr>
                              <w:rFonts w:ascii="Times New Roman" w:hAnsi="Times New Roman" w:cs="Times New Roman"/>
                              <w:bCs/>
                              <w:i/>
                              <w:color w:val="C00000"/>
                              <w:sz w:val="28"/>
                              <w:szCs w:val="28"/>
                              <w:lang w:val="kk-KZ"/>
                            </w:rPr>
                            <w:t>Директорлар кеңесі</w:t>
                          </w:r>
                        </w:p>
                      </w:txbxContent>
                    </v:textbox>
                  </v:oval>
                  <v:shape id="Straight Arrow Connector 48" o:spid="_x0000_s1142" type="#_x0000_t32" style="position:absolute;left:166;top:18288;width:19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NF8EAAADbAAAADwAAAGRycy9kb3ducmV2LnhtbERPz2vCMBS+C/sfwhN2s6kyhlSjiFOY&#10;TA92U6+P5q0ta15Kkmn1rzcHwePH93s670wjzuR8bVnBMElBEBdW11wq+PleD8YgfEDW2FgmBVfy&#10;MJ+99KaYaXvhPZ3zUIoYwj5DBVUIbSalLyoy6BPbEkfu1zqDIUJXSu3wEsNNI0dp+i4N1hwbKmxp&#10;WVHxl/8bBatu8fFld7fD9pizv53cZojrjVKv/W4xARGoC0/xw/2pFbzFsfFL/AFyd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c0XwQAAANsAAAAPAAAAAAAAAAAAAAAA&#10;AKECAABkcnMvZG93bnJldi54bWxQSwUGAAAAAAQABAD5AAAAjwMAAAAA&#10;" strokecolor="#09c" strokeweight="1pt"/>
                  <v:shape id="Straight Arrow Connector 51" o:spid="_x0000_s1143" type="#_x0000_t32" style="position:absolute;left:38072;top:18121;width:196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LyV8UAAADbAAAADwAAAGRycy9kb3ducmV2LnhtbESPQWvCQBSE74L/YXmCN7NJQSmpq0hb&#10;odL2YKx6fWSfSWj2bdjdavTXdwsFj8PMfMPMl71pxZmcbywryJIUBHFpdcOVgq/devIIwgdkja1l&#10;UnAlD8vFcDDHXNsLb+lchEpECPscFdQhdLmUvqzJoE9sRxy9k3UGQ5SuktrhJcJNKx/SdCYNNhwX&#10;auzouabyu/gxCl771cu7/bztPw4F+9vRbTJcb5Qaj/rVE4hAfbiH/9tvWsE0g7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LyV8UAAADbAAAADwAAAAAAAAAA&#10;AAAAAAChAgAAZHJzL2Rvd25yZXYueG1sUEsFBgAAAAAEAAQA+QAAAJMDAAAAAA==&#10;" strokecolor="#09c" strokeweight="1pt"/>
                  <v:rect id="Rectangles 43" o:spid="_x0000_s1144" style="position:absolute;left:15046;top:1579;width:9004;height:5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textbox>
                      <w:txbxContent>
                        <w:p w:rsidR="005118AF" w:rsidRDefault="00EF60C3">
                          <w:pPr>
                            <w:jc w:val="center"/>
                            <w:rPr>
                              <w:rFonts w:ascii="Times New Roman" w:hAnsi="Times New Roman" w:cs="Times New Roman"/>
                              <w:bCs/>
                              <w:i/>
                              <w:color w:val="0099CC"/>
                              <w:lang w:val="kk-KZ"/>
                            </w:rPr>
                          </w:pPr>
                          <w:r>
                            <w:rPr>
                              <w:rFonts w:ascii="Times New Roman" w:hAnsi="Times New Roman" w:cs="Times New Roman"/>
                              <w:bCs/>
                              <w:i/>
                              <w:color w:val="0099CC"/>
                              <w:lang w:val="kk-KZ"/>
                            </w:rPr>
                            <w:t>Атқару комитеті</w:t>
                          </w:r>
                        </w:p>
                      </w:txbxContent>
                    </v:textbox>
                  </v:rect>
                  <v:rect id="Rectangles 24" o:spid="_x0000_s1145" style="position:absolute;left:32419;width:10909;height:6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stroked="f">
                    <v:textbox>
                      <w:txbxContent>
                        <w:p w:rsidR="005118AF" w:rsidRDefault="00EF60C3">
                          <w:pPr>
                            <w:jc w:val="center"/>
                            <w:rPr>
                              <w:rFonts w:ascii="Times New Roman" w:hAnsi="Times New Roman" w:cs="Times New Roman"/>
                              <w:bCs/>
                              <w:i/>
                              <w:color w:val="0099CC"/>
                            </w:rPr>
                          </w:pPr>
                          <w:r>
                            <w:rPr>
                              <w:rFonts w:ascii="Times New Roman" w:hAnsi="Times New Roman" w:cs="Times New Roman"/>
                              <w:bCs/>
                              <w:i/>
                              <w:color w:val="0099CC"/>
                              <w:lang w:val="kk-KZ"/>
                            </w:rPr>
                            <w:t>Қадағалау</w:t>
                          </w:r>
                          <w:r>
                            <w:rPr>
                              <w:rFonts w:ascii="Times New Roman" w:hAnsi="Times New Roman" w:cs="Times New Roman"/>
                              <w:bCs/>
                              <w:i/>
                              <w:color w:val="0099CC"/>
                              <w:lang w:val="kk-KZ"/>
                            </w:rPr>
                            <w:t xml:space="preserve"> кеңесі </w:t>
                          </w:r>
                          <w:r>
                            <w:rPr>
                              <w:rFonts w:ascii="Times New Roman" w:hAnsi="Times New Roman" w:cs="Times New Roman"/>
                              <w:bCs/>
                              <w:i/>
                              <w:color w:val="0099CC"/>
                            </w:rPr>
                            <w:t>231/01</w:t>
                          </w:r>
                        </w:p>
                      </w:txbxContent>
                    </v:textbox>
                  </v:rect>
                  <v:rect id="Rectangles 25" o:spid="_x0000_s1146" style="position:absolute;left:40732;top:8146;width:10909;height:6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yA8QA&#10;AADbAAAADwAAAGRycy9kb3ducmV2LnhtbESPS2vDMBCE74X8B7GB3BqpaWMaJ0oIBUOg7SEP6HWx&#10;NraptXIs+dF/XxUKOQ4z8w2z2Y22Fj21vnKs4WmuQBDnzlRcaLics8dXED4gG6wdk4Yf8rDbTh42&#10;mBo38JH6UyhEhLBPUUMZQpNK6fOSLPq5a4ijd3WtxRBlW0jT4hDhtpYLpRJpseK4UGJDbyXl36fO&#10;asDkxdw+r88f5/cuwVUxqmz5pbSeTcf9GkSgMdzD/+2D0bBYwt+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z8gPEAAAA2wAAAA8AAAAAAAAAAAAAAAAAmAIAAGRycy9k&#10;b3ducmV2LnhtbFBLBQYAAAAABAAEAPUAAACJAwAAAAA=&#10;" stroked="f">
                    <v:textbox>
                      <w:txbxContent>
                        <w:p w:rsidR="005118AF" w:rsidRDefault="00EF60C3">
                          <w:pPr>
                            <w:jc w:val="center"/>
                            <w:rPr>
                              <w:rFonts w:ascii="Times New Roman" w:hAnsi="Times New Roman" w:cs="Times New Roman"/>
                              <w:bCs/>
                              <w:i/>
                              <w:color w:val="0099CC"/>
                            </w:rPr>
                          </w:pPr>
                          <w:r>
                            <w:rPr>
                              <w:rFonts w:ascii="Times New Roman" w:hAnsi="Times New Roman" w:cs="Times New Roman"/>
                              <w:bCs/>
                              <w:i/>
                              <w:color w:val="0099CC"/>
                              <w:lang w:val="kk-KZ"/>
                            </w:rPr>
                            <w:t>Жарғылық аудиторлар комиссиясы</w:t>
                          </w:r>
                        </w:p>
                      </w:txbxContent>
                    </v:textbox>
                  </v:rect>
                  <v:rect id="Rectangles 44" o:spid="_x0000_s1147" style="position:absolute;left:997;top:11554;width:13291;height:4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textbox>
                      <w:txbxContent>
                        <w:p w:rsidR="005118AF" w:rsidRDefault="00EF60C3">
                          <w:pPr>
                            <w:rPr>
                              <w:rFonts w:ascii="Times New Roman" w:hAnsi="Times New Roman" w:cs="Times New Roman"/>
                              <w:bCs/>
                              <w:i/>
                              <w:color w:val="0099CC"/>
                              <w:sz w:val="24"/>
                              <w:szCs w:val="24"/>
                            </w:rPr>
                          </w:pPr>
                          <w:r>
                            <w:rPr>
                              <w:rFonts w:ascii="Times New Roman" w:hAnsi="Times New Roman" w:cs="Times New Roman"/>
                              <w:bCs/>
                              <w:i/>
                              <w:color w:val="0099CC"/>
                              <w:sz w:val="24"/>
                              <w:szCs w:val="24"/>
                              <w:lang w:val="kk-KZ"/>
                            </w:rPr>
                            <w:t>Корпоративтік басқару</w:t>
                          </w:r>
                        </w:p>
                      </w:txbxContent>
                    </v:textbox>
                  </v:rect>
                  <v:rect id="Rectangles 42" o:spid="_x0000_s1148" style="position:absolute;top:19285;width:13290;height:1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textbox>
                      <w:txbxContent>
                        <w:p w:rsidR="005118AF" w:rsidRDefault="00EF60C3">
                          <w:pPr>
                            <w:rPr>
                              <w:rFonts w:ascii="Times New Roman" w:hAnsi="Times New Roman" w:cs="Times New Roman"/>
                              <w:bCs/>
                              <w:i/>
                              <w:color w:val="00B050"/>
                              <w:sz w:val="24"/>
                              <w:szCs w:val="24"/>
                              <w:lang w:val="kk-KZ"/>
                            </w:rPr>
                          </w:pPr>
                          <w:r>
                            <w:rPr>
                              <w:rFonts w:ascii="Times New Roman" w:hAnsi="Times New Roman" w:cs="Times New Roman"/>
                              <w:bCs/>
                              <w:i/>
                              <w:color w:val="00B050"/>
                              <w:sz w:val="24"/>
                              <w:szCs w:val="24"/>
                              <w:lang w:val="kk-KZ"/>
                            </w:rPr>
                            <w:t>Тұрақтылық бойынша басқару</w:t>
                          </w:r>
                        </w:p>
                        <w:p w:rsidR="005118AF" w:rsidRDefault="00EF60C3">
                          <w:pPr>
                            <w:rPr>
                              <w:rFonts w:ascii="Times New Roman" w:hAnsi="Times New Roman" w:cs="Times New Roman"/>
                              <w:bCs/>
                              <w:i/>
                              <w:color w:val="00B050"/>
                              <w:sz w:val="24"/>
                              <w:szCs w:val="24"/>
                              <w:lang w:val="kk-KZ"/>
                            </w:rPr>
                          </w:pPr>
                          <w:r>
                            <w:rPr>
                              <w:rFonts w:ascii="Times New Roman" w:hAnsi="Times New Roman" w:cs="Times New Roman"/>
                              <w:bCs/>
                              <w:i/>
                              <w:noProof/>
                              <w:color w:val="00B050"/>
                              <w:sz w:val="24"/>
                              <w:szCs w:val="24"/>
                            </w:rPr>
                            <w:drawing>
                              <wp:inline distT="0" distB="0" distL="0" distR="0">
                                <wp:extent cx="485775" cy="485775"/>
                                <wp:effectExtent l="0" t="0" r="0" b="0"/>
                                <wp:docPr id="23" name="Рисунок 2" descr="Уменьшить яркость (солнце меньшего размера)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 descr="Уменьшить яркость (солнце меньшего размера) контур"/>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12"/>
                                            </a:ext>
                                          </a:extLst>
                                        </a:blip>
                                        <a:stretch>
                                          <a:fillRect/>
                                        </a:stretch>
                                      </pic:blipFill>
                                      <pic:spPr>
                                        <a:xfrm>
                                          <a:off x="0" y="0"/>
                                          <a:ext cx="496534" cy="496534"/>
                                        </a:xfrm>
                                        <a:prstGeom prst="rect">
                                          <a:avLst/>
                                        </a:prstGeom>
                                      </pic:spPr>
                                    </pic:pic>
                                  </a:graphicData>
                                </a:graphic>
                              </wp:inline>
                            </w:drawing>
                          </w:r>
                        </w:p>
                      </w:txbxContent>
                    </v:textbox>
                  </v:rect>
                  <v:rect id="Rectangles 52" o:spid="_x0000_s1149" style="position:absolute;left:12884;top:25686;width:11373;height:5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ZCsQA&#10;AADbAAAADwAAAGRycy9kb3ducmV2LnhtbESPS2vDMBCE74X8B7GB3BqpaWMaJ0oIBUOg7SEP6HWx&#10;NraptXIs+dF/XxUKOQ4z8w2z2Y22Fj21vnKs4WmuQBDnzlRcaLics8dXED4gG6wdk4Yf8rDbTh42&#10;mBo38JH6UyhEhLBPUUMZQpNK6fOSLPq5a4ijd3WtxRBlW0jT4hDhtpYLpRJpseK4UGJDbyXl36fO&#10;asDkxdw+r88f5/cuwVUxqmz5pbSeTcf9GkSgMdzD/+2D0bBcwN+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cGQrEAAAA2wAAAA8AAAAAAAAAAAAAAAAAmAIAAGRycy9k&#10;b3ducmV2LnhtbFBLBQYAAAAABAAEAPUAAACJAwAAAAA=&#10;" stroked="f">
                    <v:textbox>
                      <w:txbxContent>
                        <w:p w:rsidR="005118AF" w:rsidRDefault="00EF60C3">
                          <w:pPr>
                            <w:jc w:val="center"/>
                            <w:rPr>
                              <w:rFonts w:ascii="Times New Roman" w:hAnsi="Times New Roman" w:cs="Times New Roman"/>
                              <w:bCs/>
                              <w:i/>
                              <w:color w:val="00B050"/>
                              <w:lang w:val="kk-KZ"/>
                            </w:rPr>
                          </w:pPr>
                          <w:r>
                            <w:rPr>
                              <w:rFonts w:ascii="Times New Roman" w:hAnsi="Times New Roman" w:cs="Times New Roman"/>
                              <w:bCs/>
                              <w:i/>
                              <w:color w:val="00B050"/>
                              <w:lang w:val="kk-KZ"/>
                            </w:rPr>
                            <w:t>Тамақтануды бақылау кеңесі</w:t>
                          </w:r>
                        </w:p>
                      </w:txbxContent>
                    </v:textbox>
                  </v:rect>
                  <v:rect id="Rectangles 50" o:spid="_x0000_s1150" style="position:absolute;left:41979;top:20864;width:11373;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textbox>
                      <w:txbxContent>
                        <w:p w:rsidR="005118AF" w:rsidRDefault="00EF60C3">
                          <w:pPr>
                            <w:jc w:val="center"/>
                            <w:rPr>
                              <w:rFonts w:ascii="Times New Roman" w:hAnsi="Times New Roman" w:cs="Times New Roman"/>
                              <w:bCs/>
                              <w:i/>
                              <w:color w:val="00B050"/>
                              <w:lang w:val="kk-KZ"/>
                            </w:rPr>
                          </w:pPr>
                          <w:r>
                            <w:rPr>
                              <w:rFonts w:ascii="Times New Roman" w:hAnsi="Times New Roman" w:cs="Times New Roman"/>
                              <w:bCs/>
                              <w:i/>
                              <w:color w:val="00B050"/>
                              <w:lang w:val="kk-KZ"/>
                            </w:rPr>
                            <w:t>Әсер</w:t>
                          </w:r>
                          <w:r>
                            <w:rPr>
                              <w:rFonts w:ascii="Times New Roman" w:hAnsi="Times New Roman" w:cs="Times New Roman"/>
                              <w:bCs/>
                              <w:i/>
                              <w:color w:val="00B050"/>
                              <w:lang w:val="kk-KZ"/>
                            </w:rPr>
                            <w:t xml:space="preserve"> ету менеджері</w:t>
                          </w:r>
                        </w:p>
                      </w:txbxContent>
                    </v:textbox>
                  </v:rect>
                  <v:shape id="Straight Arrow Connector 55" o:spid="_x0000_s1151" type="#_x0000_t32" style="position:absolute;left:31754;top:24023;width:1207;height:30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jrAMIAAADbAAAADwAAAGRycy9kb3ducmV2LnhtbESPzW7CMBCE70i8g7WVuIHTSvw0YBCt&#10;CuUK5QGWeBNHxOvINiF9+7oSEsfRzHyjWW1624iOfKgdK3idZCCIC6drrhScf3bjBYgQkTU2jknB&#10;LwXYrIeDFeba3flI3SlWIkE45KjAxNjmUobCkMUwcS1x8krnLcYkfSW1x3uC20a+ZdlMWqw5LRhs&#10;6dNQcT3drILZdx/O3Ud58Zc4N7cy7OXX+16p0Uu/XYKI1Mdn+NE+aAXTKfx/ST9A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ujrAMIAAADbAAAADwAAAAAAAAAAAAAA&#10;AAChAgAAZHJzL2Rvd25yZXYueG1sUEsFBgAAAAAEAAQA+QAAAJADAAAAAA==&#10;" strokecolor="#00b050">
                    <v:stroke endarrow="block"/>
                  </v:shape>
                  <v:shape id="Straight Arrow Connector 54" o:spid="_x0000_s1152" type="#_x0000_t32" style="position:absolute;left:20698;top:22527;width:2108;height:26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vrcMAAADbAAAADwAAAGRycy9kb3ducmV2LnhtbESPwWrDMBBE74H+g9hCb4nc4LbBjWJK&#10;oBACPdTxByzW1jKxVkZSbSdfHwUKPQ4z84bZlrPtxUg+dI4VPK8yEMSN0x23CurT53IDIkRkjb1j&#10;UnChAOXuYbHFQruJv2msYisShEOBCkyMQyFlaAxZDCs3ECfvx3mLMUnfSu1xSnDby3WWvUqLHacF&#10;gwPtDTXn6tcqqEx9ljSdvmS+qQ8j99317XhR6ulx/ngHEWmO/+G/9kEreMnh/iX9AL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G763DAAAA2wAAAA8AAAAAAAAAAAAA&#10;AAAAoQIAAGRycy9kb3ducmV2LnhtbFBLBQYAAAAABAAEAPkAAACRAwAAAAA=&#10;" strokecolor="#00b050">
                    <v:stroke endarrow="block"/>
                  </v:shape>
                  <v:shape id="Straight Arrow Connector 53" o:spid="_x0000_s1153" type="#_x0000_t32" style="position:absolute;left:37989;top:20283;width:5023;height:11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W78IAAADbAAAADwAAAGRycy9kb3ducmV2LnhtbESPzW7CMBCE75V4B2uReisOReUnYBBF&#10;hfZa4AGWeBNHxOvINiG8fV2pUo+jmflGs9r0thEd+VA7VjAeZSCIC6drrhScT/uXOYgQkTU2jknB&#10;gwJs1oOnFeba3fmbumOsRIJwyFGBibHNpQyFIYth5Fri5JXOW4xJ+kpqj/cEt418zbKptFhzWjDY&#10;0s5QcT3erILpZx/O3Xt58Zc4M7cyHOTH4qDU87DfLkFE6uN/+K/9pRW8TeD3S/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3W78IAAADbAAAADwAAAAAAAAAAAAAA&#10;AAChAgAAZHJzL2Rvd25yZXYueG1sUEsFBgAAAAAEAAQA+QAAAJADAAAAAA==&#10;" strokecolor="#00b050">
                    <v:stroke endarrow="block"/>
                  </v:shape>
                  <v:shape id="Straight Arrow Connector 47" o:spid="_x0000_s1154" type="#_x0000_t32" style="position:absolute;left:19950;top:5818;width:1740;height:48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rTxcYAAADbAAAADwAAAGRycy9kb3ducmV2LnhtbESPT2vCQBTE74LfYXmF3nTTIq3EbESE&#10;BnuoUGsUb4/syx/Mvg3ZrYnfvlso9DjMzG+YZD2aVtyod41lBU/zCARxYXXDlYLj19tsCcJ5ZI2t&#10;ZVJwJwfrdDpJMNZ24E+6HXwlAoRdjApq77tYSlfUZNDNbUccvNL2Bn2QfSV1j0OAm1Y+R9GLNNhw&#10;WKixo21NxfXwbRTYk7vvFtlwfL92l+zjXOb7bJ8r9fgwblYgPI3+P/zX3mkFi1f4/RJ+gE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a08XGAAAA2wAAAA8AAAAAAAAA&#10;AAAAAAAAoQIAAGRycy9kb3ducmV2LnhtbFBLBQYAAAAABAAEAPkAAACUAwAAAAA=&#10;" strokecolor="#09c">
                    <v:stroke endarrow="block"/>
                  </v:shape>
                  <v:shape id="Straight Arrow Connector 46" o:spid="_x0000_s1155" type="#_x0000_t32" style="position:absolute;left:33001;top:5070;width:1867;height:46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YtQMMAAADbAAAADwAAAGRycy9kb3ducmV2LnhtbESPQYvCMBSE78L+h/AEb5q6LCpdo6gg&#10;q6fFKnh9NG+b0ualNFGrv94sCB6HmfmGmS87W4srtb50rGA8SkAQ506XXCg4HbfDGQgfkDXWjknB&#10;nTwsFx+9Oaba3fhA1ywUIkLYp6jAhNCkUvrckEU/cg1x9P5cazFE2RZSt3iLcFvLzySZSIslxwWD&#10;DW0M5VV2sQp+180+qabn48NuHj9mvT+Ny65SatDvVt8gAnXhHX61d1rB1wT+v8Qf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2LUDDAAAA2wAAAA8AAAAAAAAAAAAA&#10;AAAAoQIAAGRycy9kb3ducmV2LnhtbFBLBQYAAAAABAAEAPkAAACRAwAAAAA=&#10;" strokecolor="#09c">
                    <v:stroke endarrow="block"/>
                  </v:shape>
                  <v:shape id="Straight Arrow Connector 38" o:spid="_x0000_s1156" type="#_x0000_t32" style="position:absolute;left:38238;top:12967;width:3181;height:8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Nv1MAAAADbAAAADwAAAGRycy9kb3ducmV2LnhtbERPTYvCMBC9C/6HMMLeNFXBXWpTUUFc&#10;T7Iq7HVoxqa0mZQmatdfvzkIHh/vO1v1thF36nzlWMF0koAgLpyuuFRwOe/GXyB8QNbYOCYFf+Rh&#10;lQ8HGabaPfiH7qdQihjCPkUFJoQ2ldIXhiz6iWuJI3d1ncUQYVdK3eEjhttGzpJkIS1WHBsMtrQ1&#10;VNSnm1Vw3LSHpP78PT/t9rk3m8NlWvW1Uh+jfr0EEagPb/HL/a0VzOPY+CX+A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jb9TAAAAA2wAAAA8AAAAAAAAAAAAAAAAA&#10;oQIAAGRycy9kb3ducmV2LnhtbFBLBQYAAAAABAAEAPkAAACOAwAAAAA=&#10;" strokecolor="#09c">
                    <v:stroke endarrow="block"/>
                  </v:shape>
                  <v:shape id="Straight Arrow Connector 45" o:spid="_x0000_s1157" type="#_x0000_t32" style="position:absolute;left:42478;top:4405;width:2673;height:3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s3OsMAAADbAAAADwAAAGRycy9kb3ducmV2LnhtbESPX2vCMBTF3wW/Q7jC3mzqmDKqaZmD&#10;ycAHsRvDx0tzbTqbm67JtPv2iyD4eDh/fpxVMdhWnKn3jWMFsyQFQVw53XCt4PPjbfoMwgdkja1j&#10;UvBHHop8PFphpt2F93QuQy3iCPsMFZgQukxKXxmy6BPXEUfv6HqLIcq+lrrHSxy3rXxM04W02HAk&#10;GOzo1VB1Kn9t5H7T+sA1dnjYm832tNv86PJLqYfJ8LIEEWgI9/Ct/a4VPM3h+iX+A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NzrDAAAA2wAAAA8AAAAAAAAAAAAA&#10;AAAAoQIAAGRycy9kb3ducmV2LnhtbFBLBQYAAAAABAAEAPkAAACRAwAAAAA=&#10;" strokecolor="#09c">
                    <v:stroke startarrow="block" endarrow="block"/>
                  </v:shape>
                  <v:shape id="Straight Arrow Connector 41" o:spid="_x0000_s1158" type="#_x0000_t32" style="position:absolute;left:46551;top:16292;width:95;height:37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xOcEAAADbAAAADwAAAGRycy9kb3ducmV2LnhtbESPzYrCMBSF9wO+Q7jC7MbUQWSoRlFB&#10;EWYhVhGXl+baVJub2mS0vr0RhFkezs/HGU9bW4kbNb50rKDfS0AQ506XXCjY75ZfPyB8QNZYOSYF&#10;D/IwnXQ+xphqd+ct3bJQiDjCPkUFJoQ6ldLnhiz6nquJo3dyjcUQZVNI3eA9jttKfifJUFosORIM&#10;1rQwlF+yPxu5Z5ofucAaj1uz+r1sVledHZT67LazEYhAbfgPv9trrWDQh9eX+APk5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sDE5wQAAANsAAAAPAAAAAAAAAAAAAAAA&#10;AKECAABkcnMvZG93bnJldi54bWxQSwUGAAAAAAQABAD5AAAAjwMAAAAA&#10;" strokecolor="#09c">
                    <v:stroke startarrow="block" endarrow="block"/>
                  </v:shape>
                </v:group>
              </v:group>
            </w:pict>
          </mc:Fallback>
        </mc:AlternateContent>
      </w: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EF60C3">
      <w:pPr>
        <w:spacing w:after="0" w:line="240" w:lineRule="auto"/>
        <w:ind w:firstLine="567"/>
        <w:jc w:val="both"/>
        <w:rPr>
          <w:rFonts w:ascii="Times New Roman" w:eastAsia="Times New Roman" w:hAnsi="Times New Roman"/>
          <w:color w:val="000000"/>
          <w:sz w:val="28"/>
          <w:szCs w:val="28"/>
          <w:lang w:val="kk-KZ"/>
        </w:rPr>
      </w:pPr>
      <w:r>
        <w:rPr>
          <w:rFonts w:ascii="Times New Roman" w:hAnsi="Times New Roman" w:cs="Times New Roman"/>
          <w:b/>
          <w:bCs/>
          <w:noProof/>
          <w:color w:val="0099CC"/>
          <w:sz w:val="24"/>
          <w:szCs w:val="24"/>
        </w:rPr>
        <w:drawing>
          <wp:inline distT="0" distB="0" distL="0" distR="0">
            <wp:extent cx="387350" cy="387350"/>
            <wp:effectExtent l="0" t="0" r="6350" b="0"/>
            <wp:docPr id="22" name="Рисунок 1" descr="Город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 descr="Город контур"/>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14"/>
                        </a:ext>
                      </a:extLst>
                    </a:blip>
                    <a:stretch>
                      <a:fillRect/>
                    </a:stretch>
                  </pic:blipFill>
                  <pic:spPr>
                    <a:xfrm>
                      <a:off x="0" y="0"/>
                      <a:ext cx="398539" cy="398539"/>
                    </a:xfrm>
                    <a:prstGeom prst="rect">
                      <a:avLst/>
                    </a:prstGeom>
                  </pic:spPr>
                </pic:pic>
              </a:graphicData>
            </a:graphic>
          </wp:inline>
        </w:drawing>
      </w:r>
    </w:p>
    <w:p w:rsidR="005118AF" w:rsidRDefault="005118AF">
      <w:pPr>
        <w:spacing w:after="0" w:line="240" w:lineRule="auto"/>
        <w:ind w:firstLine="142"/>
        <w:jc w:val="both"/>
        <w:rPr>
          <w:rFonts w:ascii="Times New Roman" w:eastAsia="Times New Roman" w:hAnsi="Times New Roman"/>
          <w:color w:val="000000"/>
          <w:sz w:val="28"/>
          <w:szCs w:val="28"/>
          <w:lang w:val="kk-KZ"/>
        </w:rPr>
      </w:pPr>
    </w:p>
    <w:p w:rsidR="005118AF" w:rsidRDefault="005118AF">
      <w:pPr>
        <w:spacing w:after="0" w:line="240" w:lineRule="auto"/>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28"/>
          <w:szCs w:val="28"/>
          <w:lang w:val="kk-KZ"/>
        </w:rPr>
      </w:pPr>
    </w:p>
    <w:p w:rsidR="005118AF" w:rsidRDefault="005118AF">
      <w:pPr>
        <w:spacing w:after="0" w:line="240" w:lineRule="auto"/>
        <w:ind w:firstLine="567"/>
        <w:jc w:val="both"/>
        <w:rPr>
          <w:rFonts w:ascii="Times New Roman" w:eastAsia="Times New Roman" w:hAnsi="Times New Roman"/>
          <w:color w:val="000000"/>
          <w:sz w:val="16"/>
          <w:szCs w:val="16"/>
          <w:lang w:val="kk-KZ"/>
        </w:rPr>
      </w:pPr>
    </w:p>
    <w:p w:rsidR="005118AF" w:rsidRDefault="005118AF">
      <w:pPr>
        <w:spacing w:after="0" w:line="240" w:lineRule="auto"/>
        <w:jc w:val="center"/>
        <w:rPr>
          <w:rFonts w:ascii="Times New Roman" w:eastAsia="Times New Roman" w:hAnsi="Times New Roman"/>
          <w:color w:val="000000"/>
          <w:sz w:val="16"/>
          <w:szCs w:val="16"/>
          <w:lang w:val="kk-KZ"/>
        </w:rPr>
      </w:pPr>
    </w:p>
    <w:p w:rsidR="005118AF" w:rsidRDefault="00EF60C3">
      <w:pPr>
        <w:spacing w:after="0" w:line="240" w:lineRule="auto"/>
        <w:jc w:val="center"/>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 xml:space="preserve">Сурет </w:t>
      </w:r>
      <w:r>
        <w:rPr>
          <w:rFonts w:ascii="Times New Roman" w:eastAsia="Times New Roman" w:hAnsi="Times New Roman"/>
          <w:color w:val="000000"/>
          <w:sz w:val="28"/>
          <w:szCs w:val="28"/>
        </w:rPr>
        <w:t xml:space="preserve">9 </w:t>
      </w:r>
      <w:r>
        <w:rPr>
          <w:rFonts w:ascii="Times New Roman" w:eastAsia="Times New Roman" w:hAnsi="Times New Roman" w:cs="Times New Roman"/>
          <w:color w:val="000000"/>
          <w:sz w:val="28"/>
          <w:szCs w:val="28"/>
        </w:rPr>
        <w:t>‒</w:t>
      </w:r>
      <w:r>
        <w:rPr>
          <w:rFonts w:ascii="Times New Roman" w:eastAsia="Times New Roman" w:hAnsi="Times New Roman"/>
          <w:color w:val="000000"/>
          <w:sz w:val="28"/>
          <w:szCs w:val="28"/>
          <w:lang w:val="kk-KZ"/>
        </w:rPr>
        <w:t xml:space="preserve"> Адриани компаниясының Корпоративтік басқару құрылымы</w:t>
      </w:r>
    </w:p>
    <w:p w:rsidR="005118AF" w:rsidRDefault="00EF60C3">
      <w:pPr>
        <w:spacing w:after="0" w:line="240" w:lineRule="auto"/>
        <w:ind w:firstLine="567"/>
        <w:jc w:val="both"/>
        <w:rPr>
          <w:rFonts w:ascii="Times New Roman" w:eastAsia="Times New Roman" w:hAnsi="Times New Roman"/>
          <w:color w:val="000000"/>
          <w:sz w:val="28"/>
          <w:szCs w:val="28"/>
          <w:lang w:val="kk-KZ"/>
        </w:rPr>
      </w:pPr>
      <w:r>
        <w:rPr>
          <w:rFonts w:ascii="Times New Roman" w:eastAsia="Times New Roman" w:hAnsi="Times New Roman" w:cs="Times New Roman"/>
          <w:color w:val="000000"/>
          <w:sz w:val="24"/>
          <w:szCs w:val="24"/>
          <w:lang w:val="kk-KZ" w:eastAsia="zh-CN"/>
        </w:rPr>
        <w:t>Ескерту</w:t>
      </w:r>
      <w:r>
        <w:rPr>
          <w:rFonts w:ascii="Times New Roman" w:eastAsia="Times New Roman" w:hAnsi="Times New Roman" w:cs="Times New Roman"/>
          <w:color w:val="000000"/>
          <w:sz w:val="24"/>
          <w:szCs w:val="24"/>
          <w:lang w:eastAsia="zh-CN"/>
        </w:rPr>
        <w:t xml:space="preserve"> - </w:t>
      </w:r>
      <w:r>
        <w:rPr>
          <w:rFonts w:ascii="Times New Roman" w:eastAsia="Times New Roman" w:hAnsi="Times New Roman" w:cs="Times New Roman"/>
          <w:color w:val="000000"/>
          <w:sz w:val="24"/>
          <w:szCs w:val="24"/>
          <w:lang w:val="kk-KZ" w:eastAsia="zh-CN"/>
        </w:rPr>
        <w:t xml:space="preserve">Әдебиет негізінде құрастырылған </w:t>
      </w:r>
      <w:r>
        <w:rPr>
          <w:rFonts w:ascii="Times New Roman" w:eastAsia="Times New Roman" w:hAnsi="Times New Roman" w:cs="Times New Roman"/>
          <w:color w:val="000000"/>
          <w:sz w:val="24"/>
          <w:szCs w:val="24"/>
          <w:lang w:val="en-US" w:eastAsia="zh-CN"/>
        </w:rPr>
        <w:t>[68]</w:t>
      </w: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eastAsia="Times New Roman" w:hAnsi="Times New Roman"/>
          <w:color w:val="000000"/>
          <w:sz w:val="28"/>
          <w:szCs w:val="28"/>
          <w:lang w:val="kk-KZ"/>
        </w:rPr>
      </w:pP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eastAsia="Times New Roman" w:hAnsi="Times New Roman"/>
          <w:color w:val="000000"/>
          <w:sz w:val="28"/>
          <w:szCs w:val="28"/>
          <w:lang w:val="kk-KZ"/>
        </w:rPr>
        <w:t xml:space="preserve">Корпоративтік әлеуметтік жауапкершілік (КӘЖ) командасы тұрақты дамудың инновациялық процесінің тағы бір негізгі факторы саналады. КӘЖ ұйымдастыру қажеттілігі шешім қабылдау үрдістеріне әртүрлі тәжірибесі бар </w:t>
      </w:r>
      <w:r>
        <w:rPr>
          <w:rFonts w:ascii="Times New Roman" w:eastAsia="Times New Roman" w:hAnsi="Times New Roman"/>
          <w:color w:val="000000"/>
          <w:sz w:val="28"/>
          <w:szCs w:val="28"/>
          <w:lang w:val="kk-KZ"/>
        </w:rPr>
        <w:t>сарапшыларды тарту мүмкіндігіне байланысты туындады. Команда үш жылдың ішінде өсіп келеді, 2018 жылы екі бөлімшеден құралған 2020 жылы бес бөлімше болды. Бүгінгі таңда оның құрамына КӘЖ менеджері, тұрақты даму, азық-түлік мамандарының өкілдері, коммуникаци</w:t>
      </w:r>
      <w:r>
        <w:rPr>
          <w:rFonts w:ascii="Times New Roman" w:eastAsia="Times New Roman" w:hAnsi="Times New Roman"/>
          <w:color w:val="000000"/>
          <w:sz w:val="28"/>
          <w:szCs w:val="28"/>
          <w:lang w:val="kk-KZ"/>
        </w:rPr>
        <w:t>я және тұрақты жеткізу тізбегі бойынша үйлестірушілер кіреді [68].</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Қорытындылай</w:t>
      </w:r>
      <w:r>
        <w:rPr>
          <w:rFonts w:ascii="Times New Roman" w:hAnsi="Times New Roman"/>
          <w:sz w:val="28"/>
          <w:szCs w:val="28"/>
          <w:lang w:val="kk-KZ" w:eastAsia="zh-CN"/>
        </w:rPr>
        <w:t xml:space="preserve"> келе, Андрианидің тәжірибесі тұрақты ашық инновация тек қосымша бөлім ретінде емес, бүкіл бизнестің орталық стратегиялық осі ретінде қабылдауға болатынын көрсетеді. Бұл модель </w:t>
      </w:r>
      <w:r>
        <w:rPr>
          <w:rFonts w:ascii="Times New Roman" w:hAnsi="Times New Roman"/>
          <w:sz w:val="28"/>
          <w:szCs w:val="28"/>
          <w:lang w:val="kk-KZ" w:eastAsia="zh-CN"/>
        </w:rPr>
        <w:t>сыртқы инновацияларды тарту арқылы пайда мен тұрақтылық мақсаттарын тиімді түрде үйлестіруге мүмкіндік береді.</w:t>
      </w:r>
    </w:p>
    <w:p w:rsidR="005118AF" w:rsidRDefault="00EF60C3">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r>
        <w:rPr>
          <w:rFonts w:ascii="Times New Roman" w:hAnsi="Times New Roman"/>
          <w:sz w:val="28"/>
          <w:szCs w:val="28"/>
          <w:lang w:val="kk-KZ" w:eastAsia="zh-CN"/>
        </w:rPr>
        <w:t xml:space="preserve">Жалпы, Еуропалық Одақта </w:t>
      </w:r>
      <w:r>
        <w:rPr>
          <w:rFonts w:ascii="Times New Roman" w:hAnsi="Times New Roman"/>
          <w:sz w:val="28"/>
          <w:szCs w:val="28"/>
          <w:lang w:val="kk-KZ" w:eastAsia="zh-CN"/>
        </w:rPr>
        <w:t>“</w:t>
      </w:r>
      <w:r>
        <w:rPr>
          <w:rFonts w:ascii="Times New Roman" w:hAnsi="Times New Roman"/>
          <w:sz w:val="28"/>
          <w:szCs w:val="28"/>
          <w:lang w:val="kk-KZ" w:eastAsia="zh-CN"/>
        </w:rPr>
        <w:t>Horizon 2020</w:t>
      </w:r>
      <w:r>
        <w:rPr>
          <w:rFonts w:ascii="Times New Roman" w:hAnsi="Times New Roman"/>
          <w:sz w:val="28"/>
          <w:szCs w:val="28"/>
          <w:lang w:val="kk-KZ" w:eastAsia="zh-CN"/>
        </w:rPr>
        <w:t>”</w:t>
      </w:r>
      <w:r>
        <w:rPr>
          <w:rFonts w:ascii="Times New Roman" w:hAnsi="Times New Roman"/>
          <w:sz w:val="28"/>
          <w:szCs w:val="28"/>
          <w:lang w:val="kk-KZ" w:eastAsia="zh-CN"/>
        </w:rPr>
        <w:t xml:space="preserve"> және </w:t>
      </w:r>
      <w:r>
        <w:rPr>
          <w:rFonts w:ascii="Times New Roman" w:hAnsi="Times New Roman"/>
          <w:sz w:val="28"/>
          <w:szCs w:val="28"/>
          <w:lang w:val="kk-KZ" w:eastAsia="zh-CN"/>
        </w:rPr>
        <w:t>“</w:t>
      </w:r>
      <w:r>
        <w:rPr>
          <w:rFonts w:ascii="Times New Roman" w:hAnsi="Times New Roman"/>
          <w:sz w:val="28"/>
          <w:szCs w:val="28"/>
          <w:lang w:val="kk-KZ" w:eastAsia="zh-CN"/>
        </w:rPr>
        <w:t>Horizon Europe</w:t>
      </w:r>
      <w:r>
        <w:rPr>
          <w:rFonts w:ascii="Times New Roman" w:hAnsi="Times New Roman"/>
          <w:sz w:val="28"/>
          <w:szCs w:val="28"/>
          <w:lang w:val="kk-KZ" w:eastAsia="zh-CN"/>
        </w:rPr>
        <w:t>”</w:t>
      </w:r>
      <w:r>
        <w:rPr>
          <w:rFonts w:ascii="Times New Roman" w:hAnsi="Times New Roman"/>
          <w:sz w:val="28"/>
          <w:szCs w:val="28"/>
          <w:lang w:val="kk-KZ" w:eastAsia="zh-CN"/>
        </w:rPr>
        <w:t xml:space="preserve"> бағдарламалары тұрақтылаққа, бақылауға және цифрлық шешімдерге баса назар аудара оты</w:t>
      </w:r>
      <w:r>
        <w:rPr>
          <w:rFonts w:ascii="Times New Roman" w:hAnsi="Times New Roman"/>
          <w:sz w:val="28"/>
          <w:szCs w:val="28"/>
          <w:lang w:val="kk-KZ" w:eastAsia="zh-CN"/>
        </w:rPr>
        <w:t>рып, тамақ өнеркәсібіндегі инновациялық жобаларды қаржыландыруға</w:t>
      </w:r>
      <w:r>
        <w:rPr>
          <w:rFonts w:ascii="Times New Roman" w:hAnsi="Times New Roman"/>
          <w:sz w:val="28"/>
          <w:szCs w:val="28"/>
          <w:lang w:val="kk-KZ" w:eastAsia="zh-CN"/>
        </w:rPr>
        <w:t xml:space="preserve"> бағытталған</w:t>
      </w:r>
      <w:r>
        <w:rPr>
          <w:rFonts w:ascii="Times New Roman" w:hAnsi="Times New Roman"/>
          <w:sz w:val="28"/>
          <w:szCs w:val="28"/>
          <w:lang w:val="kk-KZ" w:eastAsia="zh-CN"/>
        </w:rPr>
        <w:t xml:space="preserve">. </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Соңғы он жылдықта (2015-2025) Horizon 2020 және Horizon Europe бағдарламалары бойынша тамақ өнеркәсібі және азық-түлік жүйелерімен байланысты салаларда келесідей жобалар қаржыла</w:t>
      </w:r>
      <w:r>
        <w:rPr>
          <w:rFonts w:ascii="Times New Roman" w:eastAsia="Times New Roman" w:hAnsi="Times New Roman" w:cs="Times New Roman"/>
          <w:color w:val="000000"/>
          <w:sz w:val="28"/>
          <w:szCs w:val="28"/>
          <w:lang w:val="kk-KZ" w:eastAsia="zh-CN"/>
        </w:rPr>
        <w:t>ндырылды [69]:</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1. Horizon 2020 (2014-2020) - </w:t>
      </w:r>
      <w:r>
        <w:rPr>
          <w:rFonts w:ascii="Times New Roman" w:eastAsia="Times New Roman" w:hAnsi="Times New Roman" w:cs="Times New Roman"/>
          <w:color w:val="000000"/>
          <w:sz w:val="28"/>
          <w:szCs w:val="28"/>
          <w:lang w:val="kk-KZ" w:eastAsia="zh-CN"/>
        </w:rPr>
        <w:t>“</w:t>
      </w:r>
      <w:r>
        <w:rPr>
          <w:rFonts w:ascii="Times New Roman" w:eastAsia="Times New Roman" w:hAnsi="Times New Roman"/>
          <w:color w:val="000000"/>
          <w:sz w:val="28"/>
          <w:szCs w:val="28"/>
          <w:lang w:val="kk-KZ" w:eastAsia="zh-CN"/>
        </w:rPr>
        <w:t>Food 2030</w:t>
      </w:r>
      <w:r>
        <w:rPr>
          <w:rFonts w:ascii="Times New Roman" w:eastAsia="Times New Roman" w:hAnsi="Times New Roman"/>
          <w:color w:val="000000"/>
          <w:sz w:val="28"/>
          <w:szCs w:val="28"/>
          <w:lang w:val="kk-KZ" w:eastAsia="zh-CN"/>
        </w:rPr>
        <w:t xml:space="preserve"> </w:t>
      </w:r>
      <w:r>
        <w:rPr>
          <w:rFonts w:ascii="Times New Roman" w:eastAsia="Times New Roman" w:hAnsi="Times New Roman"/>
          <w:color w:val="000000"/>
          <w:sz w:val="28"/>
          <w:szCs w:val="28"/>
          <w:lang w:eastAsia="zh-CN"/>
        </w:rPr>
        <w:t>-</w:t>
      </w:r>
      <w:r>
        <w:rPr>
          <w:rFonts w:ascii="Times New Roman" w:eastAsia="Times New Roman" w:hAnsi="Times New Roman"/>
          <w:color w:val="000000"/>
          <w:sz w:val="28"/>
          <w:szCs w:val="28"/>
          <w:lang w:val="kk-KZ" w:eastAsia="zh-CN"/>
        </w:rPr>
        <w:t xml:space="preserve"> іс-әрекеттер жолдарының</w:t>
      </w:r>
      <w:r>
        <w:rPr>
          <w:rFonts w:ascii="Times New Roman" w:eastAsia="Times New Roman" w:hAnsi="Times New Roman"/>
          <w:color w:val="000000"/>
          <w:sz w:val="28"/>
          <w:szCs w:val="28"/>
          <w:lang w:val="kk-KZ" w:eastAsia="zh-CN"/>
        </w:rPr>
        <w:t>”</w:t>
      </w:r>
      <w:r>
        <w:rPr>
          <w:rFonts w:ascii="Times New Roman" w:eastAsia="Times New Roman" w:hAnsi="Times New Roman"/>
          <w:color w:val="000000"/>
          <w:sz w:val="28"/>
          <w:szCs w:val="28"/>
          <w:lang w:val="kk-KZ" w:eastAsia="zh-CN"/>
        </w:rPr>
        <w:t xml:space="preserve"> аналитикалық есебіне сәйкес, </w:t>
      </w:r>
      <w:r>
        <w:rPr>
          <w:rFonts w:ascii="Times New Roman" w:eastAsia="Times New Roman" w:hAnsi="Times New Roman" w:cs="Times New Roman"/>
          <w:color w:val="000000"/>
          <w:sz w:val="28"/>
          <w:szCs w:val="28"/>
          <w:lang w:val="kk-KZ" w:eastAsia="zh-CN"/>
        </w:rPr>
        <w:t>Horizon 2020 бағдарламасы бойынша 2024 және 2020 жылдар аралығында тамақ өнеркәсібі</w:t>
      </w:r>
      <w:r>
        <w:rPr>
          <w:rFonts w:ascii="Times New Roman" w:eastAsia="Times New Roman" w:hAnsi="Times New Roman" w:cs="Times New Roman"/>
          <w:color w:val="000000"/>
          <w:sz w:val="28"/>
          <w:szCs w:val="28"/>
          <w:lang w:val="kk-KZ" w:eastAsia="zh-CN"/>
        </w:rPr>
        <w:t xml:space="preserve"> мен </w:t>
      </w:r>
      <w:r>
        <w:rPr>
          <w:rFonts w:ascii="Times New Roman" w:eastAsia="Times New Roman" w:hAnsi="Times New Roman" w:cs="Times New Roman"/>
          <w:color w:val="000000"/>
          <w:sz w:val="28"/>
          <w:szCs w:val="28"/>
          <w:lang w:val="kk-KZ" w:eastAsia="zh-CN"/>
        </w:rPr>
        <w:t xml:space="preserve">азық-түлік жүйелеріне қатысты 1631 жоба </w:t>
      </w:r>
      <w:r>
        <w:rPr>
          <w:rFonts w:ascii="Times New Roman" w:eastAsia="Times New Roman" w:hAnsi="Times New Roman" w:cs="Times New Roman"/>
          <w:color w:val="000000"/>
          <w:sz w:val="28"/>
          <w:szCs w:val="28"/>
          <w:lang w:val="kk-KZ" w:eastAsia="zh-CN"/>
        </w:rPr>
        <w:t>қаржыландырылған.</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2. Horizon Europe бағдарламасы бойынша (2021-2025) 6 кластер аясында жыл сайын шамамен 150-300 жоба, сонымен қатар 2025 жылдың қаңтарында “Азық-түлік, биоэкономика, ауыл шаруашылығы және қоршаған орта” 6 кластер аясында 91 жаңа жоба мақұл</w:t>
      </w:r>
      <w:r>
        <w:rPr>
          <w:rFonts w:ascii="Times New Roman" w:eastAsia="Times New Roman" w:hAnsi="Times New Roman" w:cs="Times New Roman"/>
          <w:color w:val="000000"/>
          <w:sz w:val="28"/>
          <w:szCs w:val="28"/>
          <w:lang w:val="kk-KZ" w:eastAsia="zh-CN"/>
        </w:rPr>
        <w:t>данды (5-кесте) [70].</w:t>
      </w:r>
    </w:p>
    <w:p w:rsidR="005118AF" w:rsidRDefault="00EF60C3">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3. 6 кластер аясында жыл сайын көптеген сайыстар өткізілетіні белгілі (мысалы, 2024 жылы бюджеті 124 миллион еуро болатын төрт байқау). </w:t>
      </w:r>
    </w:p>
    <w:p w:rsidR="005118AF" w:rsidRDefault="005118A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zh-CN"/>
        </w:rPr>
      </w:pPr>
    </w:p>
    <w:p w:rsidR="005118AF" w:rsidRDefault="00EF60C3">
      <w:pPr>
        <w:tabs>
          <w:tab w:val="left" w:pos="993"/>
        </w:tabs>
        <w:spacing w:after="0" w:line="240" w:lineRule="auto"/>
        <w:jc w:val="both"/>
        <w:rPr>
          <w:rFonts w:ascii="Times New Roman" w:eastAsia="Times New Roman" w:hAnsi="Times New Roman" w:cs="Times New Roman"/>
          <w:color w:val="000000"/>
          <w:sz w:val="28"/>
          <w:szCs w:val="28"/>
          <w:lang w:val="kk-KZ" w:eastAsia="zh-CN"/>
        </w:rPr>
      </w:pPr>
      <w:r>
        <w:rPr>
          <w:rFonts w:ascii="Times New Roman" w:eastAsia="Times New Roman" w:hAnsi="Times New Roman" w:cs="Times New Roman"/>
          <w:color w:val="000000"/>
          <w:sz w:val="28"/>
          <w:szCs w:val="28"/>
          <w:lang w:val="kk-KZ" w:eastAsia="zh-CN"/>
        </w:rPr>
        <w:t xml:space="preserve">Кесте 5 ‒ Horizon 2020 және Horizon Europe бағдарламалары бойынша тамақ өнеркәсібі және </w:t>
      </w:r>
      <w:r>
        <w:rPr>
          <w:rFonts w:ascii="Times New Roman" w:eastAsia="Times New Roman" w:hAnsi="Times New Roman" w:cs="Times New Roman"/>
          <w:color w:val="000000"/>
          <w:sz w:val="28"/>
          <w:szCs w:val="28"/>
          <w:lang w:val="kk-KZ" w:eastAsia="zh-CN"/>
        </w:rPr>
        <w:t>азық-түлік жүйелерімен байланысты салаларда жүзеге асырылған жобалар саны</w:t>
      </w:r>
    </w:p>
    <w:p w:rsidR="005118AF" w:rsidRDefault="005118AF">
      <w:pPr>
        <w:tabs>
          <w:tab w:val="left" w:pos="993"/>
        </w:tabs>
        <w:spacing w:after="0" w:line="240" w:lineRule="auto"/>
        <w:jc w:val="both"/>
        <w:rPr>
          <w:rFonts w:ascii="Times New Roman" w:eastAsia="Times New Roman" w:hAnsi="Times New Roman" w:cs="Times New Roman"/>
          <w:color w:val="000000"/>
          <w:sz w:val="16"/>
          <w:szCs w:val="16"/>
          <w:lang w:val="kk-KZ" w:eastAsia="zh-CN"/>
        </w:rPr>
      </w:pPr>
    </w:p>
    <w:tbl>
      <w:tblPr>
        <w:tblStyle w:val="ae"/>
        <w:tblW w:w="954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985"/>
        <w:gridCol w:w="5322"/>
      </w:tblGrid>
      <w:tr w:rsidR="005118AF">
        <w:tc>
          <w:tcPr>
            <w:tcW w:w="2240" w:type="dxa"/>
            <w:vAlign w:val="center"/>
          </w:tcPr>
          <w:p w:rsidR="005118AF" w:rsidRDefault="00EF60C3">
            <w:pPr>
              <w:tabs>
                <w:tab w:val="left" w:pos="993"/>
              </w:tabs>
              <w:spacing w:after="0" w:line="240" w:lineRule="auto"/>
              <w:jc w:val="center"/>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Бағдарлама</w:t>
            </w:r>
          </w:p>
        </w:tc>
        <w:tc>
          <w:tcPr>
            <w:tcW w:w="1985" w:type="dxa"/>
            <w:vAlign w:val="center"/>
          </w:tcPr>
          <w:p w:rsidR="005118AF" w:rsidRDefault="00EF60C3">
            <w:pPr>
              <w:tabs>
                <w:tab w:val="left" w:pos="993"/>
              </w:tabs>
              <w:spacing w:after="0" w:line="240" w:lineRule="auto"/>
              <w:jc w:val="center"/>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Кезең</w:t>
            </w:r>
          </w:p>
        </w:tc>
        <w:tc>
          <w:tcPr>
            <w:tcW w:w="5322" w:type="dxa"/>
            <w:vAlign w:val="center"/>
          </w:tcPr>
          <w:p w:rsidR="005118AF" w:rsidRDefault="00EF60C3">
            <w:pPr>
              <w:tabs>
                <w:tab w:val="left" w:pos="993"/>
              </w:tabs>
              <w:spacing w:after="0" w:line="240" w:lineRule="auto"/>
              <w:jc w:val="center"/>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Тамақ өндірісі тақырыбына арналған жобалар</w:t>
            </w:r>
          </w:p>
        </w:tc>
      </w:tr>
      <w:tr w:rsidR="005118AF">
        <w:tc>
          <w:tcPr>
            <w:tcW w:w="2240" w:type="dxa"/>
          </w:tcPr>
          <w:p w:rsidR="005118AF" w:rsidRDefault="00EF60C3">
            <w:pPr>
              <w:tabs>
                <w:tab w:val="left" w:pos="993"/>
              </w:tabs>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Horizon 2020</w:t>
            </w:r>
          </w:p>
        </w:tc>
        <w:tc>
          <w:tcPr>
            <w:tcW w:w="1985" w:type="dxa"/>
          </w:tcPr>
          <w:p w:rsidR="005118AF" w:rsidRDefault="00EF60C3">
            <w:pPr>
              <w:tabs>
                <w:tab w:val="left" w:pos="993"/>
              </w:tab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2014-2020</w:t>
            </w:r>
          </w:p>
        </w:tc>
        <w:tc>
          <w:tcPr>
            <w:tcW w:w="5322" w:type="dxa"/>
          </w:tcPr>
          <w:p w:rsidR="005118AF" w:rsidRDefault="00EF60C3">
            <w:pPr>
              <w:tabs>
                <w:tab w:val="left" w:pos="993"/>
              </w:tab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1631</w:t>
            </w:r>
          </w:p>
        </w:tc>
      </w:tr>
      <w:tr w:rsidR="005118AF">
        <w:tc>
          <w:tcPr>
            <w:tcW w:w="2240" w:type="dxa"/>
          </w:tcPr>
          <w:p w:rsidR="005118AF" w:rsidRDefault="00EF60C3">
            <w:pPr>
              <w:tabs>
                <w:tab w:val="left" w:pos="993"/>
              </w:tabs>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Horizon Europe</w:t>
            </w:r>
          </w:p>
        </w:tc>
        <w:tc>
          <w:tcPr>
            <w:tcW w:w="1985" w:type="dxa"/>
          </w:tcPr>
          <w:p w:rsidR="005118AF" w:rsidRDefault="00EF60C3">
            <w:pPr>
              <w:tabs>
                <w:tab w:val="left" w:pos="993"/>
              </w:tab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2020-2025</w:t>
            </w:r>
          </w:p>
        </w:tc>
        <w:tc>
          <w:tcPr>
            <w:tcW w:w="5322" w:type="dxa"/>
          </w:tcPr>
          <w:p w:rsidR="005118AF" w:rsidRDefault="00EF60C3">
            <w:pPr>
              <w:tabs>
                <w:tab w:val="left" w:pos="993"/>
              </w:tabs>
              <w:spacing w:after="0" w:line="240" w:lineRule="auto"/>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eastAsia="zh-CN"/>
              </w:rPr>
              <w:t xml:space="preserve">150-300 </w:t>
            </w:r>
            <w:r>
              <w:rPr>
                <w:rFonts w:ascii="Times New Roman" w:eastAsia="Times New Roman" w:hAnsi="Times New Roman" w:cs="Times New Roman"/>
                <w:color w:val="000000"/>
                <w:sz w:val="24"/>
                <w:szCs w:val="24"/>
                <w:lang w:val="en-US" w:eastAsia="zh-CN"/>
              </w:rPr>
              <w:t>*</w:t>
            </w:r>
          </w:p>
        </w:tc>
      </w:tr>
      <w:tr w:rsidR="005118AF">
        <w:tc>
          <w:tcPr>
            <w:tcW w:w="9547" w:type="dxa"/>
            <w:gridSpan w:val="3"/>
          </w:tcPr>
          <w:p w:rsidR="005118AF" w:rsidRDefault="00EF60C3">
            <w:pPr>
              <w:tabs>
                <w:tab w:val="left" w:pos="993"/>
              </w:tabs>
              <w:spacing w:after="0" w:line="240" w:lineRule="auto"/>
              <w:ind w:firstLine="573"/>
              <w:jc w:val="both"/>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eastAsia="zh-CN"/>
              </w:rPr>
              <w:t>*</w:t>
            </w:r>
            <w:r>
              <w:rPr>
                <w:rFonts w:ascii="Times New Roman" w:eastAsia="Times New Roman" w:hAnsi="Times New Roman" w:cs="Times New Roman"/>
                <w:color w:val="000000"/>
                <w:sz w:val="24"/>
                <w:szCs w:val="24"/>
                <w:lang w:val="kk-KZ" w:eastAsia="zh-CN"/>
              </w:rPr>
              <w:t xml:space="preserve"> ‒ </w:t>
            </w:r>
            <w:r>
              <w:rPr>
                <w:rFonts w:ascii="Times New Roman" w:eastAsia="Calibri" w:hAnsi="Times New Roman" w:cs="Times New Roman"/>
                <w:bCs/>
                <w:sz w:val="24"/>
                <w:szCs w:val="24"/>
                <w:lang w:val="kk-KZ"/>
              </w:rPr>
              <w:t>Әдебиет</w:t>
            </w:r>
            <w:r>
              <w:rPr>
                <w:rFonts w:ascii="Times New Roman" w:eastAsia="Calibri" w:hAnsi="Times New Roman" w:cs="Times New Roman"/>
                <w:bCs/>
                <w:sz w:val="24"/>
                <w:szCs w:val="24"/>
                <w:lang w:val="kk-KZ"/>
              </w:rPr>
              <w:t xml:space="preserve"> негізінде құралған </w:t>
            </w:r>
            <w:r>
              <w:rPr>
                <w:rFonts w:ascii="Times New Roman" w:eastAsia="Times New Roman" w:hAnsi="Times New Roman"/>
                <w:color w:val="000000"/>
                <w:sz w:val="24"/>
                <w:szCs w:val="24"/>
                <w:lang w:val="en-US" w:eastAsia="zh-CN"/>
              </w:rPr>
              <w:t>[</w:t>
            </w:r>
            <w:r>
              <w:rPr>
                <w:rFonts w:ascii="Times New Roman" w:eastAsia="Times New Roman" w:hAnsi="Times New Roman"/>
                <w:color w:val="000000"/>
                <w:sz w:val="24"/>
                <w:szCs w:val="24"/>
                <w:lang w:eastAsia="zh-CN"/>
              </w:rPr>
              <w:t>7</w:t>
            </w:r>
            <w:r>
              <w:rPr>
                <w:rFonts w:ascii="Times New Roman" w:eastAsia="Times New Roman" w:hAnsi="Times New Roman"/>
                <w:color w:val="000000"/>
                <w:sz w:val="24"/>
                <w:szCs w:val="24"/>
                <w:lang w:val="kk-KZ" w:eastAsia="zh-CN"/>
              </w:rPr>
              <w:t>1</w:t>
            </w:r>
            <w:r>
              <w:rPr>
                <w:rFonts w:ascii="Times New Roman" w:eastAsia="Times New Roman" w:hAnsi="Times New Roman"/>
                <w:color w:val="000000"/>
                <w:sz w:val="24"/>
                <w:szCs w:val="24"/>
                <w:lang w:val="en-US" w:eastAsia="zh-CN"/>
              </w:rPr>
              <w:t>]</w:t>
            </w:r>
          </w:p>
        </w:tc>
      </w:tr>
    </w:tbl>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Қазақстан</w:t>
      </w:r>
      <w:r>
        <w:rPr>
          <w:rFonts w:ascii="Times New Roman" w:hAnsi="Times New Roman"/>
          <w:sz w:val="28"/>
          <w:szCs w:val="28"/>
          <w:lang w:val="kk-KZ" w:eastAsia="zh-CN"/>
        </w:rPr>
        <w:t xml:space="preserve"> үшін </w:t>
      </w:r>
      <w:r>
        <w:rPr>
          <w:rFonts w:ascii="Times New Roman" w:hAnsi="Times New Roman"/>
          <w:sz w:val="28"/>
          <w:szCs w:val="28"/>
          <w:lang w:val="kk-KZ" w:eastAsia="zh-CN"/>
        </w:rPr>
        <w:t>Еуропалық</w:t>
      </w:r>
      <w:r>
        <w:rPr>
          <w:rFonts w:ascii="Times New Roman" w:hAnsi="Times New Roman"/>
          <w:sz w:val="28"/>
          <w:szCs w:val="28"/>
          <w:lang w:val="kk-KZ" w:eastAsia="zh-CN"/>
        </w:rPr>
        <w:t xml:space="preserve"> Одақ</w:t>
      </w:r>
      <w:r>
        <w:rPr>
          <w:rFonts w:ascii="Times New Roman" w:hAnsi="Times New Roman"/>
          <w:sz w:val="28"/>
          <w:szCs w:val="28"/>
          <w:lang w:val="kk-KZ" w:eastAsia="zh-CN"/>
        </w:rPr>
        <w:t xml:space="preserve"> тәжірибесін енгізу арқылы Қазақстан өңірлік инновациялық кластерлерді, әсіресе агроөнеркәсіптік аймақтарда ілгерілетуден және университтер, ғылыми орталықтар мен тамақ өнеркәсібі кәсіпорынары арасындағы байланыстарды нығайтудан оң әсер алу м</w:t>
      </w:r>
      <w:r>
        <w:rPr>
          <w:rFonts w:ascii="Times New Roman" w:hAnsi="Times New Roman"/>
          <w:sz w:val="28"/>
          <w:szCs w:val="28"/>
          <w:lang w:val="kk-KZ" w:eastAsia="zh-CN"/>
        </w:rPr>
        <w:t>үмкіндігі</w:t>
      </w:r>
      <w:r>
        <w:rPr>
          <w:rFonts w:ascii="Times New Roman" w:hAnsi="Times New Roman"/>
          <w:sz w:val="28"/>
          <w:szCs w:val="28"/>
          <w:lang w:val="kk-KZ" w:eastAsia="zh-CN"/>
        </w:rPr>
        <w:t xml:space="preserve"> бар.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bCs/>
          <w:i/>
          <w:iCs/>
          <w:sz w:val="28"/>
          <w:szCs w:val="28"/>
          <w:lang w:val="kk-KZ" w:eastAsia="zh-CN"/>
        </w:rPr>
        <w:t>Америка Құрама штаттары: нарыққа негізделген және венчурға бағытталған инновациялар</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АҚШ-та азық-түлік инновациялары негізінен нарыққа негізделген: Nestle, PepsiCos және General Mills сияқты ірі азық-түлік корпорациялары стартаптарға инвести</w:t>
      </w:r>
      <w:r>
        <w:rPr>
          <w:rFonts w:ascii="Times New Roman" w:hAnsi="Times New Roman"/>
          <w:sz w:val="28"/>
          <w:szCs w:val="28"/>
          <w:lang w:val="kk-KZ" w:eastAsia="zh-CN"/>
        </w:rPr>
        <w:t xml:space="preserve">ция салу үшін корпоративтік венчурлық құралдарды басқарады [72].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Инкубатор және акселератор экожүйелері (мысалы, Чобани инкубаторы) ерте сатыдағы азық-түлік технологиялық</w:t>
      </w:r>
      <w:r>
        <w:rPr>
          <w:rFonts w:ascii="Times New Roman" w:hAnsi="Times New Roman"/>
          <w:sz w:val="28"/>
          <w:szCs w:val="28"/>
          <w:lang w:val="kk-KZ" w:eastAsia="zh-CN"/>
        </w:rPr>
        <w:t xml:space="preserve"> кәсіпорнына</w:t>
      </w:r>
      <w:r>
        <w:rPr>
          <w:rFonts w:ascii="Times New Roman" w:hAnsi="Times New Roman"/>
          <w:sz w:val="28"/>
          <w:szCs w:val="28"/>
          <w:lang w:val="kk-KZ" w:eastAsia="zh-CN"/>
        </w:rPr>
        <w:t xml:space="preserve"> қолдау көрсетеді.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“Чобани” бизнес-инкубаторы 2016 жылы қазан айында тама</w:t>
      </w:r>
      <w:r>
        <w:rPr>
          <w:rFonts w:ascii="Times New Roman" w:hAnsi="Times New Roman"/>
          <w:sz w:val="28"/>
          <w:szCs w:val="28"/>
          <w:lang w:val="kk-KZ" w:eastAsia="zh-CN"/>
        </w:rPr>
        <w:t>қ</w:t>
      </w:r>
      <w:r>
        <w:rPr>
          <w:rFonts w:ascii="Times New Roman" w:hAnsi="Times New Roman"/>
          <w:sz w:val="28"/>
          <w:szCs w:val="28"/>
          <w:lang w:val="kk-KZ" w:eastAsia="zh-CN"/>
        </w:rPr>
        <w:t xml:space="preserve"> өнімдері мен сусындарды шығаратын стартаптарға тәлімгерлік және қолдау көрсету мақсатында құрылды. Қатысушы компанияларға бизнесті дамытуға көмектесу үшін $25 000 гранты, сонымен қатар Чобани командалары мен топ-менеджерлер мен сарапшылардың нұсқаулығы б</w:t>
      </w:r>
      <w:r>
        <w:rPr>
          <w:rFonts w:ascii="Times New Roman" w:hAnsi="Times New Roman"/>
          <w:sz w:val="28"/>
          <w:szCs w:val="28"/>
          <w:lang w:val="kk-KZ" w:eastAsia="zh-CN"/>
        </w:rPr>
        <w:t>еріледі. Бағдарламалау бренд пен маркетингті, орау мен баға</w:t>
      </w:r>
      <w:r>
        <w:rPr>
          <w:rFonts w:ascii="Times New Roman" w:hAnsi="Times New Roman"/>
          <w:sz w:val="28"/>
          <w:szCs w:val="28"/>
          <w:lang w:val="kk-KZ" w:eastAsia="zh-CN"/>
        </w:rPr>
        <w:t xml:space="preserve"> белгілеу</w:t>
      </w:r>
      <w:r>
        <w:rPr>
          <w:rFonts w:ascii="Times New Roman" w:hAnsi="Times New Roman"/>
          <w:sz w:val="28"/>
          <w:szCs w:val="28"/>
          <w:lang w:val="kk-KZ" w:eastAsia="zh-CN"/>
        </w:rPr>
        <w:t>, сату мен бөлшек сауда стратегиясын, инновациялар мен тағамның сапасы мен қауіпсіздігін, тамақтану және тағамдық таңбалауды қамтиды. Қатысушылар</w:t>
      </w:r>
      <w:r>
        <w:rPr>
          <w:rFonts w:ascii="Times New Roman" w:hAnsi="Times New Roman"/>
          <w:sz w:val="28"/>
          <w:szCs w:val="28"/>
          <w:lang w:val="kk-KZ" w:eastAsia="zh-CN"/>
        </w:rPr>
        <w:t>,</w:t>
      </w:r>
      <w:r>
        <w:rPr>
          <w:rFonts w:ascii="Times New Roman" w:hAnsi="Times New Roman"/>
          <w:sz w:val="28"/>
          <w:szCs w:val="28"/>
          <w:lang w:val="kk-KZ" w:eastAsia="zh-CN"/>
        </w:rPr>
        <w:t xml:space="preserve"> сонымен қатар</w:t>
      </w:r>
      <w:r>
        <w:rPr>
          <w:rFonts w:ascii="Times New Roman" w:hAnsi="Times New Roman"/>
          <w:sz w:val="28"/>
          <w:szCs w:val="28"/>
          <w:lang w:val="kk-KZ" w:eastAsia="zh-CN"/>
        </w:rPr>
        <w:t>,</w:t>
      </w:r>
      <w:r>
        <w:rPr>
          <w:rFonts w:ascii="Times New Roman" w:hAnsi="Times New Roman"/>
          <w:sz w:val="28"/>
          <w:szCs w:val="28"/>
          <w:lang w:val="kk-KZ" w:eastAsia="zh-CN"/>
        </w:rPr>
        <w:t xml:space="preserve"> Чобанидің зауыттарына, бүк</w:t>
      </w:r>
      <w:r>
        <w:rPr>
          <w:rFonts w:ascii="Times New Roman" w:hAnsi="Times New Roman"/>
          <w:sz w:val="28"/>
          <w:szCs w:val="28"/>
          <w:lang w:val="kk-KZ" w:eastAsia="zh-CN"/>
        </w:rPr>
        <w:t>іл ел бойынша зерттеу және әзірлеу және сату кеңселеріне, сондай-ақ Нью-Йорк қаласындағы Chobani SoHo кеңсесінде орналасқан арнайы инкубатор кеңістігіне қол жеткізе алады. Инкубаордың мақсаты - «көбірек адамдар үшін жақсы тамақ», дәмді, көректік, табиғи жә</w:t>
      </w:r>
      <w:r>
        <w:rPr>
          <w:rFonts w:ascii="Times New Roman" w:hAnsi="Times New Roman"/>
          <w:sz w:val="28"/>
          <w:szCs w:val="28"/>
          <w:lang w:val="kk-KZ" w:eastAsia="zh-CN"/>
        </w:rPr>
        <w:t xml:space="preserve">не қолжетімділік талаптарына сай келетін тамақ және сусындар өнеркәсібіндегі стартаптары дамыту [73].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Чобани акселераторының нәтижелері [74]:</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Бірінші лек (2016-2017): 6 стартап;</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Екінші лек (2017): 7 стартаптан тұрды, дистрибуция өсісі 300% құрады және кір</w:t>
      </w:r>
      <w:r>
        <w:rPr>
          <w:rFonts w:ascii="Times New Roman" w:hAnsi="Times New Roman"/>
          <w:sz w:val="28"/>
          <w:szCs w:val="28"/>
          <w:lang w:val="kk-KZ" w:eastAsia="zh-CN"/>
        </w:rPr>
        <w:t>іс екі есе өсті;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Үшінші</w:t>
      </w:r>
      <w:r>
        <w:rPr>
          <w:rFonts w:ascii="Times New Roman" w:hAnsi="Times New Roman"/>
          <w:sz w:val="28"/>
          <w:szCs w:val="28"/>
          <w:lang w:val="kk-KZ" w:eastAsia="zh-CN"/>
        </w:rPr>
        <w:t xml:space="preserve"> лек (2018): үйлестіру өсімі 250%-дан астам және кірістің 2,6 есе өсуі.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Жалпы алғанда, инкубациядан өткен компанияларға 2017-2018 жылдар аралығында 60 миллион доллардан астам инвестиция тартылды, үйлестіру өсімі 68%-ды және кіріс өс</w:t>
      </w:r>
      <w:r>
        <w:rPr>
          <w:rFonts w:ascii="Times New Roman" w:hAnsi="Times New Roman"/>
          <w:sz w:val="28"/>
          <w:szCs w:val="28"/>
          <w:lang w:val="kk-KZ" w:eastAsia="zh-CN"/>
        </w:rPr>
        <w:t>імі 67%-ды құрады [75].</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2020 жылы бағдарлама “тең-теңімен” тәлімгерлігін және ұқсас ортадан шыққан табысты кәсіпкерлермен тереңдетілген кездесулерді енгізу арқылы әртүрлі топтардың қажеттіліктеріне көбірек жауап берді.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Инкубатор өзінің тиімділігін дәлелде</w:t>
      </w:r>
      <w:r>
        <w:rPr>
          <w:rFonts w:ascii="Times New Roman" w:hAnsi="Times New Roman"/>
          <w:sz w:val="28"/>
          <w:szCs w:val="28"/>
          <w:lang w:val="kk-KZ" w:eastAsia="zh-CN"/>
        </w:rPr>
        <w:t>ді</w:t>
      </w:r>
      <w:r>
        <w:rPr>
          <w:rFonts w:ascii="Times New Roman" w:hAnsi="Times New Roman"/>
          <w:sz w:val="28"/>
          <w:szCs w:val="28"/>
          <w:lang w:val="kk-KZ" w:eastAsia="zh-CN"/>
        </w:rPr>
        <w:t>, мысалы,</w:t>
      </w:r>
      <w:r>
        <w:rPr>
          <w:rFonts w:ascii="Times New Roman" w:hAnsi="Times New Roman"/>
          <w:sz w:val="28"/>
          <w:szCs w:val="28"/>
          <w:lang w:val="kk-KZ" w:eastAsia="zh-CN"/>
        </w:rPr>
        <w:t xml:space="preserve"> стартаптар тез өсті, қаржы алды және нарыққа жылдам шықты.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Бағдарламаның бірегей миссиясы</w:t>
      </w:r>
      <w:r>
        <w:rPr>
          <w:rFonts w:ascii="Times New Roman" w:hAnsi="Times New Roman"/>
          <w:sz w:val="28"/>
          <w:szCs w:val="28"/>
          <w:lang w:val="kk-KZ" w:eastAsia="zh-CN"/>
        </w:rPr>
        <w:t xml:space="preserve"> </w:t>
      </w:r>
      <w:r>
        <w:rPr>
          <w:rFonts w:ascii="Times New Roman" w:hAnsi="Times New Roman"/>
          <w:sz w:val="28"/>
          <w:szCs w:val="28"/>
          <w:lang w:eastAsia="zh-CN"/>
        </w:rPr>
        <w:t>-</w:t>
      </w:r>
      <w:r>
        <w:rPr>
          <w:rFonts w:ascii="Times New Roman" w:hAnsi="Times New Roman"/>
          <w:sz w:val="28"/>
          <w:szCs w:val="28"/>
          <w:lang w:val="kk-KZ" w:eastAsia="zh-CN"/>
        </w:rPr>
        <w:t xml:space="preserve"> тамақ өнеркәсібінің экожүйесін қолдауға арналған коммерциялық емес корпоративтік құралдарға негізделуде. Инклюзивтілікке қатты назар аудару компанияның</w:t>
      </w:r>
      <w:r>
        <w:rPr>
          <w:rFonts w:ascii="Times New Roman" w:hAnsi="Times New Roman"/>
          <w:sz w:val="28"/>
          <w:szCs w:val="28"/>
          <w:lang w:val="kk-KZ" w:eastAsia="zh-CN"/>
        </w:rPr>
        <w:t xml:space="preserve"> әлеуметтік жауапкершілігінің жоғары дәрежеде екендігін көрсетедін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Инновациялық менеджмент тұтынушылардың кері байланыс циклдарына, өнім нарығына сәйкестігіне және жылдам прототивке баса назар аудара отырып, үнемді стартап модельдеріне енгізілген.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Қазақс</w:t>
      </w:r>
      <w:r>
        <w:rPr>
          <w:rFonts w:ascii="Times New Roman" w:hAnsi="Times New Roman"/>
          <w:sz w:val="28"/>
          <w:szCs w:val="28"/>
          <w:lang w:val="kk-KZ" w:eastAsia="zh-CN"/>
        </w:rPr>
        <w:t>танның тамақ өнеркәсібі саласында венчурлық инновациялық қаржыланыруды енгізу, азық-түлік технологияларында инкубаторларды құру және кәсіпорындарда кәсіпкерлік мәдениетті дамыту инновациялардың таралуын жеделдетуі</w:t>
      </w:r>
      <w:r>
        <w:rPr>
          <w:rFonts w:ascii="Times New Roman" w:hAnsi="Times New Roman"/>
          <w:sz w:val="28"/>
          <w:szCs w:val="28"/>
          <w:lang w:eastAsia="zh-CN"/>
        </w:rPr>
        <w:t>не</w:t>
      </w:r>
      <w:r>
        <w:rPr>
          <w:rFonts w:ascii="Times New Roman" w:hAnsi="Times New Roman"/>
          <w:sz w:val="28"/>
          <w:szCs w:val="28"/>
          <w:lang w:eastAsia="zh-CN"/>
        </w:rPr>
        <w:t xml:space="preserve"> ы</w:t>
      </w:r>
      <w:r>
        <w:rPr>
          <w:rFonts w:ascii="Times New Roman" w:hAnsi="Times New Roman"/>
          <w:sz w:val="28"/>
          <w:szCs w:val="28"/>
          <w:lang w:val="kk-KZ" w:eastAsia="zh-CN"/>
        </w:rPr>
        <w:t>қпал</w:t>
      </w:r>
      <w:r>
        <w:rPr>
          <w:rFonts w:ascii="Times New Roman" w:hAnsi="Times New Roman"/>
          <w:sz w:val="28"/>
          <w:szCs w:val="28"/>
          <w:lang w:val="kk-KZ" w:eastAsia="zh-CN"/>
        </w:rPr>
        <w:t xml:space="preserve"> етуі мүмкін</w:t>
      </w:r>
      <w:r>
        <w:rPr>
          <w:rFonts w:ascii="Times New Roman" w:hAnsi="Times New Roman"/>
          <w:sz w:val="28"/>
          <w:szCs w:val="28"/>
          <w:lang w:val="kk-KZ" w:eastAsia="zh-CN"/>
        </w:rPr>
        <w:t xml:space="preserve">.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bCs/>
          <w:i/>
          <w:iCs/>
          <w:sz w:val="28"/>
          <w:szCs w:val="28"/>
          <w:lang w:val="kk-KZ" w:eastAsia="zh-CN"/>
        </w:rPr>
        <w:t xml:space="preserve">Жапония және </w:t>
      </w:r>
      <w:r>
        <w:rPr>
          <w:rFonts w:ascii="Times New Roman" w:hAnsi="Times New Roman"/>
          <w:bCs/>
          <w:i/>
          <w:iCs/>
          <w:sz w:val="28"/>
          <w:szCs w:val="28"/>
          <w:lang w:val="kk-KZ" w:eastAsia="zh-CN"/>
        </w:rPr>
        <w:t>Оңтүстік Корея: технологиялық инновациялар және үнемді өндіріс</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Азық-түлік секторында инновациялық технологиялар мен өндіріс жүйелерін енгізу бойынша Азия елдерінің арасында Жапония мен Оңтүстік Корея көш бастап тұр. Олар сандық шешімдерді, автоматтандыруды</w:t>
      </w:r>
      <w:r>
        <w:rPr>
          <w:rFonts w:ascii="Times New Roman" w:hAnsi="Times New Roman"/>
          <w:sz w:val="28"/>
          <w:szCs w:val="28"/>
          <w:lang w:val="kk-KZ" w:eastAsia="zh-CN"/>
        </w:rPr>
        <w:t xml:space="preserve"> және үнемді өндіріс қағидаларын біріктірудің жоғары дәрежесін көрсетеді, әсіресе тамақ өнеркәсібінде дәлдік, қауіпсіздік және өнім сапасы маңызды. Бұл елдердің тәжірибесі дамушы экономикаларды, соның ішінде Қазақтстан үшін де қызығушылық тудырары анық.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w:t>
      </w:r>
      <w:r>
        <w:rPr>
          <w:rFonts w:ascii="Times New Roman" w:hAnsi="Times New Roman"/>
          <w:sz w:val="28"/>
          <w:szCs w:val="28"/>
          <w:lang w:val="kk-KZ" w:eastAsia="zh-CN"/>
        </w:rPr>
        <w:t xml:space="preserve">апония мен Оңтүстік Корея үдерістік инновацияларға және сапаны бақылауға көп көңіл бөледі.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Жапондық тамақ</w:t>
      </w:r>
      <w:r>
        <w:rPr>
          <w:rFonts w:ascii="Times New Roman" w:hAnsi="Times New Roman"/>
          <w:sz w:val="28"/>
          <w:szCs w:val="28"/>
          <w:lang w:val="kk-KZ" w:eastAsia="zh-CN"/>
        </w:rPr>
        <w:t xml:space="preserve"> өнеркәсібі</w:t>
      </w:r>
      <w:r>
        <w:rPr>
          <w:rFonts w:ascii="Times New Roman" w:hAnsi="Times New Roman"/>
          <w:sz w:val="28"/>
          <w:szCs w:val="28"/>
          <w:lang w:val="kk-KZ" w:eastAsia="zh-CN"/>
        </w:rPr>
        <w:t xml:space="preserve"> кәсіпорындары Кайдзен және Үнемді өндіріс қағидаларын қолданады. Ал Оңтүстік Кореялық кәсіпорындар ақылды өндірісті біріктіреді және ҒЗТК</w:t>
      </w:r>
      <w:r>
        <w:rPr>
          <w:rFonts w:ascii="Times New Roman" w:hAnsi="Times New Roman"/>
          <w:sz w:val="28"/>
          <w:szCs w:val="28"/>
          <w:lang w:val="kk-KZ" w:eastAsia="zh-CN"/>
        </w:rPr>
        <w:t>Ж-ға жоғары инвестиция құюымен ерекшеленеді.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Жалпы бұл елдерде мемлекеттік ҒЗТКЖ субсидиялары мен инновацияларға салықтық жеңілдіктер тамақ өнеркәсібі кәсіпорындарының бәсекеге қабылеттіліктерін арттыруға елеулі ықпалын тигізеді.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Жапония</w:t>
      </w:r>
      <w:r>
        <w:rPr>
          <w:rFonts w:ascii="Times New Roman" w:hAnsi="Times New Roman"/>
          <w:sz w:val="28"/>
          <w:szCs w:val="28"/>
          <w:lang w:val="kk-KZ" w:eastAsia="zh-CN"/>
        </w:rPr>
        <w:t xml:space="preserve"> мемлекетінде</w:t>
      </w:r>
      <w:r>
        <w:rPr>
          <w:rFonts w:ascii="Times New Roman" w:hAnsi="Times New Roman"/>
          <w:sz w:val="28"/>
          <w:szCs w:val="28"/>
          <w:lang w:val="kk-KZ" w:eastAsia="zh-CN"/>
        </w:rPr>
        <w:t>:</w:t>
      </w:r>
    </w:p>
    <w:p w:rsidR="005118AF" w:rsidRDefault="00EF60C3">
      <w:pPr>
        <w:numPr>
          <w:ilvl w:val="0"/>
          <w:numId w:val="13"/>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Үнемді</w:t>
      </w:r>
      <w:r>
        <w:rPr>
          <w:rFonts w:ascii="Times New Roman" w:hAnsi="Times New Roman"/>
          <w:sz w:val="28"/>
          <w:szCs w:val="28"/>
          <w:lang w:val="kk-KZ" w:eastAsia="zh-CN"/>
        </w:rPr>
        <w:t xml:space="preserve"> тәсілдер - Жапонияның </w:t>
      </w:r>
      <w:r>
        <w:rPr>
          <w:rFonts w:ascii="Times New Roman" w:hAnsi="Times New Roman"/>
          <w:sz w:val="28"/>
          <w:szCs w:val="28"/>
          <w:lang w:val="kk-KZ" w:eastAsia="zh-CN"/>
        </w:rPr>
        <w:t>“</w:t>
      </w:r>
      <w:r>
        <w:rPr>
          <w:rFonts w:ascii="Times New Roman" w:hAnsi="Times New Roman"/>
          <w:sz w:val="28"/>
          <w:szCs w:val="28"/>
          <w:lang w:val="kk-KZ" w:eastAsia="zh-CN"/>
        </w:rPr>
        <w:t>Toyota Production System</w:t>
      </w:r>
      <w:r>
        <w:rPr>
          <w:rFonts w:ascii="Times New Roman" w:hAnsi="Times New Roman"/>
          <w:sz w:val="28"/>
          <w:szCs w:val="28"/>
          <w:lang w:val="kk-KZ" w:eastAsia="zh-CN"/>
        </w:rPr>
        <w:t>”</w:t>
      </w:r>
      <w:r>
        <w:rPr>
          <w:rFonts w:ascii="Times New Roman" w:hAnsi="Times New Roman"/>
          <w:sz w:val="28"/>
          <w:szCs w:val="28"/>
          <w:lang w:val="kk-KZ" w:eastAsia="zh-CN"/>
        </w:rPr>
        <w:t xml:space="preserve"> негізіндегі Үнімді өндіріс тұжырымдамасының отаны болып табылады. Тамақ өнеркәсібінде бұл әдіс кеңінен қолданылады, мысалы шикізат пен уақыт шығынын азайтуда, операцияларды стандарттау мен материалдар</w:t>
      </w:r>
      <w:r>
        <w:rPr>
          <w:rFonts w:ascii="Times New Roman" w:hAnsi="Times New Roman"/>
          <w:sz w:val="28"/>
          <w:szCs w:val="28"/>
          <w:lang w:val="kk-KZ" w:eastAsia="zh-CN"/>
        </w:rPr>
        <w:t>, еңбек шығындарын оңтайландыруда осы тәсілдің негіздерін қолданады. Мысалы, Ajinomoto</w:t>
      </w:r>
      <w:r>
        <w:rPr>
          <w:rFonts w:ascii="Times New Roman" w:hAnsi="Times New Roman"/>
          <w:sz w:val="28"/>
          <w:szCs w:val="28"/>
          <w:lang w:val="kk-KZ" w:eastAsia="zh-CN"/>
        </w:rPr>
        <w:t xml:space="preserve"> тамақ өнеркәсібі кәсіпорны</w:t>
      </w:r>
      <w:r>
        <w:rPr>
          <w:rFonts w:ascii="Times New Roman" w:hAnsi="Times New Roman"/>
          <w:sz w:val="28"/>
          <w:szCs w:val="28"/>
          <w:lang w:val="kk-KZ" w:eastAsia="zh-CN"/>
        </w:rPr>
        <w:t xml:space="preserve"> зауыттарында энергия шығындары мен ақауларды 20%-ға дайін азайтуға мүмкіндік берген Lean үлгілерін енгізуде [76]. </w:t>
      </w:r>
    </w:p>
    <w:p w:rsidR="005118AF" w:rsidRDefault="00EF60C3">
      <w:pPr>
        <w:numPr>
          <w:ilvl w:val="0"/>
          <w:numId w:val="13"/>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Робототехника және автоматт</w:t>
      </w:r>
      <w:r>
        <w:rPr>
          <w:rFonts w:ascii="Times New Roman" w:hAnsi="Times New Roman"/>
          <w:sz w:val="28"/>
          <w:szCs w:val="28"/>
          <w:lang w:val="kk-KZ" w:eastAsia="zh-CN"/>
        </w:rPr>
        <w:t>андыру</w:t>
      </w:r>
      <w:r>
        <w:rPr>
          <w:rFonts w:ascii="Times New Roman" w:hAnsi="Times New Roman"/>
          <w:sz w:val="28"/>
          <w:szCs w:val="28"/>
          <w:lang w:val="kk-KZ" w:eastAsia="zh-CN"/>
        </w:rPr>
        <w:t xml:space="preserve"> </w:t>
      </w:r>
      <w:r>
        <w:rPr>
          <w:rFonts w:ascii="Times New Roman" w:hAnsi="Times New Roman"/>
          <w:sz w:val="28"/>
          <w:szCs w:val="28"/>
          <w:lang w:eastAsia="zh-CN"/>
        </w:rPr>
        <w:t>-</w:t>
      </w:r>
      <w:r>
        <w:rPr>
          <w:rFonts w:ascii="Times New Roman" w:hAnsi="Times New Roman"/>
          <w:sz w:val="28"/>
          <w:szCs w:val="28"/>
          <w:lang w:val="kk-KZ" w:eastAsia="zh-CN"/>
        </w:rPr>
        <w:t xml:space="preserve"> </w:t>
      </w:r>
      <w:r>
        <w:rPr>
          <w:rFonts w:ascii="Times New Roman" w:hAnsi="Times New Roman"/>
          <w:sz w:val="28"/>
          <w:szCs w:val="28"/>
          <w:lang w:val="kk-KZ" w:eastAsia="zh-CN"/>
        </w:rPr>
        <w:t>ө</w:t>
      </w:r>
      <w:r>
        <w:rPr>
          <w:rFonts w:ascii="Times New Roman" w:hAnsi="Times New Roman"/>
          <w:sz w:val="28"/>
          <w:szCs w:val="28"/>
          <w:lang w:val="kk-KZ" w:eastAsia="zh-CN"/>
        </w:rPr>
        <w:t>неркәсіптік роботтар өнімді орау, сұрыптау және дайындау үшін қолданылады (әсіресе дайын тағамдар мен жеңіл тағамдар саласынды). Kewpie корпорациясы жұмыртқаларды сапасы бойынша сараптау үшін камералар мен ЖИ пайдаланады, бұл қол еңбегінің үлесін</w:t>
      </w:r>
      <w:r>
        <w:rPr>
          <w:rFonts w:ascii="Times New Roman" w:hAnsi="Times New Roman"/>
          <w:sz w:val="28"/>
          <w:szCs w:val="28"/>
          <w:lang w:val="kk-KZ" w:eastAsia="zh-CN"/>
        </w:rPr>
        <w:t xml:space="preserve"> азайтады және өнімнің қауіпсіздігін арттырады [77].  </w:t>
      </w:r>
    </w:p>
    <w:p w:rsidR="005118AF" w:rsidRDefault="00EF60C3">
      <w:pPr>
        <w:numPr>
          <w:ilvl w:val="0"/>
          <w:numId w:val="13"/>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Биотехнология және ашыту</w:t>
      </w:r>
      <w:r>
        <w:rPr>
          <w:rFonts w:ascii="Times New Roman" w:hAnsi="Times New Roman"/>
          <w:sz w:val="28"/>
          <w:szCs w:val="28"/>
          <w:lang w:eastAsia="zh-CN"/>
        </w:rPr>
        <w:t xml:space="preserve"> -</w:t>
      </w:r>
      <w:r>
        <w:rPr>
          <w:rFonts w:ascii="Times New Roman" w:hAnsi="Times New Roman"/>
          <w:sz w:val="28"/>
          <w:szCs w:val="28"/>
          <w:lang w:val="kk-KZ" w:eastAsia="zh-CN"/>
        </w:rPr>
        <w:t xml:space="preserve"> </w:t>
      </w:r>
      <w:r>
        <w:rPr>
          <w:rFonts w:ascii="Times New Roman" w:hAnsi="Times New Roman"/>
          <w:sz w:val="28"/>
          <w:szCs w:val="28"/>
          <w:lang w:eastAsia="zh-CN"/>
        </w:rPr>
        <w:t>ф</w:t>
      </w:r>
      <w:r>
        <w:rPr>
          <w:rFonts w:ascii="Times New Roman" w:hAnsi="Times New Roman"/>
          <w:sz w:val="28"/>
          <w:szCs w:val="28"/>
          <w:lang w:val="kk-KZ" w:eastAsia="zh-CN"/>
        </w:rPr>
        <w:t>ункционалды және төмен қалориялы өнімдерді жасау үшін ашыту, микробиология және биоинженерлік технологияларды кеңінен қолданады. Мысалы,</w:t>
      </w:r>
      <w:r>
        <w:rPr>
          <w:rFonts w:ascii="Times New Roman" w:hAnsi="Times New Roman"/>
          <w:sz w:val="28"/>
          <w:szCs w:val="28"/>
          <w:lang w:val="kk-KZ" w:eastAsia="zh-CN"/>
        </w:rPr>
        <w:t xml:space="preserve"> </w:t>
      </w:r>
      <w:r>
        <w:rPr>
          <w:rFonts w:ascii="Times New Roman" w:hAnsi="Times New Roman"/>
          <w:sz w:val="28"/>
          <w:szCs w:val="28"/>
          <w:lang w:val="kk-KZ" w:eastAsia="zh-CN"/>
        </w:rPr>
        <w:t>ашытылған дәмдеуіштер мен тұздықтард</w:t>
      </w:r>
      <w:r>
        <w:rPr>
          <w:rFonts w:ascii="Times New Roman" w:hAnsi="Times New Roman"/>
          <w:sz w:val="28"/>
          <w:szCs w:val="28"/>
          <w:lang w:val="kk-KZ" w:eastAsia="zh-CN"/>
        </w:rPr>
        <w:t>ы (мисо, соя соусы) өндіруде бактерия штаммдарын пайдалану.</w:t>
      </w:r>
    </w:p>
    <w:p w:rsidR="005118AF" w:rsidRDefault="00EF60C3">
      <w:pPr>
        <w:tabs>
          <w:tab w:val="left" w:pos="1134"/>
          <w:tab w:val="left" w:pos="1400"/>
          <w:tab w:val="left" w:pos="1600"/>
          <w:tab w:val="left" w:pos="1800"/>
        </w:tabs>
        <w:spacing w:after="0" w:line="240" w:lineRule="auto"/>
        <w:ind w:firstLineChars="253" w:firstLine="708"/>
        <w:jc w:val="both"/>
        <w:rPr>
          <w:rFonts w:ascii="Times New Roman" w:hAnsi="Times New Roman"/>
          <w:sz w:val="28"/>
          <w:szCs w:val="28"/>
          <w:lang w:eastAsia="zh-CN"/>
        </w:rPr>
      </w:pPr>
      <w:r>
        <w:rPr>
          <w:rFonts w:ascii="Times New Roman" w:hAnsi="Times New Roman"/>
          <w:sz w:val="28"/>
          <w:szCs w:val="28"/>
          <w:lang w:val="kk-KZ" w:eastAsia="zh-CN"/>
        </w:rPr>
        <w:t>Оңтүстік Корея</w:t>
      </w:r>
      <w:r>
        <w:rPr>
          <w:rFonts w:ascii="Times New Roman" w:hAnsi="Times New Roman"/>
          <w:sz w:val="28"/>
          <w:szCs w:val="28"/>
          <w:lang w:val="kk-KZ" w:eastAsia="zh-CN"/>
        </w:rPr>
        <w:t xml:space="preserve"> мемлекетінде</w:t>
      </w:r>
      <w:r>
        <w:rPr>
          <w:rFonts w:ascii="Times New Roman" w:hAnsi="Times New Roman"/>
          <w:sz w:val="28"/>
          <w:szCs w:val="28"/>
          <w:lang w:val="kk-KZ" w:eastAsia="zh-CN"/>
        </w:rPr>
        <w:t>:</w:t>
      </w:r>
    </w:p>
    <w:p w:rsidR="005118AF" w:rsidRDefault="00EF60C3">
      <w:pPr>
        <w:numPr>
          <w:ilvl w:val="0"/>
          <w:numId w:val="14"/>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Ақылды</w:t>
      </w:r>
      <w:r>
        <w:rPr>
          <w:rFonts w:ascii="Times New Roman" w:hAnsi="Times New Roman"/>
          <w:sz w:val="28"/>
          <w:szCs w:val="28"/>
          <w:lang w:val="kk-KZ" w:eastAsia="zh-CN"/>
        </w:rPr>
        <w:t xml:space="preserve"> зауыт</w:t>
      </w:r>
      <w:r>
        <w:rPr>
          <w:rFonts w:ascii="Times New Roman" w:hAnsi="Times New Roman"/>
          <w:sz w:val="28"/>
          <w:szCs w:val="28"/>
          <w:lang w:val="en-US" w:eastAsia="zh-CN"/>
        </w:rPr>
        <w:t xml:space="preserve"> </w:t>
      </w:r>
      <w:r>
        <w:rPr>
          <w:rFonts w:ascii="Times New Roman" w:hAnsi="Times New Roman"/>
          <w:sz w:val="28"/>
          <w:szCs w:val="28"/>
          <w:lang w:val="kk-KZ" w:eastAsia="zh-CN"/>
        </w:rPr>
        <w:t>және цифрлық егіздер</w:t>
      </w:r>
      <w:r>
        <w:rPr>
          <w:rFonts w:ascii="Times New Roman" w:hAnsi="Times New Roman"/>
          <w:sz w:val="28"/>
          <w:szCs w:val="28"/>
          <w:lang w:val="kk-KZ" w:eastAsia="zh-CN"/>
        </w:rPr>
        <w:t xml:space="preserve"> </w:t>
      </w:r>
      <w:r>
        <w:rPr>
          <w:rFonts w:ascii="Times New Roman" w:hAnsi="Times New Roman"/>
          <w:sz w:val="28"/>
          <w:szCs w:val="28"/>
          <w:lang w:eastAsia="zh-CN"/>
        </w:rPr>
        <w:t>-</w:t>
      </w:r>
      <w:r>
        <w:rPr>
          <w:rFonts w:ascii="Times New Roman" w:hAnsi="Times New Roman"/>
          <w:sz w:val="28"/>
          <w:szCs w:val="28"/>
          <w:lang w:val="en-US" w:eastAsia="zh-CN"/>
        </w:rPr>
        <w:t xml:space="preserve"> 2014 </w:t>
      </w:r>
      <w:r>
        <w:rPr>
          <w:rFonts w:ascii="Times New Roman" w:hAnsi="Times New Roman"/>
          <w:sz w:val="28"/>
          <w:szCs w:val="28"/>
          <w:lang w:val="kk-KZ" w:eastAsia="zh-CN"/>
        </w:rPr>
        <w:t>жылдан бері үкімет шағын және орта азық</w:t>
      </w:r>
      <w:r>
        <w:rPr>
          <w:rFonts w:ascii="Times New Roman" w:hAnsi="Times New Roman"/>
          <w:sz w:val="28"/>
          <w:szCs w:val="28"/>
          <w:lang w:val="en-US" w:eastAsia="zh-CN"/>
        </w:rPr>
        <w:t>-</w:t>
      </w:r>
      <w:r>
        <w:rPr>
          <w:rFonts w:ascii="Times New Roman" w:hAnsi="Times New Roman"/>
          <w:sz w:val="28"/>
          <w:szCs w:val="28"/>
          <w:lang w:val="kk-KZ" w:eastAsia="zh-CN"/>
        </w:rPr>
        <w:t>түлік кәсіпорындарын қолдайтын Ақылды</w:t>
      </w:r>
      <w:r>
        <w:rPr>
          <w:rFonts w:ascii="Times New Roman" w:hAnsi="Times New Roman"/>
          <w:sz w:val="28"/>
          <w:szCs w:val="28"/>
          <w:lang w:val="kk-KZ" w:eastAsia="zh-CN"/>
        </w:rPr>
        <w:t xml:space="preserve"> зауыт</w:t>
      </w:r>
      <w:r>
        <w:rPr>
          <w:rFonts w:ascii="Times New Roman" w:hAnsi="Times New Roman"/>
          <w:sz w:val="28"/>
          <w:szCs w:val="28"/>
          <w:lang w:val="en-US" w:eastAsia="zh-CN"/>
        </w:rPr>
        <w:t xml:space="preserve"> </w:t>
      </w:r>
      <w:r>
        <w:rPr>
          <w:rFonts w:ascii="Times New Roman" w:hAnsi="Times New Roman"/>
          <w:sz w:val="28"/>
          <w:szCs w:val="28"/>
          <w:lang w:val="kk-KZ" w:eastAsia="zh-CN"/>
        </w:rPr>
        <w:t xml:space="preserve">бастамасын жүзеге асыруды. Мысалы, CJ </w:t>
      </w:r>
      <w:r>
        <w:rPr>
          <w:rFonts w:ascii="Times New Roman" w:hAnsi="Times New Roman"/>
          <w:sz w:val="28"/>
          <w:szCs w:val="28"/>
          <w:lang w:val="kk-KZ" w:eastAsia="zh-CN"/>
        </w:rPr>
        <w:t>CheilJedang</w:t>
      </w:r>
      <w:r>
        <w:rPr>
          <w:rFonts w:ascii="Times New Roman" w:hAnsi="Times New Roman"/>
          <w:sz w:val="28"/>
          <w:szCs w:val="28"/>
          <w:lang w:eastAsia="zh-CN"/>
        </w:rPr>
        <w:t xml:space="preserve"> к</w:t>
      </w:r>
      <w:r>
        <w:rPr>
          <w:rFonts w:ascii="Times New Roman" w:hAnsi="Times New Roman"/>
          <w:sz w:val="28"/>
          <w:szCs w:val="28"/>
          <w:lang w:val="kk-KZ" w:eastAsia="zh-CN"/>
        </w:rPr>
        <w:t>әсіпорны</w:t>
      </w:r>
      <w:r>
        <w:rPr>
          <w:rFonts w:ascii="Times New Roman" w:hAnsi="Times New Roman"/>
          <w:sz w:val="28"/>
          <w:szCs w:val="28"/>
          <w:lang w:val="kk-KZ" w:eastAsia="zh-CN"/>
        </w:rPr>
        <w:t xml:space="preserve"> өндірістік процестерді бақылауға және икемділікті арттыруға мүмкіндік беретін сандық егіздерді пайдаланады [78]. </w:t>
      </w:r>
    </w:p>
    <w:p w:rsidR="005118AF" w:rsidRDefault="00EF60C3">
      <w:pPr>
        <w:numPr>
          <w:ilvl w:val="0"/>
          <w:numId w:val="14"/>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Жасанды интеллект және үлкен деректер</w:t>
      </w:r>
      <w:r>
        <w:rPr>
          <w:rFonts w:ascii="Times New Roman" w:hAnsi="Times New Roman"/>
          <w:sz w:val="28"/>
          <w:szCs w:val="28"/>
          <w:lang w:val="kk-KZ" w:eastAsia="zh-CN"/>
        </w:rPr>
        <w:t xml:space="preserve"> </w:t>
      </w:r>
      <w:r>
        <w:rPr>
          <w:rFonts w:ascii="Times New Roman" w:hAnsi="Times New Roman"/>
          <w:sz w:val="28"/>
          <w:szCs w:val="28"/>
          <w:lang w:eastAsia="zh-CN"/>
        </w:rPr>
        <w:t>-</w:t>
      </w:r>
      <w:r>
        <w:rPr>
          <w:rFonts w:ascii="Times New Roman" w:hAnsi="Times New Roman"/>
          <w:sz w:val="28"/>
          <w:szCs w:val="28"/>
          <w:lang w:val="kk-KZ" w:eastAsia="zh-CN"/>
        </w:rPr>
        <w:t xml:space="preserve"> </w:t>
      </w:r>
      <w:r>
        <w:rPr>
          <w:rFonts w:ascii="Times New Roman" w:hAnsi="Times New Roman"/>
          <w:sz w:val="28"/>
          <w:szCs w:val="28"/>
          <w:lang w:eastAsia="zh-CN"/>
        </w:rPr>
        <w:t>ЖИ</w:t>
      </w:r>
      <w:r>
        <w:rPr>
          <w:rFonts w:ascii="Times New Roman" w:hAnsi="Times New Roman"/>
          <w:sz w:val="28"/>
          <w:szCs w:val="28"/>
          <w:lang w:val="kk-KZ" w:eastAsia="zh-CN"/>
        </w:rPr>
        <w:t xml:space="preserve"> тұтынушылардың талғамдарын талдау, болжамды сұранысты анықтау және рецептерді</w:t>
      </w:r>
      <w:r>
        <w:rPr>
          <w:rFonts w:ascii="Times New Roman" w:hAnsi="Times New Roman"/>
          <w:sz w:val="28"/>
          <w:szCs w:val="28"/>
          <w:lang w:val="kk-KZ" w:eastAsia="zh-CN"/>
        </w:rPr>
        <w:t xml:space="preserve"> бейімдеуде қолданылады. Мысалы, Mycel стартапы саңырауқұлақ мицелийінен балама ақуыздар жасау үшін машиналық оқытуды пайдаланады [79]. </w:t>
      </w:r>
    </w:p>
    <w:p w:rsidR="005118AF" w:rsidRDefault="00EF60C3">
      <w:pPr>
        <w:numPr>
          <w:ilvl w:val="0"/>
          <w:numId w:val="14"/>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Тұрақты технологиялар</w:t>
      </w:r>
      <w:r>
        <w:rPr>
          <w:rFonts w:ascii="Times New Roman" w:hAnsi="Times New Roman"/>
          <w:sz w:val="28"/>
          <w:szCs w:val="28"/>
          <w:lang w:eastAsia="zh-CN"/>
        </w:rPr>
        <w:t xml:space="preserve"> -</w:t>
      </w:r>
      <w:r>
        <w:rPr>
          <w:rFonts w:ascii="Times New Roman" w:hAnsi="Times New Roman"/>
          <w:sz w:val="28"/>
          <w:szCs w:val="28"/>
          <w:lang w:val="kk-KZ" w:eastAsia="zh-CN"/>
        </w:rPr>
        <w:t xml:space="preserve"> Өнімдердің жарамдылық мерзімін ұзарту үшін биологиялық ыдырайтын қаптамаларды, наноматериалдард</w:t>
      </w:r>
      <w:r>
        <w:rPr>
          <w:rFonts w:ascii="Times New Roman" w:hAnsi="Times New Roman"/>
          <w:sz w:val="28"/>
          <w:szCs w:val="28"/>
          <w:lang w:val="kk-KZ" w:eastAsia="zh-CN"/>
        </w:rPr>
        <w:t xml:space="preserve">ы әзірлеу. Pulmuone </w:t>
      </w:r>
      <w:r>
        <w:rPr>
          <w:rFonts w:ascii="Times New Roman" w:hAnsi="Times New Roman"/>
          <w:sz w:val="28"/>
          <w:szCs w:val="28"/>
          <w:lang w:val="kk-KZ" w:eastAsia="zh-CN"/>
        </w:rPr>
        <w:t xml:space="preserve">кәсіпорны </w:t>
      </w:r>
      <w:r>
        <w:rPr>
          <w:rFonts w:ascii="Times New Roman" w:hAnsi="Times New Roman"/>
          <w:sz w:val="28"/>
          <w:szCs w:val="28"/>
          <w:lang w:val="kk-KZ" w:eastAsia="zh-CN"/>
        </w:rPr>
        <w:t xml:space="preserve">пластикті 30%-ға азайтып, тофуға арналған экологиялық таза қаптаманы енгізді [80].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Жапондық модель тиімді ойлау мен автоматтардыруды пайдалана отырып, тиімділік пен процестің тұрақтылығына баса назар аударады. Ал Оңтүстік Кор</w:t>
      </w:r>
      <w:r>
        <w:rPr>
          <w:rFonts w:ascii="Times New Roman" w:hAnsi="Times New Roman"/>
          <w:sz w:val="28"/>
          <w:szCs w:val="28"/>
          <w:lang w:val="kk-KZ" w:eastAsia="zh-CN"/>
        </w:rPr>
        <w:t xml:space="preserve">ея моделі ептілікке, цифрлық трансформацияға және тұрақтылыққа көбірек көңіл бөледі. Екі ел де инновацияны дәстүрлі тамақ өнеркәсібіне қалай табысты енгізуге болатындығын көрсететін үздік тәжірибелер мысал бола алады.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bCs/>
          <w:i/>
          <w:iCs/>
          <w:sz w:val="28"/>
          <w:szCs w:val="28"/>
          <w:lang w:val="kk-KZ" w:eastAsia="zh-CN"/>
        </w:rPr>
        <w:t>Қытайдың</w:t>
      </w:r>
      <w:r>
        <w:rPr>
          <w:rFonts w:ascii="Times New Roman" w:hAnsi="Times New Roman"/>
          <w:bCs/>
          <w:i/>
          <w:iCs/>
          <w:sz w:val="28"/>
          <w:szCs w:val="28"/>
          <w:lang w:val="kk-KZ" w:eastAsia="zh-CN"/>
        </w:rPr>
        <w:t xml:space="preserve"> Технологиялық секіріс пен үк</w:t>
      </w:r>
      <w:r>
        <w:rPr>
          <w:rFonts w:ascii="Times New Roman" w:hAnsi="Times New Roman"/>
          <w:bCs/>
          <w:i/>
          <w:iCs/>
          <w:sz w:val="28"/>
          <w:szCs w:val="28"/>
          <w:lang w:val="kk-KZ" w:eastAsia="zh-CN"/>
        </w:rPr>
        <w:t>імет басқаратын инновациялары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Қытай</w:t>
      </w:r>
      <w:r>
        <w:rPr>
          <w:rFonts w:ascii="Times New Roman" w:hAnsi="Times New Roman"/>
          <w:sz w:val="28"/>
          <w:szCs w:val="28"/>
          <w:lang w:val="kk-KZ" w:eastAsia="zh-CN"/>
        </w:rPr>
        <w:t xml:space="preserve"> елінің тамақ өнеркәсібіндегі мемлекет басқаратын инновациялық саясатының бірқатар ерекшеліктері бар. Мысалы, азық-түлік саласы</w:t>
      </w:r>
      <w:r>
        <w:rPr>
          <w:rFonts w:ascii="Times New Roman" w:hAnsi="Times New Roman"/>
          <w:sz w:val="28"/>
          <w:szCs w:val="28"/>
          <w:lang w:val="kk-KZ" w:eastAsia="zh-CN"/>
        </w:rPr>
        <w:t xml:space="preserve"> </w:t>
      </w:r>
      <w:r>
        <w:rPr>
          <w:rFonts w:ascii="Times New Roman" w:hAnsi="Times New Roman"/>
          <w:sz w:val="28"/>
          <w:szCs w:val="28"/>
          <w:lang w:val="kk-KZ" w:eastAsia="zh-CN"/>
        </w:rPr>
        <w:t>және ауыл шаруашылығы үшін ұлттық инновациялық көрсетілімдік аймақтар құрылған, сонымен қатар</w:t>
      </w:r>
      <w:r>
        <w:rPr>
          <w:rFonts w:ascii="Times New Roman" w:hAnsi="Times New Roman"/>
          <w:sz w:val="28"/>
          <w:szCs w:val="28"/>
          <w:lang w:val="kk-KZ" w:eastAsia="zh-CN"/>
        </w:rPr>
        <w:t xml:space="preserve">, ЖИ негізінде азық-түлік қауіпсіздігіне, бақылау жүйелеріне және смарт логистикаға үлкен инновациялар құйылады.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Мемлекеттік инновациялық саясат құралдарының қатарында инновациялық ваучерлер, инновациялық парктер және стратегиялық субсидияларды да жатқызу</w:t>
      </w:r>
      <w:r>
        <w:rPr>
          <w:rFonts w:ascii="Times New Roman" w:hAnsi="Times New Roman"/>
          <w:sz w:val="28"/>
          <w:szCs w:val="28"/>
          <w:lang w:val="kk-KZ" w:eastAsia="zh-CN"/>
        </w:rPr>
        <w:t>ға</w:t>
      </w:r>
      <w:r>
        <w:rPr>
          <w:rFonts w:ascii="Times New Roman" w:hAnsi="Times New Roman"/>
          <w:sz w:val="28"/>
          <w:szCs w:val="28"/>
          <w:lang w:val="kk-KZ" w:eastAsia="zh-CN"/>
        </w:rPr>
        <w:t xml:space="preserve"> болады.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Инновациялық ваучерлер - бұл ғылыми мекемелермен бірлесіп ғылыми зерттеулер жүргізу, жаңа өнімді әзірлеу немесе технологияларды енгізу үшін бизнеске мақсатты гранттар немесе субсидиялар беретін мемлекеттік қолдаудың бір түрі. Қытайды мұндай құр</w:t>
      </w:r>
      <w:r>
        <w:rPr>
          <w:rFonts w:ascii="Times New Roman" w:hAnsi="Times New Roman"/>
          <w:sz w:val="28"/>
          <w:szCs w:val="28"/>
          <w:lang w:val="kk-KZ" w:eastAsia="zh-CN"/>
        </w:rPr>
        <w:t xml:space="preserve">алдар әсіресе жоғары технологиялық секторларда, соның ішінде тамақ өнеркәсібінде белсенді қолданылады [81].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Қытайдың</w:t>
      </w:r>
      <w:r>
        <w:rPr>
          <w:rFonts w:ascii="Times New Roman" w:hAnsi="Times New Roman"/>
          <w:sz w:val="28"/>
          <w:szCs w:val="28"/>
          <w:lang w:val="kk-KZ" w:eastAsia="zh-CN"/>
        </w:rPr>
        <w:t xml:space="preserve"> тамақ өнеркәсібінде инновациялық ваучерлерді енгізудің нақты мысалдарына келесілерді жатқызуға болады [81, р. 11176]:</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1.</w:t>
      </w:r>
      <w:r>
        <w:rPr>
          <w:rFonts w:ascii="Times New Roman" w:hAnsi="Times New Roman"/>
          <w:sz w:val="28"/>
          <w:szCs w:val="28"/>
          <w:lang w:eastAsia="zh-CN"/>
        </w:rPr>
        <w:t xml:space="preserve"> Шандунь провинция</w:t>
      </w:r>
      <w:r>
        <w:rPr>
          <w:rFonts w:ascii="Times New Roman" w:hAnsi="Times New Roman"/>
          <w:sz w:val="28"/>
          <w:szCs w:val="28"/>
          <w:lang w:eastAsia="zh-CN"/>
        </w:rPr>
        <w:t>сында</w:t>
      </w:r>
      <w:r>
        <w:rPr>
          <w:rFonts w:ascii="Times New Roman" w:hAnsi="Times New Roman"/>
          <w:sz w:val="28"/>
          <w:szCs w:val="28"/>
          <w:lang w:val="kk-KZ" w:eastAsia="zh-CN"/>
        </w:rPr>
        <w:t>ғы</w:t>
      </w:r>
      <w:r>
        <w:rPr>
          <w:rFonts w:ascii="Times New Roman" w:hAnsi="Times New Roman"/>
          <w:sz w:val="28"/>
          <w:szCs w:val="28"/>
          <w:lang w:val="kk-KZ" w:eastAsia="zh-CN"/>
        </w:rPr>
        <w:t xml:space="preserve"> технологиялық ваучер бағдарламасы. Бағдарламаның басты мақсаты - тамақ өнеркәсібіндегі шағын және орта кәсіпкерлікті цифрландыру және өнімдерді әзірлеуді қолдау. Мысалы, жеміс өңдеуші кәсіпорын азық-түлік технологиясы ғылыми-зерттеу институтымен ын</w:t>
      </w:r>
      <w:r>
        <w:rPr>
          <w:rFonts w:ascii="Times New Roman" w:hAnsi="Times New Roman"/>
          <w:sz w:val="28"/>
          <w:szCs w:val="28"/>
          <w:lang w:val="kk-KZ" w:eastAsia="zh-CN"/>
        </w:rPr>
        <w:t>тымақтастыққа жолдама алды. Жобаның нәтижесінде өнімдердегі дәрумендерді көбірек сақтайтын төмен температурада кептіру технологиясын жасау мүмкіндігі туды.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2. Чжецзян провинциясы, Ханчжау қаласындағы инновациялық ваучерлер бағдарламасы. Ханчжоу университет</w:t>
      </w:r>
      <w:r>
        <w:rPr>
          <w:rFonts w:ascii="Times New Roman" w:hAnsi="Times New Roman"/>
          <w:sz w:val="28"/>
          <w:szCs w:val="28"/>
          <w:lang w:val="kk-KZ" w:eastAsia="zh-CN"/>
        </w:rPr>
        <w:t>тер мен ғылыми орталықтардың қызметтеріне айырбастауға болатын “ғылым және технология” купондар жүйесін енгізді. Мысалы, соя өнімдерін өндіруші Чжецзян университетімен бірлесе отырып, жаңа микробқа қарсы қаптаманы әзірлеу үшін ваучерді пайдаланды. Бұл өнім</w:t>
      </w:r>
      <w:r>
        <w:rPr>
          <w:rFonts w:ascii="Times New Roman" w:hAnsi="Times New Roman"/>
          <w:sz w:val="28"/>
          <w:szCs w:val="28"/>
          <w:lang w:val="kk-KZ" w:eastAsia="zh-CN"/>
        </w:rPr>
        <w:t>нің жарамдылық мерзімін ұзартып, экспорттық әлеуетті арттырды.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3. Шэньчжэнь провинциясындағы азық-түлік стартаптарына арналған технологиялық ваучерлер. Бұл жоба функционалдық тағамдық стартап пробиотикалық сусын жасау үшін инновациялық ваучерлер арқылы қол</w:t>
      </w:r>
      <w:r>
        <w:rPr>
          <w:rFonts w:ascii="Times New Roman" w:hAnsi="Times New Roman"/>
          <w:sz w:val="28"/>
          <w:szCs w:val="28"/>
          <w:lang w:val="kk-KZ" w:eastAsia="zh-CN"/>
        </w:rPr>
        <w:t>дау алды. Қытайлық тұтынушыларға арналған бірегей бактериялық штамм университеттің инкубатор зертханасымен бірлесіп әзірленді.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4. Қытай мұнай және азық-түлік корпорациясының</w:t>
      </w:r>
      <w:r>
        <w:rPr>
          <w:rFonts w:ascii="Times New Roman" w:hAnsi="Times New Roman"/>
          <w:sz w:val="28"/>
          <w:szCs w:val="28"/>
          <w:lang w:val="kk-KZ" w:eastAsia="zh-CN"/>
        </w:rPr>
        <w:t xml:space="preserve"> тәжірибесі</w:t>
      </w:r>
      <w:r>
        <w:rPr>
          <w:rFonts w:ascii="Times New Roman" w:hAnsi="Times New Roman"/>
          <w:sz w:val="28"/>
          <w:szCs w:val="28"/>
          <w:lang w:val="kk-KZ" w:eastAsia="zh-CN"/>
        </w:rPr>
        <w:t>. Бұл ірі корпорация болғанымен, оның еншілес компаниялары кейде аймақтық инновациялық субсидиялау бағдарламаларына қатысады. Бейжің муниципалитетінің технолгиялық ваучерін пайдаланатын бір жобада коопорация астықтың балғындығын бақылау үшін смарт сенсорла</w:t>
      </w:r>
      <w:r>
        <w:rPr>
          <w:rFonts w:ascii="Times New Roman" w:hAnsi="Times New Roman"/>
          <w:sz w:val="28"/>
          <w:szCs w:val="28"/>
          <w:lang w:val="kk-KZ" w:eastAsia="zh-CN"/>
        </w:rPr>
        <w:t xml:space="preserve">рды әзірледі.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Жалпы Қытай елінің инновациялық ваучерлерінің ерекшелігі - олар көбінесе аймақтық және қалалық деңгейде жүзеге асырылады және негізінен ШОК-ке бағытталған, алайда кластерлік бағдарламалар арқылы ірі компанияларға да қолжетімді.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Қытайда</w:t>
      </w:r>
      <w:r>
        <w:rPr>
          <w:rFonts w:ascii="Times New Roman" w:hAnsi="Times New Roman"/>
          <w:sz w:val="28"/>
          <w:szCs w:val="28"/>
          <w:lang w:val="kk-KZ" w:eastAsia="zh-CN"/>
        </w:rPr>
        <w:t xml:space="preserve"> тамақ өнеркәсібіндегі стратегиялық субсидиялар азық-түлік қауіпсіздігін қамтамасыз ету, технологиялық жаңарту, экспорттық бәсекеге қабілеттілік және ауыл шаруашылығының тұрақты дамуын қамтамасыз ету жөніндегі үкімет саясатының бір бөлігі болып табы</w:t>
      </w:r>
      <w:r>
        <w:rPr>
          <w:rFonts w:ascii="Times New Roman" w:hAnsi="Times New Roman"/>
          <w:sz w:val="28"/>
          <w:szCs w:val="28"/>
          <w:lang w:val="kk-KZ" w:eastAsia="zh-CN"/>
        </w:rPr>
        <w:t>лады (6-кесте). Бұл субсидиялар негізінен Қытай Халық Республикасы Ауыл шаруашылығы министрлігінің бағдарламалары, аймақтық бюджеттер, Ұлттық жоғары технологиялық қорлар (соның ішінде “Қытайда жасалған 2025” бағдарламасы, сонымен қатар “Жасыл трансформация</w:t>
      </w:r>
      <w:r>
        <w:rPr>
          <w:rFonts w:ascii="Times New Roman" w:hAnsi="Times New Roman"/>
          <w:sz w:val="28"/>
          <w:szCs w:val="28"/>
          <w:lang w:val="kk-KZ" w:eastAsia="zh-CN"/>
        </w:rPr>
        <w:t xml:space="preserve">” немесе “Цифрлық экономика” арнайы бағдарламалары аясында қаржыландырылады [82]. </w:t>
      </w: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b/>
          <w:bCs/>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b/>
          <w:bCs/>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b/>
          <w:bCs/>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8"/>
          <w:szCs w:val="28"/>
          <w:lang w:val="kk-KZ" w:eastAsia="zh-CN"/>
        </w:rPr>
      </w:pPr>
      <w:r>
        <w:rPr>
          <w:rFonts w:ascii="Times New Roman" w:hAnsi="Times New Roman"/>
          <w:sz w:val="28"/>
          <w:szCs w:val="28"/>
          <w:lang w:val="kk-KZ" w:eastAsia="zh-CN"/>
        </w:rPr>
        <w:t xml:space="preserve">Кесте 6 </w:t>
      </w:r>
      <w:r>
        <w:rPr>
          <w:rFonts w:ascii="Times New Roman" w:hAnsi="Times New Roman" w:cs="Times New Roman"/>
          <w:sz w:val="28"/>
          <w:szCs w:val="28"/>
          <w:lang w:val="kk-KZ" w:eastAsia="zh-CN"/>
        </w:rPr>
        <w:t>‒</w:t>
      </w:r>
      <w:r>
        <w:rPr>
          <w:rFonts w:ascii="Times New Roman" w:hAnsi="Times New Roman"/>
          <w:sz w:val="28"/>
          <w:szCs w:val="28"/>
          <w:lang w:val="kk-KZ" w:eastAsia="zh-CN"/>
        </w:rPr>
        <w:t xml:space="preserve"> Қытайдың тамақ өнеркәсібіне арналған стратегиялық субсидиялар (сала бойынша) </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sz w:val="16"/>
          <w:szCs w:val="16"/>
          <w:lang w:val="kk-KZ" w:eastAsia="zh-CN"/>
        </w:rPr>
      </w:pPr>
    </w:p>
    <w:tbl>
      <w:tblPr>
        <w:tblStyle w:val="ae"/>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685"/>
        <w:gridCol w:w="4298"/>
      </w:tblGrid>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Сала</w:t>
            </w:r>
          </w:p>
        </w:tc>
        <w:tc>
          <w:tcPr>
            <w:tcW w:w="3685"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Қолдау</w:t>
            </w:r>
            <w:r>
              <w:rPr>
                <w:rFonts w:ascii="Times New Roman" w:hAnsi="Times New Roman"/>
                <w:sz w:val="24"/>
                <w:szCs w:val="24"/>
                <w:lang w:val="kk-KZ" w:eastAsia="zh-CN"/>
              </w:rPr>
              <w:t xml:space="preserve"> түрі</w:t>
            </w:r>
          </w:p>
        </w:tc>
        <w:tc>
          <w:tcPr>
            <w:tcW w:w="4298"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Мысал</w:t>
            </w:r>
          </w:p>
        </w:tc>
      </w:tr>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Сүт өнімдері </w:t>
            </w:r>
          </w:p>
        </w:tc>
        <w:tc>
          <w:tcPr>
            <w:tcW w:w="368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Экологиялық өңдеу, су тазарту жүйелері, </w:t>
            </w:r>
            <w:r>
              <w:rPr>
                <w:rFonts w:ascii="Times New Roman" w:hAnsi="Times New Roman"/>
                <w:sz w:val="24"/>
                <w:szCs w:val="24"/>
                <w:lang w:val="kk-KZ" w:eastAsia="zh-CN"/>
              </w:rPr>
              <w:t>биогаз қондырғылары</w:t>
            </w:r>
          </w:p>
        </w:tc>
        <w:tc>
          <w:tcPr>
            <w:tcW w:w="429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Ішкі Монғолиядағы зауыт - қалдықсыз өндіріс жүйесіне субсидия алып, экологиялық стандарттарды жақсартты</w:t>
            </w:r>
          </w:p>
        </w:tc>
      </w:tr>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Ет өңдеу</w:t>
            </w:r>
          </w:p>
        </w:tc>
        <w:tc>
          <w:tcPr>
            <w:tcW w:w="368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Автоматтандыру, цифрлық егіздер, ЖИ незінідегі сапаны бақылау</w:t>
            </w:r>
          </w:p>
        </w:tc>
        <w:tc>
          <w:tcPr>
            <w:tcW w:w="429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Хэнань провинциясындағы ет зауыты - өндіріс желісіне интелле</w:t>
            </w:r>
            <w:r>
              <w:rPr>
                <w:rFonts w:ascii="Times New Roman" w:hAnsi="Times New Roman"/>
                <w:sz w:val="24"/>
                <w:szCs w:val="24"/>
                <w:lang w:val="kk-KZ" w:eastAsia="zh-CN"/>
              </w:rPr>
              <w:t>ктуалды жүйе енгізуге 5 млн қытай июаны</w:t>
            </w:r>
            <w:r>
              <w:rPr>
                <w:rFonts w:ascii="Times New Roman" w:hAnsi="Times New Roman"/>
                <w:sz w:val="24"/>
                <w:szCs w:val="24"/>
                <w:lang w:val="kk-KZ" w:eastAsia="zh-CN"/>
              </w:rPr>
              <w:t xml:space="preserve"> құйылды</w:t>
            </w:r>
            <w:r>
              <w:rPr>
                <w:rFonts w:ascii="Times New Roman" w:hAnsi="Times New Roman"/>
                <w:sz w:val="24"/>
                <w:szCs w:val="24"/>
                <w:lang w:val="kk-KZ" w:eastAsia="zh-CN"/>
              </w:rPr>
              <w:t xml:space="preserve"> </w:t>
            </w:r>
          </w:p>
        </w:tc>
      </w:tr>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Көкөніс және күріш </w:t>
            </w:r>
          </w:p>
        </w:tc>
        <w:tc>
          <w:tcPr>
            <w:tcW w:w="368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Агроөнеркәсіптік класстерлер, инфрақұрылым және логистика</w:t>
            </w:r>
          </w:p>
        </w:tc>
        <w:tc>
          <w:tcPr>
            <w:tcW w:w="429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Аньхойдағы күріш өңдеу кластері - қойма, зертхана, салқын тізбек жүйесіне субсидия алды </w:t>
            </w:r>
          </w:p>
        </w:tc>
      </w:tr>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Баламалы ақуыз</w:t>
            </w:r>
          </w:p>
        </w:tc>
        <w:tc>
          <w:tcPr>
            <w:tcW w:w="368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ҒЗТКЖ</w:t>
            </w:r>
            <w:r>
              <w:rPr>
                <w:rFonts w:ascii="Times New Roman" w:hAnsi="Times New Roman"/>
                <w:sz w:val="24"/>
                <w:szCs w:val="24"/>
                <w:lang w:val="kk-KZ" w:eastAsia="zh-CN"/>
              </w:rPr>
              <w:t xml:space="preserve">, жаңа өнім </w:t>
            </w:r>
            <w:r>
              <w:rPr>
                <w:rFonts w:ascii="Times New Roman" w:hAnsi="Times New Roman"/>
                <w:sz w:val="24"/>
                <w:szCs w:val="24"/>
                <w:lang w:val="kk-KZ" w:eastAsia="zh-CN"/>
              </w:rPr>
              <w:t>формуласы, вегетариандық өнімдерді әзірлеу</w:t>
            </w:r>
          </w:p>
        </w:tc>
        <w:tc>
          <w:tcPr>
            <w:tcW w:w="429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Starfield старапы - өсімдік негізіндегі ет жасап шығаруға арналған зерт ханалық грант алды</w:t>
            </w:r>
          </w:p>
        </w:tc>
      </w:tr>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Қаптама</w:t>
            </w:r>
          </w:p>
        </w:tc>
        <w:tc>
          <w:tcPr>
            <w:tcW w:w="368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Микробқа қарсы қаптама, экологиялық буып-түю, ақылды таңбалау</w:t>
            </w:r>
          </w:p>
        </w:tc>
        <w:tc>
          <w:tcPr>
            <w:tcW w:w="429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Соя өнімін өндіруші - Чжецзян университетімен </w:t>
            </w:r>
            <w:r>
              <w:rPr>
                <w:rFonts w:ascii="Times New Roman" w:hAnsi="Times New Roman"/>
                <w:sz w:val="24"/>
                <w:szCs w:val="24"/>
                <w:lang w:val="kk-KZ" w:eastAsia="zh-CN"/>
              </w:rPr>
              <w:t>бірлесе биоқаптама жасап, ваучер арқылы қаржылан дырылды</w:t>
            </w:r>
          </w:p>
        </w:tc>
      </w:tr>
      <w:tr w:rsidR="005118AF">
        <w:trPr>
          <w:jc w:val="center"/>
        </w:trPr>
        <w:tc>
          <w:tcPr>
            <w:tcW w:w="146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Экспорты және маркетинг</w:t>
            </w:r>
          </w:p>
        </w:tc>
        <w:tc>
          <w:tcPr>
            <w:tcW w:w="3685"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Халықаралық сертификаттау, көрмелерге қатысу, онлайн-экспорт платормасы</w:t>
            </w:r>
          </w:p>
        </w:tc>
        <w:tc>
          <w:tcPr>
            <w:tcW w:w="429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Сычуаньдағы лапша өндіруші - ISO, Halal, НАССР сертификаттары мен меркетингке 2 млн қытай июань алды </w:t>
            </w:r>
          </w:p>
        </w:tc>
      </w:tr>
      <w:tr w:rsidR="005118AF">
        <w:trPr>
          <w:jc w:val="center"/>
        </w:trPr>
        <w:tc>
          <w:tcPr>
            <w:tcW w:w="9448" w:type="dxa"/>
            <w:gridSpan w:val="3"/>
          </w:tcPr>
          <w:p w:rsidR="005118AF" w:rsidRDefault="00EF60C3">
            <w:pPr>
              <w:tabs>
                <w:tab w:val="left" w:pos="800"/>
                <w:tab w:val="left" w:pos="1134"/>
                <w:tab w:val="left" w:pos="1400"/>
                <w:tab w:val="left" w:pos="1600"/>
                <w:tab w:val="left" w:pos="1800"/>
              </w:tabs>
              <w:spacing w:after="0" w:line="240" w:lineRule="auto"/>
              <w:ind w:firstLine="595"/>
              <w:jc w:val="both"/>
              <w:rPr>
                <w:rFonts w:ascii="Times New Roman" w:hAnsi="Times New Roman"/>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hAnsi="Times New Roman"/>
                <w:sz w:val="24"/>
                <w:szCs w:val="24"/>
                <w:lang w:val="kk-KZ" w:eastAsia="zh-CN"/>
              </w:rPr>
              <w:t>[81, р. 11176; 82, р. 102692; 83, 84]</w:t>
            </w:r>
          </w:p>
        </w:tc>
      </w:tr>
    </w:tbl>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Қытайдың</w:t>
      </w:r>
      <w:r>
        <w:rPr>
          <w:rFonts w:ascii="Times New Roman" w:hAnsi="Times New Roman"/>
          <w:sz w:val="28"/>
          <w:szCs w:val="28"/>
          <w:lang w:val="kk-KZ" w:eastAsia="zh-CN"/>
        </w:rPr>
        <w:t xml:space="preserve"> азық-түлік секторы стратегиялық үкімет басшылығымен бірге технолгиялық серпіліс тұтас бір саланы қалай өзгерте алатыны аңғартты. Саясаттың, технологияның және кәсіпкерлік инновациялық интеграциясы Қытайды тамақ өндірісіндегі қоғамдық инновациялық </w:t>
      </w:r>
      <w:r>
        <w:rPr>
          <w:rFonts w:ascii="Times New Roman" w:hAnsi="Times New Roman"/>
          <w:sz w:val="28"/>
          <w:szCs w:val="28"/>
          <w:lang w:val="kk-KZ" w:eastAsia="zh-CN"/>
        </w:rPr>
        <w:t xml:space="preserve">экожүйелердің жаһандық үлгісі ретінде көрсетеді.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Қазақстан</w:t>
      </w:r>
      <w:r>
        <w:rPr>
          <w:rFonts w:ascii="Times New Roman" w:hAnsi="Times New Roman"/>
          <w:sz w:val="28"/>
          <w:szCs w:val="28"/>
          <w:lang w:val="kk-KZ" w:eastAsia="zh-CN"/>
        </w:rPr>
        <w:t xml:space="preserve"> үшін ұқсас инновациялық аймақтар мен мақсатты мемлекеттік қолдау бағдарламалары Қазақстанның өңірлерінде, әсіресе, азық-түлік қауіпсіздігі мен логистикалық жүйелерде жыдам инновацияларды ынталанды</w:t>
      </w:r>
      <w:r>
        <w:rPr>
          <w:rFonts w:ascii="Times New Roman" w:hAnsi="Times New Roman"/>
          <w:sz w:val="28"/>
          <w:szCs w:val="28"/>
          <w:lang w:val="kk-KZ" w:eastAsia="zh-CN"/>
        </w:rPr>
        <w:t xml:space="preserve">руы мүмкін.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i/>
          <w:sz w:val="28"/>
          <w:szCs w:val="28"/>
          <w:lang w:val="kk-KZ" w:eastAsia="zh-CN"/>
        </w:rPr>
      </w:pPr>
      <w:r>
        <w:rPr>
          <w:rFonts w:ascii="Times New Roman" w:hAnsi="Times New Roman"/>
          <w:bCs/>
          <w:i/>
          <w:iCs/>
          <w:sz w:val="28"/>
          <w:szCs w:val="28"/>
          <w:lang w:val="kk-KZ" w:eastAsia="zh-CN"/>
        </w:rPr>
        <w:t>Австралия және Канаданың тұрақтылық және экспортқа бағытталан инновациялары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Австралия мен Канада </w:t>
      </w:r>
      <w:r>
        <w:rPr>
          <w:rFonts w:ascii="Times New Roman" w:hAnsi="Times New Roman" w:cs="Times New Roman"/>
          <w:sz w:val="28"/>
          <w:szCs w:val="28"/>
          <w:lang w:val="kk-KZ" w:eastAsia="zh-CN"/>
        </w:rPr>
        <w:t>‒</w:t>
      </w:r>
      <w:r>
        <w:rPr>
          <w:rFonts w:ascii="Times New Roman" w:hAnsi="Times New Roman"/>
          <w:sz w:val="28"/>
          <w:szCs w:val="28"/>
          <w:lang w:val="kk-KZ" w:eastAsia="zh-CN"/>
        </w:rPr>
        <w:t xml:space="preserve"> ауыл шаруашылығы мен тамақ өнімдерін өндіруде жаһандық көшбасшы мемлекеттер қатарына енеді. Бұл елдерде инновациялық даму экологиялық тұрақтылық, азық-түлік қауіпсіздігі және халықаралық нарықтарға бағытталған экспорттық саясат арқылы жүзеге асады. Екі ел</w:t>
      </w:r>
      <w:r>
        <w:rPr>
          <w:rFonts w:ascii="Times New Roman" w:hAnsi="Times New Roman"/>
          <w:sz w:val="28"/>
          <w:szCs w:val="28"/>
          <w:lang w:val="kk-KZ" w:eastAsia="zh-CN"/>
        </w:rPr>
        <w:t xml:space="preserve">де де жоғары технологиялық шешімдер мен үкімет тарапынан белсенді қолдау орын алған (7-кесте).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Австралия мен Канада - тұрақты, экспортқа бағытталған инновациялық саясатты тиімді жүзеге асырып отырған мемлекеттер. Олар технология мен саясатты ұштастыра от</w:t>
      </w:r>
      <w:r>
        <w:rPr>
          <w:rFonts w:ascii="Times New Roman" w:hAnsi="Times New Roman"/>
          <w:sz w:val="28"/>
          <w:szCs w:val="28"/>
          <w:lang w:val="kk-KZ" w:eastAsia="zh-CN"/>
        </w:rPr>
        <w:t xml:space="preserve">ырып, тамақ өнеркәсібін климатқа бейімдеп, жаһандық нарықта бәсекеге қабілетті өнім ұсынуда. Бұл модельдер Қазақстан үшін де үлгі ретінде қызмет ете адады, әсіресе экспортты арттыру, инновация енгізу және тағамдық қауіпсіздік қамтамасыз ету салаларында. </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8"/>
          <w:szCs w:val="28"/>
          <w:lang w:val="kk-KZ" w:eastAsia="zh-CN"/>
        </w:rPr>
      </w:pPr>
      <w:r>
        <w:rPr>
          <w:rFonts w:ascii="Times New Roman" w:hAnsi="Times New Roman"/>
          <w:sz w:val="28"/>
          <w:szCs w:val="28"/>
          <w:lang w:eastAsia="zh-CN"/>
        </w:rPr>
        <w:t>К</w:t>
      </w:r>
      <w:r>
        <w:rPr>
          <w:rFonts w:ascii="Times New Roman" w:hAnsi="Times New Roman"/>
          <w:sz w:val="28"/>
          <w:szCs w:val="28"/>
          <w:lang w:eastAsia="zh-CN"/>
        </w:rPr>
        <w:t xml:space="preserve">есте 7 </w:t>
      </w:r>
      <w:r>
        <w:rPr>
          <w:rFonts w:ascii="Times New Roman" w:hAnsi="Times New Roman" w:cs="Times New Roman"/>
          <w:sz w:val="28"/>
          <w:szCs w:val="28"/>
          <w:lang w:eastAsia="zh-CN"/>
        </w:rPr>
        <w:t>‒</w:t>
      </w:r>
      <w:r>
        <w:rPr>
          <w:rFonts w:ascii="Times New Roman" w:hAnsi="Times New Roman"/>
          <w:sz w:val="28"/>
          <w:szCs w:val="28"/>
          <w:lang w:eastAsia="zh-CN"/>
        </w:rPr>
        <w:t xml:space="preserve"> А</w:t>
      </w:r>
      <w:r>
        <w:rPr>
          <w:rFonts w:ascii="Times New Roman" w:hAnsi="Times New Roman"/>
          <w:sz w:val="28"/>
          <w:szCs w:val="28"/>
          <w:lang w:val="kk-KZ" w:eastAsia="zh-CN"/>
        </w:rPr>
        <w:t>встралия мен Канада</w:t>
      </w:r>
      <w:r>
        <w:rPr>
          <w:rFonts w:ascii="Times New Roman" w:hAnsi="Times New Roman"/>
          <w:sz w:val="28"/>
          <w:szCs w:val="28"/>
          <w:lang w:eastAsia="zh-CN"/>
        </w:rPr>
        <w:t xml:space="preserve"> елдер</w:t>
      </w:r>
      <w:r>
        <w:rPr>
          <w:rFonts w:ascii="Times New Roman" w:hAnsi="Times New Roman"/>
          <w:sz w:val="28"/>
          <w:szCs w:val="28"/>
          <w:lang w:val="kk-KZ" w:eastAsia="zh-CN"/>
        </w:rPr>
        <w:t>індегі инновациялық стратегиялық басымдылықтар</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3192"/>
        <w:gridCol w:w="4501"/>
      </w:tblGrid>
      <w:tr w:rsidR="005118AF">
        <w:trPr>
          <w:jc w:val="center"/>
        </w:trPr>
        <w:tc>
          <w:tcPr>
            <w:tcW w:w="1877"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Атау</w:t>
            </w:r>
          </w:p>
        </w:tc>
        <w:tc>
          <w:tcPr>
            <w:tcW w:w="3192"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Автралия</w:t>
            </w:r>
          </w:p>
        </w:tc>
        <w:tc>
          <w:tcPr>
            <w:tcW w:w="4501"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Канада</w:t>
            </w:r>
          </w:p>
        </w:tc>
      </w:tr>
      <w:tr w:rsidR="005118AF">
        <w:trPr>
          <w:jc w:val="center"/>
        </w:trPr>
        <w:tc>
          <w:tcPr>
            <w:tcW w:w="187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Стратегиялық негізгі басымдылықтар</w:t>
            </w:r>
          </w:p>
        </w:tc>
        <w:tc>
          <w:tcPr>
            <w:tcW w:w="3192"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климатқа төзімді ауыл шаруашылығы;</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экспорттық нарықтарға бейімделген AgTech;</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eastAsia="zh-CN"/>
              </w:rPr>
              <w:t xml:space="preserve">- </w:t>
            </w:r>
            <w:r>
              <w:rPr>
                <w:rFonts w:ascii="Times New Roman" w:hAnsi="Times New Roman"/>
                <w:sz w:val="24"/>
                <w:szCs w:val="24"/>
                <w:lang w:val="kk-KZ" w:eastAsia="zh-CN"/>
              </w:rPr>
              <w:t xml:space="preserve">жасыл энергетика және суды </w:t>
            </w:r>
            <w:r>
              <w:rPr>
                <w:rFonts w:ascii="Times New Roman" w:hAnsi="Times New Roman"/>
                <w:sz w:val="24"/>
                <w:szCs w:val="24"/>
                <w:lang w:val="kk-KZ" w:eastAsia="zh-CN"/>
              </w:rPr>
              <w:t>үнемдеу</w:t>
            </w:r>
            <w:r>
              <w:rPr>
                <w:rFonts w:ascii="Times New Roman" w:hAnsi="Times New Roman"/>
                <w:sz w:val="24"/>
                <w:szCs w:val="24"/>
                <w:lang w:val="kk-KZ" w:eastAsia="zh-CN"/>
              </w:rPr>
              <w:t>.</w:t>
            </w:r>
          </w:p>
        </w:tc>
        <w:tc>
          <w:tcPr>
            <w:tcW w:w="450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eastAsia="zh-CN"/>
              </w:rPr>
              <w:t xml:space="preserve">- </w:t>
            </w:r>
            <w:r>
              <w:rPr>
                <w:rFonts w:ascii="Times New Roman" w:hAnsi="Times New Roman"/>
                <w:sz w:val="24"/>
                <w:szCs w:val="24"/>
                <w:lang w:val="kk-KZ" w:eastAsia="zh-CN"/>
              </w:rPr>
              <w:t>өсімдік</w:t>
            </w:r>
            <w:r>
              <w:rPr>
                <w:rFonts w:ascii="Times New Roman" w:hAnsi="Times New Roman"/>
                <w:sz w:val="24"/>
                <w:szCs w:val="24"/>
                <w:lang w:val="kk-KZ" w:eastAsia="zh-CN"/>
              </w:rPr>
              <w:t xml:space="preserve"> негіздегі инновациялар;</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eastAsia="zh-CN"/>
              </w:rPr>
              <w:t xml:space="preserve">- </w:t>
            </w:r>
            <w:r>
              <w:rPr>
                <w:rFonts w:ascii="Times New Roman" w:hAnsi="Times New Roman"/>
                <w:sz w:val="24"/>
                <w:szCs w:val="24"/>
                <w:lang w:val="kk-KZ" w:eastAsia="zh-CN"/>
              </w:rPr>
              <w:t>жасыл технологиялар;</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денсаулыққа пайдалы өнімдер;</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экспортты әртараптандыру (АҚШ, ЕО, Азия).</w:t>
            </w:r>
          </w:p>
        </w:tc>
      </w:tr>
      <w:tr w:rsidR="005118AF">
        <w:trPr>
          <w:jc w:val="center"/>
        </w:trPr>
        <w:tc>
          <w:tcPr>
            <w:tcW w:w="187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Кейстер</w:t>
            </w:r>
          </w:p>
        </w:tc>
        <w:tc>
          <w:tcPr>
            <w:tcW w:w="3192"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SunRice Group - су үнем дейтін технологиялар мен ақылды логистикалық жүйе лерді қолданады. Компания 50-ден</w:t>
            </w:r>
            <w:r>
              <w:rPr>
                <w:rFonts w:ascii="Times New Roman" w:hAnsi="Times New Roman"/>
                <w:sz w:val="24"/>
                <w:szCs w:val="24"/>
                <w:lang w:val="kk-KZ" w:eastAsia="zh-CN"/>
              </w:rPr>
              <w:t xml:space="preserve"> астап елдерге өнімдерін экспорттайды. </w:t>
            </w:r>
          </w:p>
        </w:tc>
        <w:tc>
          <w:tcPr>
            <w:tcW w:w="450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Maple Leaf Foods</w:t>
            </w:r>
            <w:r>
              <w:rPr>
                <w:rFonts w:ascii="Times New Roman" w:hAnsi="Times New Roman"/>
                <w:sz w:val="24"/>
                <w:szCs w:val="24"/>
                <w:lang w:val="kk-KZ" w:eastAsia="zh-CN"/>
              </w:rPr>
              <w:t xml:space="preserve"> ет өндіруші компания</w:t>
            </w:r>
            <w:r>
              <w:rPr>
                <w:rFonts w:ascii="Times New Roman" w:hAnsi="Times New Roman"/>
                <w:sz w:val="24"/>
                <w:szCs w:val="24"/>
                <w:lang w:val="kk-KZ" w:eastAsia="zh-CN"/>
              </w:rPr>
              <w:t xml:space="preserve"> - қызметі негізінен тұрақты протеин өндіруші болуға бағытталған, Greanleaf Foods брендінде өсімдік негіздегі өнімдер өндіру және көміртек бейтарап өндіріс стратегиясын қолданады</w:t>
            </w:r>
          </w:p>
        </w:tc>
      </w:tr>
      <w:tr w:rsidR="005118AF">
        <w:trPr>
          <w:jc w:val="center"/>
        </w:trPr>
        <w:tc>
          <w:tcPr>
            <w:tcW w:w="9570" w:type="dxa"/>
            <w:gridSpan w:val="3"/>
          </w:tcPr>
          <w:p w:rsidR="005118AF" w:rsidRDefault="00EF60C3">
            <w:pPr>
              <w:tabs>
                <w:tab w:val="left" w:pos="800"/>
                <w:tab w:val="left" w:pos="1134"/>
                <w:tab w:val="left" w:pos="1400"/>
                <w:tab w:val="left" w:pos="1600"/>
                <w:tab w:val="left" w:pos="1800"/>
              </w:tabs>
              <w:spacing w:after="0" w:line="240" w:lineRule="auto"/>
              <w:ind w:firstLine="460"/>
              <w:jc w:val="both"/>
              <w:rPr>
                <w:rFonts w:ascii="Times New Roman" w:hAnsi="Times New Roman"/>
                <w:sz w:val="24"/>
                <w:szCs w:val="24"/>
                <w:lang w:val="en-US"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hAnsi="Times New Roman"/>
                <w:sz w:val="24"/>
                <w:szCs w:val="24"/>
                <w:lang w:val="en-US" w:eastAsia="zh-CN"/>
              </w:rPr>
              <w:t>[8</w:t>
            </w:r>
            <w:r>
              <w:rPr>
                <w:rFonts w:ascii="Times New Roman" w:hAnsi="Times New Roman"/>
                <w:sz w:val="24"/>
                <w:szCs w:val="24"/>
                <w:lang w:eastAsia="zh-CN"/>
              </w:rPr>
              <w:t>5</w:t>
            </w:r>
            <w:r>
              <w:rPr>
                <w:rFonts w:ascii="Times New Roman" w:hAnsi="Times New Roman"/>
                <w:sz w:val="24"/>
                <w:szCs w:val="24"/>
                <w:lang w:val="kk-KZ" w:eastAsia="zh-CN"/>
              </w:rPr>
              <w:t>-87</w:t>
            </w:r>
            <w:r>
              <w:rPr>
                <w:rFonts w:ascii="Times New Roman" w:hAnsi="Times New Roman"/>
                <w:sz w:val="24"/>
                <w:szCs w:val="24"/>
                <w:lang w:val="en-US" w:eastAsia="zh-CN"/>
              </w:rPr>
              <w:t xml:space="preserve">] </w:t>
            </w:r>
          </w:p>
        </w:tc>
      </w:tr>
    </w:tbl>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Шетелдердегі әртүрлі және табысты модельдердің бар болуына қарамастан, шетелдік тәжірибені Қазақстанға көшіруде институционалдық айырмашылықтар мен инновациялық экожүйелердің қалыптасу ерекшеліктерді </w:t>
      </w:r>
      <w:r>
        <w:rPr>
          <w:rFonts w:ascii="Times New Roman" w:hAnsi="Times New Roman"/>
          <w:sz w:val="28"/>
          <w:szCs w:val="28"/>
          <w:lang w:val="kk-KZ" w:eastAsia="zh-CN"/>
        </w:rPr>
        <w:t>ескеруді талап етеді. Сондықтан</w:t>
      </w:r>
      <w:r>
        <w:rPr>
          <w:rFonts w:ascii="Times New Roman" w:hAnsi="Times New Roman"/>
          <w:sz w:val="28"/>
          <w:szCs w:val="28"/>
          <w:lang w:val="kk-KZ" w:eastAsia="zh-CN"/>
        </w:rPr>
        <w:t>,</w:t>
      </w:r>
      <w:r>
        <w:rPr>
          <w:rFonts w:ascii="Times New Roman" w:hAnsi="Times New Roman"/>
          <w:sz w:val="28"/>
          <w:szCs w:val="28"/>
          <w:lang w:val="kk-KZ" w:eastAsia="zh-CN"/>
        </w:rPr>
        <w:t xml:space="preserve"> Қазақстанның тамақ өнеркәсібі үшін шетелдік тәжірибені өзінің экономикалық құрылымына, институционалдық әлеуетіне және салалық басымдылықтарына бейімдеп, сонымен бірге көптеген деңгейде инновациялық мүмкіндіктерді күшейту к</w:t>
      </w:r>
      <w:r>
        <w:rPr>
          <w:rFonts w:ascii="Times New Roman" w:hAnsi="Times New Roman"/>
          <w:sz w:val="28"/>
          <w:szCs w:val="28"/>
          <w:lang w:val="kk-KZ" w:eastAsia="zh-CN"/>
        </w:rPr>
        <w:t xml:space="preserve">ерек (8-кесте). </w:t>
      </w: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8"/>
          <w:szCs w:val="28"/>
          <w:lang w:val="kk-KZ" w:eastAsia="zh-CN"/>
        </w:rPr>
      </w:pPr>
      <w:r>
        <w:rPr>
          <w:rFonts w:ascii="Times New Roman" w:hAnsi="Times New Roman"/>
          <w:sz w:val="28"/>
          <w:szCs w:val="28"/>
          <w:lang w:val="kk-KZ" w:eastAsia="zh-CN"/>
        </w:rPr>
        <w:t xml:space="preserve">Кесте 8 </w:t>
      </w:r>
      <w:r>
        <w:rPr>
          <w:rFonts w:ascii="Times New Roman" w:hAnsi="Times New Roman" w:cs="Times New Roman"/>
          <w:sz w:val="28"/>
          <w:szCs w:val="28"/>
          <w:lang w:val="kk-KZ" w:eastAsia="zh-CN"/>
        </w:rPr>
        <w:t>‒</w:t>
      </w:r>
      <w:r>
        <w:rPr>
          <w:rFonts w:ascii="Times New Roman" w:hAnsi="Times New Roman"/>
          <w:sz w:val="28"/>
          <w:szCs w:val="28"/>
          <w:lang w:val="kk-KZ" w:eastAsia="zh-CN"/>
        </w:rPr>
        <w:t xml:space="preserve"> Тамақ өнеркәсібіндегі инновацияларды басқарудың шетелдік үлгілері</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771"/>
        <w:gridCol w:w="1596"/>
        <w:gridCol w:w="1947"/>
        <w:gridCol w:w="2138"/>
      </w:tblGrid>
      <w:tr w:rsidR="005118AF">
        <w:trPr>
          <w:trHeight w:val="1479"/>
          <w:jc w:val="center"/>
        </w:trPr>
        <w:tc>
          <w:tcPr>
            <w:tcW w:w="2097"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Ел/Аймақ</w:t>
            </w:r>
          </w:p>
        </w:tc>
        <w:tc>
          <w:tcPr>
            <w:tcW w:w="1771"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Инновациялық модельдің негізгі ерекшеліктері</w:t>
            </w:r>
          </w:p>
        </w:tc>
        <w:tc>
          <w:tcPr>
            <w:tcW w:w="1596"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Үкіметтің</w:t>
            </w:r>
            <w:r>
              <w:rPr>
                <w:rFonts w:ascii="Times New Roman" w:hAnsi="Times New Roman"/>
                <w:sz w:val="24"/>
                <w:szCs w:val="24"/>
                <w:lang w:val="kk-KZ" w:eastAsia="zh-CN"/>
              </w:rPr>
              <w:t xml:space="preserve"> рөлі</w:t>
            </w:r>
          </w:p>
        </w:tc>
        <w:tc>
          <w:tcPr>
            <w:tcW w:w="1947"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Өнеркәсіптік</w:t>
            </w:r>
            <w:r>
              <w:rPr>
                <w:rFonts w:ascii="Times New Roman" w:hAnsi="Times New Roman"/>
                <w:sz w:val="24"/>
                <w:szCs w:val="24"/>
                <w:lang w:val="kk-KZ" w:eastAsia="zh-CN"/>
              </w:rPr>
              <w:t xml:space="preserve"> тәжірибесі</w:t>
            </w:r>
          </w:p>
        </w:tc>
        <w:tc>
          <w:tcPr>
            <w:tcW w:w="2138"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Қазақстанға</w:t>
            </w:r>
            <w:r>
              <w:rPr>
                <w:rFonts w:ascii="Times New Roman" w:hAnsi="Times New Roman"/>
                <w:sz w:val="24"/>
                <w:szCs w:val="24"/>
                <w:lang w:val="kk-KZ" w:eastAsia="zh-CN"/>
              </w:rPr>
              <w:t xml:space="preserve"> бейімдеу мүмкіндігі</w:t>
            </w:r>
          </w:p>
        </w:tc>
      </w:tr>
      <w:tr w:rsidR="005118AF">
        <w:trPr>
          <w:jc w:val="center"/>
        </w:trPr>
        <w:tc>
          <w:tcPr>
            <w:tcW w:w="2097"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1</w:t>
            </w:r>
          </w:p>
        </w:tc>
        <w:tc>
          <w:tcPr>
            <w:tcW w:w="1771"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2</w:t>
            </w:r>
          </w:p>
        </w:tc>
        <w:tc>
          <w:tcPr>
            <w:tcW w:w="1596"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w:t>
            </w:r>
          </w:p>
        </w:tc>
        <w:tc>
          <w:tcPr>
            <w:tcW w:w="1947"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4</w:t>
            </w:r>
          </w:p>
        </w:tc>
        <w:tc>
          <w:tcPr>
            <w:tcW w:w="2138" w:type="dxa"/>
            <w:vAlign w:val="center"/>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w:t>
            </w:r>
          </w:p>
        </w:tc>
      </w:tr>
      <w:tr w:rsidR="005118AF">
        <w:trPr>
          <w:jc w:val="center"/>
        </w:trPr>
        <w:tc>
          <w:tcPr>
            <w:tcW w:w="209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Еуропалық Одақ</w:t>
            </w:r>
          </w:p>
        </w:tc>
        <w:tc>
          <w:tcPr>
            <w:tcW w:w="177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Кластерлік даму; Үштік спираль; тұрақты ашық инновациялар</w:t>
            </w:r>
          </w:p>
        </w:tc>
        <w:tc>
          <w:tcPr>
            <w:tcW w:w="1596"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Жоғары </w:t>
            </w:r>
            <w:r>
              <w:rPr>
                <w:rFonts w:ascii="Times New Roman" w:hAnsi="Times New Roman"/>
                <w:sz w:val="24"/>
                <w:szCs w:val="24"/>
                <w:lang w:eastAsia="zh-CN"/>
              </w:rPr>
              <w:t xml:space="preserve">– </w:t>
            </w:r>
            <w:r>
              <w:rPr>
                <w:rFonts w:ascii="Times New Roman" w:hAnsi="Times New Roman"/>
                <w:sz w:val="24"/>
                <w:szCs w:val="24"/>
                <w:lang w:val="kk-KZ" w:eastAsia="zh-CN"/>
              </w:rPr>
              <w:t>қаржылан</w:t>
            </w:r>
            <w:r>
              <w:rPr>
                <w:rFonts w:ascii="Times New Roman" w:hAnsi="Times New Roman"/>
                <w:sz w:val="24"/>
                <w:szCs w:val="24"/>
                <w:lang w:val="kk-KZ" w:eastAsia="zh-CN"/>
              </w:rPr>
              <w:t xml:space="preserve"> дыру</w:t>
            </w:r>
          </w:p>
        </w:tc>
        <w:tc>
          <w:tcPr>
            <w:tcW w:w="194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Аймақтық кластерлер; ҒЗТКЖ серіктестік, тұрақты даму комитеттері</w:t>
            </w:r>
          </w:p>
        </w:tc>
        <w:tc>
          <w:tcPr>
            <w:tcW w:w="213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Жоғары - тамақ өнеркәсібі кәсіпорындарында тұрақты даму моделін енгізу </w:t>
            </w:r>
          </w:p>
        </w:tc>
      </w:tr>
      <w:tr w:rsidR="005118AF">
        <w:trPr>
          <w:jc w:val="center"/>
        </w:trPr>
        <w:tc>
          <w:tcPr>
            <w:tcW w:w="209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АҚШ</w:t>
            </w:r>
          </w:p>
        </w:tc>
        <w:tc>
          <w:tcPr>
            <w:tcW w:w="177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Нарыққа негізделген; венчурлық капитал; акселератор </w:t>
            </w:r>
          </w:p>
        </w:tc>
        <w:tc>
          <w:tcPr>
            <w:tcW w:w="1596"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Орташа </w:t>
            </w:r>
            <w:r>
              <w:rPr>
                <w:rFonts w:ascii="Times New Roman" w:hAnsi="Times New Roman"/>
                <w:sz w:val="24"/>
                <w:szCs w:val="24"/>
                <w:lang w:eastAsia="zh-CN"/>
              </w:rPr>
              <w:t xml:space="preserve">- </w:t>
            </w:r>
            <w:r>
              <w:rPr>
                <w:rFonts w:ascii="Times New Roman" w:hAnsi="Times New Roman"/>
                <w:sz w:val="24"/>
                <w:szCs w:val="24"/>
                <w:lang w:val="kk-KZ" w:eastAsia="zh-CN"/>
              </w:rPr>
              <w:t>қолдаушы</w:t>
            </w:r>
            <w:r>
              <w:rPr>
                <w:rFonts w:ascii="Times New Roman" w:hAnsi="Times New Roman"/>
                <w:sz w:val="24"/>
                <w:szCs w:val="24"/>
                <w:lang w:val="kk-KZ" w:eastAsia="zh-CN"/>
              </w:rPr>
              <w:t xml:space="preserve"> саясат</w:t>
            </w:r>
          </w:p>
        </w:tc>
        <w:tc>
          <w:tcPr>
            <w:tcW w:w="194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Корпорациялық инновациялық зертханалар, стартап экожүйесі</w:t>
            </w:r>
          </w:p>
        </w:tc>
        <w:tc>
          <w:tcPr>
            <w:tcW w:w="213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Орташа </w:t>
            </w:r>
            <w:r>
              <w:rPr>
                <w:rFonts w:ascii="Times New Roman" w:hAnsi="Times New Roman"/>
                <w:sz w:val="24"/>
                <w:szCs w:val="24"/>
                <w:lang w:eastAsia="zh-CN"/>
              </w:rPr>
              <w:t xml:space="preserve">- </w:t>
            </w:r>
            <w:r>
              <w:rPr>
                <w:rFonts w:ascii="Times New Roman" w:hAnsi="Times New Roman"/>
                <w:sz w:val="24"/>
                <w:szCs w:val="24"/>
                <w:lang w:val="kk-KZ" w:eastAsia="zh-CN"/>
              </w:rPr>
              <w:t>азық</w:t>
            </w:r>
            <w:r>
              <w:rPr>
                <w:rFonts w:ascii="Times New Roman" w:hAnsi="Times New Roman"/>
                <w:sz w:val="24"/>
                <w:szCs w:val="24"/>
                <w:lang w:eastAsia="zh-CN"/>
              </w:rPr>
              <w:t>-</w:t>
            </w:r>
            <w:r>
              <w:rPr>
                <w:rFonts w:ascii="Times New Roman" w:hAnsi="Times New Roman"/>
                <w:sz w:val="24"/>
                <w:szCs w:val="24"/>
                <w:lang w:val="kk-KZ" w:eastAsia="zh-CN"/>
              </w:rPr>
              <w:t>түліктік технология инкубаортлары</w:t>
            </w:r>
          </w:p>
        </w:tc>
      </w:tr>
      <w:tr w:rsidR="005118AF">
        <w:trPr>
          <w:jc w:val="center"/>
        </w:trPr>
        <w:tc>
          <w:tcPr>
            <w:tcW w:w="2097" w:type="dxa"/>
            <w:tcBorders>
              <w:bottom w:val="nil"/>
            </w:tcBorders>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Жапония</w:t>
            </w:r>
          </w:p>
        </w:tc>
        <w:tc>
          <w:tcPr>
            <w:tcW w:w="1771" w:type="dxa"/>
            <w:tcBorders>
              <w:bottom w:val="nil"/>
            </w:tcBorders>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Үнемді</w:t>
            </w:r>
            <w:r>
              <w:rPr>
                <w:rFonts w:ascii="Times New Roman" w:hAnsi="Times New Roman"/>
                <w:sz w:val="24"/>
                <w:szCs w:val="24"/>
                <w:lang w:val="kk-KZ" w:eastAsia="zh-CN"/>
              </w:rPr>
              <w:t xml:space="preserve"> өндіріс; процестік инновация</w:t>
            </w:r>
          </w:p>
        </w:tc>
        <w:tc>
          <w:tcPr>
            <w:tcW w:w="1596" w:type="dxa"/>
            <w:tcBorders>
              <w:bottom w:val="nil"/>
            </w:tcBorders>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Орташа </w:t>
            </w:r>
            <w:r>
              <w:rPr>
                <w:rFonts w:ascii="Times New Roman" w:hAnsi="Times New Roman"/>
                <w:sz w:val="24"/>
                <w:szCs w:val="24"/>
                <w:lang w:eastAsia="zh-CN"/>
              </w:rPr>
              <w:t>-</w:t>
            </w:r>
            <w:r>
              <w:rPr>
                <w:rFonts w:ascii="Times New Roman" w:hAnsi="Times New Roman"/>
                <w:sz w:val="24"/>
                <w:szCs w:val="24"/>
                <w:lang w:val="en-US" w:eastAsia="zh-CN"/>
              </w:rPr>
              <w:t xml:space="preserve"> </w:t>
            </w:r>
            <w:r>
              <w:rPr>
                <w:rFonts w:ascii="Times New Roman" w:hAnsi="Times New Roman"/>
                <w:sz w:val="24"/>
                <w:szCs w:val="24"/>
                <w:lang w:val="kk-KZ" w:eastAsia="zh-CN"/>
              </w:rPr>
              <w:t>ҒЗТКЖ</w:t>
            </w:r>
            <w:r>
              <w:rPr>
                <w:rFonts w:ascii="Times New Roman" w:hAnsi="Times New Roman"/>
                <w:sz w:val="24"/>
                <w:szCs w:val="24"/>
                <w:lang w:val="kk-KZ" w:eastAsia="zh-CN"/>
              </w:rPr>
              <w:t xml:space="preserve"> қолдау</w:t>
            </w:r>
          </w:p>
        </w:tc>
        <w:tc>
          <w:tcPr>
            <w:tcW w:w="1947" w:type="dxa"/>
            <w:tcBorders>
              <w:bottom w:val="nil"/>
            </w:tcBorders>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Сапаны басқару жүйесі, логистика</w:t>
            </w:r>
          </w:p>
        </w:tc>
        <w:tc>
          <w:tcPr>
            <w:tcW w:w="2138" w:type="dxa"/>
            <w:tcBorders>
              <w:bottom w:val="nil"/>
            </w:tcBorders>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Жоғары – үнем деу құралдары бә секеге қабілетті лікті арттыру әсер етеді</w:t>
            </w:r>
          </w:p>
        </w:tc>
      </w:tr>
      <w:tr w:rsidR="005118AF">
        <w:trPr>
          <w:jc w:val="center"/>
        </w:trPr>
        <w:tc>
          <w:tcPr>
            <w:tcW w:w="9549" w:type="dxa"/>
            <w:gridSpan w:val="5"/>
            <w:tcBorders>
              <w:top w:val="nil"/>
              <w:left w:val="nil"/>
              <w:right w:val="nil"/>
            </w:tcBorders>
          </w:tcPr>
          <w:p w:rsidR="005118AF" w:rsidRDefault="00EF60C3">
            <w:pPr>
              <w:tabs>
                <w:tab w:val="left" w:pos="800"/>
                <w:tab w:val="left" w:pos="1134"/>
                <w:tab w:val="left" w:pos="1400"/>
                <w:tab w:val="left" w:pos="1600"/>
                <w:tab w:val="left" w:pos="1800"/>
              </w:tabs>
              <w:spacing w:after="0" w:line="240" w:lineRule="auto"/>
              <w:ind w:hanging="110"/>
              <w:jc w:val="both"/>
              <w:rPr>
                <w:rFonts w:ascii="Times New Roman" w:hAnsi="Times New Roman"/>
                <w:sz w:val="28"/>
                <w:szCs w:val="28"/>
                <w:lang w:val="kk-KZ" w:eastAsia="zh-CN"/>
              </w:rPr>
            </w:pPr>
            <w:r>
              <w:rPr>
                <w:rFonts w:ascii="Times New Roman" w:hAnsi="Times New Roman"/>
                <w:sz w:val="28"/>
                <w:szCs w:val="28"/>
                <w:lang w:val="kk-KZ" w:eastAsia="zh-CN"/>
              </w:rPr>
              <w:t>8-кестенің жалғасы</w:t>
            </w:r>
          </w:p>
          <w:p w:rsidR="005118AF" w:rsidRDefault="005118AF">
            <w:pPr>
              <w:tabs>
                <w:tab w:val="left" w:pos="800"/>
                <w:tab w:val="left" w:pos="1134"/>
                <w:tab w:val="left" w:pos="1400"/>
                <w:tab w:val="left" w:pos="1600"/>
                <w:tab w:val="left" w:pos="1800"/>
              </w:tabs>
              <w:spacing w:after="0" w:line="240" w:lineRule="auto"/>
              <w:ind w:hanging="110"/>
              <w:jc w:val="both"/>
              <w:rPr>
                <w:rFonts w:ascii="Times New Roman" w:hAnsi="Times New Roman"/>
                <w:sz w:val="16"/>
                <w:szCs w:val="16"/>
                <w:lang w:val="kk-KZ" w:eastAsia="zh-CN"/>
              </w:rPr>
            </w:pPr>
          </w:p>
        </w:tc>
      </w:tr>
      <w:tr w:rsidR="005118AF">
        <w:trPr>
          <w:jc w:val="center"/>
        </w:trPr>
        <w:tc>
          <w:tcPr>
            <w:tcW w:w="2097"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1</w:t>
            </w:r>
          </w:p>
        </w:tc>
        <w:tc>
          <w:tcPr>
            <w:tcW w:w="1771"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2</w:t>
            </w:r>
          </w:p>
        </w:tc>
        <w:tc>
          <w:tcPr>
            <w:tcW w:w="1596"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w:t>
            </w:r>
          </w:p>
        </w:tc>
        <w:tc>
          <w:tcPr>
            <w:tcW w:w="1947"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4</w:t>
            </w:r>
          </w:p>
        </w:tc>
        <w:tc>
          <w:tcPr>
            <w:tcW w:w="2138" w:type="dxa"/>
          </w:tcPr>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w:t>
            </w:r>
          </w:p>
        </w:tc>
      </w:tr>
      <w:tr w:rsidR="005118AF">
        <w:trPr>
          <w:jc w:val="center"/>
        </w:trPr>
        <w:tc>
          <w:tcPr>
            <w:tcW w:w="209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Оңтүстік Корея</w:t>
            </w:r>
          </w:p>
        </w:tc>
        <w:tc>
          <w:tcPr>
            <w:tcW w:w="177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Жоғары технологиялық инновациялар; ҒЗТКЖ субсидиялау</w:t>
            </w:r>
          </w:p>
        </w:tc>
        <w:tc>
          <w:tcPr>
            <w:tcW w:w="1596"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Жо</w:t>
            </w:r>
            <w:r>
              <w:rPr>
                <w:rFonts w:ascii="Times New Roman" w:hAnsi="Times New Roman"/>
                <w:sz w:val="24"/>
                <w:szCs w:val="24"/>
                <w:lang w:val="kk-KZ" w:eastAsia="zh-CN"/>
              </w:rPr>
              <w:t>ғары</w:t>
            </w:r>
            <w:r>
              <w:rPr>
                <w:rFonts w:ascii="Times New Roman" w:hAnsi="Times New Roman"/>
                <w:sz w:val="24"/>
                <w:szCs w:val="24"/>
                <w:lang w:val="kk-KZ" w:eastAsia="zh-CN"/>
              </w:rPr>
              <w:t xml:space="preserve"> </w:t>
            </w:r>
            <w:r>
              <w:rPr>
                <w:rFonts w:ascii="Times New Roman" w:hAnsi="Times New Roman"/>
                <w:sz w:val="24"/>
                <w:szCs w:val="24"/>
                <w:lang w:eastAsia="zh-CN"/>
              </w:rPr>
              <w:t>-</w:t>
            </w:r>
            <w:r>
              <w:rPr>
                <w:rFonts w:ascii="Times New Roman" w:hAnsi="Times New Roman"/>
                <w:sz w:val="24"/>
                <w:szCs w:val="24"/>
                <w:lang w:val="kk-KZ" w:eastAsia="zh-CN"/>
              </w:rPr>
              <w:t xml:space="preserve"> ҒЗТКЖ ынталандыру</w:t>
            </w:r>
            <w:r>
              <w:rPr>
                <w:rFonts w:ascii="Times New Roman" w:hAnsi="Times New Roman"/>
                <w:sz w:val="24"/>
                <w:szCs w:val="24"/>
                <w:lang w:eastAsia="zh-CN"/>
              </w:rPr>
              <w:t xml:space="preserve"> </w:t>
            </w:r>
          </w:p>
        </w:tc>
        <w:tc>
          <w:tcPr>
            <w:tcW w:w="194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Сандық зауыттар, </w:t>
            </w:r>
            <w:r>
              <w:rPr>
                <w:rFonts w:ascii="Times New Roman" w:hAnsi="Times New Roman"/>
                <w:sz w:val="24"/>
                <w:szCs w:val="24"/>
                <w:lang w:val="kk-KZ" w:eastAsia="zh-CN"/>
              </w:rPr>
              <w:t>смарт өндірістік жүйелер</w:t>
            </w:r>
          </w:p>
        </w:tc>
        <w:tc>
          <w:tcPr>
            <w:tcW w:w="213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Орташа - ірі кәсіпорындарда смарт жүйелерді енгізу </w:t>
            </w:r>
          </w:p>
        </w:tc>
      </w:tr>
      <w:tr w:rsidR="005118AF">
        <w:trPr>
          <w:jc w:val="center"/>
        </w:trPr>
        <w:tc>
          <w:tcPr>
            <w:tcW w:w="209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Қытай</w:t>
            </w:r>
          </w:p>
        </w:tc>
        <w:tc>
          <w:tcPr>
            <w:tcW w:w="177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Үкіметке</w:t>
            </w:r>
            <w:r>
              <w:rPr>
                <w:rFonts w:ascii="Times New Roman" w:hAnsi="Times New Roman"/>
                <w:sz w:val="24"/>
                <w:szCs w:val="24"/>
                <w:lang w:val="kk-KZ" w:eastAsia="zh-CN"/>
              </w:rPr>
              <w:t xml:space="preserve"> негізделген инновациялар;</w:t>
            </w:r>
          </w:p>
        </w:tc>
        <w:tc>
          <w:tcPr>
            <w:tcW w:w="1596"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Өте</w:t>
            </w:r>
            <w:r>
              <w:rPr>
                <w:rFonts w:ascii="Times New Roman" w:hAnsi="Times New Roman"/>
                <w:sz w:val="24"/>
                <w:szCs w:val="24"/>
                <w:lang w:val="kk-KZ" w:eastAsia="zh-CN"/>
              </w:rPr>
              <w:t xml:space="preserve"> жоғары </w:t>
            </w:r>
            <w:r>
              <w:rPr>
                <w:rFonts w:ascii="Times New Roman" w:hAnsi="Times New Roman"/>
                <w:sz w:val="24"/>
                <w:szCs w:val="24"/>
                <w:lang w:eastAsia="zh-CN"/>
              </w:rPr>
              <w:t xml:space="preserve">- </w:t>
            </w:r>
            <w:r>
              <w:rPr>
                <w:rFonts w:ascii="Times New Roman" w:hAnsi="Times New Roman"/>
                <w:sz w:val="24"/>
                <w:szCs w:val="24"/>
                <w:lang w:val="kk-KZ" w:eastAsia="zh-CN"/>
              </w:rPr>
              <w:t>тікелей субсидиялау</w:t>
            </w:r>
          </w:p>
        </w:tc>
        <w:tc>
          <w:tcPr>
            <w:tcW w:w="194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Азық</w:t>
            </w:r>
            <w:r>
              <w:rPr>
                <w:rFonts w:ascii="Times New Roman" w:hAnsi="Times New Roman"/>
                <w:sz w:val="24"/>
                <w:szCs w:val="24"/>
                <w:lang w:eastAsia="zh-CN"/>
              </w:rPr>
              <w:t>-</w:t>
            </w:r>
            <w:r>
              <w:rPr>
                <w:rFonts w:ascii="Times New Roman" w:hAnsi="Times New Roman"/>
                <w:sz w:val="24"/>
                <w:szCs w:val="24"/>
                <w:lang w:val="kk-KZ" w:eastAsia="zh-CN"/>
              </w:rPr>
              <w:t>түлік қауіпсіздігі технологиялары, ЖИ логистика</w:t>
            </w:r>
          </w:p>
        </w:tc>
        <w:tc>
          <w:tcPr>
            <w:tcW w:w="213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Жоғары – аймақ тық пилоттық зо налар, мемлекет тік </w:t>
            </w:r>
            <w:r>
              <w:rPr>
                <w:rFonts w:ascii="Times New Roman" w:hAnsi="Times New Roman"/>
                <w:sz w:val="24"/>
                <w:szCs w:val="24"/>
                <w:lang w:val="kk-KZ" w:eastAsia="zh-CN"/>
              </w:rPr>
              <w:t>қолдау</w:t>
            </w:r>
          </w:p>
        </w:tc>
      </w:tr>
      <w:tr w:rsidR="005118AF">
        <w:trPr>
          <w:jc w:val="center"/>
        </w:trPr>
        <w:tc>
          <w:tcPr>
            <w:tcW w:w="209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Австралия/Канада</w:t>
            </w:r>
          </w:p>
        </w:tc>
        <w:tc>
          <w:tcPr>
            <w:tcW w:w="1771"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Экспортқа бағытталу; тұрақтылық; </w:t>
            </w:r>
          </w:p>
        </w:tc>
        <w:tc>
          <w:tcPr>
            <w:tcW w:w="1596"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 xml:space="preserve">Орташа </w:t>
            </w:r>
            <w:r>
              <w:rPr>
                <w:rFonts w:ascii="Times New Roman" w:hAnsi="Times New Roman"/>
                <w:sz w:val="24"/>
                <w:szCs w:val="24"/>
                <w:lang w:eastAsia="zh-CN"/>
              </w:rPr>
              <w:t>-</w:t>
            </w:r>
            <w:r>
              <w:rPr>
                <w:rFonts w:ascii="Times New Roman" w:hAnsi="Times New Roman"/>
                <w:sz w:val="24"/>
                <w:szCs w:val="24"/>
                <w:lang w:val="en-US" w:eastAsia="zh-CN"/>
              </w:rPr>
              <w:t xml:space="preserve"> </w:t>
            </w:r>
            <w:r>
              <w:rPr>
                <w:rFonts w:ascii="Times New Roman" w:hAnsi="Times New Roman"/>
                <w:sz w:val="24"/>
                <w:szCs w:val="24"/>
                <w:lang w:val="kk-KZ" w:eastAsia="zh-CN"/>
              </w:rPr>
              <w:t>сауданы ынталандыру</w:t>
            </w:r>
          </w:p>
        </w:tc>
        <w:tc>
          <w:tcPr>
            <w:tcW w:w="1947"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Блокчейн, климатқа бейімделген тәжірибелер</w:t>
            </w:r>
          </w:p>
        </w:tc>
        <w:tc>
          <w:tcPr>
            <w:tcW w:w="2138" w:type="dxa"/>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hAnsi="Times New Roman"/>
                <w:sz w:val="24"/>
                <w:szCs w:val="24"/>
                <w:lang w:val="kk-KZ" w:eastAsia="zh-CN"/>
              </w:rPr>
              <w:t>Жоғары – иннова цияларды экспорт тық мақсаттарға сәйкестендіру</w:t>
            </w:r>
          </w:p>
        </w:tc>
      </w:tr>
      <w:tr w:rsidR="005118AF">
        <w:trPr>
          <w:jc w:val="center"/>
        </w:trPr>
        <w:tc>
          <w:tcPr>
            <w:tcW w:w="9549" w:type="dxa"/>
            <w:gridSpan w:val="5"/>
          </w:tcPr>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sz w:val="24"/>
                <w:szCs w:val="24"/>
                <w:lang w:val="kk-KZ" w:eastAsia="zh-CN"/>
              </w:rPr>
            </w:pPr>
            <w:r>
              <w:rPr>
                <w:rFonts w:ascii="Times New Roman" w:eastAsia="Times New Roman" w:hAnsi="Times New Roman" w:cs="Times New Roman"/>
                <w:color w:val="000000"/>
                <w:sz w:val="24"/>
                <w:szCs w:val="24"/>
                <w:lang w:val="kk-KZ" w:eastAsia="zh-CN"/>
              </w:rPr>
              <w:t>Ескерту</w:t>
            </w:r>
            <w:r>
              <w:rPr>
                <w:rFonts w:ascii="Times New Roman" w:eastAsia="Times New Roman" w:hAnsi="Times New Roman" w:cs="Times New Roman"/>
                <w:color w:val="000000"/>
                <w:sz w:val="24"/>
                <w:szCs w:val="24"/>
                <w:lang w:eastAsia="zh-CN"/>
              </w:rPr>
              <w:t xml:space="preserve"> - </w:t>
            </w:r>
            <w:r>
              <w:rPr>
                <w:rFonts w:ascii="Times New Roman" w:eastAsia="Times New Roman" w:hAnsi="Times New Roman" w:cs="Times New Roman"/>
                <w:color w:val="000000"/>
                <w:sz w:val="24"/>
                <w:szCs w:val="24"/>
                <w:lang w:val="kk-KZ" w:eastAsia="zh-CN"/>
              </w:rPr>
              <w:t xml:space="preserve">автормен құрастырылған </w:t>
            </w:r>
          </w:p>
        </w:tc>
      </w:tr>
    </w:tbl>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Тамақ өнеркәсібіндегі </w:t>
      </w:r>
      <w:r>
        <w:rPr>
          <w:rFonts w:ascii="Times New Roman" w:hAnsi="Times New Roman"/>
          <w:sz w:val="28"/>
          <w:szCs w:val="28"/>
          <w:lang w:val="kk-KZ" w:eastAsia="zh-CN"/>
        </w:rPr>
        <w:t>инновациялық дамуды басқарудағы шетелдік тәжірибелер кластерлерге негізделген және үкіметтік қолдау құралдарынан бастау алып нарыққа негізделген, сонымен қатар технологияны қажет ететін стратегияларға дейінгі модельдердің кең спектірін көрсетеді. Қазақстан</w:t>
      </w:r>
      <w:r>
        <w:rPr>
          <w:rFonts w:ascii="Times New Roman" w:hAnsi="Times New Roman"/>
          <w:sz w:val="28"/>
          <w:szCs w:val="28"/>
          <w:lang w:val="kk-KZ" w:eastAsia="zh-CN"/>
        </w:rPr>
        <w:t xml:space="preserve"> осы жаһандық тәжірибеге сүйене отырып өзінің тамақ өнеркәсібін жаңғыртуына стратегиялық мүмкіндіктерге ие бола алады. Басым бағыттардың қатарына</w:t>
      </w:r>
      <w:r>
        <w:rPr>
          <w:rFonts w:ascii="Times New Roman" w:hAnsi="Times New Roman"/>
          <w:sz w:val="28"/>
          <w:szCs w:val="28"/>
          <w:lang w:val="kk-KZ" w:eastAsia="zh-CN"/>
        </w:rPr>
        <w:t xml:space="preserve"> </w:t>
      </w:r>
      <w:r>
        <w:rPr>
          <w:rFonts w:ascii="Times New Roman" w:hAnsi="Times New Roman"/>
          <w:sz w:val="28"/>
          <w:szCs w:val="28"/>
          <w:lang w:eastAsia="zh-CN"/>
        </w:rPr>
        <w:t>-</w:t>
      </w:r>
      <w:r>
        <w:rPr>
          <w:rFonts w:ascii="Times New Roman" w:hAnsi="Times New Roman"/>
          <w:sz w:val="28"/>
          <w:szCs w:val="28"/>
          <w:lang w:val="kk-KZ" w:eastAsia="zh-CN"/>
        </w:rPr>
        <w:t xml:space="preserve"> өңірлік инновациялық кластерлерді ынталандыру, мемлекеттік-жекеменшік ғылыми-зерттеу және тәжірибелік-констр</w:t>
      </w:r>
      <w:r>
        <w:rPr>
          <w:rFonts w:ascii="Times New Roman" w:hAnsi="Times New Roman"/>
          <w:sz w:val="28"/>
          <w:szCs w:val="28"/>
          <w:lang w:val="kk-KZ" w:eastAsia="zh-CN"/>
        </w:rPr>
        <w:t xml:space="preserve">укторлық серіктестікті құру, инкубаторларды дамыту және ұлттық контекстке бейімделген цифрлық және жасыл технологияларды жылжытуды жатқызуға болады.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Осылайша, тамақ өнеркәсібінде инновацияларды басқарудың халықаралық үздік тәжірибелерін зер</w:t>
      </w:r>
      <w:r>
        <w:rPr>
          <w:rFonts w:ascii="Times New Roman" w:hAnsi="Times New Roman"/>
          <w:sz w:val="28"/>
          <w:szCs w:val="28"/>
          <w:lang w:eastAsia="zh-CN"/>
        </w:rPr>
        <w:t>ттеу</w:t>
      </w:r>
      <w:r>
        <w:rPr>
          <w:rFonts w:ascii="Times New Roman" w:hAnsi="Times New Roman"/>
          <w:sz w:val="28"/>
          <w:szCs w:val="28"/>
          <w:lang w:val="kk-KZ" w:eastAsia="zh-CN"/>
        </w:rPr>
        <w:t xml:space="preserve"> отандық жүйені жетілдіруге қажетті басты бағыттар мен әдіснамалық олқылықтарды анықтап берді. Атап айтқанда, шетелдік модельдер инновациялық </w:t>
      </w:r>
      <w:r>
        <w:rPr>
          <w:rFonts w:ascii="Times New Roman" w:hAnsi="Times New Roman"/>
          <w:sz w:val="28"/>
          <w:szCs w:val="28"/>
          <w:lang w:val="kk-KZ" w:eastAsia="zh-CN"/>
        </w:rPr>
        <w:t>үдерістерді</w:t>
      </w:r>
      <w:r>
        <w:rPr>
          <w:rFonts w:ascii="Times New Roman" w:hAnsi="Times New Roman"/>
          <w:sz w:val="28"/>
          <w:szCs w:val="28"/>
          <w:lang w:val="kk-KZ" w:eastAsia="zh-CN"/>
        </w:rPr>
        <w:t xml:space="preserve"> бағалау мен оңтайландыруда сандық және сапалық талдаудың тиімді құралдарын қолданудың маңыздылығын көр</w:t>
      </w:r>
      <w:r>
        <w:rPr>
          <w:rFonts w:ascii="Times New Roman" w:hAnsi="Times New Roman"/>
          <w:sz w:val="28"/>
          <w:szCs w:val="28"/>
          <w:lang w:val="kk-KZ" w:eastAsia="zh-CN"/>
        </w:rPr>
        <w:t>сетеді. Бұл зерттеудің тәжірибелік міндеттерін тиімді шешу және алынған нәтижелердің сенімділігі мен объективтілігін қамтамасыз ету мақсатында, диссертациялық жұмыста халықаралық тәжірибеден алынған осы қағидаларды ескере отырып таңдалған арнайы зерттеу әд</w:t>
      </w:r>
      <w:r>
        <w:rPr>
          <w:rFonts w:ascii="Times New Roman" w:hAnsi="Times New Roman"/>
          <w:sz w:val="28"/>
          <w:szCs w:val="28"/>
          <w:lang w:val="kk-KZ" w:eastAsia="zh-CN"/>
        </w:rPr>
        <w:t xml:space="preserve">істері қолданылады. Зерттеудің негізгі мақсаттарына жету үшін қолданылатын әдістемеге, ақпаратты жинау мен өңдеу амалдарына толық сипаттама төменде беріледі.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Осы зерттеуде тамақ өнеркәсібі кәсіпорындарының инновациялық дамуын бағалау және оны жетілдіру ж</w:t>
      </w:r>
      <w:r>
        <w:rPr>
          <w:rFonts w:ascii="Times New Roman" w:hAnsi="Times New Roman"/>
          <w:sz w:val="28"/>
          <w:szCs w:val="28"/>
          <w:lang w:val="kk-KZ" w:eastAsia="zh-CN"/>
        </w:rPr>
        <w:t>олдарын негіздеу мақсатында кешенді ғылыми әдістемелік тәсілдер қолданылды. Зерттеудің басты ерекшелігі – макродеңгейде елдік және салалық көрсеткіштерді, сондай-ақ микродеңгейде кәсіпорындардың нақты деректерін қамтитын аралас әдістерді пайдалану. Бұл тұр</w:t>
      </w:r>
      <w:r>
        <w:rPr>
          <w:rFonts w:ascii="Times New Roman" w:hAnsi="Times New Roman"/>
          <w:sz w:val="28"/>
          <w:szCs w:val="28"/>
          <w:lang w:val="kk-KZ" w:eastAsia="zh-CN"/>
        </w:rPr>
        <w:t>ғыда</w:t>
      </w:r>
      <w:r>
        <w:rPr>
          <w:rFonts w:ascii="Times New Roman" w:hAnsi="Times New Roman"/>
          <w:sz w:val="28"/>
          <w:szCs w:val="28"/>
          <w:lang w:val="kk-KZ" w:eastAsia="zh-CN"/>
        </w:rPr>
        <w:t xml:space="preserve"> бенчмаркинг әдісі және құрылымданған сауалнама әдісі өзара толықтыратын құралдар ретінде таңдалды. Біріншісі халықаралық деңгейдегі салыстырмалы талдауға бағытталса, екіншісі нақты кәсіпорындардан алынған мәліметтерді өңдеуге мүмкіндік береді.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Бенчма</w:t>
      </w:r>
      <w:r>
        <w:rPr>
          <w:rFonts w:ascii="Times New Roman" w:hAnsi="Times New Roman"/>
          <w:sz w:val="28"/>
          <w:szCs w:val="28"/>
          <w:lang w:val="kk-KZ" w:eastAsia="zh-CN"/>
        </w:rPr>
        <w:t>ркинг әдісі ғылыми зерттеулерде кеңінен қолданылатын тәсілдердің бірі болып табылады. Оның мәні – белгілі бір саладағы немесе елдегі даму көрсеткіштерін үздік халықаралық тәжірибелермен салыстыру арқылы күшті және әлсіз жақтарды айқындау, сол негізде тиімд</w:t>
      </w:r>
      <w:r>
        <w:rPr>
          <w:rFonts w:ascii="Times New Roman" w:hAnsi="Times New Roman"/>
          <w:sz w:val="28"/>
          <w:szCs w:val="28"/>
          <w:lang w:val="kk-KZ" w:eastAsia="zh-CN"/>
        </w:rPr>
        <w:t xml:space="preserve">і саясаттық және өндірістік шешімдер ұсыну. Зерттеулерде бұл әдіс стратегиялық басқарудың, салалық саясаттардың және инновациялық жүйелердің тиімділігін бағалауда жиі қолданылады [88]. Бенчмаркингтің тиімділігін арттыру үшін бағалау шкалалары қолданылады: </w:t>
      </w:r>
      <w:r>
        <w:rPr>
          <w:rFonts w:ascii="Times New Roman" w:hAnsi="Times New Roman"/>
          <w:sz w:val="28"/>
          <w:szCs w:val="28"/>
          <w:lang w:val="kk-KZ" w:eastAsia="zh-CN"/>
        </w:rPr>
        <w:t>мысалы, 0-3 шкаласы (0 – деректер жоқ, 1 – әлсіз, 2 – қалыпты, 3 – үздік тәжірибе), 0-5 шкаласы (0 – мүлдем дамымаған, 5 – озық үлгі) немесе Лайкерт шкаласы (1-5 немесе 1-7 аралығында). Жалпы экономикалық және инновациялық саясат зерттеулерінде, әсіресе WI</w:t>
      </w:r>
      <w:r>
        <w:rPr>
          <w:rFonts w:ascii="Times New Roman" w:hAnsi="Times New Roman"/>
          <w:sz w:val="28"/>
          <w:szCs w:val="28"/>
          <w:lang w:val="kk-KZ" w:eastAsia="zh-CN"/>
        </w:rPr>
        <w:t xml:space="preserve">PO, OECD, және ЕС Horizon бағдарламалары аясында жүргізілген салыстырмалы талдауларда 0-3 және 0-5 балдық жүйелер жиі пайдаланылады [89-91]. Мұндай құралдар зерттелетін елдер мен салаларды әділ әрі жүйелі бағалауға мүмкіндік береді. Әдіс кезеңдері нысанды </w:t>
      </w:r>
      <w:r>
        <w:rPr>
          <w:rFonts w:ascii="Times New Roman" w:hAnsi="Times New Roman"/>
          <w:sz w:val="28"/>
          <w:szCs w:val="28"/>
          <w:lang w:val="kk-KZ" w:eastAsia="zh-CN"/>
        </w:rPr>
        <w:t>таңдау, бағалау критерийлерін белгілеу, деректер жинау, салыстырмалы талдау, үздік тәжірибелерді анықтау және бейімделген ұсыныстар әзірлеу қадамдарынан тұрады. Оның басты артықшылықтары – халықаралық салыстыруға негізделуі, үздік тәжірибелерді анықтау мүм</w:t>
      </w:r>
      <w:r>
        <w:rPr>
          <w:rFonts w:ascii="Times New Roman" w:hAnsi="Times New Roman"/>
          <w:sz w:val="28"/>
          <w:szCs w:val="28"/>
          <w:lang w:val="kk-KZ" w:eastAsia="zh-CN"/>
        </w:rPr>
        <w:t>кіндігі және саясаттық шешімдерді ғылыми тұрғыда негіздеуі. Алайда әдіс деректер сапасына тәуелді, институционалдық ерекшеліктерді әрқашан толық ескере бермейді және кейде сарапшылардың субъективті бағалауларына негізделуі мүмкін.</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Бенчмаркинг әдісі соңғы о</w:t>
      </w:r>
      <w:r>
        <w:rPr>
          <w:rFonts w:ascii="Times New Roman" w:hAnsi="Times New Roman"/>
          <w:sz w:val="28"/>
          <w:szCs w:val="28"/>
          <w:lang w:val="kk-KZ" w:eastAsia="zh-CN"/>
        </w:rPr>
        <w:t>нжылдықтарда агроөнеркәсіптік кешен мен азық-түлік өнеркәсібінің инновациялық дамуын бағалауда, саясаттарды салыстырмалы талдауда және ұлттық деңгейдегі стратегиялық шешімдерді негіздеуде кеңінен қолданылып келеді. Бұл әдіс мемлекеттер, аймақтар немесе кәс</w:t>
      </w:r>
      <w:r>
        <w:rPr>
          <w:rFonts w:ascii="Times New Roman" w:hAnsi="Times New Roman"/>
          <w:sz w:val="28"/>
          <w:szCs w:val="28"/>
          <w:lang w:val="kk-KZ" w:eastAsia="zh-CN"/>
        </w:rPr>
        <w:t>іпорындар арасындағы көрсеткіштерді салыстыру арқылы тиімді тәжірибелерді анықтап, оларды жергілікті жағдайға бейімдеуге мүмкіндік береді.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Мысалы, Food-EPI (Салауатты азық-түлік ортасы саясатының индексі) – осы бағыттағы кең таралған құралдардың бірі. INFO</w:t>
      </w:r>
      <w:r>
        <w:rPr>
          <w:rFonts w:ascii="Times New Roman" w:hAnsi="Times New Roman"/>
          <w:sz w:val="28"/>
          <w:szCs w:val="28"/>
          <w:lang w:val="kk-KZ" w:eastAsia="zh-CN"/>
        </w:rPr>
        <w:t>RMAS (Азық-түлік, семіздік және жұқпалы ауруларды зерттеу, мониторингілеу және іс-қимылды қолдаудың халықаралық желісі) бастамасы шеңберінде әзірленген бұл әдіс әр елдің тамақ ортасына қатысты саясатын 1-ден 5-ке дейінгі шкала арқылы бағалауға негізделген.</w:t>
      </w:r>
      <w:r>
        <w:rPr>
          <w:rFonts w:ascii="Times New Roman" w:hAnsi="Times New Roman"/>
          <w:sz w:val="28"/>
          <w:szCs w:val="28"/>
          <w:lang w:val="kk-KZ" w:eastAsia="zh-CN"/>
        </w:rPr>
        <w:t xml:space="preserve"> Food-EPI әртүрлі елдерде (Жаңа Зеландия, Австралия, Ұлыбритания, Таиланд және т.б.) қолданылып, ұлттық азық-түлік саясатының әлсіз және күшті жақтарын анықтауға мүмкіндік берді. Соңғы жылдары бұл құралды жергілікті деңгейде, мысалы, аймақтық азық-түлік жү</w:t>
      </w:r>
      <w:r>
        <w:rPr>
          <w:rFonts w:ascii="Times New Roman" w:hAnsi="Times New Roman"/>
          <w:sz w:val="28"/>
          <w:szCs w:val="28"/>
          <w:lang w:val="kk-KZ" w:eastAsia="zh-CN"/>
        </w:rPr>
        <w:t xml:space="preserve">йесін бағалау үшін қолданған зерттеулер де бар. Мұндай талдаулар мемлекеттердің денсаулық сақтау және тамақ қауіпсіздігі саласындағы саясатын салыстырып, үздік тәжірибелерді енгізуге ықпал етеді [88, р. 4473].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Оған қоса, Environmental Performance Index (Э</w:t>
      </w:r>
      <w:r>
        <w:rPr>
          <w:rFonts w:ascii="Times New Roman" w:hAnsi="Times New Roman"/>
          <w:sz w:val="28"/>
          <w:szCs w:val="28"/>
          <w:lang w:val="kk-KZ" w:eastAsia="zh-CN"/>
        </w:rPr>
        <w:t>кологиялық тиімділік индексі) сияқты макро деңгейлі индекстер де бенчмаркингтің кеңінен қолданылатынын көрсетеді. Йель және Колумбия университеттері әзірлеген бұл индекс 180-ге жуық елдің экологиялық көрсеткіштерін салыстыруға мүмкіндік береді. EPI қоршаға</w:t>
      </w:r>
      <w:r>
        <w:rPr>
          <w:rFonts w:ascii="Times New Roman" w:hAnsi="Times New Roman"/>
          <w:sz w:val="28"/>
          <w:szCs w:val="28"/>
          <w:lang w:val="kk-KZ" w:eastAsia="zh-CN"/>
        </w:rPr>
        <w:t>н ортаны қорғау саясатының тиімділігін кешенді бағалай отырып, елдердің орнықты дамуға көшу траекториясын салыстыруға жағдай жасайды. Бұл тәсіл азық-түлік өнеркәсібіне де жанама түрде әсер етеді, себебі экологиялық тұрақтылық пен аграрлық саясаттың үйлесім</w:t>
      </w:r>
      <w:r>
        <w:rPr>
          <w:rFonts w:ascii="Times New Roman" w:hAnsi="Times New Roman"/>
          <w:sz w:val="28"/>
          <w:szCs w:val="28"/>
          <w:lang w:val="kk-KZ" w:eastAsia="zh-CN"/>
        </w:rPr>
        <w:t>ділігі саланың ұзақ мерзімді инновациялық дамуы үшін шешуші фактор болып табылады [92].</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Осылайша, бенчмаркинг әдісі агроөнеркәсіптік кешендегі зерттеулерде кеңінен қолданылып, саясаттың тиімділігін, инновациялық даму деңгейін және жаһандық бәсекеге қабілет</w:t>
      </w:r>
      <w:r>
        <w:rPr>
          <w:rFonts w:ascii="Times New Roman" w:hAnsi="Times New Roman"/>
          <w:sz w:val="28"/>
          <w:szCs w:val="28"/>
          <w:lang w:val="kk-KZ" w:eastAsia="zh-CN"/>
        </w:rPr>
        <w:t>тілікті бағалауда әмбебап құрал ретінде мойындалған. Бұл әдісті қолдану арқылы елдердің азық-түлік өнеркәсібіндегі инновациялық әлеуетін салыстыруға, үздік халықаралық тәжірибелерді бейімдеуге және ұлттық саясатты жетілдіруге болады.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Ал микродеңгейде нақты</w:t>
      </w:r>
      <w:r>
        <w:rPr>
          <w:rFonts w:ascii="Times New Roman" w:hAnsi="Times New Roman"/>
          <w:sz w:val="28"/>
          <w:szCs w:val="28"/>
          <w:lang w:val="kk-KZ" w:eastAsia="zh-CN"/>
        </w:rPr>
        <w:t xml:space="preserve"> кәсіпорындардың инновациялық белсенділігін бағалау үшін құрылымданған сауалнама әдісі қолданылды. Бұл әдістің ерекшелігі – алдын ала дайындалған құрылымдалған сұрақтар арқылы кәсіпорындардың инновациялық процестері, қаржыландыру көлемі, ғылыми-зерттеу жән</w:t>
      </w:r>
      <w:r>
        <w:rPr>
          <w:rFonts w:ascii="Times New Roman" w:hAnsi="Times New Roman"/>
          <w:sz w:val="28"/>
          <w:szCs w:val="28"/>
          <w:lang w:val="kk-KZ" w:eastAsia="zh-CN"/>
        </w:rPr>
        <w:t>е тәжірибелік-конструкторлық жұмыстарға қатысу деңгейі, кадрлық әлеуеті мен сыртқы әріптестермен ынтымақтастығы туралы ақпарат жинауға мүмкіндік беруінде. Құрылымданған сауалнаманың кезеңдері сауалнаманы әзірлеуден басталып, деректер жинау, жауаптарды кодт</w:t>
      </w:r>
      <w:r>
        <w:rPr>
          <w:rFonts w:ascii="Times New Roman" w:hAnsi="Times New Roman"/>
          <w:sz w:val="28"/>
          <w:szCs w:val="28"/>
          <w:lang w:val="kk-KZ" w:eastAsia="zh-CN"/>
        </w:rPr>
        <w:t>ау, статистикалық өңдеу және қорытынды жасау сатыларынан тұрады. Мұндай тәсіл кәсіпорын деңгейіндегі нақты деректерді алуға, инновациялық белсенділіктің ішкі ерекшеліктерін анықтауға және статистикалық әдістер арқылы нәтижелерді тереңірек талдауға мүмкінді</w:t>
      </w:r>
      <w:r>
        <w:rPr>
          <w:rFonts w:ascii="Times New Roman" w:hAnsi="Times New Roman"/>
          <w:sz w:val="28"/>
          <w:szCs w:val="28"/>
          <w:lang w:val="kk-KZ" w:eastAsia="zh-CN"/>
        </w:rPr>
        <w:t>к береді [46, р. 161-1-161-26]. Дегенмен, сауалнама жүргізудің де белгілі бір шектеулері бар: толық емес немесе субъективті жауаптар ықтималдығы, респонденттердің белсенділік деңгейіне тәуелділік, сондай-ақ іріктеменің репрезентативтілігіне қойылатын талап</w:t>
      </w:r>
      <w:r>
        <w:rPr>
          <w:rFonts w:ascii="Times New Roman" w:hAnsi="Times New Roman"/>
          <w:sz w:val="28"/>
          <w:szCs w:val="28"/>
          <w:lang w:val="kk-KZ" w:eastAsia="zh-CN"/>
        </w:rPr>
        <w:t>тар.</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Жалпы алғанда, бенчмаркинг әдісі макродеңгейде елдер мен салалар арасындағы инновациялық даму деңгейін салыстыруға мүмкіндік берсе, құрылымданған сауалнама микродеңгейде нақты кәсіпорындардың ішкі жағдайын бағалауға бағытталады. Осы екі әдістің үйлесі</w:t>
      </w:r>
      <w:r>
        <w:rPr>
          <w:rFonts w:ascii="Times New Roman" w:hAnsi="Times New Roman"/>
          <w:sz w:val="28"/>
          <w:szCs w:val="28"/>
          <w:lang w:val="kk-KZ" w:eastAsia="zh-CN"/>
        </w:rPr>
        <w:t>мі зерттеудің кешенділігін қамтамасыз етіп, алынған нәтижелердің ғылыми негізділігін арттырады. Бір жағынан, бенчмаркинг Қазақстанның тамақ өнеркәсібіндегі инновациялық әлеуетін халықаралық тәжірибемен салыстыруға мүмкіндік берсе, екінші жағынан, сауалнама</w:t>
      </w:r>
      <w:r>
        <w:rPr>
          <w:rFonts w:ascii="Times New Roman" w:hAnsi="Times New Roman"/>
          <w:sz w:val="28"/>
          <w:szCs w:val="28"/>
          <w:lang w:val="kk-KZ" w:eastAsia="zh-CN"/>
        </w:rPr>
        <w:t xml:space="preserve"> нақты кәсіпорындардың жағдайын, олардың негізгі проблемалары мен даму мүмкіндіктерін анықтайды. Мұндай үйлестірілген әдіснама саланың инновациялық даму деңгейін көпқырлы тұрғыдан талдауға жағдай жасап, алынған қорытындылардың практикалық құндылығын арттыр</w:t>
      </w:r>
      <w:r>
        <w:rPr>
          <w:rFonts w:ascii="Times New Roman" w:hAnsi="Times New Roman"/>
          <w:sz w:val="28"/>
          <w:szCs w:val="28"/>
          <w:lang w:val="kk-KZ" w:eastAsia="zh-CN"/>
        </w:rPr>
        <w:t>ады.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Зерттеу әдістерін таңдаудың басты себебі – зерттеу объектісінің күрделілігі мен көпқырлылығында. Тамақ өнеркәсібі кәсіпорындарының инновациялық дамуы тек ішкі факторларға ғана емес, сонымен бірге ұлттық инновациялық жүйенің, мемлекеттік саясаттың және</w:t>
      </w:r>
      <w:r>
        <w:rPr>
          <w:rFonts w:ascii="Times New Roman" w:hAnsi="Times New Roman"/>
          <w:sz w:val="28"/>
          <w:szCs w:val="28"/>
          <w:lang w:val="kk-KZ" w:eastAsia="zh-CN"/>
        </w:rPr>
        <w:t xml:space="preserve"> халықаралық нарықтың әсеріне тәуелді. Сондықтан зерттеу барысында макродеңгей мен микродеңгей арасындағы байланыстарды қатар ескеру маңызды болды.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Бенчмаркинг әдісі осы тұрғыда ең қолайлы тәсілдердің бірі болып табылады, өйткені ол Қазақстанның тамақ өнер</w:t>
      </w:r>
      <w:r>
        <w:rPr>
          <w:rFonts w:ascii="Times New Roman" w:hAnsi="Times New Roman"/>
          <w:sz w:val="28"/>
          <w:szCs w:val="28"/>
          <w:lang w:val="kk-KZ" w:eastAsia="zh-CN"/>
        </w:rPr>
        <w:t>кәсібіндегі инновациялық даму деңгейін халықаралық тәжірибемен салыстыруға мүмкіндік береді. Бұл әдіс саладағы саясаттық және институционалдық артықшылықтар мен әлсіз тұстарды айқындап, үздік тәжірибелерді бейімдеуге жағдай жасайды. Сонымен қатар, бенчмарк</w:t>
      </w:r>
      <w:r>
        <w:rPr>
          <w:rFonts w:ascii="Times New Roman" w:hAnsi="Times New Roman"/>
          <w:sz w:val="28"/>
          <w:szCs w:val="28"/>
          <w:lang w:val="kk-KZ" w:eastAsia="zh-CN"/>
        </w:rPr>
        <w:t>инг ғылыми әдебиетте инновациялық саясатты талдаудың сенімді әдісі ретінде кеңінен танылған [93].</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Ал құрылымданған сауалнама әдісін таңдаудың себебі – кәсіпорын деңгейінде нақты деректерді жинаудың сенімді құралы болуында. Ол кәсіпорындардың инновациялық б</w:t>
      </w:r>
      <w:r>
        <w:rPr>
          <w:rFonts w:ascii="Times New Roman" w:hAnsi="Times New Roman"/>
          <w:sz w:val="28"/>
          <w:szCs w:val="28"/>
          <w:lang w:val="kk-KZ" w:eastAsia="zh-CN"/>
        </w:rPr>
        <w:t>елсенділігі, ынтымақтастық арналары, қаржылық шектеулері мен кадрлық әлеуеті туралы деректерді тікелей жинауға мүмкіндік береді. Мұндай тәсіл әсіресе ресми статистикада толық қамтылмаған факторларды анықтау үшін маңызды. Әдебиеттерде сауалнама әдісі әлеуме</w:t>
      </w:r>
      <w:r>
        <w:rPr>
          <w:rFonts w:ascii="Times New Roman" w:hAnsi="Times New Roman"/>
          <w:sz w:val="28"/>
          <w:szCs w:val="28"/>
          <w:lang w:val="kk-KZ" w:eastAsia="zh-CN"/>
        </w:rPr>
        <w:t>ттік-экономикалық зерттеулерде, әсіресе кәсіпорындардың инновациялық белсенділігін талдауда кеңінен қолданылып келеді [94].</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Сонымен қатар, диссертациялық жұмыста тамақ өнеркәсібі кәсіпорындарының инновациялық даму моделін қалыптастыру үшін модерация және м</w:t>
      </w:r>
      <w:r>
        <w:rPr>
          <w:rFonts w:ascii="Times New Roman" w:hAnsi="Times New Roman"/>
          <w:sz w:val="28"/>
          <w:szCs w:val="28"/>
          <w:lang w:val="kk-KZ" w:eastAsia="zh-CN"/>
        </w:rPr>
        <w:t>едиация әдістерінің қолданылуы инновациялық процестердің күрделілігін және олардың іске асуының ішкі механизмдері мен сыртқы жағдайларын терең түсіну қажеттілігімен негізделеді. Медиация әдісі модельдегі айнымалылар арасындағы "неліктен" және "қалай" деген</w:t>
      </w:r>
      <w:r>
        <w:rPr>
          <w:rFonts w:ascii="Times New Roman" w:hAnsi="Times New Roman"/>
          <w:sz w:val="28"/>
          <w:szCs w:val="28"/>
          <w:lang w:val="kk-KZ" w:eastAsia="zh-CN"/>
        </w:rPr>
        <w:t xml:space="preserve"> сұрақтарға жауап береді. Мысалы, ұйымдық мәдениет инновациялық нәтижелілікке тікелей емес, қызметкерлердің білім алмасуы (медиатор) арқылы қалай әсер ететінін анықтайды. Бұл әдіс инновациялық дамудың механизмін немесе үдерісін сипаттап, даму моделінің ішк</w:t>
      </w:r>
      <w:r>
        <w:rPr>
          <w:rFonts w:ascii="Times New Roman" w:hAnsi="Times New Roman"/>
          <w:sz w:val="28"/>
          <w:szCs w:val="28"/>
          <w:lang w:val="kk-KZ" w:eastAsia="zh-CN"/>
        </w:rPr>
        <w:t>і логикасын ғылыми тұрғыдан дәлелдеуге мүмкіндік береді.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Ал модерация әдісі инновациялық даму моделінің "қашан" немесе "қандай жағдайларда" ең тиімді жұмыс істейтінін көрсететін шекаралық шарттарды енгізу үшін қолданылды. Мысалы, басшылықтың инновацияны </w:t>
      </w:r>
      <w:r>
        <w:rPr>
          <w:rFonts w:ascii="Times New Roman" w:hAnsi="Times New Roman"/>
          <w:sz w:val="28"/>
          <w:szCs w:val="28"/>
          <w:lang w:val="kk-KZ" w:eastAsia="zh-CN"/>
        </w:rPr>
        <w:t>қолдауының</w:t>
      </w:r>
      <w:r>
        <w:rPr>
          <w:rFonts w:ascii="Times New Roman" w:hAnsi="Times New Roman"/>
          <w:sz w:val="28"/>
          <w:szCs w:val="28"/>
          <w:lang w:val="kk-KZ" w:eastAsia="zh-CN"/>
        </w:rPr>
        <w:t xml:space="preserve"> тиімділігі бәсекелестік қарқындылығы (модератор) жоғары немесе төмен болғанда қалай өзгеретінін талдау арқылы модельді контекстке бейімдейді. Бұл әдістерді қолдану арқылы диссертациялық жұмыс тек тікелей байланыстарды көрсетумен шектелмей, иннов</w:t>
      </w:r>
      <w:r>
        <w:rPr>
          <w:rFonts w:ascii="Times New Roman" w:hAnsi="Times New Roman"/>
          <w:sz w:val="28"/>
          <w:szCs w:val="28"/>
          <w:lang w:val="kk-KZ" w:eastAsia="zh-CN"/>
        </w:rPr>
        <w:t>ациялық даму моделінің терең, көпфакторлы және нақты басқаруға болатын үлгісін қалыптастыруға мүмкіндік береді, сөйтіп ғылыми жаңалық пен практикалық құндылықты арттырады.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Бұл модельдің әдіснамалық негіздемесі инновациялық менеджменттегі стратегиялық талда</w:t>
      </w:r>
      <w:r>
        <w:rPr>
          <w:rFonts w:ascii="Times New Roman" w:hAnsi="Times New Roman"/>
          <w:sz w:val="28"/>
          <w:szCs w:val="28"/>
          <w:lang w:val="kk-KZ" w:eastAsia="zh-CN"/>
        </w:rPr>
        <w:t>у қағидаттарына сүйенеді [95], мұнда Медиация және Модерация әдістерін қолдану мәліметтерді тіркеуден әрекет ету механизмдерін түсіндіруге көшуге мүмкіндік береді. Атап айтқанда, Ашық стратегиялық жобаларды (М) Медиатор ретінде енгізу [96] тұрақтылыққа дег</w:t>
      </w:r>
      <w:r>
        <w:rPr>
          <w:rFonts w:ascii="Times New Roman" w:hAnsi="Times New Roman"/>
          <w:sz w:val="28"/>
          <w:szCs w:val="28"/>
          <w:lang w:val="kk-KZ" w:eastAsia="zh-CN"/>
        </w:rPr>
        <w:t>ен беріктіктің дәл сыртқы ынтымақтастық арқылы жүзеге асатынын дәлелдеуге мүмкіндік береді. Өз кезегінде, Инновациялық қамту (W) факторы Модератор рөлін атқарып [97], тұрақты шешімдерді интеграциялаудың табыстылығын реттейді, бұл ұзақ мерзімді ESG-нәтижеле</w:t>
      </w:r>
      <w:r>
        <w:rPr>
          <w:rFonts w:ascii="Times New Roman" w:hAnsi="Times New Roman"/>
          <w:sz w:val="28"/>
          <w:szCs w:val="28"/>
          <w:lang w:val="kk-KZ" w:eastAsia="zh-CN"/>
        </w:rPr>
        <w:t>рді қамтамасыз ету үшін өте маңызды [98].</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Осылайша, бенчмаркинг пен құрылымданған сауалнама әдістерінің үйлесімі зерттеудің ғылыми негізділігін қамтамасыз етеді. Біріншісі халықаралық салыстырмалы талдау жүргізуге жағдай жасаса, екіншісі нақты кәсіпорындар</w:t>
      </w:r>
      <w:r>
        <w:rPr>
          <w:rFonts w:ascii="Times New Roman" w:hAnsi="Times New Roman"/>
          <w:sz w:val="28"/>
          <w:szCs w:val="28"/>
          <w:lang w:val="kk-KZ" w:eastAsia="zh-CN"/>
        </w:rPr>
        <w:t>дың тәжірибесін айқындауға мүмкіндік береді. Бұл әдістерді қатар қолдану нәтижелердің объективтілігін арттырып, зерттеу қорытындыларын теориялық тұрғыда да, практикалық тұрғыда да негіздеуге мүмкіндік береді. Ал тамақ өнеркәсібі кәсіпорындарындағы инноваци</w:t>
      </w:r>
      <w:r>
        <w:rPr>
          <w:rFonts w:ascii="Times New Roman" w:hAnsi="Times New Roman"/>
          <w:sz w:val="28"/>
          <w:szCs w:val="28"/>
          <w:lang w:val="kk-KZ" w:eastAsia="zh-CN"/>
        </w:rPr>
        <w:t>ялық даму моделін құру кезінде модерация және медиация әдістерін пайдалану инновациялық қызметтің көпқырлылығымен және барлық мүдделі тараптардың тиімді өзара әрекеттесуін қамтамасыз ету міндетімен негізделеді. Бұл әдістер ішкі ресурстарды, білімді және мү</w:t>
      </w:r>
      <w:r>
        <w:rPr>
          <w:rFonts w:ascii="Times New Roman" w:hAnsi="Times New Roman"/>
          <w:sz w:val="28"/>
          <w:szCs w:val="28"/>
          <w:lang w:val="kk-KZ" w:eastAsia="zh-CN"/>
        </w:rPr>
        <w:t>дделерді тиімді біріктіруді, сондай-ақ сыртқы нарық пен технологиялық өзгерістерге бейімделуді талап ететін күрделі әріптестік пен шешім қабылдау процестерін басқаруға мүмкіндік береді. Осылайша, бұл әдістер ішкі механизмдер мен сыртқы жағдайлар арасындағы</w:t>
      </w:r>
      <w:r>
        <w:rPr>
          <w:rFonts w:ascii="Times New Roman" w:hAnsi="Times New Roman"/>
          <w:sz w:val="28"/>
          <w:szCs w:val="28"/>
          <w:lang w:val="kk-KZ" w:eastAsia="zh-CN"/>
        </w:rPr>
        <w:t xml:space="preserve"> үйлесімді байланысты орнатуда шешуші рөл атқарады.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Осылайша бұл тарауда азық-түлік өнеркәсібінің инновациялық дамуын басқарудың теориялық-әдіснамалық негіздерін жүйелеу мақсаты толығымен орындалды.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 xml:space="preserve">Жүргізілген зерттеу нәтижесінде, ең алдымен, "инновация" </w:t>
      </w:r>
      <w:r>
        <w:rPr>
          <w:rFonts w:ascii="Times New Roman" w:hAnsi="Times New Roman"/>
          <w:sz w:val="28"/>
          <w:szCs w:val="28"/>
          <w:lang w:val="kk-KZ" w:eastAsia="zh-CN"/>
        </w:rPr>
        <w:t>және "инновациялық даму" ұғымдарының мәні ашылып, олардың азық-түлік өнеркәсібінің ерекшеліктерін ескере отырып, мазмұны нақтыланды. Осы негізде, ғылыми әдебиеттер жүйеленіп, Ашық инновациялар теориясының даму кезеңдері классикалық үлгілерден бастап, заман</w:t>
      </w:r>
      <w:r>
        <w:rPr>
          <w:rFonts w:ascii="Times New Roman" w:hAnsi="Times New Roman"/>
          <w:sz w:val="28"/>
          <w:szCs w:val="28"/>
          <w:lang w:val="kk-KZ" w:eastAsia="zh-CN"/>
        </w:rPr>
        <w:t>ауи тренд – Тұрақты ашық инновация тұжырымдамасына дейін тереңдетілді. Бұл ашық инновацияларды салалық тұрақты даму стратегиясымен байланыстыратын берік теориялық-әдіснамалық негізді құрды.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r>
        <w:rPr>
          <w:rFonts w:ascii="Times New Roman" w:hAnsi="Times New Roman"/>
          <w:sz w:val="28"/>
          <w:szCs w:val="28"/>
          <w:lang w:val="kk-KZ" w:eastAsia="zh-CN"/>
        </w:rPr>
        <w:t>Сонымен қатар, азық-түлік өнеркәсібі кәсіпорындарының инновациялық</w:t>
      </w:r>
      <w:r>
        <w:rPr>
          <w:rFonts w:ascii="Times New Roman" w:hAnsi="Times New Roman"/>
          <w:sz w:val="28"/>
          <w:szCs w:val="28"/>
          <w:lang w:val="kk-KZ" w:eastAsia="zh-CN"/>
        </w:rPr>
        <w:t xml:space="preserve"> дамуын басқарудың халықаралық озық тәжірибесі қорытындыланды. Бұл тәжірибелерді зерделеу, отандық кәсіпорындардың инновациялық белсенділігін арттыруға бейімделген Ашық инновация модельдерін нақтылауға мүмкіндік берді. Осылайша, диссертациялық жұмыстың бір</w:t>
      </w:r>
      <w:r>
        <w:rPr>
          <w:rFonts w:ascii="Times New Roman" w:hAnsi="Times New Roman"/>
          <w:sz w:val="28"/>
          <w:szCs w:val="28"/>
          <w:lang w:val="kk-KZ" w:eastAsia="zh-CN"/>
        </w:rPr>
        <w:t>нші тарауында жинақталған теориялық-әдіснамалық негіздер келесі тараудың талдамалық және бағалау міндеттерін орындау үшін негізгі іргетасы болып табылады.</w:t>
      </w: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85" w:firstLine="798"/>
        <w:jc w:val="both"/>
        <w:rPr>
          <w:rFonts w:ascii="Times New Roman" w:hAnsi="Times New Roman"/>
          <w:sz w:val="28"/>
          <w:szCs w:val="28"/>
          <w:lang w:val="kk-KZ" w:eastAsia="zh-CN"/>
        </w:rPr>
      </w:pPr>
    </w:p>
    <w:p w:rsidR="005118AF" w:rsidRDefault="00EF60C3">
      <w:pPr>
        <w:rPr>
          <w:rFonts w:ascii="Times New Roman" w:hAnsi="Times New Roman"/>
          <w:sz w:val="28"/>
          <w:szCs w:val="28"/>
          <w:lang w:val="kk-KZ" w:eastAsia="zh-CN"/>
        </w:rPr>
      </w:pPr>
      <w:r>
        <w:rPr>
          <w:rFonts w:ascii="Times New Roman" w:hAnsi="Times New Roman"/>
          <w:sz w:val="28"/>
          <w:szCs w:val="28"/>
          <w:lang w:val="kk-KZ" w:eastAsia="zh-CN"/>
        </w:rPr>
        <w:br w:type="page"/>
      </w:r>
    </w:p>
    <w:p w:rsidR="005118AF" w:rsidRDefault="00EF60C3">
      <w:pPr>
        <w:spacing w:after="0" w:line="240" w:lineRule="auto"/>
        <w:ind w:firstLine="709"/>
        <w:jc w:val="both"/>
        <w:rPr>
          <w:rFonts w:ascii="Times New Roman" w:eastAsia="Times New Roman" w:hAnsi="Times New Roman" w:cs="Times New Roman"/>
          <w:b/>
          <w:bCs/>
          <w:sz w:val="28"/>
          <w:szCs w:val="28"/>
          <w:lang w:val="kk-KZ"/>
        </w:rPr>
      </w:pPr>
      <w:r>
        <w:rPr>
          <w:rFonts w:ascii="Times New Roman" w:hAnsi="Times New Roman"/>
          <w:b/>
          <w:bCs/>
          <w:sz w:val="28"/>
          <w:szCs w:val="28"/>
          <w:lang w:val="kk-KZ"/>
        </w:rPr>
        <w:t>2 ҚАЗАҚСТАН РЕСПУБЛИКАСЫ ТАМАҚ ӨНЕРКӘСІБІНІҢ ДАМУЫН БАСҚАРУ ҚЫЗМЕТІН ТАЛДАУ</w:t>
      </w:r>
    </w:p>
    <w:p w:rsidR="005118AF" w:rsidRDefault="005118AF">
      <w:pPr>
        <w:spacing w:after="0" w:line="240" w:lineRule="auto"/>
        <w:ind w:firstLineChars="200" w:firstLine="562"/>
        <w:jc w:val="both"/>
        <w:rPr>
          <w:rFonts w:ascii="Times New Roman" w:eastAsia="Times New Roman" w:hAnsi="Times New Roman" w:cs="Times New Roman"/>
          <w:b/>
          <w:bCs/>
          <w:sz w:val="28"/>
          <w:szCs w:val="28"/>
          <w:lang w:val="kk-KZ"/>
        </w:rPr>
      </w:pPr>
    </w:p>
    <w:p w:rsidR="005118AF" w:rsidRDefault="00EF60C3">
      <w:pPr>
        <w:spacing w:after="0" w:line="240" w:lineRule="auto"/>
        <w:ind w:firstLineChars="252" w:firstLine="708"/>
        <w:jc w:val="both"/>
        <w:rPr>
          <w:rFonts w:ascii="Times New Roman" w:eastAsia="Times New Roman" w:hAnsi="Times New Roman" w:cs="Times New Roman"/>
          <w:b/>
          <w:sz w:val="28"/>
          <w:szCs w:val="28"/>
          <w:lang w:val="kk-KZ"/>
        </w:rPr>
      </w:pPr>
      <w:r>
        <w:rPr>
          <w:rFonts w:ascii="Times New Roman" w:eastAsia="Times New Roman" w:hAnsi="Times New Roman" w:cs="Times New Roman"/>
          <w:b/>
          <w:bCs/>
          <w:sz w:val="28"/>
          <w:szCs w:val="28"/>
          <w:lang w:val="kk-KZ"/>
        </w:rPr>
        <w:t xml:space="preserve">2.1 </w:t>
      </w:r>
      <w:r>
        <w:rPr>
          <w:rFonts w:ascii="Times New Roman" w:hAnsi="Times New Roman"/>
          <w:b/>
          <w:sz w:val="28"/>
          <w:szCs w:val="28"/>
          <w:lang w:val="kk-KZ"/>
        </w:rPr>
        <w:t>Қазақстан</w:t>
      </w:r>
      <w:r>
        <w:rPr>
          <w:rFonts w:ascii="Times New Roman" w:hAnsi="Times New Roman"/>
          <w:b/>
          <w:sz w:val="28"/>
          <w:szCs w:val="28"/>
          <w:lang w:val="kk-KZ"/>
        </w:rPr>
        <w:t xml:space="preserve"> </w:t>
      </w:r>
      <w:r>
        <w:rPr>
          <w:rFonts w:ascii="Times New Roman" w:hAnsi="Times New Roman"/>
          <w:b/>
          <w:sz w:val="28"/>
          <w:szCs w:val="28"/>
          <w:lang w:val="kk-KZ"/>
        </w:rPr>
        <w:t>Республикасының тамақ өнеркәсібінің дамуының қазіргі жағдайын талдау</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Еліміздің тамақ өнеркәсібінің нарық жағдайында қызмет етуге бейімделуі күрделі құрылымдық өзгерістерге алып келді. Айтарлықтай өзгерісті атап өтетін болсақ, ол - КСРО кезінен қалған ірі к</w:t>
      </w:r>
      <w:r>
        <w:rPr>
          <w:rFonts w:ascii="Times New Roman" w:eastAsia="Times New Roman" w:hAnsi="Times New Roman" w:cs="Times New Roman"/>
          <w:color w:val="000000"/>
          <w:sz w:val="28"/>
          <w:szCs w:val="28"/>
          <w:lang w:val="kk-KZ"/>
        </w:rPr>
        <w:t>әсіпорындардың ұсыныс тізбегінің жойылуы немесе жабдықтаушылармен байланыстың үзілуі салдарынан өнімділігі төмендеп, қызметі тоқтатылды. Бұндай өзгерістер ірі ет, құс фабрикаларына әсерін тигізді және жаңа нарық жағдайына икемділігінің болмауы салдарынан о</w:t>
      </w:r>
      <w:r>
        <w:rPr>
          <w:rFonts w:ascii="Times New Roman" w:eastAsia="Times New Roman" w:hAnsi="Times New Roman" w:cs="Times New Roman"/>
          <w:color w:val="000000"/>
          <w:sz w:val="28"/>
          <w:szCs w:val="28"/>
          <w:lang w:val="kk-KZ"/>
        </w:rPr>
        <w:t>лар нарықтағы көшбасшылықты жоғалтты және тіпті нарықтан шығуға мәжбүр болды.</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Қазақстан Республикасында тамақ өнеркәсібі еліміздің азық-түлік қауіпсіздігін қаматамыз етудің негізгі компоненті болып саналады және кең спектрлі мамандандырылған барлық өндіріс</w:t>
      </w:r>
      <w:r>
        <w:rPr>
          <w:rFonts w:ascii="Times New Roman" w:eastAsia="Times New Roman" w:hAnsi="Times New Roman" w:cs="Times New Roman"/>
          <w:color w:val="000000"/>
          <w:sz w:val="28"/>
          <w:szCs w:val="28"/>
          <w:lang w:val="kk-KZ"/>
        </w:rPr>
        <w:t>тік салалармен ұсынылады. Еліміздің азық-түлік өндірісінің 60%-ын негізгі үш сала құрап отыр, олар ет өңдеу, сүт өнімдерін өңдеу және май өнімдерін өндіру салалары [99]. 2024 жылы Қазақстан Республикасының Ауыл шаруашылығы министрлігі Қазақстанның тамақ жә</w:t>
      </w:r>
      <w:r>
        <w:rPr>
          <w:rFonts w:ascii="Times New Roman" w:eastAsia="Times New Roman" w:hAnsi="Times New Roman" w:cs="Times New Roman"/>
          <w:color w:val="000000"/>
          <w:sz w:val="28"/>
          <w:szCs w:val="28"/>
          <w:lang w:val="kk-KZ"/>
        </w:rPr>
        <w:t>не қайтаөңдеу өнеркәсібін дамыту бойынша кешенді жоспарын бекітті. Осы Кешенді жоспар аясында республиканың импортты алмастыру әлеуеті мен экспортқа бағдарлануын, өңірлердің мамандануын, шикізат базасының және логистиканың болуын ескере отырып, жұмыс істеп</w:t>
      </w:r>
      <w:r>
        <w:rPr>
          <w:rFonts w:ascii="Times New Roman" w:eastAsia="Times New Roman" w:hAnsi="Times New Roman" w:cs="Times New Roman"/>
          <w:color w:val="000000"/>
          <w:sz w:val="28"/>
          <w:szCs w:val="28"/>
          <w:lang w:val="kk-KZ"/>
        </w:rPr>
        <w:t xml:space="preserve"> тұрған өңдеуші салалар жаңартылып, жаңалары құрылатын болады [100]. Сонымен қатар, ҚР Ауыл шаруашылығы министрлігі 2024-2028 жылдарға арналған «Қуатты АӨК» деп аталатын Ұлттық жобаны әзірледі (АӨК жаңалықтарына сәйкес). Жобаның басты мақсаты – 2024-2028 ж</w:t>
      </w:r>
      <w:r>
        <w:rPr>
          <w:rFonts w:ascii="Times New Roman" w:eastAsia="Times New Roman" w:hAnsi="Times New Roman" w:cs="Times New Roman"/>
          <w:color w:val="000000"/>
          <w:sz w:val="28"/>
          <w:szCs w:val="28"/>
          <w:lang w:val="kk-KZ"/>
        </w:rPr>
        <w:t>ылдар ішінде ауыл шаруашылығының жалпы өнім көлемін екі есеге ұлғайту [101].</w:t>
      </w:r>
    </w:p>
    <w:p w:rsidR="005118AF" w:rsidRDefault="00EF60C3">
      <w:pPr>
        <w:spacing w:after="0" w:line="240" w:lineRule="auto"/>
        <w:ind w:firstLine="709"/>
        <w:jc w:val="both"/>
        <w:rPr>
          <w:rFonts w:ascii="Times New Roman" w:eastAsia="Times New Roman" w:hAnsi="Times New Roman" w:cs="Times New Roman"/>
          <w:sz w:val="28"/>
          <w:szCs w:val="28"/>
          <w:lang w:val="kk-KZ"/>
        </w:rPr>
      </w:pPr>
      <w:bookmarkStart w:id="5" w:name="_Hlk115950066"/>
      <w:r>
        <w:rPr>
          <w:rFonts w:ascii="Times New Roman" w:eastAsia="Times New Roman" w:hAnsi="Times New Roman" w:cs="Times New Roman"/>
          <w:sz w:val="28"/>
          <w:szCs w:val="28"/>
          <w:lang w:val="kk-KZ"/>
        </w:rPr>
        <w:t xml:space="preserve">Тамақ өнеркәсібінің өндіріс көлемін бағалау мақсатында Қазақстан Республикасының экономикалық қызмет түрлерінің жіктеушісінде ұсынылған тамақ өнеркәсібінің тамақ, сусындар және темекі  өндіріс түрлерін қарастыру қажет.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 Республикасының Статистика</w:t>
      </w:r>
      <w:r>
        <w:rPr>
          <w:rFonts w:ascii="Times New Roman" w:eastAsia="Times New Roman" w:hAnsi="Times New Roman" w:cs="Times New Roman"/>
          <w:sz w:val="28"/>
          <w:szCs w:val="28"/>
          <w:lang w:val="kk-KZ"/>
        </w:rPr>
        <w:t xml:space="preserve"> агенттігінің мәліметіне сәйкес, 2024 жылы өңдеуші өнеркәсібі көлеміндегі тамақ өнеркәсібінің үлесі – 18,3%-ды құраған. 2020 жылы бұл көрсеткіш 19,7%-ды құрады. 2024 жылдың қорытындылары бойынша тамақ өнеркәсібінің өнеркәсіптің жалпы көлеміндегі үлесі 9.0%</w:t>
      </w:r>
      <w:r>
        <w:rPr>
          <w:rFonts w:ascii="Times New Roman" w:eastAsia="Times New Roman" w:hAnsi="Times New Roman" w:cs="Times New Roman"/>
          <w:sz w:val="28"/>
          <w:szCs w:val="28"/>
          <w:lang w:val="kk-KZ"/>
        </w:rPr>
        <w:t xml:space="preserve"> құраған</w:t>
      </w:r>
      <w:bookmarkEnd w:id="5"/>
      <w:r>
        <w:rPr>
          <w:rFonts w:ascii="Times New Roman" w:eastAsia="Times New Roman" w:hAnsi="Times New Roman" w:cs="Times New Roman"/>
          <w:sz w:val="28"/>
          <w:szCs w:val="28"/>
          <w:lang w:val="kk-KZ"/>
        </w:rPr>
        <w:t xml:space="preserve"> (10-сурет) [102]. </w:t>
      </w: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rPr>
      </w:pPr>
      <w:bookmarkStart w:id="6" w:name="_Hlk115950133"/>
      <w:r>
        <w:rPr>
          <w:rFonts w:ascii="Times New Roman" w:eastAsia="Times New Roman" w:hAnsi="Times New Roman" w:cs="Times New Roman"/>
          <w:color w:val="000000"/>
          <w:sz w:val="28"/>
          <w:szCs w:val="28"/>
          <w:lang w:val="kk-KZ"/>
        </w:rPr>
        <w:t xml:space="preserve">ҚР Ұлттық статистика бюросының мәліметіне сәйкес, 2024 жылы тамақ </w:t>
      </w:r>
      <w:bookmarkStart w:id="7" w:name="_Hlk115950095"/>
      <w:r>
        <w:rPr>
          <w:rFonts w:ascii="Times New Roman" w:eastAsia="Times New Roman" w:hAnsi="Times New Roman" w:cs="Times New Roman"/>
          <w:color w:val="000000"/>
          <w:sz w:val="28"/>
          <w:szCs w:val="28"/>
          <w:lang w:val="kk-KZ"/>
        </w:rPr>
        <w:t>өнеркәсібінің өндіріс көлемі 4494,9 млрд. теңгені құрады және өсім 2020 жылдың сәйкес кезеңімен салыстырғанда 72% құрады. Бұл соңғы жылдары тамақ өнеркәсібінде өн</w:t>
      </w:r>
      <w:r>
        <w:rPr>
          <w:rFonts w:ascii="Times New Roman" w:eastAsia="Times New Roman" w:hAnsi="Times New Roman" w:cs="Times New Roman"/>
          <w:color w:val="000000"/>
          <w:sz w:val="28"/>
          <w:szCs w:val="28"/>
          <w:lang w:val="kk-KZ"/>
        </w:rPr>
        <w:t>дірілетін максималды көлем.</w:t>
      </w:r>
      <w:bookmarkEnd w:id="6"/>
      <w:r>
        <w:rPr>
          <w:rFonts w:ascii="Times New Roman" w:eastAsia="Times New Roman" w:hAnsi="Times New Roman" w:cs="Times New Roman"/>
          <w:color w:val="000000"/>
          <w:sz w:val="28"/>
          <w:szCs w:val="28"/>
          <w:lang w:val="kk-KZ"/>
        </w:rPr>
        <w:t xml:space="preserve"> </w:t>
      </w:r>
      <w:bookmarkStart w:id="8" w:name="_Hlk115950160"/>
      <w:r>
        <w:rPr>
          <w:rFonts w:ascii="Times New Roman" w:eastAsia="Times New Roman" w:hAnsi="Times New Roman" w:cs="Times New Roman"/>
          <w:color w:val="000000"/>
          <w:sz w:val="28"/>
          <w:szCs w:val="28"/>
          <w:lang w:val="kk-KZ"/>
        </w:rPr>
        <w:t>2024 жыл бойынша тамақ өнеркәсібінің ең үлкен үлесі (72,9%) дәстүрлі тамақ өнімдерін өндіруге тиесілі.</w:t>
      </w:r>
      <w:bookmarkEnd w:id="7"/>
      <w:r>
        <w:rPr>
          <w:rFonts w:ascii="Times New Roman" w:eastAsia="Times New Roman" w:hAnsi="Times New Roman" w:cs="Times New Roman"/>
          <w:color w:val="000000"/>
          <w:sz w:val="28"/>
          <w:szCs w:val="28"/>
          <w:lang w:val="kk-KZ"/>
        </w:rPr>
        <w:t xml:space="preserve"> </w:t>
      </w:r>
      <w:bookmarkEnd w:id="8"/>
      <w:r>
        <w:rPr>
          <w:rFonts w:ascii="Times New Roman" w:eastAsia="Times New Roman" w:hAnsi="Times New Roman" w:cs="Times New Roman"/>
          <w:color w:val="000000"/>
          <w:sz w:val="28"/>
          <w:szCs w:val="28"/>
          <w:lang w:val="kk-KZ"/>
        </w:rPr>
        <w:t>Ақша түрінде бұл көрсеткіш 3276,5 млрд. құрап отыр. Бұл 2020 жылдың осы кезеңімен салыстырғанда 67,4%-ға жоғары. 2024 жылы өн</w:t>
      </w:r>
      <w:r>
        <w:rPr>
          <w:rFonts w:ascii="Times New Roman" w:eastAsia="Times New Roman" w:hAnsi="Times New Roman" w:cs="Times New Roman"/>
          <w:color w:val="000000"/>
          <w:sz w:val="28"/>
          <w:szCs w:val="28"/>
          <w:lang w:val="kk-KZ"/>
        </w:rPr>
        <w:t xml:space="preserve">дірілген сусындардың көлемі 920,5 млрд. теңгеге жетті, бұл 2020 жылдың сәйкес кезеңімен салыстырғанда 107,6%-ға жоғары. Ал темекі өндірісінің көлемінің өсімі 2024 жылы базалық 2020 жылмен салыстырғанда 40,7%-ды құрады (11-сурет) [102].  </w:t>
      </w:r>
    </w:p>
    <w:p w:rsidR="005118AF" w:rsidRDefault="005118AF">
      <w:pPr>
        <w:spacing w:after="0" w:line="240" w:lineRule="auto"/>
        <w:ind w:firstLine="567"/>
        <w:jc w:val="both"/>
        <w:rPr>
          <w:rFonts w:ascii="Times New Roman" w:eastAsia="Times New Roman" w:hAnsi="Times New Roman" w:cs="Times New Roman"/>
          <w:color w:val="000000"/>
          <w:sz w:val="28"/>
          <w:szCs w:val="28"/>
          <w:lang w:val="kk-KZ"/>
        </w:rPr>
      </w:pPr>
    </w:p>
    <w:p w:rsidR="005118AF" w:rsidRDefault="00EF60C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114300" distR="114300">
            <wp:extent cx="5256530" cy="2988310"/>
            <wp:effectExtent l="5080" t="4445" r="8890" b="17145"/>
            <wp:docPr id="69" name="Chart 69"/>
            <wp:cNvGraphicFramePr>
              <a:graphicFrameLocks xmlns:a="http://schemas.openxmlformats.org/drawingml/2006/main" noGrp="1"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18AF" w:rsidRDefault="005118AF">
      <w:pPr>
        <w:spacing w:after="0" w:line="240" w:lineRule="auto"/>
        <w:jc w:val="center"/>
        <w:rPr>
          <w:rFonts w:ascii="Times New Roman" w:eastAsia="Times New Roman" w:hAnsi="Times New Roman" w:cs="Times New Roman"/>
          <w:sz w:val="16"/>
          <w:szCs w:val="16"/>
          <w:lang w:val="kk-KZ"/>
        </w:rPr>
      </w:pPr>
    </w:p>
    <w:p w:rsidR="005118AF" w:rsidRDefault="00EF60C3">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Сурет 10 ‒ 202</w:t>
      </w:r>
      <w:r>
        <w:rPr>
          <w:rFonts w:ascii="Times New Roman" w:eastAsia="Times New Roman" w:hAnsi="Times New Roman" w:cs="Times New Roman"/>
          <w:sz w:val="28"/>
          <w:szCs w:val="28"/>
          <w:lang w:val="kk-KZ"/>
        </w:rPr>
        <w:t xml:space="preserve">0-2024 жж. ҚР тамақ өнеркәсібі өндірісінің жалпы өнеркәсіптегі және өңдеуші өнеркәсіптегі үлесі, % </w:t>
      </w:r>
    </w:p>
    <w:p w:rsidR="005118AF" w:rsidRDefault="00EF60C3">
      <w:pPr>
        <w:spacing w:after="0" w:line="240" w:lineRule="auto"/>
        <w:ind w:firstLine="567"/>
        <w:jc w:val="both"/>
        <w:rPr>
          <w:rFonts w:ascii="Times New Roman" w:eastAsia="Times New Roman" w:hAnsi="Times New Roman" w:cs="Times New Roman"/>
          <w:color w:val="000000"/>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[102]</w:t>
      </w:r>
    </w:p>
    <w:p w:rsidR="005118AF" w:rsidRDefault="00EF60C3">
      <w:pP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114300" distR="114300">
            <wp:extent cx="4987290" cy="2526665"/>
            <wp:effectExtent l="0" t="0" r="0" b="0"/>
            <wp:docPr id="63" name="Picture 4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3" name="Picture 45"/>
                    <pic:cNvPicPr>
                      <a:picLocks noGrp="1" noChangeAspect="1"/>
                    </pic:cNvPicPr>
                  </pic:nvPicPr>
                  <pic:blipFill>
                    <a:blip r:embed="rId16"/>
                    <a:srcRect l="2210" t="4721" r="3111" b="5605"/>
                    <a:stretch>
                      <a:fillRect/>
                    </a:stretch>
                  </pic:blipFill>
                  <pic:spPr>
                    <a:xfrm>
                      <a:off x="0" y="0"/>
                      <a:ext cx="4990089" cy="2528312"/>
                    </a:xfrm>
                    <a:prstGeom prst="rect">
                      <a:avLst/>
                    </a:prstGeom>
                    <a:noFill/>
                    <a:ln>
                      <a:noFill/>
                    </a:ln>
                  </pic:spPr>
                </pic:pic>
              </a:graphicData>
            </a:graphic>
          </wp:inline>
        </w:drawing>
      </w:r>
    </w:p>
    <w:p w:rsidR="005118AF" w:rsidRDefault="005118AF">
      <w:pPr>
        <w:spacing w:after="0" w:line="240" w:lineRule="auto"/>
        <w:jc w:val="center"/>
        <w:rPr>
          <w:rFonts w:ascii="Times New Roman" w:eastAsia="Times New Roman" w:hAnsi="Times New Roman" w:cs="Times New Roman"/>
          <w:sz w:val="16"/>
          <w:szCs w:val="16"/>
          <w:lang w:val="kk-KZ"/>
        </w:rPr>
      </w:pPr>
    </w:p>
    <w:p w:rsidR="005118AF" w:rsidRDefault="00EF60C3">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sz w:val="28"/>
          <w:szCs w:val="28"/>
          <w:lang w:val="kk-KZ"/>
        </w:rPr>
        <w:t xml:space="preserve">Сурет 11 ‒ 2020-2024 жылдарға </w:t>
      </w:r>
      <w:r>
        <w:rPr>
          <w:rFonts w:ascii="Times New Roman" w:eastAsia="Times New Roman" w:hAnsi="Times New Roman" w:cs="Times New Roman"/>
          <w:color w:val="000000"/>
          <w:sz w:val="28"/>
          <w:szCs w:val="28"/>
          <w:lang w:val="kk-KZ"/>
        </w:rPr>
        <w:t>ҚР тамақ өнеркәсібі өнімдерінің өндіріс көлемі, млрд. теңге</w:t>
      </w:r>
    </w:p>
    <w:p w:rsidR="005118AF" w:rsidRDefault="005118AF">
      <w:pPr>
        <w:spacing w:after="0" w:line="240" w:lineRule="auto"/>
        <w:ind w:firstLine="567"/>
        <w:jc w:val="center"/>
        <w:rPr>
          <w:rFonts w:ascii="Times New Roman" w:eastAsia="Times New Roman" w:hAnsi="Times New Roman" w:cs="Times New Roman"/>
          <w:color w:val="000000"/>
          <w:sz w:val="16"/>
          <w:szCs w:val="16"/>
          <w:lang w:val="kk-KZ"/>
        </w:rPr>
      </w:pPr>
    </w:p>
    <w:p w:rsidR="005118AF" w:rsidRDefault="00EF60C3">
      <w:pPr>
        <w:spacing w:after="0" w:line="240" w:lineRule="auto"/>
        <w:ind w:firstLine="709"/>
        <w:jc w:val="both"/>
        <w:rPr>
          <w:rFonts w:ascii="Times New Roman" w:eastAsia="Times New Roman" w:hAnsi="Times New Roman" w:cs="Times New Roman"/>
          <w:color w:val="FF0000"/>
          <w:sz w:val="24"/>
          <w:szCs w:val="24"/>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[102]</w:t>
      </w:r>
    </w:p>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ind w:firstLine="709"/>
        <w:jc w:val="both"/>
        <w:rPr>
          <w:rFonts w:ascii="Times New Roman" w:eastAsia="Times New Roman" w:hAnsi="Times New Roman" w:cs="Times New Roman"/>
          <w:color w:val="000000"/>
          <w:sz w:val="28"/>
          <w:szCs w:val="28"/>
          <w:lang w:val="kk-KZ"/>
        </w:rPr>
      </w:pPr>
      <w:bookmarkStart w:id="9" w:name="_Hlk115950246"/>
      <w:r>
        <w:rPr>
          <w:rFonts w:ascii="Times New Roman" w:eastAsia="Times New Roman" w:hAnsi="Times New Roman" w:cs="Times New Roman"/>
          <w:color w:val="000000"/>
          <w:sz w:val="28"/>
          <w:szCs w:val="28"/>
          <w:lang w:val="kk-KZ"/>
        </w:rPr>
        <w:t>Өңірлік көрсеткіштер аясында 2024 жылы азық-түлік өндіріс бойынша құндық мәнде Қостанай және Алматы облыстары, сондай-ақ Алматы қаласы көш бастады (12-сурет).</w:t>
      </w:r>
    </w:p>
    <w:p w:rsidR="005118AF" w:rsidRDefault="005118AF">
      <w:pPr>
        <w:jc w:val="center"/>
        <w:rPr>
          <w:rFonts w:ascii="Calibri" w:eastAsia="Times New Roman" w:hAnsi="Calibri" w:cs="Times New Roman"/>
          <w:lang w:val="kk-KZ"/>
        </w:rPr>
      </w:pPr>
    </w:p>
    <w:p w:rsidR="005118AF" w:rsidRDefault="00EF60C3">
      <w:pPr>
        <w:spacing w:after="0" w:line="240" w:lineRule="auto"/>
        <w:jc w:val="center"/>
        <w:rPr>
          <w:rFonts w:ascii="Times New Roman" w:eastAsia="Times New Roman" w:hAnsi="Times New Roman" w:cs="Times New Roman"/>
          <w:color w:val="000000"/>
          <w:sz w:val="28"/>
          <w:szCs w:val="28"/>
          <w:lang w:val="kk-KZ"/>
        </w:rPr>
      </w:pPr>
      <w:r>
        <w:rPr>
          <w:rFonts w:ascii="Calibri" w:eastAsia="Times New Roman" w:hAnsi="Calibri" w:cs="Times New Roman"/>
        </w:rPr>
        <w:object w:dxaOrig="9290" w:dyaOrig="5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263.25pt" o:ole="">
            <v:imagedata r:id="rId17" o:title=""/>
          </v:shape>
          <o:OLEObject Type="Embed" ProgID="Excel.Sheet.8" ShapeID="_x0000_i1025" DrawAspect="Content" ObjectID="_1837696322" r:id="rId18"/>
        </w:object>
      </w:r>
    </w:p>
    <w:p w:rsidR="005118AF" w:rsidRDefault="005118AF">
      <w:pPr>
        <w:spacing w:after="0" w:line="240" w:lineRule="auto"/>
        <w:jc w:val="center"/>
        <w:rPr>
          <w:rFonts w:ascii="Times New Roman" w:eastAsia="Times New Roman" w:hAnsi="Times New Roman" w:cs="Times New Roman"/>
          <w:sz w:val="16"/>
          <w:szCs w:val="16"/>
          <w:lang w:val="kk-KZ"/>
        </w:rPr>
      </w:pPr>
    </w:p>
    <w:p w:rsidR="005118AF" w:rsidRDefault="00EF60C3">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Сурет 12 ‒ ҚР өңірлері бойынша азы</w:t>
      </w:r>
      <w:r>
        <w:rPr>
          <w:rFonts w:ascii="Times New Roman" w:eastAsia="Times New Roman" w:hAnsi="Times New Roman" w:cs="Times New Roman"/>
          <w:sz w:val="28"/>
          <w:szCs w:val="28"/>
          <w:lang w:val="kk-KZ"/>
        </w:rPr>
        <w:t xml:space="preserve">қ-түлік өндірісінің көлемі, мың, тг. </w:t>
      </w:r>
    </w:p>
    <w:p w:rsidR="005118AF" w:rsidRDefault="005118AF">
      <w:pPr>
        <w:spacing w:after="0" w:line="240" w:lineRule="auto"/>
        <w:jc w:val="center"/>
        <w:rPr>
          <w:rFonts w:ascii="Times New Roman" w:eastAsia="Times New Roman" w:hAnsi="Times New Roman" w:cs="Times New Roman"/>
          <w:color w:val="000000"/>
          <w:sz w:val="16"/>
          <w:szCs w:val="16"/>
          <w:lang w:val="kk-KZ"/>
        </w:rPr>
      </w:pP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[102]</w:t>
      </w:r>
    </w:p>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2024 жылы тамақ өнімдері өндірісінің жалпы көлеміндегі тамақ өнімдерінің түрлері құрылымы бойынша негізгі үлесті сүт өнімдерін өндіру (18,9%), ет өнімдері (18,5%) және ұн-жарма өнімдерін өндіру (17,4%) құрады (13-сурет). </w:t>
      </w:r>
    </w:p>
    <w:p w:rsidR="005118AF" w:rsidRDefault="005118AF">
      <w:pPr>
        <w:spacing w:after="0" w:line="240" w:lineRule="auto"/>
        <w:ind w:firstLine="709"/>
        <w:jc w:val="both"/>
        <w:rPr>
          <w:rFonts w:ascii="Times New Roman" w:eastAsia="Times New Roman" w:hAnsi="Times New Roman" w:cs="Times New Roman"/>
          <w:sz w:val="28"/>
          <w:szCs w:val="28"/>
          <w:lang w:val="kk-KZ"/>
        </w:rPr>
      </w:pPr>
    </w:p>
    <w:p w:rsidR="005118AF" w:rsidRDefault="00EF60C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114300" distR="114300">
            <wp:extent cx="5436235" cy="2141220"/>
            <wp:effectExtent l="0" t="0" r="0" b="0"/>
            <wp:docPr id="62" name="Picture 4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2" name="Picture 47"/>
                    <pic:cNvPicPr>
                      <a:picLocks noGrp="1" noChangeAspect="1"/>
                    </pic:cNvPicPr>
                  </pic:nvPicPr>
                  <pic:blipFill>
                    <a:blip r:embed="rId19"/>
                    <a:srcRect t="15706"/>
                    <a:stretch>
                      <a:fillRect/>
                    </a:stretch>
                  </pic:blipFill>
                  <pic:spPr>
                    <a:xfrm>
                      <a:off x="0" y="0"/>
                      <a:ext cx="5435600" cy="2141057"/>
                    </a:xfrm>
                    <a:prstGeom prst="rect">
                      <a:avLst/>
                    </a:prstGeom>
                    <a:noFill/>
                    <a:ln>
                      <a:noFill/>
                    </a:ln>
                  </pic:spPr>
                </pic:pic>
              </a:graphicData>
            </a:graphic>
          </wp:inline>
        </w:drawing>
      </w:r>
    </w:p>
    <w:bookmarkEnd w:id="9"/>
    <w:p w:rsidR="005118AF" w:rsidRDefault="005118AF">
      <w:pPr>
        <w:spacing w:after="0" w:line="240" w:lineRule="auto"/>
        <w:jc w:val="center"/>
        <w:rPr>
          <w:rFonts w:ascii="Times New Roman" w:eastAsia="Times New Roman" w:hAnsi="Times New Roman" w:cs="Times New Roman"/>
          <w:sz w:val="16"/>
          <w:szCs w:val="16"/>
          <w:lang w:val="kk-KZ"/>
        </w:rPr>
      </w:pPr>
    </w:p>
    <w:p w:rsidR="005118AF" w:rsidRDefault="00EF60C3">
      <w:pPr>
        <w:spacing w:after="0" w:line="240" w:lineRule="auto"/>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sz w:val="28"/>
          <w:szCs w:val="28"/>
          <w:lang w:val="kk-KZ"/>
        </w:rPr>
        <w:t xml:space="preserve">Сурет 13 ‒ </w:t>
      </w:r>
      <w:r>
        <w:rPr>
          <w:rFonts w:ascii="Times New Roman" w:eastAsia="Times New Roman" w:hAnsi="Times New Roman" w:cs="Times New Roman"/>
          <w:color w:val="000000"/>
          <w:sz w:val="28"/>
          <w:szCs w:val="28"/>
          <w:lang w:val="kk-KZ"/>
        </w:rPr>
        <w:t xml:space="preserve">2024 жылы ҚР тамақ </w:t>
      </w:r>
      <w:r>
        <w:rPr>
          <w:rFonts w:ascii="Times New Roman" w:eastAsia="Times New Roman" w:hAnsi="Times New Roman" w:cs="Times New Roman"/>
          <w:color w:val="000000"/>
          <w:sz w:val="28"/>
          <w:szCs w:val="28"/>
          <w:lang w:val="kk-KZ"/>
        </w:rPr>
        <w:t>өнімдері өндірісінің жалпы көлеміндегі тамақ өнімдері түрлері бойынша өндірістің үлесі, %</w:t>
      </w:r>
    </w:p>
    <w:p w:rsidR="005118AF" w:rsidRDefault="00EF60C3">
      <w:pPr>
        <w:spacing w:after="0" w:line="240" w:lineRule="auto"/>
        <w:ind w:firstLine="567"/>
        <w:jc w:val="both"/>
        <w:rPr>
          <w:rFonts w:ascii="Times New Roman" w:eastAsia="Times New Roman" w:hAnsi="Times New Roman" w:cs="Times New Roman"/>
          <w:color w:val="000000"/>
          <w:sz w:val="24"/>
          <w:szCs w:val="24"/>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[102]</w:t>
      </w:r>
    </w:p>
    <w:p w:rsidR="005118AF" w:rsidRDefault="005118AF">
      <w:pPr>
        <w:spacing w:after="0" w:line="240" w:lineRule="auto"/>
        <w:ind w:firstLine="567"/>
        <w:jc w:val="both"/>
        <w:rPr>
          <w:rFonts w:ascii="Times New Roman" w:eastAsia="Times New Roman" w:hAnsi="Times New Roman" w:cs="Times New Roman"/>
          <w:color w:val="000000"/>
          <w:sz w:val="24"/>
          <w:szCs w:val="24"/>
          <w:lang w:val="kk-KZ"/>
        </w:rPr>
      </w:pP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2020-2024 жылдары тамақ өнімдерін өндірудің өнеркәсіптік өндірістің индекстері жалпы өнеркәсіптік өндірістің индекстерімен салыстырғанда төмен көрсеткіш көрсетті, тек қана 2022 жылды бұл көрсеткіш жалпы өнеркәсіптің көлемінен жоғары мәнге ие болды. Тамақ ө</w:t>
      </w:r>
      <w:r>
        <w:rPr>
          <w:rFonts w:ascii="Times New Roman" w:eastAsia="Times New Roman" w:hAnsi="Times New Roman" w:cs="Times New Roman"/>
          <w:sz w:val="28"/>
          <w:szCs w:val="28"/>
          <w:lang w:val="kk-KZ"/>
        </w:rPr>
        <w:t>німдерінінің жекелеген түрлерінің өндіріс серпіні әртүрлі болып келеді. Нақтырақ айтсақ, барлық жуық өнім түрлері бойынша 2024 жылы өндіріс көлемінің төмендегенін байқауға болады. Бұл құбылысты экономикалық құлдырау кезеңіндегі азаматтардың сатып алу қабіл</w:t>
      </w:r>
      <w:r>
        <w:rPr>
          <w:rFonts w:ascii="Times New Roman" w:eastAsia="Times New Roman" w:hAnsi="Times New Roman" w:cs="Times New Roman"/>
          <w:sz w:val="28"/>
          <w:szCs w:val="28"/>
          <w:lang w:val="kk-KZ"/>
        </w:rPr>
        <w:t xml:space="preserve">еттілігінің төмендеуімен байланыстыруға болады.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Сусындарды өндіру индексі жалпы өнеркәсіп өндірістік индексімен салыстырғанда 2021 және 2022 жылдары басқа барлық зерттелген кезеңде айтарлықтай жоғары көрсеткішті көрсетіп, 2023 және 2024 жылдары күрт төме</w:t>
      </w:r>
      <w:r>
        <w:rPr>
          <w:rFonts w:ascii="Times New Roman" w:eastAsia="Times New Roman" w:hAnsi="Times New Roman" w:cs="Times New Roman"/>
          <w:sz w:val="28"/>
          <w:szCs w:val="28"/>
          <w:lang w:val="kk-KZ"/>
        </w:rPr>
        <w:t>ндеп кеткен. Жалпы тамақ өнеркәсібі бойынша өндірістік индекс 2024 жылы өткен кезеңмен салыстырғанда 102,9%-ды құрап отыр және бұл негізінен сүт және ет өнімдері өнідіру есебінен құралып отыр. Алайда жемістерді және көкөністерді қайта өңдеу, нан және ұн өн</w:t>
      </w:r>
      <w:r>
        <w:rPr>
          <w:rFonts w:ascii="Times New Roman" w:eastAsia="Times New Roman" w:hAnsi="Times New Roman" w:cs="Times New Roman"/>
          <w:sz w:val="28"/>
          <w:szCs w:val="28"/>
          <w:lang w:val="kk-KZ"/>
        </w:rPr>
        <w:t>імдерін өндіру, сусын және темекі өнімдерін өндіру бойынша өнеркәсіптік өндірісі индекстерінде төмендеу байқалған. Төмендегі кестеде тамақ өнеркәсібінің өнеркәсіптік өндіріс индекстері мен олардың 2020-2024 жж. Аралығындағы өзгеріс қарқынын көрсететін спар</w:t>
      </w:r>
      <w:r>
        <w:rPr>
          <w:rFonts w:ascii="Times New Roman" w:eastAsia="Times New Roman" w:hAnsi="Times New Roman" w:cs="Times New Roman"/>
          <w:sz w:val="28"/>
          <w:szCs w:val="28"/>
          <w:lang w:val="kk-KZ"/>
        </w:rPr>
        <w:t xml:space="preserve">клайндар көрсетілген (9-кесте) [102].  </w:t>
      </w:r>
    </w:p>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9 ‒ Қызмет түрлері бойынша өнеркәсіптік өндірістің индекстері, өткен жылға %-бен</w:t>
      </w:r>
    </w:p>
    <w:p w:rsidR="005118AF" w:rsidRDefault="005118AF">
      <w:pPr>
        <w:spacing w:after="0" w:line="240" w:lineRule="auto"/>
        <w:jc w:val="both"/>
        <w:rPr>
          <w:rFonts w:ascii="Times New Roman" w:eastAsia="Times New Roman" w:hAnsi="Times New Roman" w:cs="Times New Roman"/>
          <w:sz w:val="16"/>
          <w:szCs w:val="16"/>
          <w:lang w:val="kk-KZ"/>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1836"/>
        <w:gridCol w:w="2791"/>
        <w:gridCol w:w="2270"/>
      </w:tblGrid>
      <w:tr w:rsidR="005118AF">
        <w:trPr>
          <w:trHeight w:val="62"/>
          <w:jc w:val="center"/>
        </w:trPr>
        <w:tc>
          <w:tcPr>
            <w:tcW w:w="2752" w:type="dxa"/>
            <w:noWrap/>
            <w:vAlign w:val="center"/>
          </w:tcPr>
          <w:p w:rsidR="005118AF" w:rsidRDefault="00EF60C3">
            <w:pPr>
              <w:spacing w:after="0" w:line="240" w:lineRule="auto"/>
              <w:ind w:right="-60"/>
              <w:jc w:val="center"/>
              <w:textAlignment w:val="bottom"/>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zh-CN"/>
              </w:rPr>
              <w:t>Көрсеткіш атуы</w:t>
            </w:r>
          </w:p>
        </w:tc>
        <w:tc>
          <w:tcPr>
            <w:tcW w:w="1836" w:type="dxa"/>
            <w:noWrap/>
            <w:vAlign w:val="center"/>
          </w:tcPr>
          <w:p w:rsidR="005118AF" w:rsidRDefault="00EF60C3">
            <w:pPr>
              <w:spacing w:after="0" w:line="240" w:lineRule="auto"/>
              <w:ind w:right="-66"/>
              <w:jc w:val="center"/>
              <w:rPr>
                <w:rFonts w:ascii="Arial" w:eastAsia="Times New Roman" w:hAnsi="Arial" w:cs="Arial"/>
                <w:sz w:val="20"/>
                <w:szCs w:val="20"/>
              </w:rPr>
            </w:pPr>
            <w:r>
              <w:rPr>
                <w:rFonts w:ascii="Times New Roman" w:eastAsia="Times New Roman" w:hAnsi="Times New Roman" w:cs="Times New Roman"/>
                <w:sz w:val="24"/>
                <w:szCs w:val="24"/>
                <w:lang w:val="kk-KZ" w:eastAsia="zh-CN"/>
              </w:rPr>
              <w:t>Спарклайн</w:t>
            </w:r>
          </w:p>
        </w:tc>
        <w:tc>
          <w:tcPr>
            <w:tcW w:w="2791" w:type="dxa"/>
            <w:noWrap/>
            <w:vAlign w:val="center"/>
          </w:tcPr>
          <w:p w:rsidR="005118AF" w:rsidRDefault="00EF60C3">
            <w:pPr>
              <w:spacing w:after="0" w:line="240" w:lineRule="auto"/>
              <w:ind w:right="-110"/>
              <w:jc w:val="center"/>
              <w:textAlignment w:val="bottom"/>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Көрсеткіш атуы</w:t>
            </w:r>
          </w:p>
        </w:tc>
        <w:tc>
          <w:tcPr>
            <w:tcW w:w="2270" w:type="dxa"/>
            <w:noWrap/>
            <w:vAlign w:val="center"/>
          </w:tcPr>
          <w:p w:rsidR="005118AF" w:rsidRDefault="00EF60C3">
            <w:pPr>
              <w:spacing w:after="0" w:line="240" w:lineRule="auto"/>
              <w:jc w:val="center"/>
              <w:textAlignment w:val="bottom"/>
              <w:rPr>
                <w:rFonts w:ascii="Arial" w:eastAsia="SimSun" w:hAnsi="Arial" w:cs="Arial"/>
                <w:sz w:val="20"/>
                <w:szCs w:val="20"/>
                <w:lang w:eastAsia="zh-CN" w:bidi="ar"/>
              </w:rPr>
            </w:pPr>
            <w:r>
              <w:rPr>
                <w:rFonts w:ascii="Times New Roman" w:eastAsia="Times New Roman" w:hAnsi="Times New Roman" w:cs="Times New Roman"/>
                <w:sz w:val="24"/>
                <w:szCs w:val="24"/>
                <w:lang w:val="kk-KZ" w:eastAsia="zh-CN"/>
              </w:rPr>
              <w:t>Спарклайны</w:t>
            </w:r>
          </w:p>
        </w:tc>
      </w:tr>
      <w:tr w:rsidR="005118AF">
        <w:trPr>
          <w:trHeight w:val="993"/>
          <w:jc w:val="center"/>
        </w:trPr>
        <w:tc>
          <w:tcPr>
            <w:tcW w:w="2752"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zh-CN"/>
              </w:rPr>
              <w:t>Өнеркәсіп</w:t>
            </w:r>
          </w:p>
        </w:tc>
        <w:tc>
          <w:tcPr>
            <w:tcW w:w="1836" w:type="dxa"/>
            <w:noWrap/>
            <w:vAlign w:val="bottom"/>
          </w:tcPr>
          <w:p w:rsidR="005118AF" w:rsidRDefault="00EF60C3">
            <w:pPr>
              <w:rPr>
                <w:rFonts w:ascii="Calibri" w:eastAsia="Times New Roman" w:hAnsi="Calibri" w:cs="Calibri"/>
                <w:color w:val="000000"/>
                <w:sz w:val="24"/>
                <w:szCs w:val="24"/>
              </w:rPr>
            </w:pPr>
            <w:r>
              <w:rPr>
                <w:rFonts w:ascii="Calibri" w:eastAsia="Times New Roman" w:hAnsi="Calibri" w:cs="Times New Roman"/>
                <w:noProof/>
              </w:rPr>
              <w:drawing>
                <wp:inline distT="0" distB="0" distL="114300" distR="114300">
                  <wp:extent cx="971550" cy="600075"/>
                  <wp:effectExtent l="0" t="0" r="6350" b="9525"/>
                  <wp:docPr id="6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48"/>
                          <pic:cNvPicPr>
                            <a:picLocks noChangeAspect="1"/>
                          </pic:cNvPicPr>
                        </pic:nvPicPr>
                        <pic:blipFill>
                          <a:blip r:embed="rId20"/>
                          <a:stretch>
                            <a:fillRect/>
                          </a:stretch>
                        </pic:blipFill>
                        <pic:spPr>
                          <a:xfrm>
                            <a:off x="0" y="0"/>
                            <a:ext cx="971550" cy="600075"/>
                          </a:xfrm>
                          <a:prstGeom prst="rect">
                            <a:avLst/>
                          </a:prstGeom>
                          <a:noFill/>
                          <a:ln>
                            <a:noFill/>
                          </a:ln>
                        </pic:spPr>
                      </pic:pic>
                    </a:graphicData>
                  </a:graphic>
                </wp:inline>
              </w:drawing>
            </w:r>
          </w:p>
        </w:tc>
        <w:tc>
          <w:tcPr>
            <w:tcW w:w="2791"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Өңдеу өнеркәсібі</w:t>
            </w:r>
          </w:p>
        </w:tc>
        <w:tc>
          <w:tcPr>
            <w:tcW w:w="2270"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962025" cy="561975"/>
                  <wp:effectExtent l="0" t="0" r="3175" b="9525"/>
                  <wp:docPr id="6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9"/>
                          <pic:cNvPicPr>
                            <a:picLocks noChangeAspect="1"/>
                          </pic:cNvPicPr>
                        </pic:nvPicPr>
                        <pic:blipFill>
                          <a:blip r:embed="rId21"/>
                          <a:stretch>
                            <a:fillRect/>
                          </a:stretch>
                        </pic:blipFill>
                        <pic:spPr>
                          <a:xfrm>
                            <a:off x="0" y="0"/>
                            <a:ext cx="962025" cy="561975"/>
                          </a:xfrm>
                          <a:prstGeom prst="rect">
                            <a:avLst/>
                          </a:prstGeom>
                          <a:noFill/>
                          <a:ln>
                            <a:noFill/>
                          </a:ln>
                        </pic:spPr>
                      </pic:pic>
                    </a:graphicData>
                  </a:graphic>
                </wp:inline>
              </w:drawing>
            </w:r>
          </w:p>
        </w:tc>
      </w:tr>
      <w:tr w:rsidR="005118AF">
        <w:trPr>
          <w:trHeight w:val="680"/>
          <w:jc w:val="center"/>
        </w:trPr>
        <w:tc>
          <w:tcPr>
            <w:tcW w:w="2752" w:type="dxa"/>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Тамақ өнімдерін өнідіру</w:t>
            </w:r>
          </w:p>
        </w:tc>
        <w:tc>
          <w:tcPr>
            <w:tcW w:w="1836" w:type="dxa"/>
            <w:noWrap/>
            <w:vAlign w:val="bottom"/>
          </w:tcPr>
          <w:p w:rsidR="005118AF" w:rsidRDefault="00EF60C3">
            <w:pPr>
              <w:spacing w:line="240" w:lineRule="auto"/>
              <w:ind w:right="-1049"/>
              <w:rPr>
                <w:rFonts w:ascii="Arial" w:eastAsia="Calibri" w:hAnsi="Arial" w:cs="Arial"/>
                <w:sz w:val="20"/>
                <w:szCs w:val="20"/>
                <w:lang w:eastAsia="en-US"/>
              </w:rPr>
            </w:pPr>
            <w:r>
              <w:rPr>
                <w:rFonts w:ascii="Calibri" w:eastAsia="Times New Roman" w:hAnsi="Calibri" w:cs="Times New Roman"/>
                <w:noProof/>
              </w:rPr>
              <w:drawing>
                <wp:inline distT="0" distB="0" distL="114300" distR="114300">
                  <wp:extent cx="990600" cy="571500"/>
                  <wp:effectExtent l="0" t="0" r="0" b="0"/>
                  <wp:docPr id="6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50"/>
                          <pic:cNvPicPr>
                            <a:picLocks noChangeAspect="1"/>
                          </pic:cNvPicPr>
                        </pic:nvPicPr>
                        <pic:blipFill>
                          <a:blip r:embed="rId22"/>
                          <a:stretch>
                            <a:fillRect/>
                          </a:stretch>
                        </pic:blipFill>
                        <pic:spPr>
                          <a:xfrm>
                            <a:off x="0" y="0"/>
                            <a:ext cx="990600" cy="571500"/>
                          </a:xfrm>
                          <a:prstGeom prst="rect">
                            <a:avLst/>
                          </a:prstGeom>
                          <a:noFill/>
                          <a:ln>
                            <a:noFill/>
                          </a:ln>
                        </pic:spPr>
                      </pic:pic>
                    </a:graphicData>
                  </a:graphic>
                </wp:inline>
              </w:drawing>
            </w:r>
          </w:p>
        </w:tc>
        <w:tc>
          <w:tcPr>
            <w:tcW w:w="2791"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zh-CN"/>
              </w:rPr>
              <w:t xml:space="preserve">Етті қайта өңдеу </w:t>
            </w:r>
            <w:r>
              <w:rPr>
                <w:rFonts w:ascii="Times New Roman" w:eastAsia="Times New Roman" w:hAnsi="Times New Roman" w:cs="Times New Roman"/>
                <w:sz w:val="24"/>
                <w:szCs w:val="24"/>
                <w:lang w:val="kk-KZ" w:eastAsia="zh-CN"/>
              </w:rPr>
              <w:t>және консервілеу және ет өнімдерін өндіру</w:t>
            </w:r>
          </w:p>
        </w:tc>
        <w:tc>
          <w:tcPr>
            <w:tcW w:w="2270"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1000125" cy="619125"/>
                  <wp:effectExtent l="0" t="0" r="3175" b="3175"/>
                  <wp:docPr id="6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51"/>
                          <pic:cNvPicPr>
                            <a:picLocks noChangeAspect="1"/>
                          </pic:cNvPicPr>
                        </pic:nvPicPr>
                        <pic:blipFill>
                          <a:blip r:embed="rId23"/>
                          <a:stretch>
                            <a:fillRect/>
                          </a:stretch>
                        </pic:blipFill>
                        <pic:spPr>
                          <a:xfrm>
                            <a:off x="0" y="0"/>
                            <a:ext cx="1000125" cy="619125"/>
                          </a:xfrm>
                          <a:prstGeom prst="rect">
                            <a:avLst/>
                          </a:prstGeom>
                          <a:noFill/>
                          <a:ln>
                            <a:noFill/>
                          </a:ln>
                        </pic:spPr>
                      </pic:pic>
                    </a:graphicData>
                  </a:graphic>
                </wp:inline>
              </w:drawing>
            </w:r>
          </w:p>
        </w:tc>
      </w:tr>
      <w:tr w:rsidR="005118AF">
        <w:trPr>
          <w:trHeight w:val="1034"/>
          <w:jc w:val="center"/>
        </w:trPr>
        <w:tc>
          <w:tcPr>
            <w:tcW w:w="2752" w:type="dxa"/>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Балықты, шаян тәрізділерді және моллюскаларды өңдеу және консервілеу</w:t>
            </w:r>
          </w:p>
        </w:tc>
        <w:tc>
          <w:tcPr>
            <w:tcW w:w="1836"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962025" cy="619125"/>
                  <wp:effectExtent l="0" t="0" r="3175" b="3175"/>
                  <wp:docPr id="6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52"/>
                          <pic:cNvPicPr>
                            <a:picLocks noChangeAspect="1"/>
                          </pic:cNvPicPr>
                        </pic:nvPicPr>
                        <pic:blipFill>
                          <a:blip r:embed="rId24"/>
                          <a:stretch>
                            <a:fillRect/>
                          </a:stretch>
                        </pic:blipFill>
                        <pic:spPr>
                          <a:xfrm>
                            <a:off x="0" y="0"/>
                            <a:ext cx="962025" cy="619125"/>
                          </a:xfrm>
                          <a:prstGeom prst="rect">
                            <a:avLst/>
                          </a:prstGeom>
                          <a:noFill/>
                          <a:ln>
                            <a:noFill/>
                          </a:ln>
                        </pic:spPr>
                      </pic:pic>
                    </a:graphicData>
                  </a:graphic>
                </wp:inline>
              </w:drawing>
            </w:r>
          </w:p>
        </w:tc>
        <w:tc>
          <w:tcPr>
            <w:tcW w:w="2791"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kk-KZ" w:eastAsia="en-US"/>
              </w:rPr>
              <w:t>Жемістерді және көкөністерді өңдеу және консервілеу</w:t>
            </w:r>
          </w:p>
        </w:tc>
        <w:tc>
          <w:tcPr>
            <w:tcW w:w="2270" w:type="dxa"/>
            <w:noWrap/>
            <w:vAlign w:val="bottom"/>
          </w:tcPr>
          <w:p w:rsidR="005118AF" w:rsidRDefault="00EF60C3">
            <w:pPr>
              <w:spacing w:line="240" w:lineRule="auto"/>
              <w:ind w:right="-1049"/>
              <w:rPr>
                <w:rFonts w:ascii="Arial" w:eastAsia="Calibri" w:hAnsi="Arial" w:cs="Arial"/>
                <w:sz w:val="20"/>
                <w:szCs w:val="20"/>
                <w:lang w:eastAsia="en-US"/>
              </w:rPr>
            </w:pPr>
            <w:r>
              <w:rPr>
                <w:rFonts w:ascii="Calibri" w:eastAsia="Times New Roman" w:hAnsi="Calibri" w:cs="Times New Roman"/>
                <w:noProof/>
              </w:rPr>
              <w:drawing>
                <wp:inline distT="0" distB="0" distL="114300" distR="114300">
                  <wp:extent cx="1000125" cy="561975"/>
                  <wp:effectExtent l="0" t="0" r="3175" b="9525"/>
                  <wp:docPr id="6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53"/>
                          <pic:cNvPicPr>
                            <a:picLocks noChangeAspect="1"/>
                          </pic:cNvPicPr>
                        </pic:nvPicPr>
                        <pic:blipFill>
                          <a:blip r:embed="rId25"/>
                          <a:stretch>
                            <a:fillRect/>
                          </a:stretch>
                        </pic:blipFill>
                        <pic:spPr>
                          <a:xfrm>
                            <a:off x="0" y="0"/>
                            <a:ext cx="1000125" cy="561975"/>
                          </a:xfrm>
                          <a:prstGeom prst="rect">
                            <a:avLst/>
                          </a:prstGeom>
                          <a:noFill/>
                          <a:ln>
                            <a:noFill/>
                          </a:ln>
                        </pic:spPr>
                      </pic:pic>
                    </a:graphicData>
                  </a:graphic>
                </wp:inline>
              </w:drawing>
            </w:r>
          </w:p>
        </w:tc>
      </w:tr>
      <w:tr w:rsidR="005118AF">
        <w:trPr>
          <w:trHeight w:val="1061"/>
          <w:jc w:val="center"/>
        </w:trPr>
        <w:tc>
          <w:tcPr>
            <w:tcW w:w="2752" w:type="dxa"/>
            <w:vAlign w:val="bottom"/>
          </w:tcPr>
          <w:p w:rsidR="005118AF" w:rsidRDefault="00EF60C3">
            <w:pPr>
              <w:tabs>
                <w:tab w:val="left" w:pos="0"/>
              </w:tabs>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Өсімдік және мал майы              мен тоң май өндіру</w:t>
            </w:r>
          </w:p>
        </w:tc>
        <w:tc>
          <w:tcPr>
            <w:tcW w:w="1836"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981075" cy="590550"/>
                  <wp:effectExtent l="0" t="0" r="9525" b="6350"/>
                  <wp:docPr id="7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4"/>
                          <pic:cNvPicPr>
                            <a:picLocks noChangeAspect="1"/>
                          </pic:cNvPicPr>
                        </pic:nvPicPr>
                        <pic:blipFill>
                          <a:blip r:embed="rId26"/>
                          <a:stretch>
                            <a:fillRect/>
                          </a:stretch>
                        </pic:blipFill>
                        <pic:spPr>
                          <a:xfrm>
                            <a:off x="0" y="0"/>
                            <a:ext cx="981075" cy="590550"/>
                          </a:xfrm>
                          <a:prstGeom prst="rect">
                            <a:avLst/>
                          </a:prstGeom>
                          <a:noFill/>
                          <a:ln>
                            <a:noFill/>
                          </a:ln>
                        </pic:spPr>
                      </pic:pic>
                    </a:graphicData>
                  </a:graphic>
                </wp:inline>
              </w:drawing>
            </w:r>
          </w:p>
        </w:tc>
        <w:tc>
          <w:tcPr>
            <w:tcW w:w="2791"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Сүт өнімдерін өндіру</w:t>
            </w:r>
          </w:p>
        </w:tc>
        <w:tc>
          <w:tcPr>
            <w:tcW w:w="2270"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1000125" cy="581025"/>
                  <wp:effectExtent l="0" t="0" r="3175" b="3175"/>
                  <wp:docPr id="7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55"/>
                          <pic:cNvPicPr>
                            <a:picLocks noChangeAspect="1"/>
                          </pic:cNvPicPr>
                        </pic:nvPicPr>
                        <pic:blipFill>
                          <a:blip r:embed="rId27"/>
                          <a:stretch>
                            <a:fillRect/>
                          </a:stretch>
                        </pic:blipFill>
                        <pic:spPr>
                          <a:xfrm>
                            <a:off x="0" y="0"/>
                            <a:ext cx="1000125" cy="581025"/>
                          </a:xfrm>
                          <a:prstGeom prst="rect">
                            <a:avLst/>
                          </a:prstGeom>
                          <a:noFill/>
                          <a:ln>
                            <a:noFill/>
                          </a:ln>
                        </pic:spPr>
                      </pic:pic>
                    </a:graphicData>
                  </a:graphic>
                </wp:inline>
              </w:drawing>
            </w:r>
          </w:p>
        </w:tc>
      </w:tr>
      <w:tr w:rsidR="005118AF">
        <w:trPr>
          <w:trHeight w:val="560"/>
          <w:jc w:val="center"/>
        </w:trPr>
        <w:tc>
          <w:tcPr>
            <w:tcW w:w="2752" w:type="dxa"/>
            <w:vAlign w:val="bottom"/>
          </w:tcPr>
          <w:p w:rsidR="005118AF" w:rsidRDefault="00EF60C3">
            <w:pPr>
              <w:spacing w:after="0" w:line="240" w:lineRule="auto"/>
              <w:ind w:right="-1049"/>
              <w:textAlignment w:val="bottom"/>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xml:space="preserve">Нан-тоқаш, макарон және ұннан жасалған кондитерлік </w:t>
            </w:r>
          </w:p>
          <w:p w:rsidR="005118AF" w:rsidRDefault="00EF60C3">
            <w:pPr>
              <w:spacing w:after="0" w:line="240" w:lineRule="auto"/>
              <w:ind w:right="-1049"/>
              <w:textAlignment w:val="bottom"/>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kk-KZ" w:eastAsia="zh-CN"/>
              </w:rPr>
              <w:t>өнімдерді өндіру</w:t>
            </w:r>
          </w:p>
        </w:tc>
        <w:tc>
          <w:tcPr>
            <w:tcW w:w="1836" w:type="dxa"/>
            <w:noWrap/>
            <w:vAlign w:val="bottom"/>
          </w:tcPr>
          <w:p w:rsidR="005118AF" w:rsidRDefault="00EF60C3">
            <w:pPr>
              <w:spacing w:line="240" w:lineRule="auto"/>
              <w:ind w:right="-1049"/>
              <w:rPr>
                <w:rFonts w:ascii="Arial" w:eastAsia="Calibri" w:hAnsi="Arial" w:cs="Arial"/>
                <w:sz w:val="20"/>
                <w:szCs w:val="20"/>
                <w:lang w:eastAsia="en-US"/>
              </w:rPr>
            </w:pPr>
            <w:r>
              <w:rPr>
                <w:rFonts w:ascii="Calibri" w:eastAsia="Times New Roman" w:hAnsi="Calibri" w:cs="Times New Roman"/>
                <w:noProof/>
              </w:rPr>
              <w:drawing>
                <wp:inline distT="0" distB="0" distL="114300" distR="114300">
                  <wp:extent cx="933450" cy="571500"/>
                  <wp:effectExtent l="0" t="0" r="6350" b="0"/>
                  <wp:docPr id="7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56"/>
                          <pic:cNvPicPr>
                            <a:picLocks noChangeAspect="1"/>
                          </pic:cNvPicPr>
                        </pic:nvPicPr>
                        <pic:blipFill>
                          <a:blip r:embed="rId28"/>
                          <a:stretch>
                            <a:fillRect/>
                          </a:stretch>
                        </pic:blipFill>
                        <pic:spPr>
                          <a:xfrm>
                            <a:off x="0" y="0"/>
                            <a:ext cx="933450" cy="571500"/>
                          </a:xfrm>
                          <a:prstGeom prst="rect">
                            <a:avLst/>
                          </a:prstGeom>
                          <a:noFill/>
                          <a:ln>
                            <a:noFill/>
                          </a:ln>
                        </pic:spPr>
                      </pic:pic>
                    </a:graphicData>
                  </a:graphic>
                </wp:inline>
              </w:drawing>
            </w:r>
          </w:p>
        </w:tc>
        <w:tc>
          <w:tcPr>
            <w:tcW w:w="2791"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Өзге тамақ өнімдерін             өндіру</w:t>
            </w:r>
          </w:p>
        </w:tc>
        <w:tc>
          <w:tcPr>
            <w:tcW w:w="2270"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942975" cy="523875"/>
                  <wp:effectExtent l="0" t="0" r="9525" b="9525"/>
                  <wp:docPr id="7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57"/>
                          <pic:cNvPicPr>
                            <a:picLocks noChangeAspect="1"/>
                          </pic:cNvPicPr>
                        </pic:nvPicPr>
                        <pic:blipFill>
                          <a:blip r:embed="rId29"/>
                          <a:stretch>
                            <a:fillRect/>
                          </a:stretch>
                        </pic:blipFill>
                        <pic:spPr>
                          <a:xfrm>
                            <a:off x="0" y="0"/>
                            <a:ext cx="942975" cy="523875"/>
                          </a:xfrm>
                          <a:prstGeom prst="rect">
                            <a:avLst/>
                          </a:prstGeom>
                          <a:noFill/>
                          <a:ln>
                            <a:noFill/>
                          </a:ln>
                        </pic:spPr>
                      </pic:pic>
                    </a:graphicData>
                  </a:graphic>
                </wp:inline>
              </w:drawing>
            </w:r>
          </w:p>
        </w:tc>
      </w:tr>
      <w:tr w:rsidR="005118AF">
        <w:trPr>
          <w:trHeight w:val="1120"/>
          <w:jc w:val="center"/>
        </w:trPr>
        <w:tc>
          <w:tcPr>
            <w:tcW w:w="2752" w:type="dxa"/>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zh-CN"/>
              </w:rPr>
              <w:t>Сусындар өндірісі</w:t>
            </w:r>
          </w:p>
        </w:tc>
        <w:tc>
          <w:tcPr>
            <w:tcW w:w="1836"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952500" cy="552450"/>
                  <wp:effectExtent l="0" t="0" r="0" b="6350"/>
                  <wp:docPr id="7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58"/>
                          <pic:cNvPicPr>
                            <a:picLocks noChangeAspect="1"/>
                          </pic:cNvPicPr>
                        </pic:nvPicPr>
                        <pic:blipFill>
                          <a:blip r:embed="rId30"/>
                          <a:stretch>
                            <a:fillRect/>
                          </a:stretch>
                        </pic:blipFill>
                        <pic:spPr>
                          <a:xfrm>
                            <a:off x="0" y="0"/>
                            <a:ext cx="952500" cy="552450"/>
                          </a:xfrm>
                          <a:prstGeom prst="rect">
                            <a:avLst/>
                          </a:prstGeom>
                          <a:noFill/>
                          <a:ln>
                            <a:noFill/>
                          </a:ln>
                        </pic:spPr>
                      </pic:pic>
                    </a:graphicData>
                  </a:graphic>
                </wp:inline>
              </w:drawing>
            </w:r>
          </w:p>
        </w:tc>
        <w:tc>
          <w:tcPr>
            <w:tcW w:w="2791" w:type="dxa"/>
            <w:noWrap/>
            <w:vAlign w:val="bottom"/>
          </w:tcPr>
          <w:p w:rsidR="005118AF" w:rsidRDefault="00EF60C3">
            <w:pPr>
              <w:spacing w:line="240" w:lineRule="auto"/>
              <w:ind w:right="-1049"/>
              <w:textAlignment w:val="bottom"/>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Темекі өнімдерін өндіру</w:t>
            </w:r>
          </w:p>
        </w:tc>
        <w:tc>
          <w:tcPr>
            <w:tcW w:w="2270" w:type="dxa"/>
            <w:noWrap/>
            <w:vAlign w:val="bottom"/>
          </w:tcPr>
          <w:p w:rsidR="005118AF" w:rsidRDefault="00EF60C3">
            <w:pPr>
              <w:spacing w:line="240" w:lineRule="auto"/>
              <w:ind w:right="-1049"/>
              <w:rPr>
                <w:rFonts w:ascii="Arial" w:eastAsia="Times New Roman" w:hAnsi="Arial" w:cs="Arial"/>
                <w:sz w:val="20"/>
                <w:szCs w:val="20"/>
              </w:rPr>
            </w:pPr>
            <w:r>
              <w:rPr>
                <w:rFonts w:ascii="Calibri" w:eastAsia="Times New Roman" w:hAnsi="Calibri" w:cs="Times New Roman"/>
                <w:noProof/>
              </w:rPr>
              <w:drawing>
                <wp:inline distT="0" distB="0" distL="114300" distR="114300">
                  <wp:extent cx="952500" cy="533400"/>
                  <wp:effectExtent l="0" t="0" r="0" b="0"/>
                  <wp:docPr id="7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59"/>
                          <pic:cNvPicPr>
                            <a:picLocks noChangeAspect="1"/>
                          </pic:cNvPicPr>
                        </pic:nvPicPr>
                        <pic:blipFill>
                          <a:blip r:embed="rId31"/>
                          <a:stretch>
                            <a:fillRect/>
                          </a:stretch>
                        </pic:blipFill>
                        <pic:spPr>
                          <a:xfrm>
                            <a:off x="0" y="0"/>
                            <a:ext cx="952500" cy="533400"/>
                          </a:xfrm>
                          <a:prstGeom prst="rect">
                            <a:avLst/>
                          </a:prstGeom>
                          <a:noFill/>
                          <a:ln>
                            <a:noFill/>
                          </a:ln>
                        </pic:spPr>
                      </pic:pic>
                    </a:graphicData>
                  </a:graphic>
                </wp:inline>
              </w:drawing>
            </w:r>
          </w:p>
        </w:tc>
      </w:tr>
      <w:tr w:rsidR="005118AF">
        <w:trPr>
          <w:trHeight w:val="215"/>
          <w:jc w:val="center"/>
        </w:trPr>
        <w:tc>
          <w:tcPr>
            <w:tcW w:w="9649" w:type="dxa"/>
            <w:gridSpan w:val="4"/>
            <w:vAlign w:val="bottom"/>
          </w:tcPr>
          <w:p w:rsidR="005118AF" w:rsidRDefault="00EF60C3">
            <w:pPr>
              <w:spacing w:line="240" w:lineRule="auto"/>
              <w:ind w:right="-1049"/>
              <w:rPr>
                <w:rFonts w:ascii="Calibri" w:eastAsia="Times New Roman" w:hAnsi="Calibri" w:cs="Times New Roma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[102]</w:t>
            </w:r>
          </w:p>
        </w:tc>
      </w:tr>
    </w:tbl>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Тамақ өнеркәсібіндегі нақты қызмет ететін кәсіпорындар саны 2024 жылы 2020 жылмен салыстырғанда 617 кәсіпорынға көбейген, ал өткен жылмен салыстырғанда бұл өткен жылдың сәйкес кезеңімен салыстырғанда 2,6%-ға көп. Тамақ өнімдерін өндіруші кәсіпорындардың өң</w:t>
      </w:r>
      <w:r>
        <w:rPr>
          <w:rFonts w:ascii="Times New Roman" w:eastAsia="Times New Roman" w:hAnsi="Times New Roman" w:cs="Times New Roman"/>
          <w:sz w:val="28"/>
          <w:szCs w:val="28"/>
          <w:lang w:val="kk-KZ"/>
        </w:rPr>
        <w:t xml:space="preserve">деуші өнеркәсіптегі үлесі 18,6%-дан 17,3%-ға төмендеген (10-кесте) [102].   </w:t>
      </w:r>
    </w:p>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Кесте 10 – Тамақ өнеркәсібі және өңдеуші өнеркәсіптегі негізгі қызмет атқаратын кәсіпорындар саны, 2020-2024 жж. </w:t>
      </w:r>
    </w:p>
    <w:p w:rsidR="005118AF" w:rsidRDefault="005118AF">
      <w:pPr>
        <w:spacing w:after="0" w:line="240" w:lineRule="auto"/>
        <w:jc w:val="both"/>
        <w:rPr>
          <w:rFonts w:ascii="Times New Roman" w:eastAsia="Times New Roman" w:hAnsi="Times New Roman" w:cs="Times New Roman"/>
          <w:sz w:val="16"/>
          <w:szCs w:val="16"/>
          <w:lang w:val="kk-KZ"/>
        </w:rPr>
      </w:pPr>
    </w:p>
    <w:tbl>
      <w:tblPr>
        <w:tblStyle w:val="ae"/>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5"/>
        <w:gridCol w:w="924"/>
        <w:gridCol w:w="1231"/>
        <w:gridCol w:w="1022"/>
        <w:gridCol w:w="1000"/>
        <w:gridCol w:w="1178"/>
        <w:gridCol w:w="7"/>
      </w:tblGrid>
      <w:tr w:rsidR="005118AF">
        <w:trPr>
          <w:gridAfter w:val="1"/>
          <w:wAfter w:w="7" w:type="dxa"/>
          <w:jc w:val="center"/>
        </w:trPr>
        <w:tc>
          <w:tcPr>
            <w:tcW w:w="4125" w:type="dxa"/>
            <w:vAlign w:val="center"/>
          </w:tcPr>
          <w:p w:rsidR="005118AF" w:rsidRDefault="00EF60C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Жылдар </w:t>
            </w:r>
          </w:p>
        </w:tc>
        <w:tc>
          <w:tcPr>
            <w:tcW w:w="924"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1231"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1022"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1000"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178" w:type="dxa"/>
            <w:vAlign w:val="center"/>
          </w:tcPr>
          <w:p w:rsidR="005118AF" w:rsidRDefault="00EF60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r>
      <w:tr w:rsidR="005118AF">
        <w:trPr>
          <w:gridAfter w:val="1"/>
          <w:wAfter w:w="7" w:type="dxa"/>
          <w:jc w:val="center"/>
        </w:trPr>
        <w:tc>
          <w:tcPr>
            <w:tcW w:w="4125"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Тамақ өнеркәсібі</w:t>
            </w:r>
          </w:p>
        </w:tc>
        <w:tc>
          <w:tcPr>
            <w:tcW w:w="924"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kk-KZ"/>
              </w:rPr>
            </w:pPr>
            <w:r>
              <w:rPr>
                <w:rFonts w:ascii="Times New Roman" w:eastAsia="MS Mincho" w:hAnsi="Times New Roman" w:cs="Times New Roman"/>
                <w:color w:val="000000"/>
                <w:sz w:val="24"/>
                <w:szCs w:val="24"/>
                <w:lang w:val="en-US" w:eastAsia="zh-CN"/>
              </w:rPr>
              <w:t>3</w:t>
            </w:r>
            <w:r>
              <w:rPr>
                <w:rFonts w:ascii="Times New Roman" w:eastAsia="MS Mincho" w:hAnsi="Times New Roman" w:cs="Times New Roman"/>
                <w:color w:val="000000"/>
                <w:sz w:val="24"/>
                <w:szCs w:val="24"/>
                <w:lang w:eastAsia="zh-CN"/>
              </w:rPr>
              <w:t xml:space="preserve"> </w:t>
            </w:r>
            <w:r>
              <w:rPr>
                <w:rFonts w:ascii="Times New Roman" w:eastAsia="MS Mincho" w:hAnsi="Times New Roman" w:cs="Times New Roman"/>
                <w:color w:val="000000"/>
                <w:sz w:val="24"/>
                <w:szCs w:val="24"/>
                <w:lang w:val="en-US" w:eastAsia="zh-CN"/>
              </w:rPr>
              <w:t>136</w:t>
            </w:r>
          </w:p>
        </w:tc>
        <w:tc>
          <w:tcPr>
            <w:tcW w:w="1231"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kk-KZ"/>
              </w:rPr>
            </w:pPr>
            <w:r>
              <w:rPr>
                <w:rFonts w:ascii="Times New Roman" w:eastAsia="MS Mincho" w:hAnsi="Times New Roman" w:cs="Times New Roman"/>
                <w:color w:val="000000"/>
                <w:sz w:val="24"/>
                <w:szCs w:val="24"/>
                <w:lang w:val="en-US" w:eastAsia="zh-CN"/>
              </w:rPr>
              <w:t>3</w:t>
            </w:r>
            <w:r>
              <w:rPr>
                <w:rFonts w:ascii="Times New Roman" w:eastAsia="MS Mincho" w:hAnsi="Times New Roman" w:cs="Times New Roman"/>
                <w:color w:val="000000"/>
                <w:sz w:val="24"/>
                <w:szCs w:val="24"/>
                <w:lang w:eastAsia="zh-CN"/>
              </w:rPr>
              <w:t xml:space="preserve"> </w:t>
            </w:r>
            <w:r>
              <w:rPr>
                <w:rFonts w:ascii="Times New Roman" w:eastAsia="MS Mincho" w:hAnsi="Times New Roman" w:cs="Times New Roman"/>
                <w:color w:val="000000"/>
                <w:sz w:val="24"/>
                <w:szCs w:val="24"/>
                <w:lang w:val="en-US" w:eastAsia="zh-CN"/>
              </w:rPr>
              <w:t>215</w:t>
            </w:r>
          </w:p>
        </w:tc>
        <w:tc>
          <w:tcPr>
            <w:tcW w:w="1022"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kk-KZ"/>
              </w:rPr>
            </w:pPr>
            <w:r>
              <w:rPr>
                <w:rFonts w:ascii="Times New Roman" w:eastAsia="MS Mincho" w:hAnsi="Times New Roman" w:cs="Times New Roman"/>
                <w:color w:val="000000"/>
                <w:sz w:val="24"/>
                <w:szCs w:val="24"/>
                <w:lang w:val="en-US" w:eastAsia="zh-CN"/>
              </w:rPr>
              <w:t>3</w:t>
            </w:r>
            <w:r>
              <w:rPr>
                <w:rFonts w:ascii="Times New Roman" w:eastAsia="MS Mincho" w:hAnsi="Times New Roman" w:cs="Times New Roman"/>
                <w:color w:val="000000"/>
                <w:sz w:val="24"/>
                <w:szCs w:val="24"/>
                <w:lang w:eastAsia="zh-CN"/>
              </w:rPr>
              <w:t xml:space="preserve"> </w:t>
            </w:r>
            <w:r>
              <w:rPr>
                <w:rFonts w:ascii="Times New Roman" w:eastAsia="MS Mincho" w:hAnsi="Times New Roman" w:cs="Times New Roman"/>
                <w:color w:val="000000"/>
                <w:sz w:val="24"/>
                <w:szCs w:val="24"/>
                <w:lang w:val="en-US" w:eastAsia="zh-CN"/>
              </w:rPr>
              <w:t>514</w:t>
            </w:r>
          </w:p>
        </w:tc>
        <w:tc>
          <w:tcPr>
            <w:tcW w:w="1000"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kk-KZ"/>
              </w:rPr>
            </w:pPr>
            <w:r>
              <w:rPr>
                <w:rFonts w:ascii="Times New Roman" w:eastAsia="MS Mincho" w:hAnsi="Times New Roman" w:cs="Times New Roman"/>
                <w:color w:val="000000"/>
                <w:sz w:val="24"/>
                <w:szCs w:val="24"/>
                <w:lang w:val="en-US" w:eastAsia="zh-CN"/>
              </w:rPr>
              <w:t>3</w:t>
            </w:r>
            <w:r>
              <w:rPr>
                <w:rFonts w:ascii="Times New Roman" w:eastAsia="MS Mincho" w:hAnsi="Times New Roman" w:cs="Times New Roman"/>
                <w:color w:val="000000"/>
                <w:sz w:val="24"/>
                <w:szCs w:val="24"/>
                <w:lang w:eastAsia="zh-CN"/>
              </w:rPr>
              <w:t xml:space="preserve"> </w:t>
            </w:r>
            <w:r>
              <w:rPr>
                <w:rFonts w:ascii="Times New Roman" w:eastAsia="MS Mincho" w:hAnsi="Times New Roman" w:cs="Times New Roman"/>
                <w:color w:val="000000"/>
                <w:sz w:val="24"/>
                <w:szCs w:val="24"/>
                <w:lang w:val="en-US" w:eastAsia="zh-CN"/>
              </w:rPr>
              <w:t>658</w:t>
            </w:r>
          </w:p>
        </w:tc>
        <w:tc>
          <w:tcPr>
            <w:tcW w:w="1178"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en-US"/>
              </w:rPr>
            </w:pPr>
            <w:r>
              <w:rPr>
                <w:rFonts w:ascii="Times New Roman" w:eastAsia="MS Mincho" w:hAnsi="Times New Roman" w:cs="Times New Roman"/>
                <w:color w:val="000000"/>
                <w:sz w:val="24"/>
                <w:szCs w:val="24"/>
                <w:lang w:val="en-US" w:eastAsia="zh-CN"/>
              </w:rPr>
              <w:t>3</w:t>
            </w:r>
            <w:r>
              <w:rPr>
                <w:rFonts w:ascii="Times New Roman" w:eastAsia="MS Mincho" w:hAnsi="Times New Roman" w:cs="Times New Roman"/>
                <w:color w:val="000000"/>
                <w:sz w:val="24"/>
                <w:szCs w:val="24"/>
                <w:lang w:eastAsia="zh-CN"/>
              </w:rPr>
              <w:t xml:space="preserve"> </w:t>
            </w:r>
            <w:r>
              <w:rPr>
                <w:rFonts w:ascii="Times New Roman" w:eastAsia="MS Mincho" w:hAnsi="Times New Roman" w:cs="Times New Roman"/>
                <w:color w:val="000000"/>
                <w:sz w:val="24"/>
                <w:szCs w:val="24"/>
                <w:lang w:val="en-US" w:eastAsia="zh-CN"/>
              </w:rPr>
              <w:t>753</w:t>
            </w:r>
          </w:p>
        </w:tc>
      </w:tr>
      <w:tr w:rsidR="005118AF">
        <w:trPr>
          <w:gridAfter w:val="1"/>
          <w:wAfter w:w="7" w:type="dxa"/>
          <w:jc w:val="center"/>
        </w:trPr>
        <w:tc>
          <w:tcPr>
            <w:tcW w:w="4125"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Өңдеуші өнеркәсіп</w:t>
            </w:r>
          </w:p>
        </w:tc>
        <w:tc>
          <w:tcPr>
            <w:tcW w:w="924" w:type="dxa"/>
            <w:vAlign w:val="bottom"/>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16</w:t>
            </w:r>
            <w:r>
              <w:rPr>
                <w:rFonts w:ascii="Times New Roman" w:eastAsia="MS Mincho" w:hAnsi="Times New Roman" w:cs="Times New Roman"/>
                <w:color w:val="000000"/>
                <w:sz w:val="24"/>
                <w:szCs w:val="24"/>
                <w:lang w:eastAsia="zh-CN"/>
              </w:rPr>
              <w:t xml:space="preserve"> </w:t>
            </w:r>
            <w:r>
              <w:rPr>
                <w:rFonts w:ascii="Times New Roman" w:eastAsia="MS Mincho" w:hAnsi="Times New Roman" w:cs="Times New Roman"/>
                <w:color w:val="000000"/>
                <w:sz w:val="24"/>
                <w:szCs w:val="24"/>
                <w:lang w:val="en-US" w:eastAsia="zh-CN"/>
              </w:rPr>
              <w:t>862</w:t>
            </w:r>
          </w:p>
        </w:tc>
        <w:tc>
          <w:tcPr>
            <w:tcW w:w="1231" w:type="dxa"/>
            <w:vAlign w:val="bottom"/>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 xml:space="preserve">  18 163</w:t>
            </w:r>
          </w:p>
        </w:tc>
        <w:tc>
          <w:tcPr>
            <w:tcW w:w="1022" w:type="dxa"/>
            <w:vAlign w:val="bottom"/>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 xml:space="preserve">  19 998</w:t>
            </w:r>
          </w:p>
        </w:tc>
        <w:tc>
          <w:tcPr>
            <w:tcW w:w="1000" w:type="dxa"/>
            <w:vAlign w:val="bottom"/>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 xml:space="preserve">  20 858</w:t>
            </w:r>
          </w:p>
        </w:tc>
        <w:tc>
          <w:tcPr>
            <w:tcW w:w="1178" w:type="dxa"/>
            <w:vAlign w:val="bottom"/>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 xml:space="preserve">  21 729</w:t>
            </w:r>
          </w:p>
        </w:tc>
      </w:tr>
      <w:tr w:rsidR="005118AF">
        <w:trPr>
          <w:gridAfter w:val="1"/>
          <w:wAfter w:w="7" w:type="dxa"/>
          <w:jc w:val="center"/>
        </w:trPr>
        <w:tc>
          <w:tcPr>
            <w:tcW w:w="4125" w:type="dxa"/>
            <w:vAlign w:val="center"/>
          </w:tcPr>
          <w:p w:rsidR="005118AF" w:rsidRDefault="00EF60C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Тамақ өнеркәсібі кәсіпорындарының өңдеуші өнеркәсіптегі үлесі, </w:t>
            </w:r>
            <w:r>
              <w:rPr>
                <w:rFonts w:ascii="Times New Roman" w:eastAsia="Times New Roman" w:hAnsi="Times New Roman" w:cs="Times New Roman"/>
                <w:sz w:val="24"/>
                <w:szCs w:val="24"/>
              </w:rPr>
              <w:t>%</w:t>
            </w:r>
          </w:p>
        </w:tc>
        <w:tc>
          <w:tcPr>
            <w:tcW w:w="924"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18,6</w:t>
            </w:r>
          </w:p>
        </w:tc>
        <w:tc>
          <w:tcPr>
            <w:tcW w:w="1231"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17,7</w:t>
            </w:r>
          </w:p>
        </w:tc>
        <w:tc>
          <w:tcPr>
            <w:tcW w:w="1022"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17,6</w:t>
            </w:r>
          </w:p>
        </w:tc>
        <w:tc>
          <w:tcPr>
            <w:tcW w:w="1000"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17,5</w:t>
            </w:r>
          </w:p>
        </w:tc>
        <w:tc>
          <w:tcPr>
            <w:tcW w:w="1178" w:type="dxa"/>
            <w:vAlign w:val="center"/>
          </w:tcPr>
          <w:p w:rsidR="005118AF" w:rsidRDefault="00EF60C3">
            <w:pPr>
              <w:spacing w:after="0" w:line="240" w:lineRule="auto"/>
              <w:jc w:val="center"/>
              <w:rPr>
                <w:rFonts w:ascii="Times New Roman" w:eastAsia="MS Mincho" w:hAnsi="Times New Roman" w:cs="Times New Roman"/>
                <w:color w:val="000000"/>
                <w:sz w:val="24"/>
                <w:szCs w:val="24"/>
                <w:lang w:val="en-US" w:eastAsia="zh-CN"/>
              </w:rPr>
            </w:pPr>
            <w:r>
              <w:rPr>
                <w:rFonts w:ascii="Times New Roman" w:eastAsia="MS Mincho" w:hAnsi="Times New Roman" w:cs="Times New Roman"/>
                <w:color w:val="000000"/>
                <w:sz w:val="24"/>
                <w:szCs w:val="24"/>
                <w:lang w:val="en-US" w:eastAsia="zh-CN"/>
              </w:rPr>
              <w:t>17,3</w:t>
            </w:r>
          </w:p>
        </w:tc>
      </w:tr>
      <w:tr w:rsidR="005118AF">
        <w:trPr>
          <w:jc w:val="center"/>
        </w:trPr>
        <w:tc>
          <w:tcPr>
            <w:tcW w:w="9487" w:type="dxa"/>
            <w:gridSpan w:val="7"/>
            <w:vAlign w:val="center"/>
          </w:tcPr>
          <w:p w:rsidR="005118AF" w:rsidRDefault="00EF60C3">
            <w:pPr>
              <w:spacing w:after="0" w:line="240" w:lineRule="auto"/>
              <w:ind w:firstLine="526"/>
              <w:jc w:val="both"/>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sz w:val="24"/>
                <w:szCs w:val="24"/>
              </w:rPr>
              <w:t>[103]</w:t>
            </w:r>
            <w:r>
              <w:rPr>
                <w:rFonts w:ascii="Times New Roman" w:eastAsia="Times New Roman" w:hAnsi="Times New Roman" w:cs="Times New Roman"/>
                <w:sz w:val="24"/>
                <w:szCs w:val="24"/>
                <w:lang w:val="kk-KZ"/>
              </w:rPr>
              <w:t xml:space="preserve"> </w:t>
            </w:r>
          </w:p>
        </w:tc>
      </w:tr>
    </w:tbl>
    <w:p w:rsidR="005118AF" w:rsidRDefault="005118AF">
      <w:pPr>
        <w:spacing w:after="0" w:line="240" w:lineRule="auto"/>
        <w:ind w:firstLine="567"/>
        <w:jc w:val="both"/>
        <w:rPr>
          <w:rFonts w:ascii="Times New Roman" w:eastAsia="Times New Roman" w:hAnsi="Times New Roman" w:cs="Times New Roman"/>
          <w:sz w:val="28"/>
          <w:szCs w:val="28"/>
        </w:rPr>
      </w:pP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2024 </w:t>
      </w:r>
      <w:r>
        <w:rPr>
          <w:rFonts w:ascii="Times New Roman" w:eastAsia="Times New Roman" w:hAnsi="Times New Roman" w:cs="Times New Roman"/>
          <w:sz w:val="28"/>
          <w:szCs w:val="28"/>
          <w:lang w:val="kk-KZ"/>
        </w:rPr>
        <w:t xml:space="preserve">жылы еліміздің тамақ өнеркәсібі бойынша жұмыс істеп тұрған кәсіпорындар саны тамақ өнімдерін өндіру бойынша </w:t>
      </w:r>
      <w:r>
        <w:rPr>
          <w:rFonts w:ascii="Times New Roman" w:eastAsia="Times New Roman" w:hAnsi="Times New Roman" w:cs="Times New Roman"/>
          <w:sz w:val="28"/>
          <w:szCs w:val="28"/>
        </w:rPr>
        <w:t xml:space="preserve">3753 </w:t>
      </w:r>
      <w:bookmarkStart w:id="10" w:name="_Hlk115950621"/>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оның ішінде </w:t>
      </w:r>
      <w:r>
        <w:rPr>
          <w:rFonts w:ascii="Times New Roman" w:eastAsia="Times New Roman" w:hAnsi="Times New Roman" w:cs="Times New Roman"/>
          <w:sz w:val="28"/>
          <w:szCs w:val="28"/>
        </w:rPr>
        <w:t>3096 –</w:t>
      </w:r>
      <w:r>
        <w:rPr>
          <w:rFonts w:ascii="Times New Roman" w:eastAsia="Times New Roman" w:hAnsi="Times New Roman" w:cs="Times New Roman"/>
          <w:sz w:val="28"/>
          <w:szCs w:val="28"/>
          <w:lang w:val="kk-KZ"/>
        </w:rPr>
        <w:t xml:space="preserve"> шағын, </w:t>
      </w:r>
      <w:r>
        <w:rPr>
          <w:rFonts w:ascii="Times New Roman" w:eastAsia="Times New Roman" w:hAnsi="Times New Roman" w:cs="Times New Roman"/>
          <w:sz w:val="28"/>
          <w:szCs w:val="28"/>
        </w:rPr>
        <w:t xml:space="preserve">120 – </w:t>
      </w:r>
      <w:r>
        <w:rPr>
          <w:rFonts w:ascii="Times New Roman" w:eastAsia="Times New Roman" w:hAnsi="Times New Roman" w:cs="Times New Roman"/>
          <w:sz w:val="28"/>
          <w:szCs w:val="28"/>
          <w:lang w:val="kk-KZ"/>
        </w:rPr>
        <w:t xml:space="preserve">орта және </w:t>
      </w:r>
      <w:r>
        <w:rPr>
          <w:rFonts w:ascii="Times New Roman" w:eastAsia="Times New Roman" w:hAnsi="Times New Roman" w:cs="Times New Roman"/>
          <w:sz w:val="28"/>
          <w:szCs w:val="28"/>
        </w:rPr>
        <w:t xml:space="preserve">57 – </w:t>
      </w:r>
      <w:r>
        <w:rPr>
          <w:rFonts w:ascii="Times New Roman" w:eastAsia="Times New Roman" w:hAnsi="Times New Roman" w:cs="Times New Roman"/>
          <w:sz w:val="28"/>
          <w:szCs w:val="28"/>
          <w:lang w:val="kk-KZ"/>
        </w:rPr>
        <w:t>ірі)</w:t>
      </w:r>
      <w:bookmarkEnd w:id="10"/>
      <w:r>
        <w:rPr>
          <w:rFonts w:ascii="Times New Roman" w:eastAsia="Times New Roman" w:hAnsi="Times New Roman" w:cs="Times New Roman"/>
          <w:sz w:val="28"/>
          <w:szCs w:val="28"/>
          <w:lang w:val="kk-KZ"/>
        </w:rPr>
        <w:t xml:space="preserve">, сусындарды өндіру бойынша </w:t>
      </w:r>
      <w:r>
        <w:rPr>
          <w:rFonts w:ascii="Times New Roman" w:eastAsia="Times New Roman" w:hAnsi="Times New Roman" w:cs="Times New Roman"/>
          <w:sz w:val="28"/>
          <w:szCs w:val="28"/>
        </w:rPr>
        <w:t>462 (</w:t>
      </w:r>
      <w:r>
        <w:rPr>
          <w:rFonts w:ascii="Times New Roman" w:eastAsia="Times New Roman" w:hAnsi="Times New Roman" w:cs="Times New Roman"/>
          <w:sz w:val="28"/>
          <w:szCs w:val="28"/>
          <w:lang w:val="kk-KZ"/>
        </w:rPr>
        <w:t xml:space="preserve">оның ішінде </w:t>
      </w:r>
      <w:r>
        <w:rPr>
          <w:rFonts w:ascii="Times New Roman" w:eastAsia="Times New Roman" w:hAnsi="Times New Roman" w:cs="Times New Roman"/>
          <w:sz w:val="28"/>
          <w:szCs w:val="28"/>
        </w:rPr>
        <w:t>425 –</w:t>
      </w:r>
      <w:r>
        <w:rPr>
          <w:rFonts w:ascii="Times New Roman" w:eastAsia="Times New Roman" w:hAnsi="Times New Roman" w:cs="Times New Roman"/>
          <w:sz w:val="28"/>
          <w:szCs w:val="28"/>
          <w:lang w:val="kk-KZ"/>
        </w:rPr>
        <w:t xml:space="preserve"> шағын, </w:t>
      </w:r>
      <w:r>
        <w:rPr>
          <w:rFonts w:ascii="Times New Roman" w:eastAsia="Times New Roman" w:hAnsi="Times New Roman" w:cs="Times New Roman"/>
          <w:sz w:val="28"/>
          <w:szCs w:val="28"/>
        </w:rPr>
        <w:t xml:space="preserve">26 – </w:t>
      </w:r>
      <w:r>
        <w:rPr>
          <w:rFonts w:ascii="Times New Roman" w:eastAsia="Times New Roman" w:hAnsi="Times New Roman" w:cs="Times New Roman"/>
          <w:sz w:val="28"/>
          <w:szCs w:val="28"/>
          <w:lang w:val="kk-KZ"/>
        </w:rPr>
        <w:t xml:space="preserve"> орта және </w:t>
      </w:r>
      <w:r>
        <w:rPr>
          <w:rFonts w:ascii="Times New Roman" w:eastAsia="Times New Roman" w:hAnsi="Times New Roman" w:cs="Times New Roman"/>
          <w:sz w:val="28"/>
          <w:szCs w:val="28"/>
        </w:rPr>
        <w:t xml:space="preserve">11 – </w:t>
      </w:r>
      <w:r>
        <w:rPr>
          <w:rFonts w:ascii="Times New Roman" w:eastAsia="Times New Roman" w:hAnsi="Times New Roman" w:cs="Times New Roman"/>
          <w:sz w:val="28"/>
          <w:szCs w:val="28"/>
          <w:lang w:val="kk-KZ"/>
        </w:rPr>
        <w:t>ірі) және те</w:t>
      </w:r>
      <w:r>
        <w:rPr>
          <w:rFonts w:ascii="Times New Roman" w:eastAsia="Times New Roman" w:hAnsi="Times New Roman" w:cs="Times New Roman"/>
          <w:sz w:val="28"/>
          <w:szCs w:val="28"/>
          <w:lang w:val="kk-KZ"/>
        </w:rPr>
        <w:t xml:space="preserve">мекі өндірісі бойынша </w:t>
      </w:r>
      <w:r>
        <w:rPr>
          <w:rFonts w:ascii="Times New Roman" w:eastAsia="Times New Roman" w:hAnsi="Times New Roman" w:cs="Times New Roman"/>
          <w:sz w:val="28"/>
          <w:szCs w:val="28"/>
        </w:rPr>
        <w:t>15</w:t>
      </w:r>
      <w:r>
        <w:rPr>
          <w:rFonts w:ascii="Times New Roman" w:eastAsia="Times New Roman" w:hAnsi="Times New Roman" w:cs="Times New Roman"/>
          <w:sz w:val="28"/>
          <w:szCs w:val="28"/>
          <w:lang w:val="kk-KZ"/>
        </w:rPr>
        <w:t xml:space="preserve"> шағын</w:t>
      </w:r>
      <w:r>
        <w:rPr>
          <w:rFonts w:ascii="Times New Roman" w:eastAsia="Times New Roman" w:hAnsi="Times New Roman" w:cs="Times New Roman"/>
          <w:sz w:val="28"/>
          <w:szCs w:val="28"/>
        </w:rPr>
        <w:t xml:space="preserve">, 1 - </w:t>
      </w:r>
      <w:r>
        <w:rPr>
          <w:rFonts w:ascii="Times New Roman" w:eastAsia="Times New Roman" w:hAnsi="Times New Roman" w:cs="Times New Roman"/>
          <w:sz w:val="28"/>
          <w:szCs w:val="28"/>
          <w:lang w:val="kk-KZ"/>
        </w:rPr>
        <w:t xml:space="preserve">орта, 2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ірі кәсіпорынды құрады. Төмендегі суретте 2020-2024 жылдар аралығында нақты жұмыс істеп тұрған кәсіпорындардың ауқымы бойынша (шағын, орта, ірі) құрылымы ұсынылған (14-сурет) [102]. </w:t>
      </w:r>
    </w:p>
    <w:p w:rsidR="005118AF" w:rsidRDefault="00EF60C3">
      <w:pPr>
        <w:spacing w:after="0" w:line="240" w:lineRule="auto"/>
        <w:ind w:firstLine="567"/>
        <w:jc w:val="both"/>
        <w:rPr>
          <w:rFonts w:ascii="Calibri" w:eastAsia="Times New Roman" w:hAnsi="Calibri" w:cs="Times New Roman"/>
        </w:rPr>
      </w:pPr>
      <w:r>
        <w:rPr>
          <w:rFonts w:ascii="Calibri" w:eastAsia="Times New Roman" w:hAnsi="Calibri" w:cs="Times New Roman"/>
          <w:noProof/>
        </w:rPr>
        <w:drawing>
          <wp:inline distT="0" distB="0" distL="114300" distR="114300">
            <wp:extent cx="5384800" cy="2743200"/>
            <wp:effectExtent l="0" t="0" r="0" b="0"/>
            <wp:docPr id="77" name="Chart 7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118AF" w:rsidRDefault="005118AF">
      <w:pPr>
        <w:spacing w:after="0" w:line="240" w:lineRule="auto"/>
        <w:jc w:val="center"/>
        <w:rPr>
          <w:rFonts w:ascii="Times New Roman" w:eastAsia="Times New Roman" w:hAnsi="Times New Roman" w:cs="Times New Roman"/>
          <w:sz w:val="16"/>
          <w:szCs w:val="16"/>
          <w:lang w:val="kk-KZ"/>
        </w:rPr>
      </w:pPr>
    </w:p>
    <w:p w:rsidR="005118AF" w:rsidRDefault="00EF60C3">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Сурет 14 ‒ Қазақстан Рес</w:t>
      </w:r>
      <w:r>
        <w:rPr>
          <w:rFonts w:ascii="Times New Roman" w:eastAsia="Times New Roman" w:hAnsi="Times New Roman" w:cs="Times New Roman"/>
          <w:sz w:val="28"/>
          <w:szCs w:val="28"/>
          <w:lang w:val="kk-KZ"/>
        </w:rPr>
        <w:t>публикасының тамақ өнеркәсібі кәсіпорындарының қызмет ауқымы бойынша құрылымы, бірлік</w:t>
      </w:r>
    </w:p>
    <w:p w:rsidR="005118AF" w:rsidRDefault="00EF60C3">
      <w:pPr>
        <w:spacing w:after="0" w:line="240" w:lineRule="auto"/>
        <w:ind w:firstLineChars="350" w:firstLine="840"/>
        <w:jc w:val="both"/>
        <w:rPr>
          <w:rFonts w:ascii="Times New Roman" w:eastAsia="Times New Roman" w:hAnsi="Times New Roman" w:cs="Times New Roman"/>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[102]</w:t>
      </w:r>
    </w:p>
    <w:p w:rsidR="005118AF" w:rsidRDefault="005118AF">
      <w:pPr>
        <w:spacing w:after="0" w:line="20" w:lineRule="atLeast"/>
        <w:ind w:firstLine="709"/>
        <w:jc w:val="both"/>
        <w:rPr>
          <w:rFonts w:ascii="Times New Roman" w:eastAsia="Times New Roman" w:hAnsi="Times New Roman" w:cs="Times New Roman"/>
          <w:sz w:val="28"/>
          <w:szCs w:val="28"/>
          <w:lang w:val="kk-KZ"/>
        </w:rPr>
      </w:pPr>
    </w:p>
    <w:p w:rsidR="005118AF" w:rsidRDefault="00EF60C3">
      <w:pPr>
        <w:spacing w:after="0" w:line="20" w:lineRule="atLeast"/>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Негізгі капиталға инвестиция көлемінің төмен деңгейі тамақ өнеркәсібінің тұрақты дамуына қауіп төндіруде. Сол себепті, салаға құйылатын капитал саламының көлемі мен олардың тиімділігін арттыру жағдайды жақсы жаққа өзгертуі мүмкін (12-кесте). </w:t>
      </w:r>
    </w:p>
    <w:p w:rsidR="005118AF" w:rsidRDefault="005118AF">
      <w:pPr>
        <w:spacing w:after="0" w:line="20" w:lineRule="atLeast"/>
        <w:ind w:firstLine="567"/>
        <w:jc w:val="both"/>
        <w:rPr>
          <w:rFonts w:ascii="Times New Roman" w:eastAsia="Times New Roman" w:hAnsi="Times New Roman" w:cs="Times New Roman"/>
          <w:sz w:val="28"/>
          <w:szCs w:val="28"/>
          <w:lang w:val="kk-KZ"/>
        </w:rPr>
      </w:pPr>
    </w:p>
    <w:p w:rsidR="005118AF" w:rsidRDefault="005118AF">
      <w:pPr>
        <w:spacing w:after="0" w:line="20" w:lineRule="atLeast"/>
        <w:ind w:firstLine="567"/>
        <w:jc w:val="both"/>
        <w:rPr>
          <w:rFonts w:ascii="Times New Roman" w:eastAsia="Times New Roman" w:hAnsi="Times New Roman" w:cs="Times New Roman"/>
          <w:sz w:val="28"/>
          <w:szCs w:val="28"/>
          <w:lang w:val="kk-KZ"/>
        </w:rPr>
      </w:pPr>
    </w:p>
    <w:p w:rsidR="005118AF" w:rsidRDefault="005118AF">
      <w:pPr>
        <w:spacing w:after="0" w:line="20" w:lineRule="atLeast"/>
        <w:ind w:firstLine="567"/>
        <w:jc w:val="both"/>
        <w:rPr>
          <w:rFonts w:ascii="Times New Roman" w:eastAsia="Times New Roman" w:hAnsi="Times New Roman" w:cs="Times New Roman"/>
          <w:sz w:val="28"/>
          <w:szCs w:val="28"/>
          <w:lang w:val="kk-KZ"/>
        </w:rPr>
      </w:pPr>
    </w:p>
    <w:p w:rsidR="005118AF" w:rsidRDefault="00EF60C3">
      <w:pPr>
        <w:spacing w:after="0" w:line="20" w:lineRule="atLeast"/>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12 –</w:t>
      </w:r>
      <w:r>
        <w:rPr>
          <w:rFonts w:ascii="Times New Roman" w:eastAsia="Times New Roman" w:hAnsi="Times New Roman" w:cs="Times New Roman"/>
          <w:sz w:val="28"/>
          <w:szCs w:val="28"/>
          <w:lang w:val="kk-KZ"/>
        </w:rPr>
        <w:t xml:space="preserve"> ҚР тамақ өнеркәсібіндегі негізгі капиталға салынған инвестиция және тікелей шетелдік инвестициялар серпіні, 2020-2024 жж. </w:t>
      </w:r>
    </w:p>
    <w:p w:rsidR="005118AF" w:rsidRDefault="005118AF">
      <w:pPr>
        <w:spacing w:after="0" w:line="20" w:lineRule="atLeast"/>
        <w:jc w:val="both"/>
        <w:rPr>
          <w:rFonts w:ascii="Times New Roman" w:eastAsia="Times New Roman" w:hAnsi="Times New Roman" w:cs="Times New Roman"/>
          <w:sz w:val="16"/>
          <w:szCs w:val="16"/>
          <w:lang w:val="kk-KZ"/>
        </w:rPr>
      </w:pPr>
    </w:p>
    <w:tbl>
      <w:tblPr>
        <w:tblStyle w:val="ae"/>
        <w:tblW w:w="9636"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0"/>
        <w:gridCol w:w="996"/>
        <w:gridCol w:w="1063"/>
        <w:gridCol w:w="1062"/>
        <w:gridCol w:w="996"/>
        <w:gridCol w:w="999"/>
      </w:tblGrid>
      <w:tr w:rsidR="005118AF">
        <w:tc>
          <w:tcPr>
            <w:tcW w:w="4520"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Жылдар </w:t>
            </w:r>
          </w:p>
        </w:tc>
        <w:tc>
          <w:tcPr>
            <w:tcW w:w="996" w:type="dxa"/>
            <w:vAlign w:val="center"/>
          </w:tcPr>
          <w:p w:rsidR="005118AF" w:rsidRDefault="00EF60C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lang w:val="en-US"/>
              </w:rPr>
              <w:t>20</w:t>
            </w:r>
          </w:p>
        </w:tc>
        <w:tc>
          <w:tcPr>
            <w:tcW w:w="1063" w:type="dxa"/>
            <w:vAlign w:val="center"/>
          </w:tcPr>
          <w:p w:rsidR="005118AF" w:rsidRDefault="00EF60C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lang w:val="en-US"/>
              </w:rPr>
              <w:t>21</w:t>
            </w:r>
          </w:p>
        </w:tc>
        <w:tc>
          <w:tcPr>
            <w:tcW w:w="1062" w:type="dxa"/>
            <w:vAlign w:val="center"/>
          </w:tcPr>
          <w:p w:rsidR="005118AF" w:rsidRDefault="00EF60C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20</w:t>
            </w:r>
            <w:r>
              <w:rPr>
                <w:rFonts w:ascii="Times New Roman" w:eastAsia="Times New Roman" w:hAnsi="Times New Roman" w:cs="Times New Roman"/>
                <w:sz w:val="24"/>
                <w:szCs w:val="24"/>
                <w:lang w:val="en-US"/>
              </w:rPr>
              <w:t>22</w:t>
            </w:r>
          </w:p>
        </w:tc>
        <w:tc>
          <w:tcPr>
            <w:tcW w:w="996" w:type="dxa"/>
            <w:vAlign w:val="center"/>
          </w:tcPr>
          <w:p w:rsidR="005118AF" w:rsidRDefault="00EF60C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en-US"/>
              </w:rPr>
              <w:t>3</w:t>
            </w:r>
          </w:p>
        </w:tc>
        <w:tc>
          <w:tcPr>
            <w:tcW w:w="999" w:type="dxa"/>
            <w:vAlign w:val="center"/>
          </w:tcPr>
          <w:p w:rsidR="005118AF" w:rsidRDefault="00EF60C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202</w:t>
            </w:r>
            <w:r>
              <w:rPr>
                <w:rFonts w:ascii="Times New Roman" w:eastAsia="Times New Roman" w:hAnsi="Times New Roman" w:cs="Times New Roman"/>
                <w:sz w:val="24"/>
                <w:szCs w:val="24"/>
                <w:lang w:val="en-US"/>
              </w:rPr>
              <w:t>4</w:t>
            </w:r>
          </w:p>
        </w:tc>
      </w:tr>
      <w:tr w:rsidR="005118AF">
        <w:tc>
          <w:tcPr>
            <w:tcW w:w="4520"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Тамақ өнеркәсібіндегі негізгі капиталға салынған инвестициялар, млн. теңге</w:t>
            </w:r>
          </w:p>
        </w:tc>
        <w:tc>
          <w:tcPr>
            <w:tcW w:w="996"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eastAsia="zh-CN"/>
              </w:rPr>
              <w:t>141.067</w:t>
            </w:r>
          </w:p>
        </w:tc>
        <w:tc>
          <w:tcPr>
            <w:tcW w:w="1063"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eastAsia="zh-CN"/>
              </w:rPr>
              <w:t>158.669</w:t>
            </w:r>
          </w:p>
        </w:tc>
        <w:tc>
          <w:tcPr>
            <w:tcW w:w="1062"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eastAsia="zh-CN"/>
              </w:rPr>
              <w:t>176.251</w:t>
            </w:r>
          </w:p>
        </w:tc>
        <w:tc>
          <w:tcPr>
            <w:tcW w:w="996"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eastAsia="zh-CN"/>
              </w:rPr>
              <w:t>226.005</w:t>
            </w:r>
          </w:p>
        </w:tc>
        <w:tc>
          <w:tcPr>
            <w:tcW w:w="999"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eastAsia="zh-CN"/>
              </w:rPr>
              <w:t>322.349</w:t>
            </w:r>
          </w:p>
        </w:tc>
      </w:tr>
      <w:tr w:rsidR="005118AF">
        <w:tc>
          <w:tcPr>
            <w:tcW w:w="4520"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ҚР-ғы негізгі капиталға салынған инвестициялар көлеміндегі үлесі, %</w:t>
            </w:r>
          </w:p>
        </w:tc>
        <w:tc>
          <w:tcPr>
            <w:tcW w:w="996"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c>
          <w:tcPr>
            <w:tcW w:w="1063"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062"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c>
          <w:tcPr>
            <w:tcW w:w="996"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w:t>
            </w:r>
          </w:p>
        </w:tc>
        <w:tc>
          <w:tcPr>
            <w:tcW w:w="999"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w:t>
            </w:r>
          </w:p>
        </w:tc>
      </w:tr>
      <w:tr w:rsidR="005118AF">
        <w:tc>
          <w:tcPr>
            <w:tcW w:w="4520"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Өнеркәсіптегі негізгі капиталға салынған инвестициялар көлеміндегі үлесі, %</w:t>
            </w:r>
          </w:p>
        </w:tc>
        <w:tc>
          <w:tcPr>
            <w:tcW w:w="996"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w:t>
            </w:r>
          </w:p>
        </w:tc>
        <w:tc>
          <w:tcPr>
            <w:tcW w:w="1063"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2,44</w:t>
            </w:r>
          </w:p>
        </w:tc>
        <w:tc>
          <w:tcPr>
            <w:tcW w:w="1062"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w:t>
            </w:r>
          </w:p>
        </w:tc>
        <w:tc>
          <w:tcPr>
            <w:tcW w:w="996"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2,84</w:t>
            </w:r>
          </w:p>
        </w:tc>
        <w:tc>
          <w:tcPr>
            <w:tcW w:w="999" w:type="dxa"/>
            <w:vAlign w:val="center"/>
          </w:tcPr>
          <w:p w:rsidR="005118AF" w:rsidRDefault="00EF60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w:t>
            </w:r>
          </w:p>
        </w:tc>
      </w:tr>
      <w:tr w:rsidR="005118AF">
        <w:tc>
          <w:tcPr>
            <w:tcW w:w="4520"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Өңдеуші өнеркәсіптегі негізгі </w:t>
            </w:r>
            <w:r>
              <w:rPr>
                <w:rFonts w:ascii="Times New Roman" w:eastAsia="Times New Roman" w:hAnsi="Times New Roman" w:cs="Times New Roman"/>
                <w:sz w:val="24"/>
                <w:szCs w:val="24"/>
                <w:lang w:val="kk-KZ"/>
              </w:rPr>
              <w:t>капиталға салынған инвестициялар көлеміндегі үлесі, %</w:t>
            </w:r>
          </w:p>
        </w:tc>
        <w:tc>
          <w:tcPr>
            <w:tcW w:w="996"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13,0</w:t>
            </w:r>
          </w:p>
        </w:tc>
        <w:tc>
          <w:tcPr>
            <w:tcW w:w="1063"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10,3</w:t>
            </w:r>
          </w:p>
        </w:tc>
        <w:tc>
          <w:tcPr>
            <w:tcW w:w="1062"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11,1</w:t>
            </w:r>
          </w:p>
        </w:tc>
        <w:tc>
          <w:tcPr>
            <w:tcW w:w="996"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13,8</w:t>
            </w:r>
          </w:p>
        </w:tc>
        <w:tc>
          <w:tcPr>
            <w:tcW w:w="999"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15,6</w:t>
            </w:r>
          </w:p>
        </w:tc>
      </w:tr>
      <w:tr w:rsidR="005118AF">
        <w:tc>
          <w:tcPr>
            <w:tcW w:w="4520" w:type="dxa"/>
            <w:vAlign w:val="center"/>
          </w:tcPr>
          <w:p w:rsidR="005118AF" w:rsidRDefault="00EF60C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Тамақ өнеркәсібіне тартылған таза Тікелей шетелдік инвестициялар көлемі, млн АҚШ доллары</w:t>
            </w:r>
          </w:p>
        </w:tc>
        <w:tc>
          <w:tcPr>
            <w:tcW w:w="996"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161,9</w:t>
            </w:r>
          </w:p>
        </w:tc>
        <w:tc>
          <w:tcPr>
            <w:tcW w:w="1063"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84,5</w:t>
            </w:r>
          </w:p>
        </w:tc>
        <w:tc>
          <w:tcPr>
            <w:tcW w:w="1062"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89,2</w:t>
            </w:r>
          </w:p>
        </w:tc>
        <w:tc>
          <w:tcPr>
            <w:tcW w:w="996"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414,4</w:t>
            </w:r>
          </w:p>
        </w:tc>
        <w:tc>
          <w:tcPr>
            <w:tcW w:w="999" w:type="dxa"/>
            <w:vAlign w:val="center"/>
          </w:tcPr>
          <w:p w:rsidR="005118AF" w:rsidRDefault="00EF60C3">
            <w:pPr>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159,6</w:t>
            </w:r>
          </w:p>
        </w:tc>
      </w:tr>
      <w:tr w:rsidR="005118AF">
        <w:tc>
          <w:tcPr>
            <w:tcW w:w="9636" w:type="dxa"/>
            <w:gridSpan w:val="6"/>
            <w:vAlign w:val="center"/>
          </w:tcPr>
          <w:p w:rsidR="005118AF" w:rsidRDefault="00EF60C3">
            <w:pPr>
              <w:spacing w:after="0" w:line="240" w:lineRule="auto"/>
              <w:ind w:firstLine="545"/>
              <w:jc w:val="both"/>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[102]</w:t>
            </w:r>
          </w:p>
        </w:tc>
      </w:tr>
    </w:tbl>
    <w:p w:rsidR="005118AF" w:rsidRDefault="005118AF">
      <w:pPr>
        <w:spacing w:after="0" w:line="20" w:lineRule="atLeast"/>
        <w:ind w:firstLine="567"/>
        <w:jc w:val="both"/>
        <w:rPr>
          <w:rFonts w:ascii="Times New Roman" w:eastAsia="Times New Roman" w:hAnsi="Times New Roman" w:cs="Times New Roman"/>
          <w:sz w:val="28"/>
          <w:szCs w:val="28"/>
          <w:lang w:val="kk-KZ"/>
        </w:rPr>
      </w:pPr>
    </w:p>
    <w:p w:rsidR="005118AF" w:rsidRDefault="00EF60C3">
      <w:pPr>
        <w:spacing w:after="0" w:line="240" w:lineRule="auto"/>
        <w:ind w:firstLineChars="252" w:firstLine="70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2024 жылы тамақ өнеркәсібіне салынған инвестициялардың көлемі жалпы ҚР-ғы негізгі капиталға салынған инвестиция көлемінің тек 1,66%-ын, ал тұтас өнеркәсіп саласының 4,19%-ын, ал өңдеуші өнеркәсіптегі негізгі капиталға салынған инвестицияның 15,6%-ын құраға</w:t>
      </w:r>
      <w:r>
        <w:rPr>
          <w:rFonts w:ascii="Times New Roman" w:eastAsia="Times New Roman" w:hAnsi="Times New Roman" w:cs="Times New Roman"/>
          <w:sz w:val="28"/>
          <w:szCs w:val="28"/>
          <w:lang w:val="kk-KZ"/>
        </w:rPr>
        <w:t xml:space="preserve">н. Бұл 2024 жылы тамақ өнеркәсібінде негізгі капиталға салынған инвестиция жалпы өнеркәсіп пен өңдеуші өнеркәсіптегі үлесінің өскендігін, алайда тұтас республиканың экономикасына салынған үлесі төмендегендігін байқатады [102].  </w:t>
      </w:r>
    </w:p>
    <w:p w:rsidR="005118AF" w:rsidRDefault="00EF60C3">
      <w:pPr>
        <w:spacing w:after="0" w:line="240" w:lineRule="auto"/>
        <w:ind w:firstLineChars="252" w:firstLine="70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Еліміздің тамақ өнеркәсібі </w:t>
      </w:r>
      <w:r>
        <w:rPr>
          <w:rFonts w:ascii="Times New Roman" w:eastAsia="Times New Roman" w:hAnsi="Times New Roman" w:cs="Times New Roman"/>
          <w:sz w:val="28"/>
          <w:szCs w:val="28"/>
          <w:lang w:val="kk-KZ"/>
        </w:rPr>
        <w:t>кәсіпорындарының негізгі капиталына салынған инвестициялардың үлесі 2024 жылы 2020 жылмен салыстырғанда 2,3 есеге, сәйкесінше тамақ өнімдерін өндіру бойынша – 1,7 есеге, сусындарды өндіру – 2,3 есеге және темекі өнімдерін өндіру кәсіпорындарында 9 есеге өс</w:t>
      </w:r>
      <w:r>
        <w:rPr>
          <w:rFonts w:ascii="Times New Roman" w:eastAsia="Times New Roman" w:hAnsi="Times New Roman" w:cs="Times New Roman"/>
          <w:sz w:val="28"/>
          <w:szCs w:val="28"/>
          <w:lang w:val="kk-KZ"/>
        </w:rPr>
        <w:t xml:space="preserve">кендігін байқаймыз. </w:t>
      </w:r>
    </w:p>
    <w:p w:rsidR="005118AF" w:rsidRDefault="00EF60C3">
      <w:pPr>
        <w:spacing w:after="0" w:line="240" w:lineRule="auto"/>
        <w:ind w:firstLineChars="252" w:firstLine="70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ҚР тамақ өнеркәсібіне тартылған инвестиция көлемін талдау нәтижесінде бұл көрсеткіштің жалпы Республикалық және өндіріс саласына салынған инвестиция көлемімен салыстырғанда айтарлықтай өте төмен деңгейде екендігін байқауға болады  және</w:t>
      </w:r>
      <w:r>
        <w:rPr>
          <w:rFonts w:ascii="Times New Roman" w:eastAsia="Times New Roman" w:hAnsi="Times New Roman" w:cs="Times New Roman"/>
          <w:sz w:val="28"/>
          <w:szCs w:val="28"/>
          <w:lang w:val="kk-KZ"/>
        </w:rPr>
        <w:t xml:space="preserve"> де бұл елімізде тамақ өнеркәсібі саласының инвестициялық тартымдылығының төмен екендігін көрсетеді.</w:t>
      </w:r>
    </w:p>
    <w:p w:rsidR="005118AF" w:rsidRDefault="00EF60C3">
      <w:pPr>
        <w:spacing w:after="0" w:line="240" w:lineRule="auto"/>
        <w:ind w:firstLineChars="252" w:firstLine="70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Сонымен қатар, 2020 жыл мен 2024 жыл аралығында тамақ өнеркәсібіне тартылған таза Тікелей шетелдік инвестициялар көлемі жалпы 909,6 млн. АҚШ долларын құрад</w:t>
      </w:r>
      <w:r>
        <w:rPr>
          <w:rFonts w:ascii="Times New Roman" w:eastAsia="Times New Roman" w:hAnsi="Times New Roman" w:cs="Times New Roman"/>
          <w:sz w:val="28"/>
          <w:szCs w:val="28"/>
          <w:lang w:val="kk-KZ"/>
        </w:rPr>
        <w:t>ы. 2024 жылдың қорытындысы бойынша 159,6 млн. АҚШ доллары тартылған және 2020 жылмен салыстырғанда 1,5%-ға төмендеген [102].</w:t>
      </w:r>
    </w:p>
    <w:p w:rsidR="005118AF" w:rsidRDefault="00EF60C3">
      <w:pPr>
        <w:spacing w:after="0" w:line="240" w:lineRule="auto"/>
        <w:ind w:firstLineChars="252" w:firstLine="70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Жалпы алғанда салада өндірістік қуаттың тұрақты кеңеюі байқалады, бұл негізінен ішкі қаржыландыру көздеріне сүйенеді. Тікелей шетел</w:t>
      </w:r>
      <w:r>
        <w:rPr>
          <w:rFonts w:ascii="Times New Roman" w:eastAsia="Times New Roman" w:hAnsi="Times New Roman" w:cs="Times New Roman"/>
          <w:sz w:val="28"/>
          <w:szCs w:val="28"/>
          <w:lang w:val="kk-KZ"/>
        </w:rPr>
        <w:t xml:space="preserve">дік инвестициялардың тұрақсыздығы шетелдік капиталдың қатысуының қандай да бір жобаларға негізделгенін ж”не саланың дамуында анықтаушы фактор емес екендігін көрсетеді. </w:t>
      </w:r>
    </w:p>
    <w:p w:rsidR="005118AF" w:rsidRDefault="00EF60C3">
      <w:pPr>
        <w:spacing w:after="0" w:line="240" w:lineRule="auto"/>
        <w:ind w:firstLineChars="252" w:firstLine="706"/>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Есептік деректерге сәйкес, 2020-2024 жылдар аралығындағы тамақ өнімдері, сусындар және темекі өнімдерін өндіруге арналаған негізгі құралдардың тозуы мен жаңартылуын талдау тамақ өнеркәсібі салаларындағы негізгі қорлардың техникалық жаңдайының біртіндеп жақ</w:t>
      </w:r>
      <w:r>
        <w:rPr>
          <w:rFonts w:ascii="Times New Roman" w:hAnsi="Times New Roman" w:cs="Times New Roman"/>
          <w:sz w:val="28"/>
          <w:szCs w:val="28"/>
          <w:lang w:val="kk-KZ" w:eastAsia="zh-CN"/>
        </w:rPr>
        <w:t xml:space="preserve">сарғандығын байқауға болады. </w:t>
      </w:r>
    </w:p>
    <w:p w:rsidR="005118AF" w:rsidRDefault="00EF60C3">
      <w:pPr>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Тозу деңгейі амортизацияның құрал-жабдықтардың бастапқы құнына қатынасын көрсетеді. Жалпы алғанда, өңдеу өнеркәсібі бойынша 2024 жылы тозу деңгейі 40,5%-ды құрады. Салыстырмалы түрде қарасақ, тамақ өнімдерінің өндірісі бойынша</w:t>
      </w:r>
      <w:r>
        <w:rPr>
          <w:rFonts w:ascii="Times New Roman" w:hAnsi="Times New Roman" w:cs="Times New Roman"/>
          <w:sz w:val="28"/>
          <w:szCs w:val="28"/>
          <w:lang w:val="kk-KZ" w:eastAsia="zh-CN"/>
        </w:rPr>
        <w:t xml:space="preserve"> ең тұрақты көрсеткішке ие, тозу деңгейі 2024 жылға қарай 36,7%-ға дейін төмендеген, бұл тұтас өңдеу өнеркәсібінің орташа көрсеткішінен төмен. Сусындар өндірісі бойынша 2020 жылы тозу деңгейі айтарлықтай деңгейде (51,4%) болды, бірақ 2024 жылға қарай бұл к</w:t>
      </w:r>
      <w:r>
        <w:rPr>
          <w:rFonts w:ascii="Times New Roman" w:hAnsi="Times New Roman" w:cs="Times New Roman"/>
          <w:sz w:val="28"/>
          <w:szCs w:val="28"/>
          <w:lang w:val="kk-KZ" w:eastAsia="zh-CN"/>
        </w:rPr>
        <w:t>өрсеткіш</w:t>
      </w:r>
      <w:r>
        <w:rPr>
          <w:rFonts w:ascii="Times New Roman" w:hAnsi="Times New Roman" w:cs="Times New Roman"/>
          <w:sz w:val="28"/>
          <w:szCs w:val="28"/>
          <w:lang w:val="kk-KZ" w:eastAsia="zh-CN"/>
        </w:rPr>
        <w:t xml:space="preserve"> айтарлықтай жақсарып, 41,2%-ға төмендеді. Ал темекі өнімдері бойынша 2021 жылы шарықтау шегіне жеткен (62,9%), содан кейін 2024 жылы біртіндеп 49,0%-ға дейін төмендей бастаған (13-кесте) [102]. </w:t>
      </w:r>
    </w:p>
    <w:p w:rsidR="005118AF" w:rsidRDefault="005118AF">
      <w:pPr>
        <w:spacing w:after="0" w:line="240" w:lineRule="auto"/>
        <w:ind w:firstLineChars="252" w:firstLine="706"/>
        <w:jc w:val="both"/>
        <w:rPr>
          <w:rFonts w:ascii="Times New Roman" w:hAnsi="Times New Roman" w:cs="Times New Roman"/>
          <w:sz w:val="28"/>
          <w:szCs w:val="28"/>
          <w:lang w:val="kk-KZ"/>
        </w:rPr>
      </w:pPr>
    </w:p>
    <w:p w:rsidR="005118AF" w:rsidRDefault="00EF60C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13 ‒ Қазақстан Республикасының тамақ өнеркәсі</w:t>
      </w:r>
      <w:r>
        <w:rPr>
          <w:rFonts w:ascii="Times New Roman" w:hAnsi="Times New Roman" w:cs="Times New Roman"/>
          <w:sz w:val="28"/>
          <w:szCs w:val="28"/>
          <w:lang w:val="kk-KZ"/>
        </w:rPr>
        <w:t>бінің негізгі құралдарының тозу және жаңарту қарқыны, 2020-2024 жж.</w:t>
      </w:r>
    </w:p>
    <w:p w:rsidR="005118AF" w:rsidRDefault="005118AF">
      <w:pPr>
        <w:spacing w:after="0" w:line="240" w:lineRule="auto"/>
        <w:jc w:val="both"/>
        <w:rPr>
          <w:rFonts w:ascii="Times New Roman" w:hAnsi="Times New Roman" w:cs="Times New Roman"/>
          <w:sz w:val="16"/>
          <w:szCs w:val="16"/>
          <w:lang w:val="kk-KZ"/>
        </w:rPr>
      </w:pPr>
    </w:p>
    <w:tbl>
      <w:tblPr>
        <w:tblStyle w:val="ae"/>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1388"/>
        <w:gridCol w:w="1627"/>
        <w:gridCol w:w="1208"/>
        <w:gridCol w:w="1396"/>
        <w:gridCol w:w="1389"/>
        <w:gridCol w:w="1495"/>
      </w:tblGrid>
      <w:tr w:rsidR="005118AF">
        <w:trPr>
          <w:jc w:val="center"/>
        </w:trPr>
        <w:tc>
          <w:tcPr>
            <w:tcW w:w="1068" w:type="dxa"/>
            <w:vMerge w:val="restart"/>
            <w:vAlign w:val="center"/>
          </w:tcPr>
          <w:p w:rsidR="005118AF" w:rsidRDefault="00EF60C3">
            <w:pPr>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Жылдар </w:t>
            </w:r>
          </w:p>
        </w:tc>
        <w:tc>
          <w:tcPr>
            <w:tcW w:w="8503" w:type="dxa"/>
            <w:gridSpan w:val="6"/>
          </w:tcPr>
          <w:p w:rsidR="005118AF" w:rsidRDefault="00EF60C3">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rPr>
              <w:t>Тама</w:t>
            </w:r>
            <w:r>
              <w:rPr>
                <w:rFonts w:ascii="Times New Roman" w:hAnsi="Times New Roman" w:cs="Times New Roman"/>
                <w:sz w:val="24"/>
                <w:szCs w:val="24"/>
                <w:lang w:val="kk-KZ"/>
              </w:rPr>
              <w:t>қ</w:t>
            </w:r>
            <w:r>
              <w:rPr>
                <w:rFonts w:ascii="Times New Roman" w:hAnsi="Times New Roman" w:cs="Times New Roman"/>
                <w:sz w:val="24"/>
                <w:szCs w:val="24"/>
                <w:lang w:val="kk-KZ"/>
              </w:rPr>
              <w:t xml:space="preserve"> өнеркәсібінің салалары</w:t>
            </w:r>
          </w:p>
        </w:tc>
      </w:tr>
      <w:tr w:rsidR="005118AF">
        <w:trPr>
          <w:jc w:val="center"/>
        </w:trPr>
        <w:tc>
          <w:tcPr>
            <w:tcW w:w="1068" w:type="dxa"/>
            <w:vMerge/>
          </w:tcPr>
          <w:p w:rsidR="005118AF" w:rsidRDefault="005118AF">
            <w:pPr>
              <w:spacing w:after="0" w:line="240" w:lineRule="auto"/>
              <w:rPr>
                <w:rFonts w:ascii="Times New Roman" w:hAnsi="Times New Roman" w:cs="Times New Roman"/>
                <w:sz w:val="24"/>
                <w:szCs w:val="24"/>
                <w:lang w:val="en-US" w:eastAsia="zh-CN"/>
              </w:rPr>
            </w:pPr>
          </w:p>
        </w:tc>
        <w:tc>
          <w:tcPr>
            <w:tcW w:w="3015" w:type="dxa"/>
            <w:gridSpan w:val="2"/>
            <w:vAlign w:val="center"/>
          </w:tcPr>
          <w:p w:rsidR="005118AF" w:rsidRDefault="00EF60C3">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kk-KZ"/>
              </w:rPr>
              <w:t>тамақ өнімдері өндірісі</w:t>
            </w:r>
          </w:p>
        </w:tc>
        <w:tc>
          <w:tcPr>
            <w:tcW w:w="2604" w:type="dxa"/>
            <w:gridSpan w:val="2"/>
            <w:vAlign w:val="center"/>
          </w:tcPr>
          <w:p w:rsidR="005118AF" w:rsidRDefault="00EF60C3">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kk-KZ"/>
              </w:rPr>
              <w:t>сусындар өндірісі</w:t>
            </w:r>
          </w:p>
        </w:tc>
        <w:tc>
          <w:tcPr>
            <w:tcW w:w="2884" w:type="dxa"/>
            <w:gridSpan w:val="2"/>
            <w:vAlign w:val="center"/>
          </w:tcPr>
          <w:p w:rsidR="005118AF" w:rsidRDefault="00EF60C3">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kk-KZ"/>
              </w:rPr>
              <w:t>темекі өнірісі</w:t>
            </w:r>
          </w:p>
        </w:tc>
      </w:tr>
      <w:tr w:rsidR="005118AF">
        <w:trPr>
          <w:jc w:val="center"/>
        </w:trPr>
        <w:tc>
          <w:tcPr>
            <w:tcW w:w="1068" w:type="dxa"/>
            <w:vMerge/>
          </w:tcPr>
          <w:p w:rsidR="005118AF" w:rsidRDefault="005118AF">
            <w:pPr>
              <w:spacing w:after="0" w:line="240" w:lineRule="auto"/>
              <w:rPr>
                <w:rFonts w:ascii="Times New Roman" w:hAnsi="Times New Roman" w:cs="Times New Roman"/>
                <w:sz w:val="24"/>
                <w:szCs w:val="24"/>
                <w:lang w:val="en-US" w:eastAsia="zh-CN"/>
              </w:rPr>
            </w:pPr>
          </w:p>
        </w:tc>
        <w:tc>
          <w:tcPr>
            <w:tcW w:w="138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тозу </w:t>
            </w:r>
            <w:r>
              <w:rPr>
                <w:rFonts w:ascii="Times New Roman" w:hAnsi="Times New Roman" w:cs="Times New Roman"/>
                <w:sz w:val="24"/>
                <w:szCs w:val="24"/>
                <w:lang w:val="kk-KZ" w:eastAsia="zh-CN"/>
              </w:rPr>
              <w:t xml:space="preserve">деңгейі, </w:t>
            </w:r>
            <w:r>
              <w:rPr>
                <w:rFonts w:ascii="Times New Roman" w:hAnsi="Times New Roman" w:cs="Times New Roman"/>
                <w:sz w:val="24"/>
                <w:szCs w:val="24"/>
                <w:lang w:eastAsia="zh-CN"/>
              </w:rPr>
              <w:t>%</w:t>
            </w:r>
          </w:p>
        </w:tc>
        <w:tc>
          <w:tcPr>
            <w:tcW w:w="1627"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val="kk-KZ" w:eastAsia="zh-CN"/>
              </w:rPr>
              <w:t xml:space="preserve">жаңарту қарқыны, </w:t>
            </w:r>
            <w:r>
              <w:rPr>
                <w:rFonts w:ascii="Times New Roman" w:hAnsi="Times New Roman" w:cs="Times New Roman"/>
                <w:sz w:val="24"/>
                <w:szCs w:val="24"/>
                <w:lang w:eastAsia="zh-CN"/>
              </w:rPr>
              <w:t>%</w:t>
            </w:r>
          </w:p>
        </w:tc>
        <w:tc>
          <w:tcPr>
            <w:tcW w:w="1208" w:type="dxa"/>
          </w:tcPr>
          <w:p w:rsidR="005118AF" w:rsidRDefault="00EF60C3">
            <w:pPr>
              <w:spacing w:after="0" w:line="240" w:lineRule="auto"/>
              <w:ind w:left="-80" w:right="-104"/>
              <w:jc w:val="center"/>
              <w:rPr>
                <w:rFonts w:ascii="Times New Roman" w:hAnsi="Times New Roman" w:cs="Times New Roman"/>
                <w:sz w:val="24"/>
                <w:szCs w:val="24"/>
                <w:lang w:val="en-US" w:eastAsia="zh-CN"/>
              </w:rPr>
            </w:pPr>
            <w:r>
              <w:rPr>
                <w:rFonts w:ascii="Times New Roman" w:hAnsi="Times New Roman" w:cs="Times New Roman"/>
                <w:sz w:val="24"/>
                <w:szCs w:val="24"/>
                <w:lang w:eastAsia="zh-CN"/>
              </w:rPr>
              <w:t xml:space="preserve">тозу </w:t>
            </w:r>
            <w:r>
              <w:rPr>
                <w:rFonts w:ascii="Times New Roman" w:hAnsi="Times New Roman" w:cs="Times New Roman"/>
                <w:sz w:val="24"/>
                <w:szCs w:val="24"/>
                <w:lang w:val="kk-KZ" w:eastAsia="zh-CN"/>
              </w:rPr>
              <w:t xml:space="preserve">деңгейі, </w:t>
            </w:r>
            <w:r>
              <w:rPr>
                <w:rFonts w:ascii="Times New Roman" w:hAnsi="Times New Roman" w:cs="Times New Roman"/>
                <w:sz w:val="24"/>
                <w:szCs w:val="24"/>
                <w:lang w:eastAsia="zh-CN"/>
              </w:rPr>
              <w:t>%</w:t>
            </w:r>
          </w:p>
        </w:tc>
        <w:tc>
          <w:tcPr>
            <w:tcW w:w="1396" w:type="dxa"/>
          </w:tcPr>
          <w:p w:rsidR="005118AF" w:rsidRDefault="00EF60C3">
            <w:pPr>
              <w:spacing w:after="0" w:line="240" w:lineRule="auto"/>
              <w:ind w:left="-80" w:right="-104"/>
              <w:jc w:val="center"/>
              <w:rPr>
                <w:rFonts w:ascii="Times New Roman" w:hAnsi="Times New Roman" w:cs="Times New Roman"/>
                <w:sz w:val="24"/>
                <w:szCs w:val="24"/>
                <w:lang w:val="en-US" w:eastAsia="zh-CN"/>
              </w:rPr>
            </w:pPr>
            <w:r>
              <w:rPr>
                <w:rFonts w:ascii="Times New Roman" w:hAnsi="Times New Roman" w:cs="Times New Roman"/>
                <w:sz w:val="24"/>
                <w:szCs w:val="24"/>
                <w:lang w:val="kk-KZ" w:eastAsia="zh-CN"/>
              </w:rPr>
              <w:t xml:space="preserve">жаңарту қарқыны, </w:t>
            </w:r>
            <w:r>
              <w:rPr>
                <w:rFonts w:ascii="Times New Roman" w:hAnsi="Times New Roman" w:cs="Times New Roman"/>
                <w:sz w:val="24"/>
                <w:szCs w:val="24"/>
                <w:lang w:eastAsia="zh-CN"/>
              </w:rPr>
              <w:t>%</w:t>
            </w:r>
          </w:p>
        </w:tc>
        <w:tc>
          <w:tcPr>
            <w:tcW w:w="1389" w:type="dxa"/>
          </w:tcPr>
          <w:p w:rsidR="005118AF" w:rsidRDefault="00EF60C3">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eastAsia="zh-CN"/>
              </w:rPr>
              <w:t xml:space="preserve">тозу </w:t>
            </w:r>
            <w:r>
              <w:rPr>
                <w:rFonts w:ascii="Times New Roman" w:hAnsi="Times New Roman" w:cs="Times New Roman"/>
                <w:sz w:val="24"/>
                <w:szCs w:val="24"/>
                <w:lang w:val="kk-KZ" w:eastAsia="zh-CN"/>
              </w:rPr>
              <w:t xml:space="preserve">деңгейі, </w:t>
            </w:r>
            <w:r>
              <w:rPr>
                <w:rFonts w:ascii="Times New Roman" w:hAnsi="Times New Roman" w:cs="Times New Roman"/>
                <w:sz w:val="24"/>
                <w:szCs w:val="24"/>
                <w:lang w:eastAsia="zh-CN"/>
              </w:rPr>
              <w:t>%</w:t>
            </w:r>
          </w:p>
        </w:tc>
        <w:tc>
          <w:tcPr>
            <w:tcW w:w="1495" w:type="dxa"/>
          </w:tcPr>
          <w:p w:rsidR="005118AF" w:rsidRDefault="00EF60C3">
            <w:pPr>
              <w:spacing w:after="0" w:line="240" w:lineRule="auto"/>
              <w:jc w:val="center"/>
              <w:rPr>
                <w:rFonts w:ascii="Times New Roman" w:hAnsi="Times New Roman" w:cs="Times New Roman"/>
                <w:sz w:val="24"/>
                <w:szCs w:val="24"/>
                <w:lang w:val="en-US" w:eastAsia="zh-CN"/>
              </w:rPr>
            </w:pPr>
            <w:r>
              <w:rPr>
                <w:rFonts w:ascii="Times New Roman" w:hAnsi="Times New Roman" w:cs="Times New Roman"/>
                <w:sz w:val="24"/>
                <w:szCs w:val="24"/>
                <w:lang w:val="kk-KZ" w:eastAsia="zh-CN"/>
              </w:rPr>
              <w:t xml:space="preserve">жаңарту қарқыны, </w:t>
            </w:r>
            <w:r>
              <w:rPr>
                <w:rFonts w:ascii="Times New Roman" w:hAnsi="Times New Roman" w:cs="Times New Roman"/>
                <w:sz w:val="24"/>
                <w:szCs w:val="24"/>
                <w:lang w:eastAsia="zh-CN"/>
              </w:rPr>
              <w:t>%</w:t>
            </w:r>
          </w:p>
        </w:tc>
      </w:tr>
      <w:tr w:rsidR="005118AF">
        <w:trPr>
          <w:jc w:val="center"/>
        </w:trPr>
        <w:tc>
          <w:tcPr>
            <w:tcW w:w="1068" w:type="dxa"/>
          </w:tcPr>
          <w:p w:rsidR="005118AF" w:rsidRDefault="00EF60C3">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2020</w:t>
            </w:r>
          </w:p>
        </w:tc>
        <w:tc>
          <w:tcPr>
            <w:tcW w:w="138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37,6</w:t>
            </w:r>
          </w:p>
        </w:tc>
        <w:tc>
          <w:tcPr>
            <w:tcW w:w="1627"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10,4</w:t>
            </w:r>
          </w:p>
        </w:tc>
        <w:tc>
          <w:tcPr>
            <w:tcW w:w="120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51,4</w:t>
            </w:r>
          </w:p>
        </w:tc>
        <w:tc>
          <w:tcPr>
            <w:tcW w:w="1396"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5,3</w:t>
            </w:r>
          </w:p>
        </w:tc>
        <w:tc>
          <w:tcPr>
            <w:tcW w:w="1389"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50,7</w:t>
            </w:r>
          </w:p>
        </w:tc>
        <w:tc>
          <w:tcPr>
            <w:tcW w:w="1495"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14,8</w:t>
            </w:r>
          </w:p>
        </w:tc>
      </w:tr>
      <w:tr w:rsidR="005118AF">
        <w:trPr>
          <w:jc w:val="center"/>
        </w:trPr>
        <w:tc>
          <w:tcPr>
            <w:tcW w:w="1068" w:type="dxa"/>
          </w:tcPr>
          <w:p w:rsidR="005118AF" w:rsidRDefault="00EF60C3">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2021</w:t>
            </w:r>
          </w:p>
        </w:tc>
        <w:tc>
          <w:tcPr>
            <w:tcW w:w="138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38,7</w:t>
            </w:r>
          </w:p>
        </w:tc>
        <w:tc>
          <w:tcPr>
            <w:tcW w:w="1627"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8,9</w:t>
            </w:r>
          </w:p>
        </w:tc>
        <w:tc>
          <w:tcPr>
            <w:tcW w:w="120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48,8</w:t>
            </w:r>
          </w:p>
        </w:tc>
        <w:tc>
          <w:tcPr>
            <w:tcW w:w="1396"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7,4</w:t>
            </w:r>
          </w:p>
        </w:tc>
        <w:tc>
          <w:tcPr>
            <w:tcW w:w="1389"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62,9</w:t>
            </w:r>
          </w:p>
        </w:tc>
        <w:tc>
          <w:tcPr>
            <w:tcW w:w="1495"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6,6</w:t>
            </w:r>
          </w:p>
        </w:tc>
      </w:tr>
      <w:tr w:rsidR="005118AF">
        <w:trPr>
          <w:jc w:val="center"/>
        </w:trPr>
        <w:tc>
          <w:tcPr>
            <w:tcW w:w="1068" w:type="dxa"/>
          </w:tcPr>
          <w:p w:rsidR="005118AF" w:rsidRDefault="00EF60C3">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2022</w:t>
            </w:r>
          </w:p>
        </w:tc>
        <w:tc>
          <w:tcPr>
            <w:tcW w:w="138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37,7</w:t>
            </w:r>
          </w:p>
        </w:tc>
        <w:tc>
          <w:tcPr>
            <w:tcW w:w="1627"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8,9</w:t>
            </w:r>
          </w:p>
        </w:tc>
        <w:tc>
          <w:tcPr>
            <w:tcW w:w="120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46,7</w:t>
            </w:r>
          </w:p>
        </w:tc>
        <w:tc>
          <w:tcPr>
            <w:tcW w:w="1396"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7,4</w:t>
            </w:r>
          </w:p>
        </w:tc>
        <w:tc>
          <w:tcPr>
            <w:tcW w:w="1389"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56,7</w:t>
            </w:r>
          </w:p>
        </w:tc>
        <w:tc>
          <w:tcPr>
            <w:tcW w:w="1495"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20,7</w:t>
            </w:r>
          </w:p>
        </w:tc>
      </w:tr>
      <w:tr w:rsidR="005118AF">
        <w:trPr>
          <w:jc w:val="center"/>
        </w:trPr>
        <w:tc>
          <w:tcPr>
            <w:tcW w:w="1068" w:type="dxa"/>
          </w:tcPr>
          <w:p w:rsidR="005118AF" w:rsidRDefault="00EF60C3">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2023</w:t>
            </w:r>
          </w:p>
        </w:tc>
        <w:tc>
          <w:tcPr>
            <w:tcW w:w="138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38,7</w:t>
            </w:r>
          </w:p>
        </w:tc>
        <w:tc>
          <w:tcPr>
            <w:tcW w:w="1627"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12,5</w:t>
            </w:r>
          </w:p>
        </w:tc>
        <w:tc>
          <w:tcPr>
            <w:tcW w:w="120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50,4</w:t>
            </w:r>
          </w:p>
        </w:tc>
        <w:tc>
          <w:tcPr>
            <w:tcW w:w="1396"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8,6</w:t>
            </w:r>
          </w:p>
        </w:tc>
        <w:tc>
          <w:tcPr>
            <w:tcW w:w="1389"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53,2</w:t>
            </w:r>
          </w:p>
        </w:tc>
        <w:tc>
          <w:tcPr>
            <w:tcW w:w="1495"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20,0</w:t>
            </w:r>
          </w:p>
        </w:tc>
      </w:tr>
      <w:tr w:rsidR="005118AF">
        <w:trPr>
          <w:jc w:val="center"/>
        </w:trPr>
        <w:tc>
          <w:tcPr>
            <w:tcW w:w="1068" w:type="dxa"/>
          </w:tcPr>
          <w:p w:rsidR="005118AF" w:rsidRDefault="00EF60C3">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2024</w:t>
            </w:r>
          </w:p>
        </w:tc>
        <w:tc>
          <w:tcPr>
            <w:tcW w:w="138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36,7</w:t>
            </w:r>
          </w:p>
        </w:tc>
        <w:tc>
          <w:tcPr>
            <w:tcW w:w="1627"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7,6</w:t>
            </w:r>
          </w:p>
        </w:tc>
        <w:tc>
          <w:tcPr>
            <w:tcW w:w="1208"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41,2</w:t>
            </w:r>
          </w:p>
        </w:tc>
        <w:tc>
          <w:tcPr>
            <w:tcW w:w="1396"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18,2</w:t>
            </w:r>
          </w:p>
        </w:tc>
        <w:tc>
          <w:tcPr>
            <w:tcW w:w="1389"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49,0</w:t>
            </w:r>
          </w:p>
        </w:tc>
        <w:tc>
          <w:tcPr>
            <w:tcW w:w="1495" w:type="dxa"/>
          </w:tcPr>
          <w:p w:rsidR="005118AF" w:rsidRDefault="00EF60C3">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22,9</w:t>
            </w:r>
          </w:p>
        </w:tc>
      </w:tr>
      <w:tr w:rsidR="005118AF">
        <w:trPr>
          <w:jc w:val="center"/>
        </w:trPr>
        <w:tc>
          <w:tcPr>
            <w:tcW w:w="9571" w:type="dxa"/>
            <w:gridSpan w:val="7"/>
          </w:tcPr>
          <w:p w:rsidR="005118AF" w:rsidRDefault="00EF60C3">
            <w:pPr>
              <w:spacing w:after="0" w:line="240" w:lineRule="auto"/>
              <w:ind w:firstLine="709"/>
              <w:rPr>
                <w:rFonts w:ascii="Times New Roman" w:hAnsi="Times New Roman" w:cs="Times New Roman"/>
                <w:sz w:val="28"/>
                <w:szCs w:val="28"/>
                <w:lang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[102]</w:t>
            </w:r>
          </w:p>
        </w:tc>
      </w:tr>
    </w:tbl>
    <w:p w:rsidR="005118AF" w:rsidRDefault="005118AF">
      <w:pPr>
        <w:spacing w:after="0" w:line="240" w:lineRule="auto"/>
        <w:ind w:firstLineChars="253" w:firstLine="708"/>
        <w:jc w:val="both"/>
        <w:rPr>
          <w:rFonts w:ascii="Times New Roman" w:hAnsi="Times New Roman" w:cs="Times New Roman"/>
          <w:sz w:val="28"/>
          <w:szCs w:val="28"/>
          <w:lang w:val="kk-KZ" w:eastAsia="zh-CN"/>
        </w:rPr>
      </w:pPr>
    </w:p>
    <w:p w:rsidR="005118AF" w:rsidRDefault="00EF60C3">
      <w:pPr>
        <w:pStyle w:val="ac"/>
        <w:shd w:val="clear" w:color="auto" w:fill="FFFFFF"/>
        <w:spacing w:beforeAutospacing="0" w:after="0" w:afterAutospacing="0"/>
        <w:ind w:right="-1"/>
        <w:jc w:val="center"/>
        <w:rPr>
          <w:sz w:val="28"/>
          <w:szCs w:val="28"/>
        </w:rPr>
      </w:pPr>
      <w:r>
        <w:rPr>
          <w:noProof/>
          <w:lang w:val="ru-RU" w:eastAsia="ru-RU"/>
        </w:rPr>
        <w:drawing>
          <wp:inline distT="0" distB="0" distL="114300" distR="114300">
            <wp:extent cx="5394960" cy="2892425"/>
            <wp:effectExtent l="0" t="0" r="15240" b="22225"/>
            <wp:docPr id="3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118AF" w:rsidRDefault="005118AF">
      <w:pPr>
        <w:pStyle w:val="ac"/>
        <w:shd w:val="clear" w:color="auto" w:fill="FFFFFF"/>
        <w:spacing w:beforeAutospacing="0" w:after="0" w:afterAutospacing="0" w:line="240" w:lineRule="auto"/>
        <w:ind w:right="-1"/>
        <w:jc w:val="center"/>
        <w:rPr>
          <w:rFonts w:eastAsia="Times New Roman"/>
          <w:sz w:val="16"/>
          <w:szCs w:val="16"/>
          <w:lang w:val="kk-KZ"/>
        </w:rPr>
      </w:pPr>
    </w:p>
    <w:p w:rsidR="005118AF" w:rsidRDefault="00EF60C3">
      <w:pPr>
        <w:pStyle w:val="ac"/>
        <w:shd w:val="clear" w:color="auto" w:fill="FFFFFF"/>
        <w:spacing w:beforeAutospacing="0" w:after="0" w:afterAutospacing="0" w:line="240" w:lineRule="auto"/>
        <w:ind w:right="-1"/>
        <w:jc w:val="center"/>
        <w:rPr>
          <w:rFonts w:eastAsia="Times New Roman"/>
          <w:sz w:val="28"/>
          <w:szCs w:val="28"/>
          <w:lang w:val="kk-KZ"/>
        </w:rPr>
      </w:pPr>
      <w:r>
        <w:rPr>
          <w:rFonts w:eastAsia="Times New Roman"/>
          <w:sz w:val="28"/>
          <w:szCs w:val="28"/>
          <w:lang w:val="kk-KZ"/>
        </w:rPr>
        <w:t xml:space="preserve">Сурет 15 ‒ </w:t>
      </w:r>
      <w:r>
        <w:rPr>
          <w:rFonts w:eastAsia="Times New Roman"/>
          <w:sz w:val="28"/>
          <w:szCs w:val="28"/>
          <w:lang w:val="kk-KZ"/>
        </w:rPr>
        <w:t>Қазақстан Республикасының тамақ өнімдері бойынша экспорт және импорт, 2019-2024 жж, мың АҚШ доллары</w:t>
      </w:r>
    </w:p>
    <w:p w:rsidR="005118AF" w:rsidRDefault="005118AF">
      <w:pPr>
        <w:pStyle w:val="ac"/>
        <w:shd w:val="clear" w:color="auto" w:fill="FFFFFF"/>
        <w:spacing w:beforeAutospacing="0" w:after="0" w:afterAutospacing="0" w:line="240" w:lineRule="auto"/>
        <w:ind w:right="113" w:firstLineChars="50" w:firstLine="80"/>
        <w:jc w:val="center"/>
        <w:rPr>
          <w:rFonts w:eastAsia="Times New Roman"/>
          <w:sz w:val="16"/>
          <w:szCs w:val="16"/>
          <w:lang w:val="kk-KZ"/>
        </w:rPr>
      </w:pPr>
    </w:p>
    <w:p w:rsidR="005118AF" w:rsidRDefault="00EF60C3">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[102]</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15-суретте, жалпы алғанда, Қазақстан Республикасының тамақ өнімдерінің сыртқы саудасы туралы деректерге сәйкес 2024 жылы импорт экспорттан екі есеге жуық көлемде асып түскенін көрсетті. Азық-түлік экспортына келетін болсақ, Қазақтан астықты (әсіресе бидай </w:t>
      </w:r>
      <w:r>
        <w:rPr>
          <w:rFonts w:ascii="Times New Roman" w:eastAsia="Times New Roman" w:hAnsi="Times New Roman" w:cs="Times New Roman"/>
          <w:sz w:val="28"/>
          <w:szCs w:val="28"/>
          <w:lang w:val="kk-KZ"/>
        </w:rPr>
        <w:t xml:space="preserve">өнімдерін, етті (қой мен сиыр етін қоса алғанда) және сүт өнімдерін белсенді түрде экспортайтынан атап өтуге болады және негізгі экспорттық бағыттарына ТМД елдері (әсіресе Ресей мен Өзбекстан), сондай-ақ Азия мен Таяу Шығыс елдері жатады [104].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 қант, балық, ет, сүт өнімдерін және көкөністерді қоса алғанда, азық-түлік өнімдерінің айтарлықтай көлемін импорттайды. Бұл тұтынудың артуына және ішкі нарықта белгілі бір тауарлардың тапшылығына байланысты. Қазақстанға негізгі азық-түлік жеткізуш</w:t>
      </w:r>
      <w:r>
        <w:rPr>
          <w:rFonts w:ascii="Times New Roman" w:eastAsia="Times New Roman" w:hAnsi="Times New Roman" w:cs="Times New Roman"/>
          <w:sz w:val="28"/>
          <w:szCs w:val="28"/>
          <w:lang w:val="kk-KZ"/>
        </w:rPr>
        <w:t xml:space="preserve">ілері - Ресей, Қытай, Еуропа және Орталық Азия елдері. Бұл елдер Қазақстанды шикізатпен де, дайын өнімдермен де қамтамасыз етеді.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Ағымдағы жағдайды бағалау және саланың ресурстық әлеуетін анықтау үшін негізгі өнімділік көрсеткіштерін талдау қажет. Зерттеу</w:t>
      </w:r>
      <w:r>
        <w:rPr>
          <w:rFonts w:ascii="Times New Roman" w:eastAsia="Times New Roman" w:hAnsi="Times New Roman" w:cs="Times New Roman"/>
          <w:sz w:val="28"/>
          <w:szCs w:val="28"/>
          <w:lang w:val="kk-KZ"/>
        </w:rPr>
        <w:t xml:space="preserve"> кезеңіндегі тамақ өнеркәсібі кәсіпорындарының негізгі әлеуметтік-экоомикалық көрсеткіштері төмендегі 14-кестеде қорытындыланған. </w:t>
      </w:r>
    </w:p>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14 ‒ Тамақ өнімдерін өндіруші кәсіпорындары қызметінің негізгі әлеуметтік-экономикалық көрсеткіштері</w:t>
      </w:r>
    </w:p>
    <w:p w:rsidR="005118AF" w:rsidRDefault="005118AF">
      <w:pPr>
        <w:spacing w:after="0" w:line="240" w:lineRule="auto"/>
        <w:jc w:val="both"/>
        <w:rPr>
          <w:rFonts w:ascii="Times New Roman" w:eastAsia="Times New Roman" w:hAnsi="Times New Roman" w:cs="Times New Roman"/>
          <w:sz w:val="16"/>
          <w:szCs w:val="16"/>
          <w:lang w:val="kk-KZ"/>
        </w:rPr>
      </w:pPr>
    </w:p>
    <w:tbl>
      <w:tblPr>
        <w:tblStyle w:val="ae"/>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956"/>
        <w:gridCol w:w="876"/>
        <w:gridCol w:w="876"/>
        <w:gridCol w:w="962"/>
        <w:gridCol w:w="976"/>
        <w:gridCol w:w="1621"/>
      </w:tblGrid>
      <w:tr w:rsidR="005118AF">
        <w:trPr>
          <w:jc w:val="center"/>
        </w:trPr>
        <w:tc>
          <w:tcPr>
            <w:tcW w:w="3378" w:type="dxa"/>
            <w:vAlign w:val="center"/>
          </w:tcPr>
          <w:p w:rsidR="005118AF" w:rsidRDefault="00EF60C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Жылдар </w:t>
            </w:r>
          </w:p>
        </w:tc>
        <w:tc>
          <w:tcPr>
            <w:tcW w:w="95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rPr>
              <w:t>1</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962"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9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1621"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 жыл</w:t>
            </w:r>
            <w:r>
              <w:rPr>
                <w:rFonts w:ascii="Times New Roman" w:eastAsia="Times New Roman" w:hAnsi="Times New Roman" w:cs="Times New Roman"/>
                <w:sz w:val="24"/>
                <w:szCs w:val="24"/>
                <w:lang w:val="kk-KZ"/>
              </w:rPr>
              <w:t xml:space="preserve">ға қатысты өсім, </w:t>
            </w:r>
            <w:r>
              <w:rPr>
                <w:rFonts w:ascii="Times New Roman" w:eastAsia="Times New Roman" w:hAnsi="Times New Roman" w:cs="Times New Roman"/>
                <w:sz w:val="24"/>
                <w:szCs w:val="24"/>
              </w:rPr>
              <w:t>%</w:t>
            </w:r>
          </w:p>
        </w:tc>
      </w:tr>
      <w:tr w:rsidR="005118AF">
        <w:trPr>
          <w:jc w:val="center"/>
        </w:trPr>
        <w:tc>
          <w:tcPr>
            <w:tcW w:w="3378" w:type="dxa"/>
            <w:vAlign w:val="center"/>
          </w:tcPr>
          <w:p w:rsidR="005118AF" w:rsidRDefault="00EF60C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Ж</w:t>
            </w:r>
            <w:r>
              <w:rPr>
                <w:rFonts w:ascii="Times New Roman" w:eastAsia="Times New Roman" w:hAnsi="Times New Roman" w:cs="Times New Roman"/>
                <w:sz w:val="24"/>
                <w:szCs w:val="24"/>
                <w:lang w:val="kk-KZ"/>
              </w:rPr>
              <w:t>ұмыспен қамтылған дар саны, мың адам</w:t>
            </w:r>
          </w:p>
        </w:tc>
        <w:tc>
          <w:tcPr>
            <w:tcW w:w="95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104,6</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119,1</w:t>
            </w:r>
          </w:p>
        </w:tc>
        <w:tc>
          <w:tcPr>
            <w:tcW w:w="962"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9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125,5</w:t>
            </w:r>
          </w:p>
        </w:tc>
        <w:tc>
          <w:tcPr>
            <w:tcW w:w="1621" w:type="dxa"/>
            <w:vAlign w:val="center"/>
          </w:tcPr>
          <w:p w:rsidR="005118AF" w:rsidRDefault="00EF60C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19,6</w:t>
            </w:r>
          </w:p>
        </w:tc>
      </w:tr>
      <w:tr w:rsidR="005118AF">
        <w:trPr>
          <w:jc w:val="center"/>
        </w:trPr>
        <w:tc>
          <w:tcPr>
            <w:tcW w:w="3378" w:type="dxa"/>
            <w:vAlign w:val="center"/>
          </w:tcPr>
          <w:p w:rsidR="005118AF" w:rsidRDefault="00EF60C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Жалақы мөлшері, мың теңге</w:t>
            </w:r>
          </w:p>
        </w:tc>
        <w:tc>
          <w:tcPr>
            <w:tcW w:w="95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146,2</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169,6</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209,1</w:t>
            </w:r>
          </w:p>
        </w:tc>
        <w:tc>
          <w:tcPr>
            <w:tcW w:w="962"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260,3</w:t>
            </w:r>
          </w:p>
        </w:tc>
        <w:tc>
          <w:tcPr>
            <w:tcW w:w="9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289,4</w:t>
            </w:r>
          </w:p>
        </w:tc>
        <w:tc>
          <w:tcPr>
            <w:tcW w:w="1621" w:type="dxa"/>
            <w:vAlign w:val="center"/>
          </w:tcPr>
          <w:p w:rsidR="005118AF" w:rsidRDefault="00EF60C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97,9</w:t>
            </w:r>
          </w:p>
        </w:tc>
      </w:tr>
      <w:tr w:rsidR="005118AF">
        <w:trPr>
          <w:jc w:val="center"/>
        </w:trPr>
        <w:tc>
          <w:tcPr>
            <w:tcW w:w="3378" w:type="dxa"/>
            <w:vAlign w:val="center"/>
          </w:tcPr>
          <w:p w:rsidR="005118AF" w:rsidRDefault="00EF60C3">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Кәсіпорындардың табысы, млрд. теңге</w:t>
            </w:r>
          </w:p>
        </w:tc>
        <w:tc>
          <w:tcPr>
            <w:tcW w:w="95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1739,6</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1856,1</w:t>
            </w:r>
          </w:p>
        </w:tc>
        <w:tc>
          <w:tcPr>
            <w:tcW w:w="8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2861,4</w:t>
            </w:r>
          </w:p>
        </w:tc>
        <w:tc>
          <w:tcPr>
            <w:tcW w:w="962"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2983,4</w:t>
            </w:r>
          </w:p>
        </w:tc>
        <w:tc>
          <w:tcPr>
            <w:tcW w:w="976" w:type="dxa"/>
            <w:vAlign w:val="center"/>
          </w:tcPr>
          <w:p w:rsidR="005118AF" w:rsidRDefault="00EF60C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2907,6</w:t>
            </w:r>
          </w:p>
        </w:tc>
        <w:tc>
          <w:tcPr>
            <w:tcW w:w="1621" w:type="dxa"/>
            <w:vAlign w:val="center"/>
          </w:tcPr>
          <w:p w:rsidR="005118AF" w:rsidRDefault="00EF60C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67,1</w:t>
            </w:r>
          </w:p>
        </w:tc>
      </w:tr>
      <w:tr w:rsidR="005118AF">
        <w:trPr>
          <w:jc w:val="center"/>
        </w:trPr>
        <w:tc>
          <w:tcPr>
            <w:tcW w:w="9645" w:type="dxa"/>
            <w:gridSpan w:val="7"/>
          </w:tcPr>
          <w:p w:rsidR="005118AF" w:rsidRDefault="00EF60C3">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[101]</w:t>
            </w:r>
          </w:p>
        </w:tc>
      </w:tr>
    </w:tbl>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14-кестеде келтірілген деректерді талдау тамақ өнеркәсібінде 2024 жылы салада жұмыспен қамтылғандар саны 125 500-ге жеткендігін, бұл 2020 жылғы базалық көрсеткішпен салыстырғанда 19,6%-ға айтарлықтай өскенін көрсетеді. Ұлттық статистика бюросының өңдеу өне</w:t>
      </w:r>
      <w:r>
        <w:rPr>
          <w:rFonts w:ascii="Times New Roman" w:eastAsia="Times New Roman" w:hAnsi="Times New Roman"/>
          <w:sz w:val="28"/>
          <w:szCs w:val="28"/>
          <w:lang w:val="kk-KZ"/>
        </w:rPr>
        <w:t>ркәсібінің өзге салаларының мәліметтерімен салыстыру саланың айтарлықтай үлкен ауқымын көрсетеді: мысалы, тамақ өнеркәсібінің адами ресурстар әлеуеті (125,5 мың) машина жасау саласының әлеуетімен (127 мың) сәйкес келетінін, ал металлургия саласының әлеуеті</w:t>
      </w:r>
      <w:r>
        <w:rPr>
          <w:rFonts w:ascii="Times New Roman" w:eastAsia="Times New Roman" w:hAnsi="Times New Roman"/>
          <w:sz w:val="28"/>
          <w:szCs w:val="28"/>
          <w:lang w:val="kk-KZ"/>
        </w:rPr>
        <w:t xml:space="preserve">нен (111,5 мың) айтарлықтай асып түсетінін анықтауға болады [102]. </w:t>
      </w: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Дегенмен, жоғары әлеуметтік маңыздылыққа және жұмыспен қамтудың жоғары көрсеткішіне қарамастан, салааралық жалақы теңгерімсіздігі анықталды. Тамақ өнеркәсібіндегі орташа айлық жалақы (289,</w:t>
      </w:r>
      <w:r>
        <w:rPr>
          <w:rFonts w:ascii="Times New Roman" w:eastAsia="Times New Roman" w:hAnsi="Times New Roman"/>
          <w:sz w:val="28"/>
          <w:szCs w:val="28"/>
          <w:lang w:val="kk-KZ"/>
        </w:rPr>
        <w:t>4 мың теңге) капталды көп қажет ететі салалалармен салыстырғанда өте төмен болып отыр: металлургия табыс деңгейінің жартысынан астамын (621,2 мың теңге) және мұнай өңдеу саласындағыдан (867,3 мың теңге) үш есеге жуық төмен.</w:t>
      </w: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Әлеуметтік-экономикалық құрылымд</w:t>
      </w:r>
      <w:r>
        <w:rPr>
          <w:rFonts w:ascii="Times New Roman" w:eastAsia="Times New Roman" w:hAnsi="Times New Roman"/>
          <w:sz w:val="28"/>
          <w:szCs w:val="28"/>
          <w:lang w:val="kk-KZ"/>
        </w:rPr>
        <w:t>ы талдау бізге саланың даму жағдайын бағалауға мүмкіндік береді. Дегенмен, жетістіктердің толық көрінісін алу үшін олардың іс жүзінде жүзеге асырылуын бағалау қажет. Соның ішінде, тамақ өнеркәсібі саласы бойында аяқталған жобалар ауқымын және салалық инфра</w:t>
      </w:r>
      <w:r>
        <w:rPr>
          <w:rFonts w:ascii="Times New Roman" w:eastAsia="Times New Roman" w:hAnsi="Times New Roman"/>
          <w:sz w:val="28"/>
          <w:szCs w:val="28"/>
          <w:lang w:val="kk-KZ"/>
        </w:rPr>
        <w:t xml:space="preserve">құрылымға әсерін шолуға көшейік.  </w:t>
      </w: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Қазақстан Республикасының өнеркәсібінің жағдайы туралы ұлттық есептерге сүйене отырып (2024-2025), 2020 жылдан 2024 жыл аралығындағы бес жылдық кезеңде тамақ өнеркәсібіндегі аяқталған жобалардың салыстырмалы 15-кестесі тө</w:t>
      </w:r>
      <w:r>
        <w:rPr>
          <w:rFonts w:ascii="Times New Roman" w:eastAsia="Times New Roman" w:hAnsi="Times New Roman"/>
          <w:sz w:val="28"/>
          <w:szCs w:val="28"/>
          <w:lang w:val="kk-KZ"/>
        </w:rPr>
        <w:t xml:space="preserve">менде келдітірілген [105, 106]. </w:t>
      </w:r>
    </w:p>
    <w:p w:rsidR="005118AF" w:rsidRDefault="005118AF">
      <w:pPr>
        <w:spacing w:after="0" w:line="240" w:lineRule="auto"/>
        <w:ind w:firstLine="567"/>
        <w:jc w:val="both"/>
        <w:rPr>
          <w:rFonts w:ascii="Times New Roman" w:eastAsia="Times New Roman" w:hAnsi="Times New Roman"/>
          <w:sz w:val="28"/>
          <w:szCs w:val="28"/>
          <w:lang w:val="kk-KZ"/>
        </w:rPr>
      </w:pPr>
    </w:p>
    <w:p w:rsidR="005118AF" w:rsidRDefault="00EF60C3">
      <w:pPr>
        <w:spacing w:after="0" w:line="240" w:lineRule="auto"/>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Кесте 15 </w:t>
      </w:r>
      <w:r>
        <w:rPr>
          <w:rFonts w:ascii="Times New Roman" w:eastAsia="Times New Roman" w:hAnsi="Times New Roman" w:cs="Times New Roman"/>
          <w:sz w:val="28"/>
          <w:szCs w:val="28"/>
          <w:lang w:val="kk-KZ"/>
        </w:rPr>
        <w:t>‒</w:t>
      </w:r>
      <w:r>
        <w:rPr>
          <w:rFonts w:ascii="Times New Roman" w:eastAsia="Times New Roman" w:hAnsi="Times New Roman"/>
          <w:sz w:val="28"/>
          <w:szCs w:val="28"/>
          <w:lang w:val="kk-KZ"/>
        </w:rPr>
        <w:t xml:space="preserve"> Тамақ өнеркәсібі бойынша жалпы жүзеге асырылған жобалар және Бірыңғай Индустрияландыру картасының жобаларын салыстыру (2020-2024)</w:t>
      </w:r>
    </w:p>
    <w:p w:rsidR="005118AF" w:rsidRDefault="005118AF">
      <w:pPr>
        <w:spacing w:after="0" w:line="240" w:lineRule="auto"/>
        <w:jc w:val="both"/>
        <w:rPr>
          <w:rFonts w:ascii="Times New Roman" w:eastAsia="Times New Roman" w:hAnsi="Times New Roman"/>
          <w:sz w:val="16"/>
          <w:szCs w:val="16"/>
          <w:lang w:val="kk-KZ"/>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1752"/>
        <w:gridCol w:w="2393"/>
        <w:gridCol w:w="2393"/>
      </w:tblGrid>
      <w:tr w:rsidR="005118AF">
        <w:trPr>
          <w:jc w:val="center"/>
        </w:trPr>
        <w:tc>
          <w:tcPr>
            <w:tcW w:w="3033" w:type="dxa"/>
            <w:vAlign w:val="center"/>
          </w:tcPr>
          <w:p w:rsidR="005118AF" w:rsidRDefault="00EF60C3">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Атау </w:t>
            </w:r>
          </w:p>
        </w:tc>
        <w:tc>
          <w:tcPr>
            <w:tcW w:w="1752" w:type="dxa"/>
            <w:vAlign w:val="center"/>
          </w:tcPr>
          <w:p w:rsidR="005118AF" w:rsidRDefault="00EF60C3">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Жобалар саны, бірлік</w:t>
            </w:r>
          </w:p>
        </w:tc>
        <w:tc>
          <w:tcPr>
            <w:tcW w:w="2393" w:type="dxa"/>
            <w:vAlign w:val="center"/>
          </w:tcPr>
          <w:p w:rsidR="005118AF" w:rsidRDefault="00EF60C3">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Инвестиция көлемі, млрд теңге</w:t>
            </w:r>
          </w:p>
        </w:tc>
        <w:tc>
          <w:tcPr>
            <w:tcW w:w="2393" w:type="dxa"/>
            <w:vAlign w:val="center"/>
          </w:tcPr>
          <w:p w:rsidR="005118AF" w:rsidRDefault="00EF60C3">
            <w:pPr>
              <w:spacing w:after="0" w:line="240" w:lineRule="auto"/>
              <w:jc w:val="center"/>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Құрылған жұмыс </w:t>
            </w:r>
            <w:r>
              <w:rPr>
                <w:rFonts w:ascii="Times New Roman" w:eastAsia="Times New Roman" w:hAnsi="Times New Roman"/>
                <w:sz w:val="24"/>
                <w:szCs w:val="24"/>
                <w:lang w:val="kk-KZ"/>
              </w:rPr>
              <w:t>орындары, адам</w:t>
            </w:r>
          </w:p>
        </w:tc>
      </w:tr>
      <w:tr w:rsidR="005118AF">
        <w:trPr>
          <w:jc w:val="center"/>
        </w:trPr>
        <w:tc>
          <w:tcPr>
            <w:tcW w:w="3033" w:type="dxa"/>
          </w:tcPr>
          <w:p w:rsidR="005118AF" w:rsidRDefault="00EF60C3">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rPr>
              <w:t xml:space="preserve">Жалпы </w:t>
            </w:r>
            <w:r>
              <w:rPr>
                <w:rFonts w:ascii="Times New Roman" w:eastAsia="Times New Roman" w:hAnsi="Times New Roman"/>
                <w:sz w:val="24"/>
                <w:szCs w:val="24"/>
                <w:lang w:val="kk-KZ"/>
              </w:rPr>
              <w:t>жүзеге асырылған жобалар</w:t>
            </w:r>
          </w:p>
        </w:tc>
        <w:tc>
          <w:tcPr>
            <w:tcW w:w="1752" w:type="dxa"/>
            <w:vAlign w:val="center"/>
          </w:tcPr>
          <w:p w:rsidR="005118AF" w:rsidRDefault="00EF60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198</w:t>
            </w:r>
          </w:p>
        </w:tc>
        <w:tc>
          <w:tcPr>
            <w:tcW w:w="2393" w:type="dxa"/>
            <w:vAlign w:val="center"/>
          </w:tcPr>
          <w:p w:rsidR="005118AF" w:rsidRDefault="00EF60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629,7</w:t>
            </w:r>
          </w:p>
        </w:tc>
        <w:tc>
          <w:tcPr>
            <w:tcW w:w="2393" w:type="dxa"/>
            <w:vAlign w:val="center"/>
          </w:tcPr>
          <w:p w:rsidR="005118AF" w:rsidRDefault="00EF60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13 466</w:t>
            </w:r>
          </w:p>
        </w:tc>
      </w:tr>
      <w:tr w:rsidR="005118AF">
        <w:trPr>
          <w:jc w:val="center"/>
        </w:trPr>
        <w:tc>
          <w:tcPr>
            <w:tcW w:w="3033" w:type="dxa"/>
          </w:tcPr>
          <w:p w:rsidR="005118AF" w:rsidRDefault="00EF60C3">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Бірыңғай карта жобалары</w:t>
            </w:r>
          </w:p>
        </w:tc>
        <w:tc>
          <w:tcPr>
            <w:tcW w:w="1752" w:type="dxa"/>
            <w:vAlign w:val="center"/>
          </w:tcPr>
          <w:p w:rsidR="005118AF" w:rsidRDefault="00EF60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2393" w:type="dxa"/>
            <w:vAlign w:val="center"/>
          </w:tcPr>
          <w:p w:rsidR="005118AF" w:rsidRDefault="00EF60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103,0</w:t>
            </w:r>
          </w:p>
        </w:tc>
        <w:tc>
          <w:tcPr>
            <w:tcW w:w="2393" w:type="dxa"/>
            <w:vAlign w:val="center"/>
          </w:tcPr>
          <w:p w:rsidR="005118AF" w:rsidRDefault="00EF60C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1 567</w:t>
            </w:r>
          </w:p>
        </w:tc>
      </w:tr>
      <w:tr w:rsidR="005118AF">
        <w:trPr>
          <w:jc w:val="center"/>
        </w:trPr>
        <w:tc>
          <w:tcPr>
            <w:tcW w:w="9571" w:type="dxa"/>
            <w:gridSpan w:val="4"/>
          </w:tcPr>
          <w:p w:rsidR="005118AF" w:rsidRDefault="00EF60C3">
            <w:pPr>
              <w:spacing w:after="0" w:line="240" w:lineRule="auto"/>
              <w:ind w:firstLine="567"/>
              <w:jc w:val="both"/>
              <w:rPr>
                <w:rFonts w:ascii="Times New Roman" w:eastAsia="Times New Roman" w:hAnsi="Times New Roman"/>
                <w:sz w:val="24"/>
                <w:szCs w:val="24"/>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[105; 106]</w:t>
            </w:r>
          </w:p>
        </w:tc>
      </w:tr>
    </w:tbl>
    <w:p w:rsidR="005118AF" w:rsidRDefault="005118AF">
      <w:pPr>
        <w:spacing w:after="0" w:line="240" w:lineRule="auto"/>
        <w:ind w:firstLine="567"/>
        <w:jc w:val="both"/>
        <w:rPr>
          <w:rFonts w:ascii="Times New Roman" w:eastAsia="Times New Roman" w:hAnsi="Times New Roman"/>
          <w:sz w:val="28"/>
          <w:szCs w:val="28"/>
        </w:rPr>
      </w:pP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Тамақ өнеркәсібі өңдеу өнеркәсібінің жалпы тізімнде жүзеге асырылған жобалардың саны бойынша көшбасшы болып табылады (барлығы 855 жобаның 23,2%-ын құрайды). Бұл жобаларды жалпы саны 13400-ден астам тұрақты жұмыс орынын құрды, бұл саланы Қазақстан экономика</w:t>
      </w:r>
      <w:r>
        <w:rPr>
          <w:rFonts w:ascii="Times New Roman" w:eastAsia="Times New Roman" w:hAnsi="Times New Roman"/>
          <w:sz w:val="28"/>
          <w:szCs w:val="28"/>
          <w:lang w:val="kk-KZ"/>
        </w:rPr>
        <w:t xml:space="preserve">сының “әлеуметтік тірегіне” айналдырды. Ал Бірыңғай жобалар саны жағынан аз болғанымен, импортты алмастыру аясында жоғары сапалы жұмыс орындарын құруға бағытталған. </w:t>
      </w: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Тамақ өнеркәсібіндегі Бірыңғай қарта аясындағы жобаларды Ауыл шаруашылығы министрлігі бақы</w:t>
      </w:r>
      <w:r>
        <w:rPr>
          <w:rFonts w:ascii="Times New Roman" w:eastAsia="Times New Roman" w:hAnsi="Times New Roman"/>
          <w:sz w:val="28"/>
          <w:szCs w:val="28"/>
          <w:lang w:val="kk-KZ"/>
        </w:rPr>
        <w:t>лайды және ол негізінен қант, ет, шұжық, ірімшік және сүзбе өндірісі сияқиы маңызды мәселелерді шешуге бағытталған.</w:t>
      </w:r>
    </w:p>
    <w:p w:rsidR="005118AF" w:rsidRDefault="00EF60C3">
      <w:pPr>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sz w:val="28"/>
          <w:szCs w:val="28"/>
          <w:lang w:val="kk-KZ"/>
        </w:rPr>
        <w:t>Алдағы жылдары (2029 жылға дейін) тамақ өнеркәсібі жалпы құны 1,28 триллион теңге болатын тағы 132 жобаны жүзеге асыруды жоспарлап отыр, бұл</w:t>
      </w:r>
      <w:r>
        <w:rPr>
          <w:rFonts w:ascii="Times New Roman" w:eastAsia="Times New Roman" w:hAnsi="Times New Roman"/>
          <w:sz w:val="28"/>
          <w:szCs w:val="28"/>
          <w:lang w:val="kk-KZ"/>
        </w:rPr>
        <w:t xml:space="preserve"> 12 600 жаңа жұмыс орнын құруға мүмкіндік береді.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Тамақ өнеркәсібінің жай-күйін бағалау өнеркәсіптік тамақ өндірісі индексінің тұрақтанғанына қарамастан, оның негізгі қаржылық және экономикалық көрсеткіштері ел экономикасының перспективалық дамуы мүмкінді</w:t>
      </w:r>
      <w:r>
        <w:rPr>
          <w:rFonts w:ascii="Times New Roman" w:eastAsia="Times New Roman" w:hAnsi="Times New Roman" w:cs="Times New Roman"/>
          <w:sz w:val="28"/>
          <w:szCs w:val="28"/>
          <w:lang w:val="kk-KZ"/>
        </w:rPr>
        <w:t>гі мен жағдайларына сәйкес келмейтіндігін көрсетеді. Сонымен қатар, еліміздің тамақ өнекәсібі саласының алдында тұрған негізгі мәселелердің қатарына өңдеу өнеркәсібінің ескірген жабдықтары мен мемлекеттік жеке-меншік серіктестікті жетілдіруге бизнестің қыз</w:t>
      </w:r>
      <w:r>
        <w:rPr>
          <w:rFonts w:ascii="Times New Roman" w:eastAsia="Times New Roman" w:hAnsi="Times New Roman" w:cs="Times New Roman"/>
          <w:sz w:val="28"/>
          <w:szCs w:val="28"/>
          <w:lang w:val="kk-KZ"/>
        </w:rPr>
        <w:t>ығушылығының төмен деңгейін жатқызуға болады [107].</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Тамақ өнеркәсібінің отандық инновацияларды қабылдамауы орын алуда,  сонымен бірге қазіргі заманғы жабдықтар мен технологияларды шетелден сатып алу жалғасын табуда.</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Мемлекет, ғылым және отандық тамақ өнерк</w:t>
      </w:r>
      <w:r>
        <w:rPr>
          <w:rFonts w:ascii="Times New Roman" w:eastAsia="Times New Roman" w:hAnsi="Times New Roman" w:cs="Times New Roman"/>
          <w:sz w:val="28"/>
          <w:szCs w:val="28"/>
          <w:lang w:val="kk-KZ"/>
        </w:rPr>
        <w:t>әсібінің алдына қойған басты міндеттері:</w:t>
      </w:r>
    </w:p>
    <w:p w:rsidR="005118AF" w:rsidRDefault="00EF60C3">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бәсекеге қабілетті өнімді әзірлеу әдіснамасын қалыптастыруға бағытталған іргелі және қолданбалы ғылыми зерттеулер кешенін жүзеге асыруды қамтамасыз ететін теориялық негіздерді қалыптастыру;</w:t>
      </w:r>
    </w:p>
    <w:p w:rsidR="005118AF" w:rsidRDefault="00EF60C3">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азық-түлік өнімдерін өнді</w:t>
      </w:r>
      <w:r>
        <w:rPr>
          <w:rFonts w:ascii="Times New Roman" w:eastAsia="Times New Roman" w:hAnsi="Times New Roman" w:cs="Times New Roman"/>
          <w:sz w:val="28"/>
          <w:szCs w:val="28"/>
          <w:lang w:val="kk-KZ"/>
        </w:rPr>
        <w:t>ру үшін ауыл шаруашылығы шикізатын терең қайтаөңдеу биотехнологиясын қалыптастыру және енгізу;</w:t>
      </w:r>
    </w:p>
    <w:p w:rsidR="005118AF" w:rsidRDefault="00EF60C3">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сапасы, қауіпсіздігі және бәсекеге қабілеттілігі көрсеткіштері бойынша әлемдік сапа стандарттарына жауап беретін өнімдерді әзірлеу;</w:t>
      </w:r>
    </w:p>
    <w:p w:rsidR="005118AF" w:rsidRDefault="00EF60C3">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азық-түлік өнімдері мен шикіз</w:t>
      </w:r>
      <w:r>
        <w:rPr>
          <w:rFonts w:ascii="Times New Roman" w:eastAsia="Times New Roman" w:hAnsi="Times New Roman" w:cs="Times New Roman"/>
          <w:sz w:val="28"/>
          <w:szCs w:val="28"/>
          <w:lang w:val="kk-KZ"/>
        </w:rPr>
        <w:t>аттарының сапасын бақылауды қамтамасыз ету;</w:t>
      </w:r>
    </w:p>
    <w:p w:rsidR="005118AF" w:rsidRDefault="00EF60C3">
      <w:pPr>
        <w:numPr>
          <w:ilvl w:val="0"/>
          <w:numId w:val="15"/>
        </w:numPr>
        <w:tabs>
          <w:tab w:val="left" w:pos="993"/>
        </w:tabs>
        <w:spacing w:after="0" w:line="240" w:lineRule="auto"/>
        <w:ind w:left="0"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отандық инновациялық азық-түлік өнімдерін нарықта жылжыту және оларды тиімді басқару жүйесін қалыптастыру болып табылады.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Салаға инновациялық өнімдерді әзірлеу және енгізу – тамақ өнеркәсібінің бәсекеге қабілет</w:t>
      </w:r>
      <w:r>
        <w:rPr>
          <w:rFonts w:ascii="Times New Roman" w:eastAsia="Times New Roman" w:hAnsi="Times New Roman" w:cs="Times New Roman"/>
          <w:sz w:val="28"/>
          <w:szCs w:val="28"/>
          <w:lang w:val="kk-KZ"/>
        </w:rPr>
        <w:t>тілігінің негізі болып табылады, сонымен қатар Қазақстанның 2025 жылға дейінгі Даму стратегиясынында көзделген еліміздің азық-түлік қауіпсіздігін қамтамасыз етудің маңызды бір шарты ретінде қарастырылады. Жалпы алғанда Қазақстанда ғылым үкіметтің қаржыланд</w:t>
      </w:r>
      <w:r>
        <w:rPr>
          <w:rFonts w:ascii="Times New Roman" w:eastAsia="Times New Roman" w:hAnsi="Times New Roman" w:cs="Times New Roman"/>
          <w:sz w:val="28"/>
          <w:szCs w:val="28"/>
          <w:lang w:val="kk-KZ"/>
        </w:rPr>
        <w:t xml:space="preserve">ыруына өте тәуелді және жеке бизнестің қызығушылығының төмендгі байланысты [108].  </w:t>
      </w:r>
    </w:p>
    <w:p w:rsidR="005118AF" w:rsidRDefault="00EF60C3">
      <w:pPr>
        <w:spacing w:after="0" w:line="20" w:lineRule="atLeast"/>
        <w:ind w:firstLine="709"/>
        <w:jc w:val="both"/>
        <w:rPr>
          <w:rFonts w:ascii="Times New Roman" w:eastAsia="Times New Roman" w:hAnsi="Times New Roman" w:cs="Times New Roman"/>
          <w:sz w:val="28"/>
          <w:szCs w:val="28"/>
          <w:lang w:val="kk-KZ"/>
        </w:rPr>
      </w:pPr>
      <w:bookmarkStart w:id="11" w:name="_Hlk115950696"/>
      <w:r>
        <w:rPr>
          <w:rFonts w:ascii="Times New Roman" w:eastAsia="Times New Roman" w:hAnsi="Times New Roman" w:cs="Times New Roman"/>
          <w:sz w:val="28"/>
          <w:szCs w:val="28"/>
          <w:lang w:val="kk-KZ"/>
        </w:rPr>
        <w:t xml:space="preserve">Тамақ өнеркәсібіндегі инновациялылық даму деңгейін бағалауда тұтас саланың инновациялық белсенділігін көрсететін статистикалық көрсеткіштерді талдау маңызды рөл атқарады. </w:t>
      </w:r>
      <w:r>
        <w:rPr>
          <w:rFonts w:ascii="Times New Roman" w:eastAsia="Times New Roman" w:hAnsi="Times New Roman" w:cs="Times New Roman"/>
          <w:sz w:val="28"/>
          <w:szCs w:val="28"/>
          <w:lang w:val="kk-KZ"/>
        </w:rPr>
        <w:t>Сондықтан, Қазақстан Республикасындағы тамақ өнеркәсібі кәсіпорындарының инновациялық белсенділік деңгейін бағалауда келесі көрсеткіштерді талдау таңдалып алынды:</w:t>
      </w:r>
    </w:p>
    <w:p w:rsidR="005118AF" w:rsidRDefault="00EF60C3">
      <w:pPr>
        <w:tabs>
          <w:tab w:val="left" w:pos="851"/>
        </w:tabs>
        <w:spacing w:after="0" w:line="20" w:lineRule="atLeast"/>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Тамақ өнеркәсібінің инновациялық белсенділік деңгейі</w:t>
      </w:r>
      <w:r>
        <w:rPr>
          <w:rFonts w:ascii="Times New Roman" w:eastAsia="Times New Roman" w:hAnsi="Times New Roman" w:cs="Times New Roman"/>
          <w:sz w:val="28"/>
          <w:szCs w:val="28"/>
          <w:lang w:val="kk-KZ"/>
        </w:rPr>
        <w:t xml:space="preserve"> – бұл көрсеткіш тамақ өнеркәсібі саласын</w:t>
      </w:r>
      <w:r>
        <w:rPr>
          <w:rFonts w:ascii="Times New Roman" w:eastAsia="Times New Roman" w:hAnsi="Times New Roman" w:cs="Times New Roman"/>
          <w:sz w:val="28"/>
          <w:szCs w:val="28"/>
          <w:lang w:val="kk-KZ"/>
        </w:rPr>
        <w:t>дағы кәсіпорындардың инновациялық қызметке тартылу деңгейін бағалауға мүмкіндік береді.</w:t>
      </w:r>
    </w:p>
    <w:p w:rsidR="005118AF" w:rsidRDefault="00EF60C3">
      <w:pPr>
        <w:tabs>
          <w:tab w:val="left" w:pos="851"/>
        </w:tabs>
        <w:spacing w:after="0" w:line="20" w:lineRule="atLeast"/>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Тамақ өнеркәсібі кәсіпорындарының өндірілген инновациялардың көлемі</w:t>
      </w:r>
      <w:r>
        <w:rPr>
          <w:rFonts w:ascii="Times New Roman" w:eastAsia="Times New Roman" w:hAnsi="Times New Roman" w:cs="Times New Roman"/>
          <w:sz w:val="28"/>
          <w:szCs w:val="28"/>
          <w:lang w:val="kk-KZ"/>
        </w:rPr>
        <w:t>.</w:t>
      </w:r>
    </w:p>
    <w:p w:rsidR="005118AF" w:rsidRDefault="00EF60C3">
      <w:pPr>
        <w:tabs>
          <w:tab w:val="left" w:pos="851"/>
        </w:tabs>
        <w:spacing w:after="0" w:line="20" w:lineRule="atLeast"/>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Тамақ өнеркәсібі кәсіпорындарында өткізілген инновациялардың көлемі</w:t>
      </w:r>
      <w:r>
        <w:rPr>
          <w:rFonts w:ascii="Times New Roman" w:eastAsia="Times New Roman" w:hAnsi="Times New Roman" w:cs="Times New Roman"/>
          <w:sz w:val="28"/>
          <w:szCs w:val="28"/>
          <w:lang w:val="kk-KZ"/>
        </w:rPr>
        <w:t>.</w:t>
      </w:r>
    </w:p>
    <w:p w:rsidR="005118AF" w:rsidRDefault="00EF60C3">
      <w:pPr>
        <w:tabs>
          <w:tab w:val="left" w:pos="851"/>
        </w:tabs>
        <w:spacing w:after="0" w:line="20" w:lineRule="atLeast"/>
        <w:ind w:firstLine="709"/>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i/>
          <w:iCs/>
          <w:sz w:val="28"/>
          <w:szCs w:val="28"/>
          <w:lang w:val="kk-KZ"/>
        </w:rPr>
        <w:t xml:space="preserve">Тамақ өнеркәсібінде тамақ </w:t>
      </w:r>
      <w:r>
        <w:rPr>
          <w:rFonts w:ascii="Times New Roman" w:eastAsia="Times New Roman" w:hAnsi="Times New Roman" w:cs="Times New Roman"/>
          <w:i/>
          <w:iCs/>
          <w:sz w:val="28"/>
          <w:szCs w:val="28"/>
          <w:lang w:val="kk-KZ"/>
        </w:rPr>
        <w:t>өнімдері өндірісіне жұмсалған шығындар</w:t>
      </w:r>
      <w:r>
        <w:rPr>
          <w:rFonts w:ascii="Times New Roman" w:eastAsia="Times New Roman" w:hAnsi="Times New Roman" w:cs="Times New Roman"/>
          <w:sz w:val="28"/>
          <w:szCs w:val="28"/>
          <w:lang w:val="kk-KZ"/>
        </w:rPr>
        <w:t>.</w:t>
      </w:r>
    </w:p>
    <w:bookmarkEnd w:id="11"/>
    <w:p w:rsidR="005118AF" w:rsidRDefault="00EF60C3">
      <w:pPr>
        <w:spacing w:after="0" w:line="20" w:lineRule="atLeast"/>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 Республикасының статистика агенттігінің мәліметтеріне сәйкес Қазақстанның тамақ өнеркәсібіндегі инновациялық қызмет төмен көрсеткіштермен сипатталатындығын аңғаруға болады. 12-кестеге сәйкес еліміздегі барл</w:t>
      </w:r>
      <w:r>
        <w:rPr>
          <w:rFonts w:ascii="Times New Roman" w:eastAsia="Times New Roman" w:hAnsi="Times New Roman" w:cs="Times New Roman"/>
          <w:sz w:val="28"/>
          <w:szCs w:val="28"/>
          <w:lang w:val="kk-KZ"/>
        </w:rPr>
        <w:t xml:space="preserve">ық тамақ өнеркәсібі кәсіпорындарының ішіндегі инновацияларды енгізумен айналысатын кәсіпорындардың саны айтарлықтай көп емес: </w:t>
      </w:r>
      <w:bookmarkStart w:id="12" w:name="_Hlk115950791"/>
      <w:r>
        <w:rPr>
          <w:rFonts w:ascii="Times New Roman" w:eastAsia="Times New Roman" w:hAnsi="Times New Roman" w:cs="Times New Roman"/>
          <w:sz w:val="28"/>
          <w:szCs w:val="28"/>
          <w:lang w:val="kk-KZ"/>
        </w:rPr>
        <w:t xml:space="preserve">2024 жылы кәсіпорындардың тек 16,3%-ды ғана инновацияларды жүзеге асырған [109]. </w:t>
      </w:r>
      <w:bookmarkEnd w:id="12"/>
    </w:p>
    <w:p w:rsidR="005118AF" w:rsidRDefault="005118AF">
      <w:pPr>
        <w:spacing w:after="0" w:line="20" w:lineRule="atLeast"/>
        <w:ind w:firstLine="567"/>
        <w:jc w:val="both"/>
        <w:rPr>
          <w:rFonts w:ascii="Times New Roman" w:eastAsia="Times New Roman" w:hAnsi="Times New Roman" w:cs="Times New Roman"/>
          <w:sz w:val="28"/>
          <w:szCs w:val="28"/>
          <w:lang w:val="kk-KZ"/>
        </w:rPr>
      </w:pPr>
    </w:p>
    <w:p w:rsidR="005118AF" w:rsidRDefault="00EF60C3">
      <w:pPr>
        <w:autoSpaceDE w:val="0"/>
        <w:autoSpaceDN w:val="0"/>
        <w:adjustRightInd w:val="0"/>
        <w:spacing w:after="0" w:line="20" w:lineRule="atLeast"/>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12 ‒ 2020-2024 жж. ҚР, Өңдеу өнеркәсібі ж</w:t>
      </w:r>
      <w:r>
        <w:rPr>
          <w:rFonts w:ascii="Times New Roman" w:eastAsia="Times New Roman" w:hAnsi="Times New Roman" w:cs="Times New Roman"/>
          <w:sz w:val="28"/>
          <w:szCs w:val="28"/>
          <w:lang w:val="kk-KZ"/>
        </w:rPr>
        <w:t>әне тамақ өнеркәсібі кәсіпорындарының инновациялық белсенділік деңгейі, %</w:t>
      </w:r>
    </w:p>
    <w:p w:rsidR="005118AF" w:rsidRDefault="005118AF">
      <w:pPr>
        <w:autoSpaceDE w:val="0"/>
        <w:autoSpaceDN w:val="0"/>
        <w:adjustRightInd w:val="0"/>
        <w:spacing w:after="0" w:line="20" w:lineRule="atLeast"/>
        <w:jc w:val="center"/>
        <w:rPr>
          <w:rFonts w:ascii="Times New Roman" w:eastAsia="Times New Roman" w:hAnsi="Times New Roman" w:cs="Times New Roman"/>
          <w:sz w:val="16"/>
          <w:szCs w:val="16"/>
          <w:lang w:val="kk-KZ"/>
        </w:rPr>
      </w:pPr>
    </w:p>
    <w:tbl>
      <w:tblPr>
        <w:tblStyle w:val="ae"/>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2"/>
        <w:gridCol w:w="1189"/>
        <w:gridCol w:w="826"/>
        <w:gridCol w:w="854"/>
        <w:gridCol w:w="994"/>
        <w:gridCol w:w="1012"/>
      </w:tblGrid>
      <w:tr w:rsidR="005118AF">
        <w:trPr>
          <w:jc w:val="center"/>
        </w:trPr>
        <w:tc>
          <w:tcPr>
            <w:tcW w:w="4662" w:type="dxa"/>
          </w:tcPr>
          <w:p w:rsidR="005118AF" w:rsidRDefault="00EF60C3">
            <w:pPr>
              <w:autoSpaceDE w:val="0"/>
              <w:autoSpaceDN w:val="0"/>
              <w:adjustRightInd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Жылдар </w:t>
            </w:r>
          </w:p>
        </w:tc>
        <w:tc>
          <w:tcPr>
            <w:tcW w:w="1189"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p>
        </w:tc>
        <w:tc>
          <w:tcPr>
            <w:tcW w:w="826"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854"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994"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p>
        </w:tc>
        <w:tc>
          <w:tcPr>
            <w:tcW w:w="1012"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r w:rsidR="005118AF">
        <w:trPr>
          <w:trHeight w:val="62"/>
          <w:jc w:val="center"/>
        </w:trPr>
        <w:tc>
          <w:tcPr>
            <w:tcW w:w="4662" w:type="dxa"/>
          </w:tcPr>
          <w:p w:rsidR="005118AF" w:rsidRDefault="00EF60C3">
            <w:pPr>
              <w:autoSpaceDE w:val="0"/>
              <w:autoSpaceDN w:val="0"/>
              <w:adjustRightInd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Қазақстан Республикасы</w:t>
            </w:r>
          </w:p>
        </w:tc>
        <w:tc>
          <w:tcPr>
            <w:tcW w:w="1189"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c>
          <w:tcPr>
            <w:tcW w:w="82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85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99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c>
          <w:tcPr>
            <w:tcW w:w="101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w:t>
            </w:r>
          </w:p>
        </w:tc>
      </w:tr>
      <w:tr w:rsidR="005118AF">
        <w:trPr>
          <w:jc w:val="center"/>
        </w:trPr>
        <w:tc>
          <w:tcPr>
            <w:tcW w:w="4662" w:type="dxa"/>
          </w:tcPr>
          <w:p w:rsidR="005118AF" w:rsidRDefault="00EF60C3">
            <w:pPr>
              <w:autoSpaceDE w:val="0"/>
              <w:autoSpaceDN w:val="0"/>
              <w:adjustRightInd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Өңдеу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өнеркәсі</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z w:val="24"/>
                <w:szCs w:val="24"/>
                <w:lang w:val="kk-KZ"/>
              </w:rPr>
              <w:t>і</w:t>
            </w:r>
          </w:p>
        </w:tc>
        <w:tc>
          <w:tcPr>
            <w:tcW w:w="1189"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w:t>
            </w:r>
          </w:p>
        </w:tc>
        <w:tc>
          <w:tcPr>
            <w:tcW w:w="82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w:t>
            </w:r>
          </w:p>
        </w:tc>
        <w:tc>
          <w:tcPr>
            <w:tcW w:w="85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w:t>
            </w:r>
          </w:p>
        </w:tc>
        <w:tc>
          <w:tcPr>
            <w:tcW w:w="99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101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r>
      <w:tr w:rsidR="005118AF">
        <w:trPr>
          <w:trHeight w:val="62"/>
          <w:jc w:val="center"/>
        </w:trPr>
        <w:tc>
          <w:tcPr>
            <w:tcW w:w="4662" w:type="dxa"/>
          </w:tcPr>
          <w:p w:rsidR="005118AF" w:rsidRDefault="00EF60C3">
            <w:pPr>
              <w:autoSpaceDE w:val="0"/>
              <w:autoSpaceDN w:val="0"/>
              <w:adjustRightInd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Тамақ өнімдерін өндіру</w:t>
            </w:r>
          </w:p>
        </w:tc>
        <w:tc>
          <w:tcPr>
            <w:tcW w:w="1189"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15,</w:t>
            </w:r>
            <w:r>
              <w:rPr>
                <w:rFonts w:ascii="Times New Roman" w:eastAsia="Times New Roman" w:hAnsi="Times New Roman" w:cs="Times New Roman"/>
                <w:color w:val="000000"/>
                <w:sz w:val="24"/>
                <w:szCs w:val="24"/>
              </w:rPr>
              <w:t>0</w:t>
            </w:r>
          </w:p>
        </w:tc>
        <w:tc>
          <w:tcPr>
            <w:tcW w:w="82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15,4</w:t>
            </w:r>
          </w:p>
        </w:tc>
        <w:tc>
          <w:tcPr>
            <w:tcW w:w="85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17,9</w:t>
            </w:r>
          </w:p>
        </w:tc>
        <w:tc>
          <w:tcPr>
            <w:tcW w:w="99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18,8</w:t>
            </w:r>
          </w:p>
        </w:tc>
        <w:tc>
          <w:tcPr>
            <w:tcW w:w="101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16,3</w:t>
            </w:r>
          </w:p>
        </w:tc>
      </w:tr>
      <w:tr w:rsidR="005118AF">
        <w:trPr>
          <w:jc w:val="center"/>
        </w:trPr>
        <w:tc>
          <w:tcPr>
            <w:tcW w:w="9537" w:type="dxa"/>
            <w:gridSpan w:val="6"/>
          </w:tcPr>
          <w:p w:rsidR="005118AF" w:rsidRDefault="00EF60C3">
            <w:pPr>
              <w:spacing w:after="0" w:line="240" w:lineRule="auto"/>
              <w:ind w:firstLine="567"/>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sz w:val="24"/>
                <w:szCs w:val="24"/>
              </w:rPr>
              <w:t>[102</w:t>
            </w: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lang w:val="kk-KZ"/>
              </w:rPr>
              <w:t>09</w:t>
            </w:r>
            <w:r>
              <w:rPr>
                <w:rFonts w:ascii="Times New Roman" w:eastAsia="Times New Roman" w:hAnsi="Times New Roman" w:cs="Times New Roman"/>
                <w:sz w:val="24"/>
                <w:szCs w:val="24"/>
              </w:rPr>
              <w:t>]</w:t>
            </w:r>
          </w:p>
        </w:tc>
      </w:tr>
    </w:tbl>
    <w:p w:rsidR="005118AF" w:rsidRDefault="00EF60C3">
      <w:pPr>
        <w:autoSpaceDE w:val="0"/>
        <w:autoSpaceDN w:val="0"/>
        <w:adjustRightInd w:val="0"/>
        <w:spacing w:after="0" w:line="20" w:lineRule="atLeast"/>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2020-2024 жж. аралығында еліміздегі тамақ өнеркәсібі кәсіпорындарының инновациялық белсенділік деңгейі динамикасының 2023 жылы айтарлықтай жоғарылағанын байқауға болады. 2020-2021 жылдарда тамақ өнеркәсібінде инновациялық белсенділіктің көрсеткіштерінің тө</w:t>
      </w:r>
      <w:r>
        <w:rPr>
          <w:rFonts w:ascii="Times New Roman" w:eastAsia="Times New Roman" w:hAnsi="Times New Roman" w:cs="Times New Roman"/>
          <w:sz w:val="28"/>
          <w:szCs w:val="28"/>
          <w:lang w:val="kk-KZ"/>
        </w:rPr>
        <w:t>мендеуі короновирустық пандемияның әсерін туындағын саладағы дағдарыстық құбылыстармен байланыстыруға болады. Жалпы Қазақстанның тамақ өнеркәсібінің инновациялық белсенділік деңгейі тұтас республикалық және өңдеу өнеркәсібі деңгейімен салыстырғанда сәл жоғ</w:t>
      </w:r>
      <w:r>
        <w:rPr>
          <w:rFonts w:ascii="Times New Roman" w:eastAsia="Times New Roman" w:hAnsi="Times New Roman" w:cs="Times New Roman"/>
          <w:sz w:val="28"/>
          <w:szCs w:val="28"/>
          <w:lang w:val="kk-KZ"/>
        </w:rPr>
        <w:t xml:space="preserve">ары екендігін байқауға болады.  </w:t>
      </w:r>
    </w:p>
    <w:p w:rsidR="005118AF" w:rsidRDefault="00EF60C3">
      <w:pPr>
        <w:autoSpaceDE w:val="0"/>
        <w:autoSpaceDN w:val="0"/>
        <w:adjustRightInd w:val="0"/>
        <w:spacing w:after="0" w:line="20" w:lineRule="atLeast"/>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2020-2024 жылдар аралығындағы инновациялық өнімдер өндіру мен өткізу көрсеткіштерін талдау барысында, 2023 жылы екі көрсеткіш бойынша да ең жоғарғы мәнді байқауға болады. Ал 2024 жылы бұл көрсетіштер күрт төмендеп, тамақ өн</w:t>
      </w:r>
      <w:r>
        <w:rPr>
          <w:rFonts w:ascii="Times New Roman" w:eastAsia="Times New Roman" w:hAnsi="Times New Roman" w:cs="Times New Roman"/>
          <w:sz w:val="28"/>
          <w:szCs w:val="28"/>
          <w:lang w:val="kk-KZ"/>
        </w:rPr>
        <w:t xml:space="preserve">еркәсібінде инновациялық өнімдер өндірісінің құны 73 983,6 млн. теңгені, ал өткізілген инновациялардың көлемі 60 738,3 млн. теңгені құрады (13-кесте). </w:t>
      </w:r>
    </w:p>
    <w:p w:rsidR="005118AF" w:rsidRDefault="005118AF">
      <w:pPr>
        <w:autoSpaceDE w:val="0"/>
        <w:autoSpaceDN w:val="0"/>
        <w:adjustRightInd w:val="0"/>
        <w:spacing w:after="0" w:line="20" w:lineRule="atLeast"/>
        <w:ind w:firstLine="567"/>
        <w:jc w:val="both"/>
        <w:rPr>
          <w:rFonts w:ascii="Times New Roman" w:eastAsia="Times New Roman" w:hAnsi="Times New Roman" w:cs="Times New Roman"/>
          <w:sz w:val="28"/>
          <w:szCs w:val="28"/>
          <w:lang w:val="kk-KZ"/>
        </w:rPr>
      </w:pPr>
    </w:p>
    <w:p w:rsidR="005118AF" w:rsidRDefault="00EF60C3">
      <w:pPr>
        <w:autoSpaceDE w:val="0"/>
        <w:autoSpaceDN w:val="0"/>
        <w:adjustRightInd w:val="0"/>
        <w:spacing w:after="0" w:line="20" w:lineRule="atLeast"/>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Кесте 13 ‒ 2020-2024 жж. тамақ өнеркәсібі саласындағы инновациялық өнімдер мен өткізілген инновациялар </w:t>
      </w:r>
      <w:r>
        <w:rPr>
          <w:rFonts w:ascii="Times New Roman" w:eastAsia="Times New Roman" w:hAnsi="Times New Roman" w:cs="Times New Roman"/>
          <w:sz w:val="28"/>
          <w:szCs w:val="28"/>
          <w:lang w:val="kk-KZ"/>
        </w:rPr>
        <w:t>көлемінің бөліну динамикасы, млн. тг.</w:t>
      </w:r>
    </w:p>
    <w:p w:rsidR="005118AF" w:rsidRDefault="005118AF">
      <w:pPr>
        <w:autoSpaceDE w:val="0"/>
        <w:autoSpaceDN w:val="0"/>
        <w:adjustRightInd w:val="0"/>
        <w:spacing w:after="0" w:line="20" w:lineRule="atLeast"/>
        <w:jc w:val="both"/>
        <w:rPr>
          <w:rFonts w:ascii="Times New Roman" w:eastAsia="Times New Roman" w:hAnsi="Times New Roman" w:cs="Times New Roman"/>
          <w:sz w:val="16"/>
          <w:szCs w:val="16"/>
          <w:lang w:val="kk-KZ"/>
        </w:rPr>
      </w:pPr>
    </w:p>
    <w:tbl>
      <w:tblPr>
        <w:tblStyle w:val="ae"/>
        <w:tblW w:w="9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27"/>
        <w:gridCol w:w="1162"/>
        <w:gridCol w:w="1245"/>
        <w:gridCol w:w="1260"/>
        <w:gridCol w:w="1204"/>
        <w:gridCol w:w="1126"/>
      </w:tblGrid>
      <w:tr w:rsidR="005118AF">
        <w:trPr>
          <w:trHeight w:val="62"/>
          <w:jc w:val="center"/>
        </w:trPr>
        <w:tc>
          <w:tcPr>
            <w:tcW w:w="3527" w:type="dxa"/>
          </w:tcPr>
          <w:p w:rsidR="005118AF" w:rsidRDefault="00EF60C3">
            <w:pPr>
              <w:autoSpaceDE w:val="0"/>
              <w:autoSpaceDN w:val="0"/>
              <w:adjustRightInd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Жылдар </w:t>
            </w:r>
          </w:p>
        </w:tc>
        <w:tc>
          <w:tcPr>
            <w:tcW w:w="1162" w:type="dxa"/>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w:t>
            </w:r>
          </w:p>
        </w:tc>
        <w:tc>
          <w:tcPr>
            <w:tcW w:w="1245" w:type="dxa"/>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2021</w:t>
            </w:r>
          </w:p>
        </w:tc>
        <w:tc>
          <w:tcPr>
            <w:tcW w:w="1260" w:type="dxa"/>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1204" w:type="dxa"/>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126" w:type="dxa"/>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r>
      <w:tr w:rsidR="005118AF">
        <w:trPr>
          <w:trHeight w:val="348"/>
          <w:jc w:val="center"/>
        </w:trPr>
        <w:tc>
          <w:tcPr>
            <w:tcW w:w="3527" w:type="dxa"/>
          </w:tcPr>
          <w:p w:rsidR="005118AF" w:rsidRDefault="00EF60C3">
            <w:pPr>
              <w:autoSpaceDE w:val="0"/>
              <w:autoSpaceDN w:val="0"/>
              <w:adjustRightInd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Тамақ өнеркәсібінде өндірілген инновациялық өнімдердің</w:t>
            </w:r>
            <w:r>
              <w:rPr>
                <w:rFonts w:ascii="Times New Roman" w:eastAsia="Times New Roman" w:hAnsi="Times New Roman" w:cs="Times New Roman"/>
                <w:sz w:val="24"/>
                <w:szCs w:val="24"/>
              </w:rPr>
              <w:t xml:space="preserve"> (тауарлар және көрсетілетін қызмет) жалпы көлемі</w:t>
            </w:r>
            <w:r>
              <w:rPr>
                <w:rFonts w:ascii="Times New Roman" w:eastAsia="Times New Roman" w:hAnsi="Times New Roman" w:cs="Times New Roman"/>
                <w:sz w:val="24"/>
                <w:szCs w:val="24"/>
                <w:lang w:val="kk-KZ"/>
              </w:rPr>
              <w:t>, млн. тг</w:t>
            </w:r>
          </w:p>
        </w:tc>
        <w:tc>
          <w:tcPr>
            <w:tcW w:w="116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86</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925,2</w:t>
            </w:r>
          </w:p>
        </w:tc>
        <w:tc>
          <w:tcPr>
            <w:tcW w:w="1245"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108</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419,6</w:t>
            </w:r>
          </w:p>
        </w:tc>
        <w:tc>
          <w:tcPr>
            <w:tcW w:w="1260"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211</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616,4</w:t>
            </w:r>
          </w:p>
        </w:tc>
        <w:tc>
          <w:tcPr>
            <w:tcW w:w="120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171</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522,2</w:t>
            </w:r>
          </w:p>
        </w:tc>
        <w:tc>
          <w:tcPr>
            <w:tcW w:w="112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73</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983,6</w:t>
            </w:r>
          </w:p>
        </w:tc>
      </w:tr>
      <w:tr w:rsidR="005118AF">
        <w:trPr>
          <w:jc w:val="center"/>
        </w:trPr>
        <w:tc>
          <w:tcPr>
            <w:tcW w:w="3527" w:type="dxa"/>
          </w:tcPr>
          <w:p w:rsidR="005118AF" w:rsidRDefault="00EF60C3">
            <w:pPr>
              <w:autoSpaceDE w:val="0"/>
              <w:autoSpaceDN w:val="0"/>
              <w:adjustRightInd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Тамақ өнеркәсібінде </w:t>
            </w:r>
            <w:r>
              <w:rPr>
                <w:rFonts w:ascii="Times New Roman" w:eastAsia="Times New Roman" w:hAnsi="Times New Roman" w:cs="Times New Roman"/>
                <w:sz w:val="24"/>
                <w:szCs w:val="24"/>
                <w:lang w:val="kk-KZ"/>
              </w:rPr>
              <w:t>өткізілген инновациялардың көлемі, млн. тг</w:t>
            </w:r>
          </w:p>
        </w:tc>
        <w:tc>
          <w:tcPr>
            <w:tcW w:w="116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en-US" w:eastAsia="zh-CN"/>
              </w:rPr>
              <w:t>76</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426,5</w:t>
            </w:r>
          </w:p>
        </w:tc>
        <w:tc>
          <w:tcPr>
            <w:tcW w:w="1245"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en-US" w:eastAsia="zh-CN"/>
              </w:rPr>
              <w:t>100</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756,9</w:t>
            </w:r>
          </w:p>
        </w:tc>
        <w:tc>
          <w:tcPr>
            <w:tcW w:w="1260"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en-US" w:eastAsia="zh-CN"/>
              </w:rPr>
              <w:t>184</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637,9</w:t>
            </w:r>
          </w:p>
        </w:tc>
        <w:tc>
          <w:tcPr>
            <w:tcW w:w="120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en-US" w:eastAsia="zh-CN"/>
              </w:rPr>
              <w:t>170</w:t>
            </w:r>
            <w:r>
              <w:rPr>
                <w:rFonts w:ascii="Times New Roman" w:eastAsia="Times New Roman" w:hAnsi="Times New Roman" w:cs="Times New Roman"/>
                <w:sz w:val="24"/>
                <w:szCs w:val="24"/>
                <w:lang w:val="kk-KZ" w:eastAsia="zh-CN"/>
              </w:rPr>
              <w:t xml:space="preserve"> </w:t>
            </w:r>
            <w:r>
              <w:rPr>
                <w:rFonts w:ascii="Times New Roman" w:eastAsia="Times New Roman" w:hAnsi="Times New Roman" w:cs="Times New Roman"/>
                <w:sz w:val="24"/>
                <w:szCs w:val="24"/>
                <w:lang w:val="en-US" w:eastAsia="zh-CN"/>
              </w:rPr>
              <w:t>679,8</w:t>
            </w:r>
          </w:p>
        </w:tc>
        <w:tc>
          <w:tcPr>
            <w:tcW w:w="112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en-US" w:eastAsia="zh-CN"/>
              </w:rPr>
              <w:t>60</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en-US" w:eastAsia="zh-CN"/>
              </w:rPr>
              <w:t>738,3</w:t>
            </w:r>
          </w:p>
        </w:tc>
      </w:tr>
      <w:tr w:rsidR="005118AF">
        <w:trPr>
          <w:jc w:val="center"/>
        </w:trPr>
        <w:tc>
          <w:tcPr>
            <w:tcW w:w="3527" w:type="dxa"/>
          </w:tcPr>
          <w:p w:rsidR="005118AF" w:rsidRDefault="00EF60C3">
            <w:pPr>
              <w:autoSpaceDE w:val="0"/>
              <w:autoSpaceDN w:val="0"/>
              <w:adjustRightInd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Экспорт</w:t>
            </w:r>
            <w:r>
              <w:rPr>
                <w:rFonts w:ascii="Times New Roman" w:eastAsia="Times New Roman" w:hAnsi="Times New Roman" w:cs="Times New Roman"/>
                <w:sz w:val="24"/>
                <w:szCs w:val="24"/>
                <w:lang w:val="kk-KZ"/>
              </w:rPr>
              <w:t>қа қойылған өткізілген инновациялық өнімдердің көле мі (өнімдік инновациялар), млн. тг</w:t>
            </w:r>
          </w:p>
        </w:tc>
        <w:tc>
          <w:tcPr>
            <w:tcW w:w="116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14 231,9</w:t>
            </w:r>
          </w:p>
        </w:tc>
        <w:tc>
          <w:tcPr>
            <w:tcW w:w="1245"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19 901,8</w:t>
            </w:r>
          </w:p>
        </w:tc>
        <w:tc>
          <w:tcPr>
            <w:tcW w:w="1260"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28 687,2</w:t>
            </w:r>
          </w:p>
        </w:tc>
        <w:tc>
          <w:tcPr>
            <w:tcW w:w="120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23 596,1</w:t>
            </w:r>
          </w:p>
        </w:tc>
        <w:tc>
          <w:tcPr>
            <w:tcW w:w="112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8 277,1</w:t>
            </w:r>
          </w:p>
        </w:tc>
      </w:tr>
      <w:tr w:rsidR="005118AF">
        <w:trPr>
          <w:trHeight w:val="62"/>
          <w:jc w:val="center"/>
        </w:trPr>
        <w:tc>
          <w:tcPr>
            <w:tcW w:w="9524" w:type="dxa"/>
            <w:gridSpan w:val="6"/>
          </w:tcPr>
          <w:p w:rsidR="005118AF" w:rsidRDefault="00EF60C3">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sz w:val="24"/>
                <w:szCs w:val="24"/>
              </w:rPr>
              <w:t>[102</w:t>
            </w: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lang w:val="kk-KZ"/>
              </w:rPr>
              <w:t>09</w:t>
            </w:r>
            <w:r>
              <w:rPr>
                <w:rFonts w:ascii="Times New Roman" w:eastAsia="Times New Roman" w:hAnsi="Times New Roman" w:cs="Times New Roman"/>
                <w:sz w:val="24"/>
                <w:szCs w:val="24"/>
              </w:rPr>
              <w:t>]</w:t>
            </w:r>
          </w:p>
        </w:tc>
      </w:tr>
    </w:tbl>
    <w:p w:rsidR="005118AF" w:rsidRDefault="005118AF">
      <w:pPr>
        <w:autoSpaceDE w:val="0"/>
        <w:autoSpaceDN w:val="0"/>
        <w:adjustRightInd w:val="0"/>
        <w:spacing w:after="0" w:line="20" w:lineRule="atLeast"/>
        <w:ind w:firstLine="567"/>
        <w:jc w:val="both"/>
        <w:rPr>
          <w:rFonts w:ascii="Times New Roman" w:eastAsia="Times New Roman" w:hAnsi="Times New Roman" w:cs="Times New Roman"/>
          <w:sz w:val="28"/>
          <w:szCs w:val="28"/>
          <w:lang w:val="kk-KZ"/>
        </w:rPr>
      </w:pPr>
    </w:p>
    <w:p w:rsidR="005118AF" w:rsidRDefault="00EF60C3">
      <w:pPr>
        <w:autoSpaceDE w:val="0"/>
        <w:autoSpaceDN w:val="0"/>
        <w:adjustRightInd w:val="0"/>
        <w:spacing w:after="0" w:line="20" w:lineRule="atLeast"/>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14 ‒ ҚР тамақ өнеркәсібінде инновацияларды жүзеге асыруға жұмсалған шығындар соманы</w:t>
      </w:r>
    </w:p>
    <w:p w:rsidR="005118AF" w:rsidRDefault="005118AF">
      <w:pPr>
        <w:autoSpaceDE w:val="0"/>
        <w:autoSpaceDN w:val="0"/>
        <w:adjustRightInd w:val="0"/>
        <w:spacing w:after="0" w:line="20" w:lineRule="atLeast"/>
        <w:jc w:val="both"/>
        <w:rPr>
          <w:rFonts w:ascii="Times New Roman" w:eastAsia="Times New Roman" w:hAnsi="Times New Roman" w:cs="Times New Roman"/>
          <w:sz w:val="16"/>
          <w:szCs w:val="16"/>
          <w:lang w:val="kk-KZ"/>
        </w:rPr>
      </w:pPr>
    </w:p>
    <w:tbl>
      <w:tblPr>
        <w:tblStyle w:val="ae"/>
        <w:tblW w:w="9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2"/>
        <w:gridCol w:w="1134"/>
        <w:gridCol w:w="1021"/>
        <w:gridCol w:w="1064"/>
        <w:gridCol w:w="1176"/>
        <w:gridCol w:w="1102"/>
      </w:tblGrid>
      <w:tr w:rsidR="005118AF">
        <w:trPr>
          <w:trHeight w:val="62"/>
          <w:jc w:val="center"/>
        </w:trPr>
        <w:tc>
          <w:tcPr>
            <w:tcW w:w="4092" w:type="dxa"/>
          </w:tcPr>
          <w:p w:rsidR="005118AF" w:rsidRDefault="00EF60C3">
            <w:pPr>
              <w:autoSpaceDE w:val="0"/>
              <w:autoSpaceDN w:val="0"/>
              <w:adjustRightInd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Жылдар </w:t>
            </w:r>
          </w:p>
        </w:tc>
        <w:tc>
          <w:tcPr>
            <w:tcW w:w="1134"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p>
        </w:tc>
        <w:tc>
          <w:tcPr>
            <w:tcW w:w="1021"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1064"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1176"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p>
        </w:tc>
        <w:tc>
          <w:tcPr>
            <w:tcW w:w="1102" w:type="dxa"/>
          </w:tcPr>
          <w:p w:rsidR="005118AF" w:rsidRDefault="00EF60C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r w:rsidR="005118AF">
        <w:trPr>
          <w:jc w:val="center"/>
        </w:trPr>
        <w:tc>
          <w:tcPr>
            <w:tcW w:w="4092" w:type="dxa"/>
          </w:tcPr>
          <w:p w:rsidR="005118AF" w:rsidRDefault="00EF60C3">
            <w:pPr>
              <w:autoSpaceDE w:val="0"/>
              <w:autoSpaceDN w:val="0"/>
              <w:adjustRightInd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Инновацияларға жұмсалған шығын дар, млн. теңге </w:t>
            </w:r>
          </w:p>
        </w:tc>
        <w:tc>
          <w:tcPr>
            <w:tcW w:w="113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39 542</w:t>
            </w:r>
            <w:r>
              <w:rPr>
                <w:rFonts w:ascii="Times New Roman" w:eastAsia="Times New Roman" w:hAnsi="Times New Roman" w:cs="Times New Roman"/>
                <w:sz w:val="24"/>
                <w:szCs w:val="24"/>
              </w:rPr>
              <w:t>,1</w:t>
            </w:r>
          </w:p>
        </w:tc>
        <w:tc>
          <w:tcPr>
            <w:tcW w:w="1021" w:type="dxa"/>
            <w:vAlign w:val="center"/>
          </w:tcPr>
          <w:p w:rsidR="005118AF" w:rsidRDefault="00EF60C3">
            <w:pPr>
              <w:autoSpaceDE w:val="0"/>
              <w:autoSpaceDN w:val="0"/>
              <w:adjustRightInd w:val="0"/>
              <w:spacing w:after="0" w:line="240" w:lineRule="auto"/>
              <w:ind w:left="-8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43 </w:t>
            </w:r>
            <w:r>
              <w:rPr>
                <w:rFonts w:ascii="Times New Roman" w:eastAsia="Times New Roman" w:hAnsi="Times New Roman" w:cs="Times New Roman"/>
                <w:sz w:val="24"/>
                <w:szCs w:val="24"/>
              </w:rPr>
              <w:t>285</w:t>
            </w:r>
            <w:r>
              <w:rPr>
                <w:rFonts w:ascii="Times New Roman" w:eastAsia="Times New Roman" w:hAnsi="Times New Roman" w:cs="Times New Roman"/>
                <w:sz w:val="24"/>
                <w:szCs w:val="24"/>
                <w:lang w:val="kk-KZ"/>
              </w:rPr>
              <w:t>,6</w:t>
            </w:r>
          </w:p>
        </w:tc>
        <w:tc>
          <w:tcPr>
            <w:tcW w:w="106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69 789,7</w:t>
            </w:r>
          </w:p>
        </w:tc>
        <w:tc>
          <w:tcPr>
            <w:tcW w:w="117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107 250,7</w:t>
            </w:r>
          </w:p>
        </w:tc>
        <w:tc>
          <w:tcPr>
            <w:tcW w:w="110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r>
              <w:rPr>
                <w:rFonts w:ascii="Times New Roman" w:eastAsia="Times New Roman" w:hAnsi="Times New Roman" w:cs="Times New Roman"/>
                <w:sz w:val="24"/>
                <w:szCs w:val="24"/>
              </w:rPr>
              <w:t>731,5</w:t>
            </w:r>
          </w:p>
        </w:tc>
      </w:tr>
      <w:tr w:rsidR="005118AF">
        <w:trPr>
          <w:jc w:val="center"/>
        </w:trPr>
        <w:tc>
          <w:tcPr>
            <w:tcW w:w="4092" w:type="dxa"/>
          </w:tcPr>
          <w:p w:rsidR="005118AF" w:rsidRDefault="00EF60C3">
            <w:pPr>
              <w:autoSpaceDE w:val="0"/>
              <w:autoSpaceDN w:val="0"/>
              <w:adjustRightInd w:val="0"/>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Инновацияларға жұмсалған шығын дар, өткен жылға %-бен</w:t>
            </w:r>
          </w:p>
        </w:tc>
        <w:tc>
          <w:tcPr>
            <w:tcW w:w="113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p>
        </w:tc>
        <w:tc>
          <w:tcPr>
            <w:tcW w:w="1021"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10</w:t>
            </w:r>
            <w:r>
              <w:rPr>
                <w:rFonts w:ascii="Times New Roman" w:eastAsia="Times New Roman" w:hAnsi="Times New Roman" w:cs="Times New Roman"/>
                <w:sz w:val="24"/>
                <w:szCs w:val="24"/>
              </w:rPr>
              <w:t>9,5</w:t>
            </w:r>
          </w:p>
        </w:tc>
        <w:tc>
          <w:tcPr>
            <w:tcW w:w="106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161,2</w:t>
            </w:r>
          </w:p>
        </w:tc>
        <w:tc>
          <w:tcPr>
            <w:tcW w:w="117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153,6</w:t>
            </w:r>
          </w:p>
        </w:tc>
        <w:tc>
          <w:tcPr>
            <w:tcW w:w="110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w:t>
            </w:r>
          </w:p>
        </w:tc>
      </w:tr>
      <w:tr w:rsidR="005118AF">
        <w:trPr>
          <w:jc w:val="center"/>
        </w:trPr>
        <w:tc>
          <w:tcPr>
            <w:tcW w:w="9589" w:type="dxa"/>
            <w:gridSpan w:val="6"/>
          </w:tcPr>
          <w:p w:rsidR="005118AF" w:rsidRDefault="00EF60C3">
            <w:pPr>
              <w:autoSpaceDE w:val="0"/>
              <w:autoSpaceDN w:val="0"/>
              <w:adjustRightInd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Инновация түрлері бойынша шығындардың бөлінуі, %-бен</w:t>
            </w:r>
          </w:p>
        </w:tc>
      </w:tr>
      <w:tr w:rsidR="005118AF">
        <w:trPr>
          <w:jc w:val="center"/>
        </w:trPr>
        <w:tc>
          <w:tcPr>
            <w:tcW w:w="4092" w:type="dxa"/>
          </w:tcPr>
          <w:p w:rsidR="005118AF" w:rsidRDefault="00EF60C3">
            <w:pPr>
              <w:numPr>
                <w:ilvl w:val="0"/>
                <w:numId w:val="16"/>
              </w:numPr>
              <w:tabs>
                <w:tab w:val="left" w:pos="366"/>
              </w:tabs>
              <w:autoSpaceDE w:val="0"/>
              <w:autoSpaceDN w:val="0"/>
              <w:adjustRightInd w:val="0"/>
              <w:spacing w:after="0" w:line="240" w:lineRule="auto"/>
              <w:ind w:left="142" w:firstLine="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өнімдік</w:t>
            </w:r>
          </w:p>
        </w:tc>
        <w:tc>
          <w:tcPr>
            <w:tcW w:w="113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64,44</w:t>
            </w:r>
          </w:p>
        </w:tc>
        <w:tc>
          <w:tcPr>
            <w:tcW w:w="1021"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47,49</w:t>
            </w:r>
          </w:p>
        </w:tc>
        <w:tc>
          <w:tcPr>
            <w:tcW w:w="106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81,87</w:t>
            </w:r>
          </w:p>
        </w:tc>
        <w:tc>
          <w:tcPr>
            <w:tcW w:w="117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eastAsia="zh-CN"/>
              </w:rPr>
              <w:t>92,66</w:t>
            </w:r>
          </w:p>
        </w:tc>
        <w:tc>
          <w:tcPr>
            <w:tcW w:w="110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80,84</w:t>
            </w:r>
          </w:p>
        </w:tc>
      </w:tr>
      <w:tr w:rsidR="005118AF">
        <w:trPr>
          <w:jc w:val="center"/>
        </w:trPr>
        <w:tc>
          <w:tcPr>
            <w:tcW w:w="4092" w:type="dxa"/>
          </w:tcPr>
          <w:p w:rsidR="005118AF" w:rsidRDefault="00EF60C3">
            <w:pPr>
              <w:numPr>
                <w:ilvl w:val="0"/>
                <w:numId w:val="16"/>
              </w:numPr>
              <w:tabs>
                <w:tab w:val="left" w:pos="366"/>
              </w:tabs>
              <w:autoSpaceDE w:val="0"/>
              <w:autoSpaceDN w:val="0"/>
              <w:adjustRightInd w:val="0"/>
              <w:spacing w:after="0" w:line="240" w:lineRule="auto"/>
              <w:ind w:left="142" w:firstLine="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бизнес</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kk-KZ"/>
              </w:rPr>
              <w:t>процестік</w:t>
            </w:r>
          </w:p>
        </w:tc>
        <w:tc>
          <w:tcPr>
            <w:tcW w:w="113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35,29</w:t>
            </w:r>
          </w:p>
        </w:tc>
        <w:tc>
          <w:tcPr>
            <w:tcW w:w="1021"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51,87</w:t>
            </w:r>
          </w:p>
        </w:tc>
        <w:tc>
          <w:tcPr>
            <w:tcW w:w="106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18,13</w:t>
            </w:r>
          </w:p>
        </w:tc>
        <w:tc>
          <w:tcPr>
            <w:tcW w:w="117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eastAsia="zh-CN"/>
              </w:rPr>
              <w:t>7,34</w:t>
            </w:r>
          </w:p>
        </w:tc>
        <w:tc>
          <w:tcPr>
            <w:tcW w:w="110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19,16</w:t>
            </w:r>
          </w:p>
        </w:tc>
      </w:tr>
      <w:tr w:rsidR="005118AF">
        <w:trPr>
          <w:jc w:val="center"/>
        </w:trPr>
        <w:tc>
          <w:tcPr>
            <w:tcW w:w="4092" w:type="dxa"/>
          </w:tcPr>
          <w:p w:rsidR="005118AF" w:rsidRDefault="00EF60C3">
            <w:pPr>
              <w:numPr>
                <w:ilvl w:val="0"/>
                <w:numId w:val="16"/>
              </w:numPr>
              <w:tabs>
                <w:tab w:val="left" w:pos="366"/>
              </w:tabs>
              <w:autoSpaceDE w:val="0"/>
              <w:autoSpaceDN w:val="0"/>
              <w:adjustRightInd w:val="0"/>
              <w:spacing w:after="0" w:line="240" w:lineRule="auto"/>
              <w:ind w:left="142" w:firstLine="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маркетингтік</w:t>
            </w:r>
          </w:p>
        </w:tc>
        <w:tc>
          <w:tcPr>
            <w:tcW w:w="113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0,033</w:t>
            </w:r>
          </w:p>
        </w:tc>
        <w:tc>
          <w:tcPr>
            <w:tcW w:w="1021"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c>
          <w:tcPr>
            <w:tcW w:w="106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7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0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118AF">
        <w:trPr>
          <w:jc w:val="center"/>
        </w:trPr>
        <w:tc>
          <w:tcPr>
            <w:tcW w:w="4092" w:type="dxa"/>
          </w:tcPr>
          <w:p w:rsidR="005118AF" w:rsidRDefault="00EF60C3">
            <w:pPr>
              <w:numPr>
                <w:ilvl w:val="0"/>
                <w:numId w:val="16"/>
              </w:numPr>
              <w:tabs>
                <w:tab w:val="left" w:pos="366"/>
              </w:tabs>
              <w:autoSpaceDE w:val="0"/>
              <w:autoSpaceDN w:val="0"/>
              <w:adjustRightInd w:val="0"/>
              <w:spacing w:after="0" w:line="240" w:lineRule="auto"/>
              <w:ind w:left="142" w:firstLine="0"/>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ұйымдастырушылық</w:t>
            </w:r>
          </w:p>
        </w:tc>
        <w:tc>
          <w:tcPr>
            <w:tcW w:w="113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0,23</w:t>
            </w:r>
          </w:p>
        </w:tc>
        <w:tc>
          <w:tcPr>
            <w:tcW w:w="1021"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1064"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76"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02" w:type="dxa"/>
            <w:vAlign w:val="center"/>
          </w:tcPr>
          <w:p w:rsidR="005118AF" w:rsidRDefault="00EF60C3">
            <w:pPr>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118AF">
        <w:trPr>
          <w:jc w:val="center"/>
        </w:trPr>
        <w:tc>
          <w:tcPr>
            <w:tcW w:w="9589" w:type="dxa"/>
            <w:gridSpan w:val="6"/>
          </w:tcPr>
          <w:p w:rsidR="005118AF" w:rsidRDefault="00EF60C3">
            <w:pPr>
              <w:spacing w:after="0" w:line="240" w:lineRule="auto"/>
              <w:ind w:firstLine="577"/>
              <w:jc w:val="both"/>
              <w:rPr>
                <w:rFonts w:ascii="Times New Roman" w:eastAsia="Times New Roman" w:hAnsi="Times New Roman" w:cs="Times New Roman"/>
                <w:sz w:val="24"/>
                <w:szCs w:val="24"/>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sz w:val="24"/>
                <w:szCs w:val="24"/>
              </w:rPr>
              <w:t>[102</w:t>
            </w: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lang w:val="kk-KZ"/>
              </w:rPr>
              <w:t>09</w:t>
            </w:r>
            <w:r>
              <w:rPr>
                <w:rFonts w:ascii="Times New Roman" w:eastAsia="Times New Roman" w:hAnsi="Times New Roman" w:cs="Times New Roman"/>
                <w:sz w:val="24"/>
                <w:szCs w:val="24"/>
              </w:rPr>
              <w:t>]</w:t>
            </w:r>
          </w:p>
        </w:tc>
      </w:tr>
    </w:tbl>
    <w:p w:rsidR="005118AF" w:rsidRDefault="005118AF">
      <w:pPr>
        <w:autoSpaceDE w:val="0"/>
        <w:autoSpaceDN w:val="0"/>
        <w:adjustRightInd w:val="0"/>
        <w:spacing w:after="0" w:line="20" w:lineRule="atLeast"/>
        <w:ind w:firstLine="567"/>
        <w:jc w:val="both"/>
        <w:rPr>
          <w:rFonts w:ascii="Times New Roman" w:eastAsia="Times New Roman" w:hAnsi="Times New Roman" w:cs="Times New Roman"/>
          <w:sz w:val="28"/>
          <w:szCs w:val="28"/>
          <w:lang w:val="kk-KZ"/>
        </w:rPr>
      </w:pPr>
    </w:p>
    <w:p w:rsidR="005118AF" w:rsidRDefault="00EF60C3">
      <w:pPr>
        <w:autoSpaceDE w:val="0"/>
        <w:autoSpaceDN w:val="0"/>
        <w:adjustRightInd w:val="0"/>
        <w:spacing w:after="0" w:line="20" w:lineRule="atLeast"/>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14-кестеде, тамақ өнімдерін өндіретін кәсіпорындарда инновацияға жұмсалған шығындар 2020 жылдан бастап 2023 жылдар аралығында бірқалыпты жоғарылағанын байқауға </w:t>
      </w:r>
      <w:r>
        <w:rPr>
          <w:rFonts w:ascii="Times New Roman" w:eastAsia="Times New Roman" w:hAnsi="Times New Roman" w:cs="Times New Roman"/>
          <w:sz w:val="28"/>
          <w:szCs w:val="28"/>
          <w:lang w:val="kk-KZ"/>
        </w:rPr>
        <w:t>болады. Ал 2024 жылы тамақ өнеркәсібінде инновацияларды жүзеге асыруға жұмсалған шығындардың көлемі өткен жылдың сәйкес кезеңімен салыстырғанда 43,37%-ға төмендеген. Зерттеліп отырған мерзім аралығында 2023 жылы инновацияға жұмсалған шығындардың ең жоғарғы</w:t>
      </w:r>
      <w:r>
        <w:rPr>
          <w:rFonts w:ascii="Times New Roman" w:eastAsia="Times New Roman" w:hAnsi="Times New Roman" w:cs="Times New Roman"/>
          <w:sz w:val="28"/>
          <w:szCs w:val="28"/>
          <w:lang w:val="kk-KZ"/>
        </w:rPr>
        <w:t xml:space="preserve"> көрсеткіші байқалды (107 250,7 млн. тенге). 2024 жылдардағы көрсеткіштердің төмендеуін соңғы жылдағы статистикалық деректердің толық көрсетілмеуімен байланыстыруға болады.</w:t>
      </w:r>
    </w:p>
    <w:p w:rsidR="005118AF" w:rsidRDefault="00EF60C3">
      <w:pPr>
        <w:autoSpaceDE w:val="0"/>
        <w:autoSpaceDN w:val="0"/>
        <w:adjustRightInd w:val="0"/>
        <w:spacing w:after="0" w:line="20" w:lineRule="atLeast"/>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Тамақ өнеркәсібінде қолданылатын инновация түрлері бойынша жұмсалған шығындарды тал</w:t>
      </w:r>
      <w:r>
        <w:rPr>
          <w:rFonts w:ascii="Times New Roman" w:eastAsia="Times New Roman" w:hAnsi="Times New Roman" w:cs="Times New Roman"/>
          <w:sz w:val="28"/>
          <w:szCs w:val="28"/>
          <w:lang w:val="kk-KZ"/>
        </w:rPr>
        <w:t>дай отырып, өнімдік және процестік инновациялардың басым бөлікті құрайтындығын анықтадық: 2020 жылы сала кәсіпорындарының аталған инновация типтеріне жұмсаған шығыны 99,73% құраған, ал маркетингтік инновацияларға барлық шығындардың тек 0,033% және ұйымдаст</w:t>
      </w:r>
      <w:r>
        <w:rPr>
          <w:rFonts w:ascii="Times New Roman" w:eastAsia="Times New Roman" w:hAnsi="Times New Roman" w:cs="Times New Roman"/>
          <w:sz w:val="28"/>
          <w:szCs w:val="28"/>
          <w:lang w:val="kk-KZ"/>
        </w:rPr>
        <w:t>ырушылық инновацияларға 0,23%-ы жұмсалған. Салыстырмалы түрде 2021 жылы өнімдік және процестік инновацияларға жұмсалған шығындар 99,36%-ды құраған (сәйкесінше 47,49 және 51,87%-дан). Сонымен қатар, ҚР статистикалық деректері 2022-2024 жылдарда тамақ өнімде</w:t>
      </w:r>
      <w:r>
        <w:rPr>
          <w:rFonts w:ascii="Times New Roman" w:eastAsia="Times New Roman" w:hAnsi="Times New Roman" w:cs="Times New Roman"/>
          <w:sz w:val="28"/>
          <w:szCs w:val="28"/>
          <w:lang w:val="kk-KZ"/>
        </w:rPr>
        <w:t xml:space="preserve">рін өндіру саласында тек өнімдік және процесстік инновация түрлері бойынша ғана көрсетілген және инновацияға жұмсалған шығындардың басым үлесі өнімдік инновацияларға келеді. </w:t>
      </w:r>
    </w:p>
    <w:p w:rsidR="005118AF" w:rsidRDefault="005118AF">
      <w:pPr>
        <w:spacing w:after="0" w:line="240" w:lineRule="auto"/>
        <w:ind w:firstLine="567"/>
        <w:jc w:val="both"/>
        <w:rPr>
          <w:rFonts w:ascii="Times New Roman" w:eastAsia="Times New Roman" w:hAnsi="Times New Roman" w:cs="Times New Roman"/>
          <w:sz w:val="28"/>
          <w:szCs w:val="28"/>
          <w:lang w:val="kk-KZ"/>
        </w:rPr>
      </w:pPr>
    </w:p>
    <w:p w:rsidR="005118AF" w:rsidRDefault="00EF60C3">
      <w:pPr>
        <w:spacing w:after="0" w:line="240" w:lineRule="auto"/>
        <w:jc w:val="center"/>
        <w:rPr>
          <w:rFonts w:ascii="Calibri" w:eastAsia="Times New Roman" w:hAnsi="Calibri" w:cs="Times New Roman"/>
        </w:rPr>
      </w:pPr>
      <w:r>
        <w:rPr>
          <w:rFonts w:ascii="Calibri" w:eastAsia="Times New Roman" w:hAnsi="Calibri" w:cs="Times New Roman"/>
          <w:noProof/>
        </w:rPr>
        <w:drawing>
          <wp:inline distT="0" distB="0" distL="114300" distR="114300">
            <wp:extent cx="4999990" cy="2846070"/>
            <wp:effectExtent l="4445" t="4445" r="12065" b="6985"/>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118AF" w:rsidRDefault="005118AF">
      <w:pPr>
        <w:spacing w:after="0" w:line="240" w:lineRule="auto"/>
        <w:ind w:firstLine="567"/>
        <w:jc w:val="both"/>
        <w:rPr>
          <w:rFonts w:ascii="Times New Roman" w:eastAsia="Times New Roman" w:hAnsi="Times New Roman" w:cs="Times New Roman"/>
          <w:sz w:val="16"/>
          <w:szCs w:val="16"/>
          <w:lang w:val="kk-KZ"/>
        </w:rPr>
      </w:pPr>
    </w:p>
    <w:p w:rsidR="005118AF" w:rsidRDefault="00EF60C3">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Сурет 16 ‒ 2024 жылы Жоғары технологиялық инновациялық тауарлар экспортынының</w:t>
      </w:r>
      <w:r>
        <w:rPr>
          <w:rFonts w:ascii="Times New Roman" w:eastAsia="Times New Roman" w:hAnsi="Times New Roman" w:cs="Times New Roman"/>
          <w:sz w:val="28"/>
          <w:szCs w:val="28"/>
          <w:lang w:val="kk-KZ"/>
        </w:rPr>
        <w:t xml:space="preserve"> Қазақстан өңірлері бойынша бөлінісі, млн. АҚШ доллары</w:t>
      </w:r>
    </w:p>
    <w:p w:rsidR="005118AF" w:rsidRDefault="00EF60C3">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102</w:t>
      </w:r>
      <w:r>
        <w:rPr>
          <w:rFonts w:ascii="Times New Roman" w:eastAsia="Times New Roman" w:hAnsi="Times New Roman" w:cs="Times New Roman"/>
          <w:color w:val="000000"/>
          <w:sz w:val="24"/>
          <w:szCs w:val="24"/>
          <w:lang w:val="kk-KZ"/>
        </w:rPr>
        <w:t>]</w:t>
      </w:r>
    </w:p>
    <w:p w:rsidR="005118AF" w:rsidRDefault="005118AF">
      <w:pPr>
        <w:spacing w:after="0" w:line="240" w:lineRule="auto"/>
        <w:ind w:firstLine="709"/>
        <w:jc w:val="both"/>
        <w:rPr>
          <w:rFonts w:ascii="Times New Roman" w:eastAsia="Times New Roman" w:hAnsi="Times New Roman" w:cs="Times New Roman"/>
          <w:sz w:val="28"/>
          <w:szCs w:val="28"/>
          <w:lang w:val="kk-KZ"/>
        </w:rPr>
      </w:pP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16-суреттен көріп отырғанымыздай ҚР бойынша жоғары технологиялық инновациялық тауарлар экспортының көп үлесін Алматы қаласы - 327,2 млн. доллар (жалпы экспорттың 48%-ы), Алматы облысы - 138,1 млн. доллар (20%) және Қостанай облыстарына - 121,5 млн. доллар </w:t>
      </w:r>
      <w:r>
        <w:rPr>
          <w:rFonts w:ascii="Times New Roman" w:eastAsia="Times New Roman" w:hAnsi="Times New Roman" w:cs="Times New Roman"/>
          <w:sz w:val="28"/>
          <w:szCs w:val="28"/>
          <w:lang w:val="kk-KZ"/>
        </w:rPr>
        <w:t xml:space="preserve">(17,8%) құрайды. Қалған өңірлер қосылып жалпы көлемнің 15%-дан аз бөлігін құрады [102].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Еліміздің тамақ өнеркәсібінің инновациялық дамуы саладағы ғылыми-техникалық жұмыстарды, инновациялық жобаларды мемлекеттің немесе бизнестің қолдауымен тығыз байланыс</w:t>
      </w:r>
      <w:r>
        <w:rPr>
          <w:rFonts w:ascii="Times New Roman" w:eastAsia="Times New Roman" w:hAnsi="Times New Roman" w:cs="Times New Roman"/>
          <w:sz w:val="28"/>
          <w:szCs w:val="28"/>
          <w:lang w:val="kk-KZ"/>
        </w:rPr>
        <w:t xml:space="preserve">ты. Қазақстан Республикасында кәсіпорындардың инновациялық дамуын жеделтеуге бағытталған институционалдық, инфрақұрылымдық, қаржылық және қаржылық емес қолдау жүйесі қалыптасқан.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Қазақстанның ғылыми-технологиялық саласындағы ағымдық саясаты  «Қазақстан 20</w:t>
      </w:r>
      <w:r>
        <w:rPr>
          <w:rFonts w:ascii="Times New Roman" w:eastAsia="Times New Roman" w:hAnsi="Times New Roman" w:cs="Times New Roman"/>
          <w:sz w:val="28"/>
          <w:szCs w:val="28"/>
          <w:lang w:val="kk-KZ"/>
        </w:rPr>
        <w:t xml:space="preserve">50 Стратегиясы», «Ұлттық даму жоспары» және «ҚР индустриалды-инновациялық дамуының 2021-2025 жылдарға арналған бағдарламасы» атты маңызды стратегиялық құжаттармен анықталған [1; 110].  Сонымен қатар, кәсіпорындардың цифрландырылуы мен инновациялық дамуына </w:t>
      </w:r>
      <w:r>
        <w:rPr>
          <w:rFonts w:ascii="Times New Roman" w:eastAsia="Times New Roman" w:hAnsi="Times New Roman" w:cs="Times New Roman"/>
          <w:sz w:val="28"/>
          <w:szCs w:val="28"/>
          <w:lang w:val="kk-KZ"/>
        </w:rPr>
        <w:t>ықпал етуге бағытталған “Жасанды интеллект дәуіріндегі Қазақстан: өзекті мәселелер және оны түбегейлі цифрлық өзгерістер арқылы шешу” атты Қазақстан халқына Жолдауды іске асыруға арналған Жалпыұлттық іс-шаралар жоспары қабылданған [111]. Осы аталған бағдар</w:t>
      </w:r>
      <w:r>
        <w:rPr>
          <w:rFonts w:ascii="Times New Roman" w:eastAsia="Times New Roman" w:hAnsi="Times New Roman" w:cs="Times New Roman"/>
          <w:sz w:val="28"/>
          <w:szCs w:val="28"/>
          <w:lang w:val="kk-KZ"/>
        </w:rPr>
        <w:t xml:space="preserve">ламалардың аясында еліміздің экономикасы мен өнеркәсіп саласын дамытуды қажет ететін басым секторлары айқындалған, олардың алдында тұрған инновациялық дамумен байланысты негізгі мәселелер мен оларды шешу үшін анықталған стратегиялық бастамаларды қамтыған. </w:t>
      </w:r>
      <w:r>
        <w:rPr>
          <w:rFonts w:ascii="Times New Roman" w:eastAsia="Times New Roman" w:hAnsi="Times New Roman" w:cs="Times New Roman"/>
          <w:sz w:val="28"/>
          <w:szCs w:val="28"/>
          <w:lang w:val="kk-KZ"/>
        </w:rPr>
        <w:t>Бағдарламалар аясындағы айқындалған басымдыққа ие салалар қатарында тамақ өнеркәсібі саласы да бар. Аталмыш бағдарламаның дамуы әлі де жалғасын табуда және 2025 жылы ЖИ секторын реттейтін “Жасанды интеллект туралы” заң қабылдау және Alem.AI “Халықаралық жа</w:t>
      </w:r>
      <w:r>
        <w:rPr>
          <w:rFonts w:ascii="Times New Roman" w:eastAsia="Times New Roman" w:hAnsi="Times New Roman" w:cs="Times New Roman"/>
          <w:sz w:val="28"/>
          <w:szCs w:val="28"/>
          <w:lang w:val="kk-KZ"/>
        </w:rPr>
        <w:t xml:space="preserve">санды интеллект орталығын” </w:t>
      </w:r>
      <w:r>
        <w:rPr>
          <w:rFonts w:ascii="Times New Roman" w:eastAsia="Times New Roman" w:hAnsi="Times New Roman" w:cs="Times New Roman"/>
          <w:sz w:val="28"/>
          <w:szCs w:val="28"/>
          <w:lang w:val="kk-KZ"/>
        </w:rPr>
        <w:t>құрылды</w:t>
      </w:r>
      <w:r>
        <w:rPr>
          <w:rFonts w:ascii="Times New Roman" w:eastAsia="Times New Roman" w:hAnsi="Times New Roman" w:cs="Times New Roman"/>
          <w:sz w:val="28"/>
          <w:szCs w:val="28"/>
          <w:lang w:val="kk-KZ"/>
        </w:rPr>
        <w:t xml:space="preserve"> [112].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Бұдан бөлек елімізде ауыл шаруашылығын дамыту бағдарламалары, оның ішінде жаңартылған Қазақстан Республикасының агроөнеркәсіптік кешенді дамытудың 2021-2030 жылдарға арналған тұжырымдамасы мен 2024-2028 жылдарға </w:t>
      </w:r>
      <w:r>
        <w:rPr>
          <w:rFonts w:ascii="Times New Roman" w:eastAsia="Times New Roman" w:hAnsi="Times New Roman" w:cs="Times New Roman"/>
          <w:sz w:val="28"/>
          <w:szCs w:val="28"/>
          <w:lang w:val="kk-KZ"/>
        </w:rPr>
        <w:t>арналған жаңа “Мықты Агроөнеркәсіптік кешен” Ұлттық жобасы өңделген өнімдерідің үлесін арттыруға, аграрлық ғылымды дамытуға, суды үнемдейтін технологиялар мен ауыл шаруашылығы тәжірибесін енгізуге өзін-өзі азық-түлікпен қаматамасыз едуге бағытталған. Бұл б</w:t>
      </w:r>
      <w:r>
        <w:rPr>
          <w:rFonts w:ascii="Times New Roman" w:eastAsia="Times New Roman" w:hAnsi="Times New Roman" w:cs="Times New Roman"/>
          <w:sz w:val="28"/>
          <w:szCs w:val="28"/>
          <w:lang w:val="kk-KZ"/>
        </w:rPr>
        <w:t xml:space="preserve">ағдарламалар аясындағы негізгі міндетке өндіріс көлемін ұлғайту, егістік алқаптарын әртараптандыру, ынтымақтастықты ынталандыру, жеңілдетілген несиелер мен субсидияларды пайдалана отырып, инвестициялық жобаларды жүзеге асыру кіреді [113]. </w:t>
      </w:r>
    </w:p>
    <w:p w:rsidR="005118AF" w:rsidRDefault="00EF60C3">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15-кестеде Қазақ</w:t>
      </w:r>
      <w:r>
        <w:rPr>
          <w:rFonts w:ascii="Times New Roman" w:eastAsia="Times New Roman" w:hAnsi="Times New Roman" w:cs="Times New Roman"/>
          <w:sz w:val="28"/>
          <w:szCs w:val="28"/>
          <w:lang w:val="kk-KZ"/>
        </w:rPr>
        <w:t xml:space="preserve">станның тамақ өнеркәсібі саласын инновациялық дамыту бойынша жүзеге асыратын институттардың тізбесін келтірілген. </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Тамақ өнеркәсібі жалпы қосылған құн бойынша металлургиядан кейінгі екінші ірі өндіріс саласы болып табылады. Бұл сала өңдеу өнеркәсібі саласы</w:t>
      </w:r>
      <w:r>
        <w:rPr>
          <w:rFonts w:ascii="Times New Roman" w:eastAsia="Times New Roman" w:hAnsi="Times New Roman" w:cs="Times New Roman"/>
          <w:sz w:val="28"/>
          <w:szCs w:val="28"/>
          <w:lang w:val="kk-KZ"/>
        </w:rPr>
        <w:t>ндағы ең ірі жұмыс беруші саласы. Басқа күрделі салалармен салыстырғанда тамақ өнеркәсібі негізгі капиталға инвестициялардың жыл сайынғы тұрақты өсуін көрсетеді. Сонымен қатар, сала кәсіпорындары мемлекеттік қолдауды белсенді қатысушар қатарына жатады.</w:t>
      </w:r>
    </w:p>
    <w:p w:rsidR="005118AF" w:rsidRDefault="005118AF">
      <w:pPr>
        <w:spacing w:after="0" w:line="240" w:lineRule="auto"/>
        <w:ind w:firstLine="709"/>
        <w:jc w:val="both"/>
        <w:rPr>
          <w:rFonts w:ascii="Times New Roman" w:eastAsia="Times New Roman" w:hAnsi="Times New Roman" w:cs="Times New Roman"/>
          <w:sz w:val="28"/>
          <w:szCs w:val="28"/>
          <w:lang w:val="kk-KZ"/>
        </w:rPr>
      </w:pPr>
    </w:p>
    <w:p w:rsidR="005118AF" w:rsidRDefault="005118AF">
      <w:pPr>
        <w:spacing w:after="0" w:line="240" w:lineRule="auto"/>
        <w:ind w:firstLine="567"/>
        <w:jc w:val="both"/>
        <w:rPr>
          <w:rFonts w:ascii="Times New Roman" w:hAnsi="Times New Roman"/>
          <w:sz w:val="28"/>
          <w:szCs w:val="28"/>
          <w:lang w:val="kk-KZ"/>
        </w:rPr>
        <w:sectPr w:rsidR="005118AF">
          <w:pgSz w:w="11906" w:h="16838"/>
          <w:pgMar w:top="1134" w:right="567" w:bottom="1134" w:left="1701" w:header="709" w:footer="709" w:gutter="0"/>
          <w:cols w:space="720"/>
          <w:docGrid w:linePitch="360"/>
        </w:sectPr>
      </w:pPr>
    </w:p>
    <w:p w:rsidR="005118AF" w:rsidRDefault="00EF60C3">
      <w:pPr>
        <w:spacing w:after="0" w:line="20" w:lineRule="atLeast"/>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Кесте 15 ‒ Қазақстан Республикасында тамақ өнеркәсібін инновациялық дамытудың ұйымдастырушылық-құқықтық құрылымы</w:t>
      </w:r>
    </w:p>
    <w:p w:rsidR="005118AF" w:rsidRDefault="005118AF">
      <w:pPr>
        <w:spacing w:after="0" w:line="20" w:lineRule="atLeast"/>
        <w:jc w:val="both"/>
        <w:rPr>
          <w:rFonts w:ascii="Times New Roman" w:eastAsia="Times New Roman" w:hAnsi="Times New Roman" w:cs="Times New Roman"/>
          <w:sz w:val="16"/>
          <w:szCs w:val="16"/>
          <w:lang w:val="kk-KZ"/>
        </w:rPr>
      </w:pPr>
    </w:p>
    <w:tbl>
      <w:tblPr>
        <w:tblStyle w:val="ae"/>
        <w:tblW w:w="14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2053"/>
        <w:gridCol w:w="5000"/>
        <w:gridCol w:w="5381"/>
      </w:tblGrid>
      <w:tr w:rsidR="005118AF">
        <w:trPr>
          <w:jc w:val="center"/>
        </w:trPr>
        <w:tc>
          <w:tcPr>
            <w:tcW w:w="1873" w:type="dxa"/>
            <w:vAlign w:val="center"/>
          </w:tcPr>
          <w:p w:rsidR="005118AF" w:rsidRDefault="00EF60C3">
            <w:pPr>
              <w:spacing w:after="0" w:line="20" w:lineRule="atLeast"/>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Қолдау бағыттары</w:t>
            </w:r>
          </w:p>
        </w:tc>
        <w:tc>
          <w:tcPr>
            <w:tcW w:w="2053" w:type="dxa"/>
            <w:vAlign w:val="center"/>
          </w:tcPr>
          <w:p w:rsidR="005118AF" w:rsidRDefault="00EF60C3">
            <w:pPr>
              <w:spacing w:after="0" w:line="20" w:lineRule="atLeast"/>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Негізгі элементтері</w:t>
            </w:r>
          </w:p>
        </w:tc>
        <w:tc>
          <w:tcPr>
            <w:tcW w:w="5000" w:type="dxa"/>
            <w:vAlign w:val="center"/>
          </w:tcPr>
          <w:p w:rsidR="005118AF" w:rsidRDefault="00EF60C3">
            <w:pPr>
              <w:spacing w:after="0" w:line="20" w:lineRule="atLeast"/>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Институттар/Құжаттар</w:t>
            </w:r>
          </w:p>
        </w:tc>
        <w:tc>
          <w:tcPr>
            <w:tcW w:w="5381" w:type="dxa"/>
            <w:vAlign w:val="center"/>
          </w:tcPr>
          <w:p w:rsidR="005118AF" w:rsidRDefault="00EF60C3">
            <w:pPr>
              <w:spacing w:after="0" w:line="20" w:lineRule="atLeast"/>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Міндеті</w:t>
            </w:r>
          </w:p>
        </w:tc>
      </w:tr>
      <w:tr w:rsidR="005118AF">
        <w:trPr>
          <w:trHeight w:val="157"/>
          <w:jc w:val="center"/>
        </w:trPr>
        <w:tc>
          <w:tcPr>
            <w:tcW w:w="1873" w:type="dxa"/>
            <w:vMerge w:val="restart"/>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Институционалдық қолдау жүйесі</w:t>
            </w: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Мемлекеттік саясат</w:t>
            </w: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w:t>
            </w:r>
            <w:r>
              <w:rPr>
                <w:rFonts w:ascii="Times New Roman" w:eastAsia="Times New Roman" w:hAnsi="Times New Roman" w:cs="Times New Roman"/>
                <w:sz w:val="24"/>
                <w:szCs w:val="24"/>
                <w:lang w:val="kk-KZ"/>
              </w:rPr>
              <w:t xml:space="preserve"> 2050”, Ұлттық даму жоспары 2030, Индустриалдық инновациялық даму бағдарламасы, “Цифрлық Қазақстан” жобасы</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Ұлттық инновациялық стратегияны қалыптастыру</w:t>
            </w:r>
          </w:p>
        </w:tc>
      </w:tr>
      <w:tr w:rsidR="005118AF">
        <w:trPr>
          <w:jc w:val="center"/>
        </w:trPr>
        <w:tc>
          <w:tcPr>
            <w:tcW w:w="1873" w:type="dxa"/>
            <w:vMerge/>
          </w:tcPr>
          <w:p w:rsidR="005118AF" w:rsidRDefault="005118AF">
            <w:pPr>
              <w:spacing w:after="0" w:line="20" w:lineRule="atLeast"/>
              <w:rPr>
                <w:rFonts w:ascii="Times New Roman" w:eastAsia="Times New Roman" w:hAnsi="Times New Roman" w:cs="Times New Roman"/>
                <w:sz w:val="24"/>
                <w:szCs w:val="24"/>
                <w:lang w:val="kk-KZ"/>
              </w:rPr>
            </w:pP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Қолдау институттары</w:t>
            </w: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“QazInnovation”, “Технологиялық даму қоры”, ҚР Ғылым және жоғары білім министрлігі</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Инновациялық грант, кеңес беру, мониторинг</w:t>
            </w:r>
          </w:p>
        </w:tc>
      </w:tr>
      <w:tr w:rsidR="005118AF">
        <w:trPr>
          <w:trHeight w:val="62"/>
          <w:jc w:val="center"/>
        </w:trPr>
        <w:tc>
          <w:tcPr>
            <w:tcW w:w="1873" w:type="dxa"/>
            <w:vMerge/>
          </w:tcPr>
          <w:p w:rsidR="005118AF" w:rsidRDefault="005118AF">
            <w:pPr>
              <w:spacing w:after="0" w:line="20" w:lineRule="atLeast"/>
              <w:rPr>
                <w:rFonts w:ascii="Times New Roman" w:eastAsia="Times New Roman" w:hAnsi="Times New Roman" w:cs="Times New Roman"/>
                <w:sz w:val="24"/>
                <w:szCs w:val="24"/>
                <w:lang w:val="kk-KZ"/>
              </w:rPr>
            </w:pP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Құқықтық</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нормативтік база</w:t>
            </w: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Ресрубликасының Кәсіпкерлік Кодексі” ҚР 2015 жылғы 29 қазандағы №375-V (23-1 бөлімі), патенттік құқық</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Инновацияны құқтық қорғау</w:t>
            </w:r>
          </w:p>
        </w:tc>
      </w:tr>
      <w:tr w:rsidR="005118AF">
        <w:trPr>
          <w:trHeight w:val="710"/>
          <w:jc w:val="center"/>
        </w:trPr>
        <w:tc>
          <w:tcPr>
            <w:tcW w:w="1873" w:type="dxa"/>
            <w:vMerge w:val="restart"/>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Инфрақұрылымдық қолдау</w:t>
            </w: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Технопарктер, бизнес</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инкубаторлар</w:t>
            </w:r>
          </w:p>
        </w:tc>
        <w:tc>
          <w:tcPr>
            <w:tcW w:w="5000" w:type="dxa"/>
          </w:tcPr>
          <w:p w:rsidR="005118AF" w:rsidRDefault="00EF60C3">
            <w:pPr>
              <w:spacing w:after="0" w:line="20" w:lineRule="atLeast"/>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Astana Hub</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en-US"/>
              </w:rPr>
              <w:t>Alatau IT City</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en-US"/>
              </w:rPr>
              <w:t>Nazarbayev University</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 xml:space="preserve">IT </w:t>
            </w:r>
            <w:r>
              <w:rPr>
                <w:rFonts w:ascii="Times New Roman" w:eastAsia="Times New Roman" w:hAnsi="Times New Roman" w:cs="Times New Roman"/>
                <w:sz w:val="24"/>
                <w:szCs w:val="24"/>
              </w:rPr>
              <w:t xml:space="preserve">стартаптар </w:t>
            </w:r>
            <w:r>
              <w:rPr>
                <w:rFonts w:ascii="Times New Roman" w:eastAsia="Times New Roman" w:hAnsi="Times New Roman" w:cs="Times New Roman"/>
                <w:sz w:val="24"/>
                <w:szCs w:val="24"/>
                <w:lang w:val="kk-KZ"/>
              </w:rPr>
              <w:t>үшін</w:t>
            </w:r>
          </w:p>
        </w:tc>
      </w:tr>
      <w:tr w:rsidR="005118AF">
        <w:trPr>
          <w:trHeight w:val="560"/>
          <w:jc w:val="center"/>
        </w:trPr>
        <w:tc>
          <w:tcPr>
            <w:tcW w:w="1873" w:type="dxa"/>
            <w:vMerge/>
          </w:tcPr>
          <w:p w:rsidR="005118AF" w:rsidRDefault="005118AF">
            <w:pPr>
              <w:spacing w:after="0" w:line="20" w:lineRule="atLeast"/>
              <w:rPr>
                <w:rFonts w:ascii="Times New Roman" w:eastAsia="Times New Roman" w:hAnsi="Times New Roman" w:cs="Times New Roman"/>
                <w:sz w:val="24"/>
                <w:szCs w:val="24"/>
                <w:lang w:val="kk-KZ"/>
              </w:rPr>
            </w:pP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Зертханалар мен ғылыми зерттеу орталықтары</w:t>
            </w:r>
          </w:p>
        </w:tc>
        <w:tc>
          <w:tcPr>
            <w:tcW w:w="5000" w:type="dxa"/>
          </w:tcPr>
          <w:p w:rsidR="005118AF" w:rsidRDefault="00EF60C3">
            <w:pPr>
              <w:tabs>
                <w:tab w:val="left" w:pos="-127"/>
              </w:tabs>
              <w:spacing w:after="0" w:line="20" w:lineRule="atLeast"/>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 қайта өңдеу және тамақ өнеркәсібі ғылыми-зерттеу институты" ЖШС</w:t>
            </w:r>
          </w:p>
          <w:p w:rsidR="005118AF" w:rsidRDefault="00EF60C3">
            <w:pPr>
              <w:tabs>
                <w:tab w:val="left" w:pos="-127"/>
              </w:tabs>
              <w:spacing w:after="0" w:line="20" w:lineRule="atLeast"/>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Қазақ АӨК экономикасы және ауылдық аумақтарды дамыту </w:t>
            </w:r>
            <w:r>
              <w:rPr>
                <w:rFonts w:ascii="Times New Roman" w:eastAsia="Times New Roman" w:hAnsi="Times New Roman" w:cs="Times New Roman"/>
                <w:sz w:val="24"/>
                <w:szCs w:val="24"/>
                <w:lang w:val="kk-KZ"/>
              </w:rPr>
              <w:t>ғылыми-зерттеу институты" ЖШС</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Жаңа технологиялар мен білімдерді дамытуға, оларды коммерциаландыруға және нақты экономикаға көшуге, инновациялық зерттеулер мен әзірлемелер үшін жағдай жасауға баса назар аударады</w:t>
            </w:r>
          </w:p>
        </w:tc>
      </w:tr>
      <w:tr w:rsidR="005118AF">
        <w:trPr>
          <w:trHeight w:val="62"/>
          <w:jc w:val="center"/>
        </w:trPr>
        <w:tc>
          <w:tcPr>
            <w:tcW w:w="1873" w:type="dxa"/>
            <w:vMerge w:val="restart"/>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Қаржылық қолдау</w:t>
            </w:r>
          </w:p>
        </w:tc>
        <w:tc>
          <w:tcPr>
            <w:tcW w:w="2053" w:type="dxa"/>
            <w:vMerge w:val="restart"/>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Мемлекеттік гранттар</w:t>
            </w: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“Ғылым </w:t>
            </w:r>
            <w:r>
              <w:rPr>
                <w:rFonts w:ascii="Times New Roman" w:eastAsia="Times New Roman" w:hAnsi="Times New Roman" w:cs="Times New Roman"/>
                <w:sz w:val="24"/>
                <w:szCs w:val="24"/>
                <w:lang w:val="kk-KZ"/>
              </w:rPr>
              <w:t>қоры”</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Зерттеу нәтижелерін коммерциаландыру</w:t>
            </w:r>
          </w:p>
        </w:tc>
      </w:tr>
      <w:tr w:rsidR="005118AF">
        <w:trPr>
          <w:trHeight w:val="565"/>
          <w:jc w:val="center"/>
        </w:trPr>
        <w:tc>
          <w:tcPr>
            <w:tcW w:w="1873" w:type="dxa"/>
            <w:vMerge/>
          </w:tcPr>
          <w:p w:rsidR="005118AF" w:rsidRDefault="005118AF">
            <w:pPr>
              <w:spacing w:after="0" w:line="20" w:lineRule="atLeast"/>
              <w:rPr>
                <w:rFonts w:ascii="Times New Roman" w:eastAsia="Times New Roman" w:hAnsi="Times New Roman" w:cs="Times New Roman"/>
                <w:sz w:val="24"/>
                <w:szCs w:val="24"/>
              </w:rPr>
            </w:pPr>
          </w:p>
        </w:tc>
        <w:tc>
          <w:tcPr>
            <w:tcW w:w="2053" w:type="dxa"/>
            <w:vMerge/>
          </w:tcPr>
          <w:p w:rsidR="005118AF" w:rsidRDefault="005118AF">
            <w:pPr>
              <w:spacing w:after="0" w:line="20" w:lineRule="atLeast"/>
              <w:rPr>
                <w:rFonts w:ascii="Times New Roman" w:eastAsia="Times New Roman" w:hAnsi="Times New Roman" w:cs="Times New Roman"/>
                <w:sz w:val="24"/>
                <w:szCs w:val="24"/>
              </w:rPr>
            </w:pP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“Даму қоры”</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ШОБ қаржыландыру бағдарламалары, субсидия, кепілдіктер мен оқыту</w:t>
            </w:r>
          </w:p>
        </w:tc>
      </w:tr>
      <w:tr w:rsidR="005118AF">
        <w:trPr>
          <w:jc w:val="center"/>
        </w:trPr>
        <w:tc>
          <w:tcPr>
            <w:tcW w:w="1873" w:type="dxa"/>
            <w:vMerge/>
          </w:tcPr>
          <w:p w:rsidR="005118AF" w:rsidRDefault="005118AF">
            <w:pPr>
              <w:spacing w:after="0" w:line="20" w:lineRule="atLeast"/>
              <w:rPr>
                <w:rFonts w:ascii="Times New Roman" w:eastAsia="Times New Roman" w:hAnsi="Times New Roman" w:cs="Times New Roman"/>
                <w:sz w:val="24"/>
                <w:szCs w:val="24"/>
                <w:lang w:val="kk-KZ"/>
              </w:rPr>
            </w:pP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Халықаралық қолдау</w:t>
            </w: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Дүниежүзілік банк, ЕҚДБ, Азия даму банкі</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Адам ресурстарын дамыту, цифрлық трансформация мен бәсекеге </w:t>
            </w:r>
            <w:r>
              <w:rPr>
                <w:rFonts w:ascii="Times New Roman" w:eastAsia="Times New Roman" w:hAnsi="Times New Roman" w:cs="Times New Roman"/>
                <w:sz w:val="24"/>
                <w:szCs w:val="24"/>
                <w:lang w:val="kk-KZ"/>
              </w:rPr>
              <w:t>қабілеттілікті арттыру саласындағы жобалар</w:t>
            </w:r>
          </w:p>
        </w:tc>
      </w:tr>
      <w:tr w:rsidR="005118AF">
        <w:trPr>
          <w:jc w:val="center"/>
        </w:trPr>
        <w:tc>
          <w:tcPr>
            <w:tcW w:w="1873" w:type="dxa"/>
            <w:vMerge/>
          </w:tcPr>
          <w:p w:rsidR="005118AF" w:rsidRDefault="005118AF">
            <w:pPr>
              <w:spacing w:after="0" w:line="20" w:lineRule="atLeast"/>
              <w:rPr>
                <w:rFonts w:ascii="Times New Roman" w:eastAsia="Times New Roman" w:hAnsi="Times New Roman" w:cs="Times New Roman"/>
                <w:sz w:val="24"/>
                <w:szCs w:val="24"/>
                <w:lang w:val="kk-KZ"/>
              </w:rPr>
            </w:pPr>
          </w:p>
        </w:tc>
        <w:tc>
          <w:tcPr>
            <w:tcW w:w="2053"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Инновациялық ваучерлер</w:t>
            </w:r>
          </w:p>
        </w:tc>
        <w:tc>
          <w:tcPr>
            <w:tcW w:w="5000"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en-US"/>
              </w:rPr>
              <w:t>QazInnovations</w:t>
            </w:r>
          </w:p>
        </w:tc>
        <w:tc>
          <w:tcPr>
            <w:tcW w:w="5381" w:type="dxa"/>
          </w:tcPr>
          <w:p w:rsidR="005118AF" w:rsidRDefault="00EF60C3">
            <w:pPr>
              <w:spacing w:after="0" w:line="20"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ҒЗТКЖ, бизнес-жоспар әзірлеуге және жаңа технологияларды енгізуге қаржылық қолдау көрсету</w:t>
            </w:r>
          </w:p>
        </w:tc>
      </w:tr>
    </w:tbl>
    <w:p w:rsidR="005118AF" w:rsidRDefault="005118AF">
      <w:pPr>
        <w:tabs>
          <w:tab w:val="left" w:pos="2504"/>
        </w:tabs>
        <w:rPr>
          <w:rFonts w:ascii="Times New Roman" w:hAnsi="Times New Roman"/>
          <w:sz w:val="28"/>
          <w:szCs w:val="28"/>
          <w:lang w:val="kk-KZ"/>
        </w:rPr>
        <w:sectPr w:rsidR="005118AF">
          <w:pgSz w:w="16838" w:h="11906" w:orient="landscape"/>
          <w:pgMar w:top="1701" w:right="1134" w:bottom="567" w:left="1134" w:header="709" w:footer="709" w:gutter="0"/>
          <w:cols w:space="720"/>
          <w:docGrid w:linePitch="360"/>
        </w:sectPr>
      </w:pP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Дегенмен, әлеуметтік маңыздылығы жоғары болғанына </w:t>
      </w:r>
      <w:r>
        <w:rPr>
          <w:rFonts w:ascii="Times New Roman" w:eastAsia="Times New Roman" w:hAnsi="Times New Roman" w:cs="Times New Roman"/>
          <w:sz w:val="28"/>
          <w:szCs w:val="28"/>
          <w:lang w:val="kk-KZ"/>
        </w:rPr>
        <w:t>қарамастан, тамақ өнеркәсібі саласында келесідей өзекті мәселелер қалыптасқан:</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саладағы орташа жалақы деңгейі ең төменгі деңгейлердің бірі болуда. Бұл білікті кадрлардың басқа жоғары жалақы ұсынатын салаға кетуіне әкеледі. </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тамақ өнеркәсібі кәсіпорында</w:t>
      </w:r>
      <w:r>
        <w:rPr>
          <w:rFonts w:ascii="Times New Roman" w:eastAsia="Times New Roman" w:hAnsi="Times New Roman" w:cs="Times New Roman"/>
          <w:sz w:val="28"/>
          <w:szCs w:val="28"/>
          <w:lang w:val="kk-KZ"/>
        </w:rPr>
        <w:t>рының шамамен 17,1%-ы инженерлік-техникалық кадрлар мен білікті қызметкерлердің тапшылығын сезінуде [106].</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тамақ өндірісіндегі жабдықтардың тозу деңгейі 36,7-38,7% деңгейінде қалып отыр. Жоғары тозу апат қаупі арттырады, өндіріс қауіпсіздігін төмендетеді</w:t>
      </w:r>
      <w:r>
        <w:rPr>
          <w:rFonts w:ascii="Times New Roman" w:eastAsia="Times New Roman" w:hAnsi="Times New Roman" w:cs="Times New Roman"/>
          <w:sz w:val="28"/>
          <w:szCs w:val="28"/>
          <w:lang w:val="kk-KZ"/>
        </w:rPr>
        <w:t xml:space="preserve"> және жөндеу шығындарын арттырады [102];</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салада қант, ет және шұжық өнімдері, сондай-ақ ірімшік пен сүзбе сияқты маңызды тауарлар бойынша жалпы импортка тәуелділік бар;</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саладағы инновациялық белсенділіктің төмендігі. Тамақ өнеркәсібі кәсіпорындарында и</w:t>
      </w:r>
      <w:r>
        <w:rPr>
          <w:rFonts w:ascii="Times New Roman" w:eastAsia="Times New Roman" w:hAnsi="Times New Roman" w:cs="Times New Roman"/>
          <w:sz w:val="28"/>
          <w:szCs w:val="28"/>
          <w:lang w:val="kk-KZ"/>
        </w:rPr>
        <w:t>нновацияларды енгізудегі негізгі кедергілер қатарына - инновацияға нарықтық сұраныстың төмендігі және өздерінің қаржылық ресустарының жетіспеушілігін атап өтуге болады;</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ҒЗТКЖ жүргізудегі қиындықтар. Кәсіпорындарда ғылыми-зерттеу және тәжірибелік-конструк</w:t>
      </w:r>
      <w:r>
        <w:rPr>
          <w:rFonts w:ascii="Times New Roman" w:eastAsia="Times New Roman" w:hAnsi="Times New Roman" w:cs="Times New Roman"/>
          <w:sz w:val="28"/>
          <w:szCs w:val="28"/>
          <w:lang w:val="kk-KZ"/>
        </w:rPr>
        <w:t xml:space="preserve">торлық жұмыстарды жүргізудегі негізгі кедергі - мұндай қызметтерді көрсете алатын мамандардың жетіспеушілігін атап өтуге болады. </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Жалпы алғанда, Қазақстанда инновациялық дамуды қолдау жүйесінің институционалдық, инфрақұрылымдық және қаржылық негіздері қалы</w:t>
      </w:r>
      <w:r>
        <w:rPr>
          <w:rFonts w:ascii="Times New Roman" w:eastAsia="Times New Roman" w:hAnsi="Times New Roman" w:cs="Times New Roman"/>
          <w:sz w:val="28"/>
          <w:szCs w:val="28"/>
          <w:lang w:val="kk-KZ"/>
        </w:rPr>
        <w:t>птасқан. Институционалдық деңгейде заңнамалық база бар, дегенмен, институционалдық жүйеде инновациялық процестерд үйлестіру деңгейі әлі де жеткіліксіз, ал заңнамалық нормалардың орындалуын қадағалау тетіктері әлі де жетілдіруді қажет етеді. Инфрақұрылым тұ</w:t>
      </w:r>
      <w:r>
        <w:rPr>
          <w:rFonts w:ascii="Times New Roman" w:eastAsia="Times New Roman" w:hAnsi="Times New Roman" w:cs="Times New Roman"/>
          <w:sz w:val="28"/>
          <w:szCs w:val="28"/>
          <w:lang w:val="kk-KZ"/>
        </w:rPr>
        <w:t>рғысынан технопарктер, бизнес-инкубаторлар, индустриалдық аймақтар мен арнайы экономикалық аймақтар желісі құрылған. Бұл құрылымдар кәсіпорындарға инновацияны енгізуге қолайлы жағдай жасайды. Дегенмен, олардың тиімділігі әркелкі: кейбір аймақтарда инфрақұр</w:t>
      </w:r>
      <w:r>
        <w:rPr>
          <w:rFonts w:ascii="Times New Roman" w:eastAsia="Times New Roman" w:hAnsi="Times New Roman" w:cs="Times New Roman"/>
          <w:sz w:val="28"/>
          <w:szCs w:val="28"/>
          <w:lang w:val="kk-KZ"/>
        </w:rPr>
        <w:t>ылым желісі жеткілікті деңгейде дамыса, басқа өңірлерде оның қолжетімділігі төмен. Сондай-ақ, ғылыми-зерттеу институттары мен өндіріс арасындағы байланысты күшейту қажетілігі байқалады. Қаржылық қолдау мемлекеттік гранттар мен жеңілдетілген несиелер арқылы</w:t>
      </w:r>
      <w:r>
        <w:rPr>
          <w:rFonts w:ascii="Times New Roman" w:eastAsia="Times New Roman" w:hAnsi="Times New Roman" w:cs="Times New Roman"/>
          <w:sz w:val="28"/>
          <w:szCs w:val="28"/>
          <w:lang w:val="kk-KZ"/>
        </w:rPr>
        <w:t xml:space="preserve"> қамтамасыз етеді. Сондықтан, жүйенің тиімділігін арттыру үшін ғылым мен өндіріс байланасын күшейту, аймақтық ерекшеліктерді ескеру және жеке инвестицияларды ынталандыру қажет. </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zh-CN"/>
        </w:rPr>
        <w:t>Қазіргі кезде тамақ өнеркәсібі кәсіпорындарының инновациялық дамуы жолына өтуі</w:t>
      </w:r>
      <w:r>
        <w:rPr>
          <w:rFonts w:ascii="Times New Roman" w:eastAsia="Times New Roman" w:hAnsi="Times New Roman" w:cs="Times New Roman"/>
          <w:sz w:val="28"/>
          <w:szCs w:val="28"/>
          <w:lang w:val="kk-KZ" w:eastAsia="zh-CN"/>
        </w:rPr>
        <w:t xml:space="preserve"> - 21 ғасырдағы өнеркәсіптік өндірістің дамуының объективті заңдылығы болып табылады. Бұл ретте тамақ өнеркәсібі кәсіпорындары үшін инновациялық үдерістің барлық қатысушыларының тиімді қызмет жасайтын өзара байланыс жүйесін қалыптастыру және олардың өзара </w:t>
      </w:r>
      <w:r>
        <w:rPr>
          <w:rFonts w:ascii="Times New Roman" w:eastAsia="Times New Roman" w:hAnsi="Times New Roman" w:cs="Times New Roman"/>
          <w:sz w:val="28"/>
          <w:szCs w:val="28"/>
          <w:lang w:val="kk-KZ" w:eastAsia="zh-CN"/>
        </w:rPr>
        <w:t>үйлесімділігі сала алдында тұрған бірінші кезектегі мәселелердің шешуін қамтамасыз етеді [114].</w:t>
      </w:r>
    </w:p>
    <w:p w:rsidR="005118AF" w:rsidRDefault="00EF60C3">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Жалпы алғанда тамақ өнеркәсібі кәсіпорындарын инновациялық дамыту жолында туындайтын кедергілерді түсіну, анықтау маңызды сұрақ болып табылады. Олардың ерекшелі</w:t>
      </w:r>
      <w:r>
        <w:rPr>
          <w:rFonts w:ascii="Times New Roman" w:eastAsia="Times New Roman" w:hAnsi="Times New Roman" w:cs="Times New Roman"/>
          <w:sz w:val="28"/>
          <w:szCs w:val="28"/>
          <w:lang w:val="kk-KZ"/>
        </w:rPr>
        <w:t>к сипаттарын біле отырып, бұл үдерісті жеделдетудің және инновацияларды енгізудің, сол арқылы отандық тамақ өнеркәсібінің тұрақты дамуына қолайлы жағдай қалыптастыру бойынша шаралар кешенін әзірлеуге болады.</w:t>
      </w:r>
    </w:p>
    <w:p w:rsidR="005118AF" w:rsidRDefault="005118AF">
      <w:pPr>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p>
    <w:p w:rsidR="005118AF" w:rsidRDefault="00EF60C3">
      <w:pPr>
        <w:spacing w:after="0" w:line="240" w:lineRule="auto"/>
        <w:ind w:firstLineChars="252" w:firstLine="706"/>
        <w:jc w:val="both"/>
        <w:rPr>
          <w:rFonts w:ascii="Times New Roman" w:eastAsia="DengXian" w:hAnsi="Times New Roman" w:cs="Times New Roman"/>
          <w:b/>
          <w:bCs/>
          <w:sz w:val="28"/>
          <w:szCs w:val="28"/>
          <w:lang w:val="kk-KZ" w:eastAsia="zh-CN"/>
        </w:rPr>
      </w:pPr>
      <w:r>
        <w:rPr>
          <w:rFonts w:ascii="Times New Roman" w:eastAsia="DengXian" w:hAnsi="Times New Roman" w:cs="Times New Roman"/>
          <w:b/>
          <w:bCs/>
          <w:sz w:val="28"/>
          <w:szCs w:val="28"/>
          <w:lang w:val="kk-KZ" w:eastAsia="zh-CN"/>
        </w:rPr>
        <w:t xml:space="preserve">2.2 </w:t>
      </w:r>
      <w:r>
        <w:rPr>
          <w:rFonts w:ascii="Times New Roman" w:hAnsi="Times New Roman"/>
          <w:b/>
          <w:bCs/>
          <w:sz w:val="28"/>
          <w:szCs w:val="28"/>
          <w:lang w:val="kk-KZ"/>
        </w:rPr>
        <w:t xml:space="preserve">Тамақ өнеркәсібі кәсіпорындарының </w:t>
      </w:r>
      <w:r>
        <w:rPr>
          <w:rFonts w:ascii="Times New Roman" w:hAnsi="Times New Roman"/>
          <w:b/>
          <w:bCs/>
          <w:sz w:val="28"/>
          <w:szCs w:val="28"/>
          <w:lang w:val="kk-KZ"/>
        </w:rPr>
        <w:t>инновациялық қызметін азық-түлік инновацияларының жаһандық индексі контексінде талдау және бағалау</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Тамақ өнеркәсібіндегі инновацияларға елдің ішіндегі көптеген саясаттар, нормативтік актілер мен экологиялық факторлар әсер етеді, сонымен қатар жаһандану жағ</w:t>
      </w:r>
      <w:r>
        <w:rPr>
          <w:rFonts w:ascii="Times New Roman" w:eastAsia="DengXian" w:hAnsi="Times New Roman" w:cs="Times New Roman"/>
          <w:sz w:val="28"/>
          <w:szCs w:val="28"/>
          <w:lang w:val="kk-KZ" w:eastAsia="zh-CN"/>
        </w:rPr>
        <w:t xml:space="preserve">дайында азық-түлік секторының инновациялық қызметін халықаралық бәсекеге қабілеттілік контекстінде бағалау маңызды мәселесі екенін білдіреді (17-сурет). </w:t>
      </w:r>
    </w:p>
    <w:p w:rsidR="005118AF" w:rsidRDefault="005118AF">
      <w:pPr>
        <w:spacing w:after="0" w:line="240" w:lineRule="auto"/>
        <w:ind w:firstLineChars="142" w:firstLine="398"/>
        <w:jc w:val="both"/>
        <w:rPr>
          <w:rFonts w:ascii="Times New Roman" w:eastAsia="DengXian" w:hAnsi="Times New Roman" w:cs="Times New Roman"/>
          <w:sz w:val="28"/>
          <w:szCs w:val="28"/>
          <w:lang w:val="kk-KZ" w:eastAsia="zh-CN"/>
        </w:rPr>
      </w:pPr>
    </w:p>
    <w:tbl>
      <w:tblPr>
        <w:tblStyle w:val="ae"/>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325"/>
        <w:gridCol w:w="2260"/>
        <w:gridCol w:w="233"/>
        <w:gridCol w:w="2087"/>
        <w:gridCol w:w="240"/>
        <w:gridCol w:w="1966"/>
      </w:tblGrid>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center"/>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val="kk-KZ" w:eastAsia="zh-CN"/>
              </w:rPr>
              <w:t xml:space="preserve">Санат </w:t>
            </w:r>
            <w:r>
              <w:rPr>
                <w:rFonts w:ascii="Times New Roman" w:eastAsia="DengXian" w:hAnsi="Times New Roman" w:cs="Times New Roman"/>
                <w:bCs/>
                <w:i/>
                <w:sz w:val="24"/>
                <w:szCs w:val="24"/>
                <w:lang w:eastAsia="zh-CN"/>
              </w:rPr>
              <w:t>1</w:t>
            </w:r>
          </w:p>
          <w:p w:rsidR="005118AF" w:rsidRDefault="00EF60C3">
            <w:pPr>
              <w:spacing w:after="0" w:line="240" w:lineRule="auto"/>
              <w:jc w:val="center"/>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eastAsia="zh-CN"/>
              </w:rPr>
              <w:t>Нормативт</w:t>
            </w:r>
            <w:r>
              <w:rPr>
                <w:rFonts w:ascii="Times New Roman" w:eastAsia="DengXian" w:hAnsi="Times New Roman" w:cs="Times New Roman"/>
                <w:bCs/>
                <w:i/>
                <w:sz w:val="24"/>
                <w:szCs w:val="24"/>
                <w:lang w:val="kk-KZ" w:eastAsia="zh-CN"/>
              </w:rPr>
              <w:t>ік</w:t>
            </w:r>
            <w:r>
              <w:rPr>
                <w:rFonts w:ascii="Times New Roman" w:eastAsia="DengXian" w:hAnsi="Times New Roman" w:cs="Times New Roman"/>
                <w:bCs/>
                <w:i/>
                <w:sz w:val="24"/>
                <w:szCs w:val="24"/>
                <w:lang w:eastAsia="zh-CN"/>
              </w:rPr>
              <w:t>-</w:t>
            </w:r>
            <w:r>
              <w:rPr>
                <w:rFonts w:ascii="Times New Roman" w:eastAsia="DengXian" w:hAnsi="Times New Roman" w:cs="Times New Roman"/>
                <w:bCs/>
                <w:i/>
                <w:sz w:val="24"/>
                <w:szCs w:val="24"/>
                <w:lang w:val="kk-KZ" w:eastAsia="zh-CN"/>
              </w:rPr>
              <w:t>құқықтық</w:t>
            </w:r>
            <w:r>
              <w:rPr>
                <w:rFonts w:ascii="Times New Roman" w:eastAsia="DengXian" w:hAnsi="Times New Roman" w:cs="Times New Roman"/>
                <w:bCs/>
                <w:i/>
                <w:sz w:val="24"/>
                <w:szCs w:val="24"/>
                <w:lang w:val="kk-KZ" w:eastAsia="zh-CN"/>
              </w:rPr>
              <w:t xml:space="preserve"> база ортасы</w:t>
            </w:r>
          </w:p>
          <w:p w:rsidR="005118AF" w:rsidRDefault="00EF60C3">
            <w:pPr>
              <w:spacing w:after="0" w:line="240" w:lineRule="auto"/>
              <w:jc w:val="center"/>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eastAsia="zh-CN"/>
              </w:rPr>
              <w:t>(15)</w:t>
            </w:r>
          </w:p>
        </w:tc>
        <w:tc>
          <w:tcPr>
            <w:tcW w:w="325" w:type="dxa"/>
            <w:tcBorders>
              <w:top w:val="nil"/>
              <w:left w:val="single" w:sz="4" w:space="0" w:color="auto"/>
              <w:bottom w:val="nil"/>
              <w:right w:val="single" w:sz="4" w:space="0" w:color="auto"/>
            </w:tcBorders>
          </w:tcPr>
          <w:p w:rsidR="005118AF" w:rsidRDefault="005118AF">
            <w:pPr>
              <w:spacing w:after="0" w:line="240" w:lineRule="auto"/>
              <w:jc w:val="center"/>
              <w:rPr>
                <w:rFonts w:ascii="Times New Roman" w:eastAsia="DengXian" w:hAnsi="Times New Roman" w:cs="Times New Roman"/>
                <w:bCs/>
                <w:i/>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center"/>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val="kk-KZ" w:eastAsia="zh-CN"/>
              </w:rPr>
              <w:t xml:space="preserve">Санат </w:t>
            </w:r>
            <w:r>
              <w:rPr>
                <w:rFonts w:ascii="Times New Roman" w:eastAsia="DengXian" w:hAnsi="Times New Roman" w:cs="Times New Roman"/>
                <w:bCs/>
                <w:i/>
                <w:sz w:val="24"/>
                <w:szCs w:val="24"/>
                <w:lang w:eastAsia="zh-CN"/>
              </w:rPr>
              <w:t>2</w:t>
            </w:r>
          </w:p>
          <w:p w:rsidR="005118AF" w:rsidRDefault="00EF60C3">
            <w:pPr>
              <w:spacing w:after="0" w:line="240" w:lineRule="auto"/>
              <w:jc w:val="center"/>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eastAsia="zh-CN"/>
              </w:rPr>
              <w:t>Бизнест</w:t>
            </w:r>
            <w:r>
              <w:rPr>
                <w:rFonts w:ascii="Times New Roman" w:eastAsia="DengXian" w:hAnsi="Times New Roman" w:cs="Times New Roman"/>
                <w:bCs/>
                <w:i/>
                <w:sz w:val="24"/>
                <w:szCs w:val="24"/>
                <w:lang w:val="kk-KZ" w:eastAsia="zh-CN"/>
              </w:rPr>
              <w:t>ің бәсекеге қабілеттілігі</w:t>
            </w:r>
          </w:p>
          <w:p w:rsidR="005118AF" w:rsidRDefault="00EF60C3">
            <w:pPr>
              <w:spacing w:after="0" w:line="240" w:lineRule="auto"/>
              <w:jc w:val="center"/>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val="kk-KZ" w:eastAsia="zh-CN"/>
              </w:rPr>
              <w:t xml:space="preserve"> </w:t>
            </w:r>
            <w:r>
              <w:rPr>
                <w:rFonts w:ascii="Times New Roman" w:eastAsia="DengXian" w:hAnsi="Times New Roman" w:cs="Times New Roman"/>
                <w:bCs/>
                <w:i/>
                <w:sz w:val="24"/>
                <w:szCs w:val="24"/>
                <w:lang w:eastAsia="zh-CN"/>
              </w:rPr>
              <w:t>(18)</w:t>
            </w:r>
          </w:p>
        </w:tc>
        <w:tc>
          <w:tcPr>
            <w:tcW w:w="233" w:type="dxa"/>
            <w:tcBorders>
              <w:top w:val="nil"/>
              <w:left w:val="single" w:sz="4" w:space="0" w:color="auto"/>
              <w:bottom w:val="nil"/>
              <w:right w:val="single" w:sz="4" w:space="0" w:color="auto"/>
            </w:tcBorders>
          </w:tcPr>
          <w:p w:rsidR="005118AF" w:rsidRDefault="005118AF">
            <w:pPr>
              <w:spacing w:after="0" w:line="240" w:lineRule="auto"/>
              <w:jc w:val="center"/>
              <w:rPr>
                <w:rFonts w:ascii="Times New Roman" w:eastAsia="DengXian" w:hAnsi="Times New Roman" w:cs="Times New Roman"/>
                <w:bCs/>
                <w:i/>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center"/>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val="kk-KZ" w:eastAsia="zh-CN"/>
              </w:rPr>
              <w:t xml:space="preserve">Санат </w:t>
            </w:r>
            <w:r>
              <w:rPr>
                <w:rFonts w:ascii="Times New Roman" w:eastAsia="DengXian" w:hAnsi="Times New Roman" w:cs="Times New Roman"/>
                <w:bCs/>
                <w:i/>
                <w:sz w:val="24"/>
                <w:szCs w:val="24"/>
                <w:lang w:eastAsia="zh-CN"/>
              </w:rPr>
              <w:t>3</w:t>
            </w:r>
          </w:p>
          <w:p w:rsidR="005118AF" w:rsidRDefault="00EF60C3">
            <w:pPr>
              <w:spacing w:after="0" w:line="240" w:lineRule="auto"/>
              <w:jc w:val="center"/>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val="kk-KZ" w:eastAsia="zh-CN"/>
              </w:rPr>
              <w:t>Нарықтың дайындығы</w:t>
            </w:r>
          </w:p>
          <w:p w:rsidR="005118AF" w:rsidRDefault="00EF60C3">
            <w:pPr>
              <w:spacing w:after="0" w:line="240" w:lineRule="auto"/>
              <w:jc w:val="center"/>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eastAsia="zh-CN"/>
              </w:rPr>
              <w:t>(15)</w:t>
            </w:r>
          </w:p>
          <w:p w:rsidR="005118AF" w:rsidRDefault="005118AF">
            <w:pPr>
              <w:spacing w:after="0" w:line="240" w:lineRule="auto"/>
              <w:jc w:val="center"/>
              <w:rPr>
                <w:rFonts w:ascii="Times New Roman" w:eastAsia="DengXian" w:hAnsi="Times New Roman" w:cs="Times New Roman"/>
                <w:bCs/>
                <w:i/>
                <w:sz w:val="24"/>
                <w:szCs w:val="24"/>
                <w:lang w:val="kk-KZ" w:eastAsia="zh-CN"/>
              </w:rPr>
            </w:pPr>
          </w:p>
        </w:tc>
        <w:tc>
          <w:tcPr>
            <w:tcW w:w="240" w:type="dxa"/>
            <w:tcBorders>
              <w:top w:val="nil"/>
              <w:left w:val="single" w:sz="4" w:space="0" w:color="auto"/>
              <w:bottom w:val="nil"/>
              <w:right w:val="single" w:sz="4" w:space="0" w:color="auto"/>
            </w:tcBorders>
          </w:tcPr>
          <w:p w:rsidR="005118AF" w:rsidRDefault="005118AF">
            <w:pPr>
              <w:spacing w:after="0" w:line="240" w:lineRule="auto"/>
              <w:jc w:val="center"/>
              <w:rPr>
                <w:rFonts w:ascii="Times New Roman" w:eastAsia="DengXian" w:hAnsi="Times New Roman" w:cs="Times New Roman"/>
                <w:bCs/>
                <w:i/>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center"/>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val="kk-KZ" w:eastAsia="zh-CN"/>
              </w:rPr>
              <w:t>Санат 4</w:t>
            </w:r>
          </w:p>
          <w:p w:rsidR="005118AF" w:rsidRDefault="00EF60C3">
            <w:pPr>
              <w:spacing w:after="0" w:line="240" w:lineRule="auto"/>
              <w:jc w:val="center"/>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val="kk-KZ" w:eastAsia="zh-CN"/>
              </w:rPr>
              <w:t>Зияткерлік меншік және зерттерлеу мен әзірлемелер</w:t>
            </w:r>
          </w:p>
          <w:p w:rsidR="005118AF" w:rsidRDefault="00EF60C3">
            <w:pPr>
              <w:spacing w:after="0" w:line="240" w:lineRule="auto"/>
              <w:jc w:val="center"/>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eastAsia="zh-CN"/>
              </w:rPr>
              <w:t>(15)</w:t>
            </w:r>
          </w:p>
        </w:tc>
      </w:tr>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1"/>
                <w:numId w:val="17"/>
              </w:numPr>
              <w:spacing w:after="0" w:line="240" w:lineRule="auto"/>
              <w:jc w:val="both"/>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eastAsia="zh-CN"/>
              </w:rPr>
              <w:t>Нор</w:t>
            </w:r>
            <w:r>
              <w:rPr>
                <w:rFonts w:ascii="Times New Roman" w:eastAsia="DengXian" w:hAnsi="Times New Roman" w:cs="Times New Roman"/>
                <w:bCs/>
                <w:i/>
                <w:sz w:val="24"/>
                <w:szCs w:val="24"/>
                <w:lang w:val="kk-KZ" w:eastAsia="zh-CN"/>
              </w:rPr>
              <w:t>мативтік</w:t>
            </w:r>
            <w:r>
              <w:rPr>
                <w:rFonts w:ascii="Times New Roman" w:eastAsia="DengXian" w:hAnsi="Times New Roman" w:cs="Times New Roman"/>
                <w:bCs/>
                <w:i/>
                <w:sz w:val="24"/>
                <w:szCs w:val="24"/>
                <w:lang w:eastAsia="zh-CN"/>
              </w:rPr>
              <w:t>-</w:t>
            </w:r>
            <w:r>
              <w:rPr>
                <w:rFonts w:ascii="Times New Roman" w:eastAsia="DengXian" w:hAnsi="Times New Roman" w:cs="Times New Roman"/>
                <w:bCs/>
                <w:i/>
                <w:sz w:val="24"/>
                <w:szCs w:val="24"/>
                <w:lang w:val="kk-KZ" w:eastAsia="zh-CN"/>
              </w:rPr>
              <w:t>құқықтық</w:t>
            </w:r>
            <w:r>
              <w:rPr>
                <w:rFonts w:ascii="Times New Roman" w:eastAsia="DengXian" w:hAnsi="Times New Roman" w:cs="Times New Roman"/>
                <w:bCs/>
                <w:i/>
                <w:sz w:val="24"/>
                <w:szCs w:val="24"/>
                <w:lang w:val="kk-KZ" w:eastAsia="zh-CN"/>
              </w:rPr>
              <w:t xml:space="preserve"> база ортасы </w:t>
            </w:r>
            <w:r>
              <w:rPr>
                <w:rFonts w:ascii="Times New Roman" w:eastAsia="DengXian" w:hAnsi="Times New Roman" w:cs="Times New Roman"/>
                <w:bCs/>
                <w:i/>
                <w:sz w:val="24"/>
                <w:szCs w:val="24"/>
                <w:lang w:eastAsia="zh-CN"/>
              </w:rPr>
              <w:t>(9)</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bCs/>
                <w:i/>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eastAsia="zh-CN"/>
              </w:rPr>
              <w:t xml:space="preserve">2.1. </w:t>
            </w:r>
            <w:r>
              <w:rPr>
                <w:rFonts w:ascii="Times New Roman" w:eastAsia="DengXian" w:hAnsi="Times New Roman" w:cs="Times New Roman"/>
                <w:bCs/>
                <w:i/>
                <w:sz w:val="24"/>
                <w:szCs w:val="24"/>
                <w:lang w:val="kk-KZ" w:eastAsia="zh-CN"/>
              </w:rPr>
              <w:t xml:space="preserve">Бизнестің бәсекеге қабілеттілігі </w:t>
            </w:r>
            <w:r>
              <w:rPr>
                <w:rFonts w:ascii="Times New Roman" w:eastAsia="DengXian" w:hAnsi="Times New Roman" w:cs="Times New Roman"/>
                <w:bCs/>
                <w:i/>
                <w:sz w:val="24"/>
                <w:szCs w:val="24"/>
                <w:lang w:eastAsia="zh-CN"/>
              </w:rPr>
              <w:t>(6)</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bCs/>
                <w:i/>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eastAsia="zh-CN"/>
              </w:rPr>
              <w:t xml:space="preserve">3.1. </w:t>
            </w:r>
            <w:r>
              <w:rPr>
                <w:rFonts w:ascii="Times New Roman" w:eastAsia="DengXian" w:hAnsi="Times New Roman" w:cs="Times New Roman"/>
                <w:bCs/>
                <w:i/>
                <w:sz w:val="24"/>
                <w:szCs w:val="24"/>
                <w:lang w:val="kk-KZ" w:eastAsia="zh-CN"/>
              </w:rPr>
              <w:t>Оқыту және білім беру</w:t>
            </w:r>
            <w:r>
              <w:rPr>
                <w:rFonts w:ascii="Times New Roman" w:eastAsia="DengXian" w:hAnsi="Times New Roman" w:cs="Times New Roman"/>
                <w:bCs/>
                <w:i/>
                <w:sz w:val="24"/>
                <w:szCs w:val="24"/>
                <w:lang w:eastAsia="zh-CN"/>
              </w:rPr>
              <w:t xml:space="preserve"> (9)</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bCs/>
                <w:i/>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bCs/>
                <w:i/>
                <w:sz w:val="24"/>
                <w:szCs w:val="24"/>
                <w:lang w:val="en-US" w:eastAsia="zh-CN"/>
              </w:rPr>
            </w:pPr>
            <w:r>
              <w:rPr>
                <w:rFonts w:ascii="Times New Roman" w:eastAsia="DengXian" w:hAnsi="Times New Roman" w:cs="Times New Roman"/>
                <w:bCs/>
                <w:i/>
                <w:sz w:val="24"/>
                <w:szCs w:val="24"/>
                <w:lang w:eastAsia="zh-CN"/>
              </w:rPr>
              <w:t xml:space="preserve">4.1. </w:t>
            </w:r>
            <w:r>
              <w:rPr>
                <w:rFonts w:ascii="Times New Roman" w:eastAsia="DengXian" w:hAnsi="Times New Roman" w:cs="Times New Roman"/>
                <w:bCs/>
                <w:i/>
                <w:sz w:val="24"/>
                <w:szCs w:val="24"/>
                <w:lang w:val="kk-KZ" w:eastAsia="zh-CN"/>
              </w:rPr>
              <w:t>Меншікті қорғау (</w:t>
            </w:r>
            <w:r>
              <w:rPr>
                <w:rFonts w:ascii="Times New Roman" w:eastAsia="DengXian" w:hAnsi="Times New Roman" w:cs="Times New Roman"/>
                <w:bCs/>
                <w:i/>
                <w:sz w:val="24"/>
                <w:szCs w:val="24"/>
                <w:lang w:eastAsia="zh-CN"/>
              </w:rPr>
              <w:t xml:space="preserve">6) </w:t>
            </w:r>
          </w:p>
        </w:tc>
      </w:tr>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2"/>
                <w:numId w:val="17"/>
              </w:num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Өнімді</w:t>
            </w:r>
            <w:r>
              <w:rPr>
                <w:rFonts w:ascii="Times New Roman" w:eastAsia="DengXian" w:hAnsi="Times New Roman" w:cs="Times New Roman"/>
                <w:sz w:val="24"/>
                <w:szCs w:val="24"/>
                <w:lang w:val="kk-KZ" w:eastAsia="zh-CN"/>
              </w:rPr>
              <w:t xml:space="preserve"> бекіту мерзімдері</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val="kk-KZ" w:eastAsia="zh-CN"/>
              </w:rPr>
              <w:t>2.1.1.</w:t>
            </w:r>
            <w:r>
              <w:rPr>
                <w:rFonts w:ascii="Times New Roman" w:eastAsia="DengXian" w:hAnsi="Times New Roman" w:cs="Times New Roman"/>
                <w:sz w:val="24"/>
                <w:szCs w:val="24"/>
                <w:lang w:val="kk-KZ" w:eastAsia="zh-CN"/>
              </w:rPr>
              <w:t xml:space="preserve"> </w:t>
            </w:r>
            <w:r>
              <w:rPr>
                <w:rFonts w:ascii="Times New Roman" w:hAnsi="Times New Roman" w:cs="Times New Roman"/>
                <w:sz w:val="24"/>
                <w:szCs w:val="24"/>
                <w:lang w:val="kk-KZ"/>
              </w:rPr>
              <w:t>Азық-түлік өнімдерінің экспор ты мен импорты</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3.1.1.</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Студенттерді ынталандыру</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 xml:space="preserve">4.1.1. </w:t>
            </w:r>
            <w:r>
              <w:rPr>
                <w:rFonts w:ascii="Times New Roman" w:eastAsia="DengXian" w:hAnsi="Times New Roman" w:cs="Times New Roman"/>
                <w:sz w:val="24"/>
                <w:szCs w:val="24"/>
                <w:lang w:eastAsia="zh-CN"/>
              </w:rPr>
              <w:t>Патентт</w:t>
            </w:r>
            <w:r>
              <w:rPr>
                <w:rFonts w:ascii="Times New Roman" w:eastAsia="DengXian" w:hAnsi="Times New Roman" w:cs="Times New Roman"/>
                <w:sz w:val="24"/>
                <w:szCs w:val="24"/>
                <w:lang w:val="kk-KZ" w:eastAsia="zh-CN"/>
              </w:rPr>
              <w:t>і</w:t>
            </w:r>
            <w:r>
              <w:rPr>
                <w:rFonts w:ascii="Times New Roman" w:eastAsia="DengXian" w:hAnsi="Times New Roman" w:cs="Times New Roman"/>
                <w:sz w:val="24"/>
                <w:szCs w:val="24"/>
                <w:lang w:eastAsia="zh-CN"/>
              </w:rPr>
              <w:t xml:space="preserve">к </w:t>
            </w:r>
            <w:r>
              <w:rPr>
                <w:rFonts w:ascii="Times New Roman" w:eastAsia="DengXian" w:hAnsi="Times New Roman" w:cs="Times New Roman"/>
                <w:sz w:val="24"/>
                <w:szCs w:val="24"/>
                <w:lang w:val="kk-KZ" w:eastAsia="zh-CN"/>
              </w:rPr>
              <w:t>рәсімдер</w:t>
            </w:r>
          </w:p>
        </w:tc>
      </w:tr>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2"/>
                <w:numId w:val="17"/>
              </w:num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Азық</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түлік қауіпсіздігін қамтамасыз ету</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2.1.2.</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Тұтыну бағасының индекстері</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3.1.2.</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Білім берудегі трендтер</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4.1.2.</w:t>
            </w:r>
            <w:r>
              <w:rPr>
                <w:rFonts w:ascii="Times New Roman" w:eastAsia="DengXian" w:hAnsi="Times New Roman" w:cs="Times New Roman"/>
                <w:bCs/>
                <w:sz w:val="24"/>
                <w:szCs w:val="24"/>
                <w:lang w:val="kk-KZ" w:eastAsia="zh-CN"/>
              </w:rPr>
              <w:t xml:space="preserve"> </w:t>
            </w:r>
            <w:r>
              <w:rPr>
                <w:rFonts w:ascii="Times New Roman" w:eastAsia="DengXian" w:hAnsi="Times New Roman" w:cs="Times New Roman"/>
                <w:sz w:val="24"/>
                <w:szCs w:val="24"/>
                <w:lang w:val="kk-KZ" w:eastAsia="zh-CN"/>
              </w:rPr>
              <w:t xml:space="preserve">Патенттік қорғау және </w:t>
            </w:r>
            <w:r>
              <w:rPr>
                <w:rFonts w:ascii="Times New Roman" w:eastAsia="DengXian" w:hAnsi="Times New Roman" w:cs="Times New Roman"/>
                <w:sz w:val="24"/>
                <w:szCs w:val="24"/>
                <w:lang w:val="kk-KZ" w:eastAsia="zh-CN"/>
              </w:rPr>
              <w:t>мониторинг</w:t>
            </w:r>
          </w:p>
        </w:tc>
      </w:tr>
      <w:tr w:rsidR="005118AF">
        <w:trPr>
          <w:trHeight w:val="1171"/>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2"/>
                <w:numId w:val="17"/>
              </w:num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Ашықтық пен коммуникация</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val="kk-KZ" w:eastAsia="zh-CN"/>
              </w:rPr>
              <w:t>2.2. Капиталды қаржыландыру және несиенің қол жетімділігі (6)</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3.1.3.</w:t>
            </w:r>
            <w:r>
              <w:rPr>
                <w:rFonts w:ascii="Times New Roman" w:eastAsia="DengXian" w:hAnsi="Times New Roman" w:cs="Times New Roman"/>
                <w:sz w:val="24"/>
                <w:szCs w:val="24"/>
                <w:lang w:eastAsia="zh-CN"/>
              </w:rPr>
              <w:t xml:space="preserve"> Кадрларды </w:t>
            </w:r>
            <w:r>
              <w:rPr>
                <w:rFonts w:ascii="Times New Roman" w:eastAsia="DengXian" w:hAnsi="Times New Roman" w:cs="Times New Roman"/>
                <w:sz w:val="24"/>
                <w:szCs w:val="24"/>
                <w:lang w:val="kk-KZ" w:eastAsia="zh-CN"/>
              </w:rPr>
              <w:t>қайта</w:t>
            </w:r>
            <w:r>
              <w:rPr>
                <w:rFonts w:ascii="Times New Roman" w:eastAsia="DengXian" w:hAnsi="Times New Roman" w:cs="Times New Roman"/>
                <w:sz w:val="24"/>
                <w:szCs w:val="24"/>
                <w:lang w:val="kk-KZ" w:eastAsia="zh-CN"/>
              </w:rPr>
              <w:t xml:space="preserve"> даярлау</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i/>
                <w:sz w:val="24"/>
                <w:szCs w:val="24"/>
                <w:lang w:val="kk-KZ" w:eastAsia="zh-CN"/>
              </w:rPr>
            </w:pPr>
            <w:r>
              <w:rPr>
                <w:rFonts w:ascii="Times New Roman" w:eastAsia="DengXian" w:hAnsi="Times New Roman" w:cs="Times New Roman"/>
                <w:bCs/>
                <w:i/>
                <w:sz w:val="24"/>
                <w:szCs w:val="24"/>
                <w:lang w:eastAsia="zh-CN"/>
              </w:rPr>
              <w:t>4.2.</w:t>
            </w:r>
            <w:r>
              <w:rPr>
                <w:rFonts w:ascii="Times New Roman" w:eastAsia="DengXian" w:hAnsi="Times New Roman" w:cs="Times New Roman"/>
                <w:bCs/>
                <w:i/>
                <w:sz w:val="24"/>
                <w:szCs w:val="24"/>
                <w:lang w:val="kk-KZ" w:eastAsia="zh-CN"/>
              </w:rPr>
              <w:t xml:space="preserve">Зерттеулер мен әзірлемелер </w:t>
            </w:r>
            <w:r>
              <w:rPr>
                <w:rFonts w:ascii="Times New Roman" w:eastAsia="DengXian" w:hAnsi="Times New Roman" w:cs="Times New Roman"/>
                <w:bCs/>
                <w:i/>
                <w:sz w:val="24"/>
                <w:szCs w:val="24"/>
                <w:lang w:eastAsia="zh-CN"/>
              </w:rPr>
              <w:t>(9)</w:t>
            </w:r>
          </w:p>
        </w:tc>
      </w:tr>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1"/>
                <w:numId w:val="17"/>
              </w:numPr>
              <w:spacing w:after="0" w:line="240" w:lineRule="auto"/>
              <w:jc w:val="both"/>
              <w:rPr>
                <w:rFonts w:ascii="Times New Roman" w:eastAsia="DengXian" w:hAnsi="Times New Roman" w:cs="Times New Roman"/>
                <w:bCs/>
                <w:i/>
                <w:sz w:val="24"/>
                <w:szCs w:val="24"/>
                <w:lang w:val="en-US" w:eastAsia="zh-CN"/>
              </w:rPr>
            </w:pPr>
            <w:r>
              <w:rPr>
                <w:rFonts w:ascii="Times New Roman" w:eastAsia="DengXian" w:hAnsi="Times New Roman" w:cs="Times New Roman"/>
                <w:bCs/>
                <w:i/>
                <w:sz w:val="24"/>
                <w:szCs w:val="24"/>
                <w:lang w:val="kk-KZ" w:eastAsia="zh-CN"/>
              </w:rPr>
              <w:t>Қоршаған</w:t>
            </w:r>
            <w:r>
              <w:rPr>
                <w:rFonts w:ascii="Times New Roman" w:eastAsia="DengXian" w:hAnsi="Times New Roman" w:cs="Times New Roman"/>
                <w:bCs/>
                <w:i/>
                <w:sz w:val="24"/>
                <w:szCs w:val="24"/>
                <w:lang w:val="kk-KZ" w:eastAsia="zh-CN"/>
              </w:rPr>
              <w:t xml:space="preserve"> ортаны қорғау нормалары </w:t>
            </w:r>
            <w:r>
              <w:rPr>
                <w:rFonts w:ascii="Times New Roman" w:eastAsia="DengXian" w:hAnsi="Times New Roman" w:cs="Times New Roman"/>
                <w:bCs/>
                <w:i/>
                <w:sz w:val="24"/>
                <w:szCs w:val="24"/>
                <w:lang w:eastAsia="zh-CN"/>
              </w:rPr>
              <w:t>(6)</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bCs/>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bCs/>
                <w:sz w:val="24"/>
                <w:szCs w:val="24"/>
                <w:lang w:eastAsia="zh-CN"/>
              </w:rPr>
              <w:t xml:space="preserve">2.2.1. </w:t>
            </w:r>
            <w:r>
              <w:rPr>
                <w:rFonts w:ascii="Times New Roman" w:eastAsia="DengXian" w:hAnsi="Times New Roman" w:cs="Times New Roman"/>
                <w:sz w:val="24"/>
                <w:szCs w:val="24"/>
                <w:lang w:val="kk-KZ" w:eastAsia="zh-CN"/>
              </w:rPr>
              <w:t>Үкіметтік</w:t>
            </w:r>
            <w:r>
              <w:rPr>
                <w:rFonts w:ascii="Times New Roman" w:eastAsia="DengXian" w:hAnsi="Times New Roman" w:cs="Times New Roman"/>
                <w:sz w:val="24"/>
                <w:szCs w:val="24"/>
                <w:lang w:val="kk-KZ" w:eastAsia="zh-CN"/>
              </w:rPr>
              <w:t xml:space="preserve"> гранттар мен несиелер</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i/>
                <w:sz w:val="24"/>
                <w:szCs w:val="24"/>
                <w:lang w:val="kk-KZ" w:eastAsia="zh-CN"/>
              </w:rPr>
            </w:pPr>
            <w:r>
              <w:rPr>
                <w:rFonts w:ascii="Times New Roman" w:eastAsia="DengXian" w:hAnsi="Times New Roman" w:cs="Times New Roman"/>
                <w:bCs/>
                <w:i/>
                <w:sz w:val="24"/>
                <w:szCs w:val="24"/>
                <w:lang w:eastAsia="zh-CN"/>
              </w:rPr>
              <w:t>3.2.</w:t>
            </w:r>
            <w:r>
              <w:rPr>
                <w:rFonts w:ascii="Times New Roman" w:eastAsia="DengXian" w:hAnsi="Times New Roman" w:cs="Times New Roman"/>
                <w:bCs/>
                <w:i/>
                <w:sz w:val="24"/>
                <w:szCs w:val="24"/>
                <w:lang w:val="kk-KZ" w:eastAsia="zh-CN"/>
              </w:rPr>
              <w:t>Әртүрлілілік</w:t>
            </w:r>
            <w:r>
              <w:rPr>
                <w:rFonts w:ascii="Times New Roman" w:eastAsia="DengXian" w:hAnsi="Times New Roman" w:cs="Times New Roman"/>
                <w:bCs/>
                <w:i/>
                <w:sz w:val="24"/>
                <w:szCs w:val="24"/>
                <w:lang w:val="kk-KZ" w:eastAsia="zh-CN"/>
              </w:rPr>
              <w:t xml:space="preserve"> және инклюзивтілік </w:t>
            </w:r>
            <w:r>
              <w:rPr>
                <w:rFonts w:ascii="Times New Roman" w:eastAsia="DengXian" w:hAnsi="Times New Roman" w:cs="Times New Roman"/>
                <w:bCs/>
                <w:i/>
                <w:sz w:val="24"/>
                <w:szCs w:val="24"/>
                <w:lang w:eastAsia="zh-CN"/>
              </w:rPr>
              <w:t>(6)</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4.2.1.</w:t>
            </w:r>
            <w:r>
              <w:rPr>
                <w:rFonts w:ascii="Times New Roman" w:eastAsia="DengXian" w:hAnsi="Times New Roman" w:cs="Times New Roman"/>
                <w:bCs/>
                <w:sz w:val="24"/>
                <w:szCs w:val="24"/>
                <w:lang w:val="kk-KZ" w:eastAsia="zh-CN"/>
              </w:rPr>
              <w:t xml:space="preserve"> </w:t>
            </w:r>
            <w:r>
              <w:rPr>
                <w:rFonts w:ascii="Times New Roman" w:eastAsia="DengXian" w:hAnsi="Times New Roman" w:cs="Times New Roman"/>
                <w:sz w:val="24"/>
                <w:szCs w:val="24"/>
                <w:lang w:val="kk-KZ" w:eastAsia="zh-CN"/>
              </w:rPr>
              <w:t>Ғылыми</w:t>
            </w:r>
            <w:r>
              <w:rPr>
                <w:rFonts w:ascii="Times New Roman" w:eastAsia="DengXian" w:hAnsi="Times New Roman" w:cs="Times New Roman"/>
                <w:sz w:val="24"/>
                <w:szCs w:val="24"/>
                <w:lang w:val="kk-KZ" w:eastAsia="zh-CN"/>
              </w:rPr>
              <w:t xml:space="preserve"> зерттеулерді қаржыландыру</w:t>
            </w:r>
          </w:p>
        </w:tc>
      </w:tr>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2"/>
                <w:numId w:val="17"/>
              </w:num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kk-KZ" w:eastAsia="zh-CN"/>
              </w:rPr>
              <w:t>Қалдықтарды</w:t>
            </w:r>
            <w:r>
              <w:rPr>
                <w:rFonts w:ascii="Times New Roman" w:eastAsia="DengXian" w:hAnsi="Times New Roman" w:cs="Times New Roman"/>
                <w:sz w:val="24"/>
                <w:szCs w:val="24"/>
                <w:lang w:val="kk-KZ" w:eastAsia="zh-CN"/>
              </w:rPr>
              <w:t xml:space="preserve"> басқару</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2.2.2.</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Тікелей шетелдік инвестициялар (ТШИ)</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val="kk-KZ" w:eastAsia="zh-CN"/>
              </w:rPr>
              <w:t xml:space="preserve">3.2.1. </w:t>
            </w:r>
            <w:r>
              <w:rPr>
                <w:rFonts w:ascii="Times New Roman" w:eastAsia="DengXian" w:hAnsi="Times New Roman" w:cs="Times New Roman"/>
                <w:sz w:val="24"/>
                <w:szCs w:val="24"/>
                <w:lang w:val="kk-KZ" w:eastAsia="zh-CN"/>
              </w:rPr>
              <w:t>Ынталанды ру және жұмыс орында әділ оқы ту бағдарлама лары</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4.2.2.</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Ұлттық</w:t>
            </w:r>
            <w:r>
              <w:rPr>
                <w:rFonts w:ascii="Times New Roman" w:eastAsia="DengXian" w:hAnsi="Times New Roman" w:cs="Times New Roman"/>
                <w:sz w:val="24"/>
                <w:szCs w:val="24"/>
                <w:lang w:val="kk-KZ" w:eastAsia="zh-CN"/>
              </w:rPr>
              <w:t xml:space="preserve"> деректер стратегиялары</w:t>
            </w:r>
          </w:p>
        </w:tc>
      </w:tr>
      <w:tr w:rsidR="005118AF">
        <w:trPr>
          <w:jc w:val="center"/>
        </w:trPr>
        <w:tc>
          <w:tcPr>
            <w:tcW w:w="2149" w:type="dxa"/>
            <w:tcBorders>
              <w:top w:val="single" w:sz="4" w:space="0" w:color="auto"/>
              <w:left w:val="single" w:sz="4" w:space="0" w:color="auto"/>
              <w:bottom w:val="single" w:sz="4" w:space="0" w:color="auto"/>
              <w:right w:val="single" w:sz="4" w:space="0" w:color="auto"/>
            </w:tcBorders>
          </w:tcPr>
          <w:p w:rsidR="005118AF" w:rsidRDefault="00EF60C3">
            <w:pPr>
              <w:numPr>
                <w:ilvl w:val="2"/>
                <w:numId w:val="17"/>
              </w:num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Қоршаған</w:t>
            </w:r>
            <w:r>
              <w:rPr>
                <w:rFonts w:ascii="Times New Roman" w:eastAsia="DengXian" w:hAnsi="Times New Roman" w:cs="Times New Roman"/>
                <w:sz w:val="24"/>
                <w:szCs w:val="24"/>
                <w:lang w:val="kk-KZ" w:eastAsia="zh-CN"/>
              </w:rPr>
              <w:t xml:space="preserve"> ортаның тәуекел дерін бағалау</w:t>
            </w:r>
          </w:p>
        </w:tc>
        <w:tc>
          <w:tcPr>
            <w:tcW w:w="325"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i/>
                <w:sz w:val="24"/>
                <w:szCs w:val="24"/>
                <w:lang w:val="kk-KZ" w:eastAsia="zh-CN"/>
              </w:rPr>
            </w:pPr>
            <w:r>
              <w:rPr>
                <w:rFonts w:ascii="Times New Roman" w:eastAsia="DengXian" w:hAnsi="Times New Roman" w:cs="Times New Roman"/>
                <w:bCs/>
                <w:i/>
                <w:sz w:val="24"/>
                <w:szCs w:val="24"/>
                <w:lang w:eastAsia="zh-CN"/>
              </w:rPr>
              <w:t xml:space="preserve">2.3. Тарату </w:t>
            </w:r>
            <w:r>
              <w:rPr>
                <w:rFonts w:ascii="Times New Roman" w:eastAsia="DengXian" w:hAnsi="Times New Roman" w:cs="Times New Roman"/>
                <w:bCs/>
                <w:i/>
                <w:sz w:val="24"/>
                <w:szCs w:val="24"/>
                <w:lang w:val="kk-KZ" w:eastAsia="zh-CN"/>
              </w:rPr>
              <w:t xml:space="preserve">желілері </w:t>
            </w:r>
            <w:r>
              <w:rPr>
                <w:rFonts w:ascii="Times New Roman" w:eastAsia="DengXian" w:hAnsi="Times New Roman" w:cs="Times New Roman"/>
                <w:bCs/>
                <w:i/>
                <w:sz w:val="24"/>
                <w:szCs w:val="24"/>
                <w:lang w:eastAsia="zh-CN"/>
              </w:rPr>
              <w:t>(6)</w:t>
            </w:r>
          </w:p>
        </w:tc>
        <w:tc>
          <w:tcPr>
            <w:tcW w:w="233"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3.2.2.</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Еңбекақы алшақтығын талдау</w:t>
            </w:r>
          </w:p>
        </w:tc>
        <w:tc>
          <w:tcPr>
            <w:tcW w:w="240" w:type="dxa"/>
            <w:tcBorders>
              <w:top w:val="nil"/>
              <w:left w:val="single" w:sz="4" w:space="0" w:color="auto"/>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4.2.3.</w:t>
            </w:r>
            <w:r>
              <w:rPr>
                <w:rFonts w:ascii="Times New Roman" w:eastAsia="DengXian" w:hAnsi="Times New Roman" w:cs="Times New Roman"/>
                <w:sz w:val="24"/>
                <w:szCs w:val="24"/>
                <w:lang w:val="kk-KZ" w:eastAsia="zh-CN"/>
              </w:rPr>
              <w:t xml:space="preserve"> Құпиялылық туралы заңдар</w:t>
            </w:r>
          </w:p>
        </w:tc>
      </w:tr>
      <w:tr w:rsidR="005118AF">
        <w:trPr>
          <w:jc w:val="center"/>
        </w:trPr>
        <w:tc>
          <w:tcPr>
            <w:tcW w:w="2149" w:type="dxa"/>
            <w:tcBorders>
              <w:top w:val="single" w:sz="4" w:space="0" w:color="auto"/>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325" w:type="dxa"/>
            <w:tcBorders>
              <w:top w:val="nil"/>
              <w:left w:val="nil"/>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bCs/>
                <w:sz w:val="24"/>
                <w:szCs w:val="24"/>
                <w:lang w:eastAsia="zh-CN"/>
              </w:rPr>
              <w:t>2.3.1.</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Жеке сауда белгілері</w:t>
            </w:r>
          </w:p>
        </w:tc>
        <w:tc>
          <w:tcPr>
            <w:tcW w:w="233" w:type="dxa"/>
            <w:tcBorders>
              <w:top w:val="nil"/>
              <w:left w:val="single" w:sz="4" w:space="0" w:color="auto"/>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single" w:sz="4" w:space="0" w:color="auto"/>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40" w:type="dxa"/>
            <w:tcBorders>
              <w:top w:val="nil"/>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single" w:sz="4" w:space="0" w:color="auto"/>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r>
      <w:tr w:rsidR="005118AF">
        <w:trPr>
          <w:jc w:val="center"/>
        </w:trPr>
        <w:tc>
          <w:tcPr>
            <w:tcW w:w="2149" w:type="dxa"/>
            <w:tcBorders>
              <w:top w:val="nil"/>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325" w:type="dxa"/>
            <w:tcBorders>
              <w:top w:val="nil"/>
              <w:left w:val="nil"/>
              <w:bottom w:val="nil"/>
              <w:right w:val="single" w:sz="4" w:space="0" w:color="auto"/>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262" w:type="dxa"/>
            <w:tcBorders>
              <w:top w:val="single" w:sz="4" w:space="0" w:color="auto"/>
              <w:left w:val="single" w:sz="4" w:space="0" w:color="auto"/>
              <w:bottom w:val="single" w:sz="4" w:space="0" w:color="auto"/>
              <w:right w:val="single" w:sz="4" w:space="0" w:color="auto"/>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eastAsia="zh-CN"/>
              </w:rPr>
              <w:t>2.3.2.</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Тасымалдау ж</w:t>
            </w:r>
            <w:r>
              <w:rPr>
                <w:rFonts w:ascii="Times New Roman" w:eastAsia="DengXian" w:hAnsi="Times New Roman" w:cs="Times New Roman"/>
                <w:sz w:val="24"/>
                <w:szCs w:val="24"/>
                <w:lang w:val="kk-KZ" w:eastAsia="zh-CN"/>
              </w:rPr>
              <w:t>әне</w:t>
            </w:r>
            <w:r>
              <w:rPr>
                <w:rFonts w:ascii="Times New Roman" w:eastAsia="DengXian" w:hAnsi="Times New Roman" w:cs="Times New Roman"/>
                <w:sz w:val="24"/>
                <w:szCs w:val="24"/>
                <w:lang w:val="kk-KZ" w:eastAsia="zh-CN"/>
              </w:rPr>
              <w:t xml:space="preserve"> жеткізу мүмкіндіктері</w:t>
            </w:r>
          </w:p>
        </w:tc>
        <w:tc>
          <w:tcPr>
            <w:tcW w:w="233" w:type="dxa"/>
            <w:tcBorders>
              <w:top w:val="nil"/>
              <w:left w:val="single" w:sz="4" w:space="0" w:color="auto"/>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088" w:type="dxa"/>
            <w:tcBorders>
              <w:top w:val="nil"/>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240" w:type="dxa"/>
            <w:tcBorders>
              <w:top w:val="nil"/>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c>
          <w:tcPr>
            <w:tcW w:w="1967" w:type="dxa"/>
            <w:tcBorders>
              <w:top w:val="nil"/>
              <w:left w:val="nil"/>
              <w:bottom w:val="nil"/>
              <w:right w:val="nil"/>
            </w:tcBorders>
          </w:tcPr>
          <w:p w:rsidR="005118AF" w:rsidRDefault="005118AF">
            <w:pPr>
              <w:spacing w:after="0" w:line="240" w:lineRule="auto"/>
              <w:jc w:val="both"/>
              <w:rPr>
                <w:rFonts w:ascii="Times New Roman" w:eastAsia="DengXian" w:hAnsi="Times New Roman" w:cs="Times New Roman"/>
                <w:sz w:val="24"/>
                <w:szCs w:val="24"/>
                <w:lang w:val="kk-KZ" w:eastAsia="zh-CN"/>
              </w:rPr>
            </w:pPr>
          </w:p>
        </w:tc>
      </w:tr>
    </w:tbl>
    <w:p w:rsidR="005118AF" w:rsidRDefault="005118AF">
      <w:pPr>
        <w:spacing w:after="0" w:line="240" w:lineRule="auto"/>
        <w:ind w:firstLineChars="142" w:firstLine="227"/>
        <w:jc w:val="both"/>
        <w:rPr>
          <w:rFonts w:ascii="Times New Roman" w:eastAsia="DengXian" w:hAnsi="Times New Roman" w:cs="Times New Roman"/>
          <w:sz w:val="16"/>
          <w:szCs w:val="16"/>
          <w:lang w:val="kk-KZ" w:eastAsia="zh-CN"/>
        </w:rPr>
      </w:pPr>
    </w:p>
    <w:p w:rsidR="005118AF" w:rsidRDefault="00EF60C3">
      <w:pPr>
        <w:spacing w:after="0" w:line="240" w:lineRule="auto"/>
        <w:jc w:val="cente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Сурет 17 ‒ Азық-түлік </w:t>
      </w:r>
      <w:r>
        <w:rPr>
          <w:rFonts w:ascii="Times New Roman" w:eastAsia="DengXian" w:hAnsi="Times New Roman" w:cs="Times New Roman"/>
          <w:sz w:val="28"/>
          <w:szCs w:val="28"/>
          <w:lang w:val="kk-KZ" w:eastAsia="zh-CN"/>
        </w:rPr>
        <w:t>инновацияларының жаһандық индексі санаттары мен айнымалылары</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Әртүрлі</w:t>
      </w:r>
      <w:r>
        <w:rPr>
          <w:rFonts w:ascii="Times New Roman" w:eastAsia="DengXian" w:hAnsi="Times New Roman" w:cs="Times New Roman"/>
          <w:sz w:val="28"/>
          <w:szCs w:val="28"/>
          <w:lang w:val="kk-KZ" w:eastAsia="zh-CN"/>
        </w:rPr>
        <w:t xml:space="preserve"> елдердегі азық-түлік саласындағы инновациялық  ортаға салыстырмалы талдау жүргізуге және оны бағалауға бағытталған бенчмаркинг әдісін қолдану өнеркәсіп пен мемлекеттік құрылымдар үшін бірдей тиімді бола алады. Инновациялық белсенділігі салыстырмалы</w:t>
      </w:r>
      <w:r>
        <w:rPr>
          <w:rFonts w:ascii="Times New Roman" w:eastAsia="DengXian" w:hAnsi="Times New Roman" w:cs="Times New Roman"/>
          <w:sz w:val="28"/>
          <w:szCs w:val="28"/>
          <w:lang w:val="kk-KZ" w:eastAsia="zh-CN"/>
        </w:rPr>
        <w:t xml:space="preserve"> түрде дәстүрлі, қалыптасқан әрі баяу дамитын сала болып саналатын тамақ өнеркәсібінде бұл үдерістерді тереңірек зерттеу қажет. Мұндай тәсіл аталған салада ұлттық деңгейде де, халықаралық деңгейде де ынтымақтастықты күшейтуге мүмкіндік береді.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Әр</w:t>
      </w:r>
      <w:r>
        <w:rPr>
          <w:rFonts w:ascii="Times New Roman" w:eastAsia="DengXian" w:hAnsi="Times New Roman" w:cs="Times New Roman"/>
          <w:sz w:val="28"/>
          <w:szCs w:val="28"/>
          <w:lang w:val="kk-KZ" w:eastAsia="zh-CN"/>
        </w:rPr>
        <w:t xml:space="preserve"> елдің ин</w:t>
      </w:r>
      <w:r>
        <w:rPr>
          <w:rFonts w:ascii="Times New Roman" w:eastAsia="DengXian" w:hAnsi="Times New Roman" w:cs="Times New Roman"/>
          <w:sz w:val="28"/>
          <w:szCs w:val="28"/>
          <w:lang w:val="kk-KZ" w:eastAsia="zh-CN"/>
        </w:rPr>
        <w:t>новациялық саясатының өзіндік күшті және әлсіз жақтары бар болуы мүмкін, бірақ бұл олар басқа елдердің сәтті тәжірибелерін қолдана алмайды дегенді білдірмейді. Басқа елдердегі табысты саясаттарды енгізу және олардан үйрену де саладағы тиімділікті қалыптаст</w:t>
      </w:r>
      <w:r>
        <w:rPr>
          <w:rFonts w:ascii="Times New Roman" w:eastAsia="DengXian" w:hAnsi="Times New Roman" w:cs="Times New Roman"/>
          <w:sz w:val="28"/>
          <w:szCs w:val="28"/>
          <w:lang w:val="kk-KZ" w:eastAsia="zh-CN"/>
        </w:rPr>
        <w:t>ыру және шығындарды үнемдеу құралы ретінде қарастыруға болады. Бенчмаркинг әдісі негізінде бұл бағалау елдің тамақ өнеркәібіндегі инновациялық ортаны жақсарту және жетілдіру үшін басқа елдердегі табысты шараларлы анықтау және олардан үйренуге бағытталып от</w:t>
      </w:r>
      <w:r>
        <w:rPr>
          <w:rFonts w:ascii="Times New Roman" w:eastAsia="DengXian" w:hAnsi="Times New Roman" w:cs="Times New Roman"/>
          <w:sz w:val="28"/>
          <w:szCs w:val="28"/>
          <w:lang w:val="kk-KZ" w:eastAsia="zh-CN"/>
        </w:rPr>
        <w:t>ыр.</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Зерттеу барысында бенчмаркинг әдісі негізінде 10 елдің (Канада, Австралия, АҚШ, Германия, Италия, Нидерланды, Жапония, Қытай, Оңтүстік Корея және Қазақстан) тамақ өнеркәсібіндегі инновациялық ортасы салыстырмалы талдауға алынды. Салыстыру негізінде там</w:t>
      </w:r>
      <w:r>
        <w:rPr>
          <w:rFonts w:ascii="Times New Roman" w:eastAsia="DengXian" w:hAnsi="Times New Roman" w:cs="Times New Roman"/>
          <w:sz w:val="28"/>
          <w:szCs w:val="28"/>
          <w:lang w:val="kk-KZ" w:eastAsia="zh-CN"/>
        </w:rPr>
        <w:t>ақ өнеркәсібінің инновациялық әлеуетін сипаттайтын төрт негізгі санатқа біріктірілген 21 көрсеткіштен тұратын модель алынды. Бұл көрсеткіштер тек қана нарықтағы әртүрлі қатысушылардың (мысалы, қызметкерлерден бастап тұтынушыға дейінгі) тәжірибесін бейнелеу</w:t>
      </w:r>
      <w:r>
        <w:rPr>
          <w:rFonts w:ascii="Times New Roman" w:eastAsia="DengXian" w:hAnsi="Times New Roman" w:cs="Times New Roman"/>
          <w:sz w:val="28"/>
          <w:szCs w:val="28"/>
          <w:lang w:val="kk-KZ" w:eastAsia="zh-CN"/>
        </w:rPr>
        <w:t xml:space="preserve">мен шектелмей, сонымен қатар ел экономикасының заңнамалық және нормативтік базасы секілді сыртқы факторлардың да тамақ өнеркәсібіндегі инновациялық ортаны қалытастуына ықпалын кешенді түрде көрсету мақсатында таңдалды.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Аталмыш модельдің санаттары мен көр</w:t>
      </w:r>
      <w:r>
        <w:rPr>
          <w:rFonts w:ascii="Times New Roman" w:eastAsia="DengXian" w:hAnsi="Times New Roman" w:cs="Times New Roman"/>
          <w:sz w:val="28"/>
          <w:szCs w:val="28"/>
          <w:lang w:val="kk-KZ" w:eastAsia="zh-CN"/>
        </w:rPr>
        <w:t>сеткіштері Канаданың Dalhousie универвитетінің Agri-Food Analytics Lab зертханасында жүргізілген зерттеу әдістемесіне негізделе отырып қалыптастырылды [89, р. 27-65]. Таңдалып алынған көрсеткіштер бірінші кезекте басқарушылық және саяси ақпаратқа, содан ке</w:t>
      </w:r>
      <w:r>
        <w:rPr>
          <w:rFonts w:ascii="Times New Roman" w:eastAsia="DengXian" w:hAnsi="Times New Roman" w:cs="Times New Roman"/>
          <w:sz w:val="28"/>
          <w:szCs w:val="28"/>
          <w:lang w:val="kk-KZ" w:eastAsia="zh-CN"/>
        </w:rPr>
        <w:t xml:space="preserve">йін сапалық ақпаратқа негізделіп жинақталды.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Бағалау моделі 4 негізгі санатқа топтастырылған. 1-ші санат -”Нормативтік-құқықтық база ортасы” - бұл орта өнімдерді жасауға арналған ортаны, сондай-ақ қалдықтарға және қоршаған ортаны қорғауға қатысты шектеуле</w:t>
      </w:r>
      <w:r>
        <w:rPr>
          <w:rFonts w:ascii="Times New Roman" w:eastAsia="DengXian" w:hAnsi="Times New Roman" w:cs="Times New Roman"/>
          <w:sz w:val="28"/>
          <w:szCs w:val="28"/>
          <w:lang w:val="kk-KZ" w:eastAsia="zh-CN"/>
        </w:rPr>
        <w:t>рді ескере отырып, ережелер мен заңдарды зерттеуге бағытталған; 2-ші санат - “Бизнестің бәсекеге қабілеттілігі” - экономикалық контекстті есепке алу үшін макро-және микроэкономикалық көрсеткіштерді пайдаланады, сонымен бірге инвестицияларды, мемлекеттік қо</w:t>
      </w:r>
      <w:r>
        <w:rPr>
          <w:rFonts w:ascii="Times New Roman" w:eastAsia="DengXian" w:hAnsi="Times New Roman" w:cs="Times New Roman"/>
          <w:sz w:val="28"/>
          <w:szCs w:val="28"/>
          <w:lang w:val="kk-KZ" w:eastAsia="zh-CN"/>
        </w:rPr>
        <w:t>лдауды және бөлшек сауда ортасын зерттейді; 3-ші санат - “Нарықтың дайындығы” - елдердің білімге, әртүрлілілік пен инклюзияға әсер ететін саясаты арқылы тамақ өнеркәсібіндегі инновацияларға қатысу үшін жабдықталған жұмыс күшін қалай құруды қарастырады. 4-ш</w:t>
      </w:r>
      <w:r>
        <w:rPr>
          <w:rFonts w:ascii="Times New Roman" w:eastAsia="DengXian" w:hAnsi="Times New Roman" w:cs="Times New Roman"/>
          <w:sz w:val="28"/>
          <w:szCs w:val="28"/>
          <w:lang w:val="kk-KZ" w:eastAsia="zh-CN"/>
        </w:rPr>
        <w:t xml:space="preserve">і санат - “Зияткерлік меншік және зерттерлеу мен әзірлемелер” - инновацияларға берілетін қорғауларды, сондай-ақ салық саясатындағы инновацияларды қолдауды есепке алады. Төрт негізгі санат пен 21 көрсеткіштердің сипаттамасын (Қосымша Б)сынан табуға болады.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Әрбір</w:t>
      </w:r>
      <w:r>
        <w:rPr>
          <w:rFonts w:ascii="Times New Roman" w:eastAsia="DengXian" w:hAnsi="Times New Roman" w:cs="Times New Roman"/>
          <w:sz w:val="28"/>
          <w:szCs w:val="28"/>
          <w:lang w:val="kk-KZ" w:eastAsia="zh-CN"/>
        </w:rPr>
        <w:t xml:space="preserve"> көрсеткіштің баллдары тек бүтін сандармен есептелді. Қорытынды орындар әр санаттағы елдің жинаған баллына және төрт санаттың барлығын біріктіретін жиынтық баллға сүйеніп жасалды.</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Бағалау жүргізу мақсатында деректер сапалық және сандық әдістермен жин</w:t>
      </w:r>
      <w:r>
        <w:rPr>
          <w:rFonts w:ascii="Times New Roman" w:eastAsia="DengXian" w:hAnsi="Times New Roman" w:cs="Times New Roman"/>
          <w:sz w:val="28"/>
          <w:szCs w:val="28"/>
          <w:lang w:val="kk-KZ" w:eastAsia="zh-CN"/>
        </w:rPr>
        <w:t>алды. Сапалы деректер тақырыптық кодтау арқылы талданды, онда елдер арасындағы базалық деңгейді анықтау үшін жалпы тақырыптар анықталды. Бұл базалық деңгей әрбір елге мүмкін болатын үш ұпайдың екеуін беретін орташа мәнді есептеу үшін пайдаланылды. Егер елд</w:t>
      </w:r>
      <w:r>
        <w:rPr>
          <w:rFonts w:ascii="Times New Roman" w:eastAsia="DengXian" w:hAnsi="Times New Roman" w:cs="Times New Roman"/>
          <w:sz w:val="28"/>
          <w:szCs w:val="28"/>
          <w:lang w:val="kk-KZ" w:eastAsia="zh-CN"/>
        </w:rPr>
        <w:t>ің инновациялық қызметі орташа деңгейден өзгеше болса, бұл олардың инновацияға әсерін анықтау үшін қосымша талданды. Орташа мәннен жоғары инновациялық қызмет тәжірибесі үшін ел үш балл алды, ал төмен қызмет тәжірибесі үшін ел бір балл алды. Деректерді санд</w:t>
      </w:r>
      <w:r>
        <w:rPr>
          <w:rFonts w:ascii="Times New Roman" w:eastAsia="DengXian" w:hAnsi="Times New Roman" w:cs="Times New Roman"/>
          <w:sz w:val="28"/>
          <w:szCs w:val="28"/>
          <w:lang w:val="kk-KZ" w:eastAsia="zh-CN"/>
        </w:rPr>
        <w:t xml:space="preserve">ық талдау алынған мәліметтер бойынша орташа мәнді табу арқылы, содан кейін қосу немесе азайту арқылы жүргізілді:  </w:t>
      </w:r>
    </w:p>
    <w:p w:rsidR="005118AF" w:rsidRDefault="00EF60C3">
      <w:pPr>
        <w:spacing w:after="0" w:line="240" w:lineRule="auto"/>
        <w:ind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1.1. Нормативтік-құқықтық база ортасы. Төмендегі 16-кестеде “Нормативтік-құқықтық база ортасы” бойынша әр көрсеткіштің әрбір елге берілген ба</w:t>
      </w:r>
      <w:r>
        <w:rPr>
          <w:rFonts w:ascii="Times New Roman" w:eastAsia="DengXian" w:hAnsi="Times New Roman" w:cs="Times New Roman"/>
          <w:sz w:val="28"/>
          <w:szCs w:val="28"/>
          <w:lang w:val="kk-KZ" w:eastAsia="zh-CN"/>
        </w:rPr>
        <w:t xml:space="preserve">ллдары, сондай-ақ бөлім бойынша жалпы баллы берілген. Осыдан кейін әр көрсеткішті бағалаудың негіздемесін сипаттайтын талдау жасалынды. </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16 ‒ Нормативтік-құқықтық база ортасын бағалау нәтижелері</w:t>
      </w:r>
    </w:p>
    <w:p w:rsidR="005118AF" w:rsidRDefault="005118AF">
      <w:pPr>
        <w:spacing w:after="0" w:line="240" w:lineRule="auto"/>
        <w:jc w:val="right"/>
        <w:rPr>
          <w:rFonts w:ascii="Times New Roman" w:eastAsia="DengXi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1732"/>
        <w:gridCol w:w="2435"/>
        <w:gridCol w:w="2066"/>
        <w:gridCol w:w="1281"/>
      </w:tblGrid>
      <w:tr w:rsidR="005118AF">
        <w:trPr>
          <w:jc w:val="center"/>
        </w:trPr>
        <w:tc>
          <w:tcPr>
            <w:tcW w:w="204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173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1.1.1.</w:t>
            </w:r>
            <w:r>
              <w:rPr>
                <w:rFonts w:ascii="Times New Roman" w:eastAsia="DengXian" w:hAnsi="Times New Roman" w:cs="Times New Roman"/>
                <w:sz w:val="24"/>
                <w:szCs w:val="24"/>
                <w:lang w:val="kk-KZ" w:eastAsia="zh-CN"/>
              </w:rPr>
              <w:t xml:space="preserve"> Бекіту кезеңдері </w:t>
            </w:r>
            <w:r>
              <w:rPr>
                <w:rFonts w:ascii="Times New Roman" w:eastAsia="DengXian" w:hAnsi="Times New Roman" w:cs="Times New Roman"/>
                <w:sz w:val="24"/>
                <w:szCs w:val="24"/>
                <w:lang w:eastAsia="zh-CN"/>
              </w:rPr>
              <w:t>(/3)</w:t>
            </w:r>
          </w:p>
        </w:tc>
        <w:tc>
          <w:tcPr>
            <w:tcW w:w="2435"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1.1.2.</w:t>
            </w:r>
            <w:r>
              <w:rPr>
                <w:rFonts w:ascii="Times New Roman" w:eastAsia="DengXian" w:hAnsi="Times New Roman" w:cs="Times New Roman"/>
                <w:sz w:val="24"/>
                <w:szCs w:val="24"/>
                <w:lang w:val="kk-KZ" w:eastAsia="zh-CN"/>
              </w:rPr>
              <w:t xml:space="preserve"> Азық</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түл</w:t>
            </w:r>
            <w:r>
              <w:rPr>
                <w:rFonts w:ascii="Times New Roman" w:eastAsia="DengXian" w:hAnsi="Times New Roman" w:cs="Times New Roman"/>
                <w:sz w:val="24"/>
                <w:szCs w:val="24"/>
                <w:lang w:val="kk-KZ" w:eastAsia="zh-CN"/>
              </w:rPr>
              <w:t xml:space="preserve">ік қауіпсіз дігін қамтамасыз ету </w:t>
            </w:r>
            <w:r>
              <w:rPr>
                <w:rFonts w:ascii="Times New Roman" w:eastAsia="DengXian" w:hAnsi="Times New Roman" w:cs="Times New Roman"/>
                <w:sz w:val="24"/>
                <w:szCs w:val="24"/>
                <w:lang w:eastAsia="zh-CN"/>
              </w:rPr>
              <w:t>(/3)</w:t>
            </w:r>
          </w:p>
        </w:tc>
        <w:tc>
          <w:tcPr>
            <w:tcW w:w="2066"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1.1.3.</w:t>
            </w:r>
            <w:r>
              <w:rPr>
                <w:rFonts w:ascii="Times New Roman" w:eastAsia="DengXian" w:hAnsi="Times New Roman" w:cs="Times New Roman"/>
                <w:sz w:val="24"/>
                <w:szCs w:val="24"/>
                <w:lang w:val="kk-KZ" w:eastAsia="zh-CN"/>
              </w:rPr>
              <w:t xml:space="preserve"> Ашықтық пен коммуника ция </w:t>
            </w:r>
            <w:r>
              <w:rPr>
                <w:rFonts w:ascii="Times New Roman" w:eastAsia="DengXian" w:hAnsi="Times New Roman" w:cs="Times New Roman"/>
                <w:sz w:val="24"/>
                <w:szCs w:val="24"/>
                <w:lang w:eastAsia="zh-CN"/>
              </w:rPr>
              <w:t>(/3)</w:t>
            </w:r>
          </w:p>
        </w:tc>
        <w:tc>
          <w:tcPr>
            <w:tcW w:w="128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(/9)</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rPr>
          <w:trHeight w:val="62"/>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04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1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43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06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28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bl>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Өнімді</w:t>
      </w:r>
      <w:r>
        <w:rPr>
          <w:rFonts w:ascii="Times New Roman" w:eastAsia="DengXian" w:hAnsi="Times New Roman" w:cs="Times New Roman"/>
          <w:sz w:val="28"/>
          <w:szCs w:val="28"/>
          <w:lang w:val="kk-KZ" w:eastAsia="zh-CN"/>
        </w:rPr>
        <w:t xml:space="preserve"> бекіту мерзімдері. Азық-түлік өнеркәсібі саласында жаңа өнімдерді мақұлдау әр елде әртүрлі заңнамалық және институционалдық ерекшеліктерге байланысты айтарлықтай ерекшеленеді. Мысалы, Еуропалық Одақта жаңа өнімдерді мақұлдау рәсімдері орташа есеппен</w:t>
      </w:r>
      <w:r>
        <w:rPr>
          <w:rFonts w:ascii="Times New Roman" w:eastAsia="DengXian" w:hAnsi="Times New Roman" w:cs="Times New Roman"/>
          <w:sz w:val="28"/>
          <w:szCs w:val="28"/>
          <w:lang w:val="kk-KZ" w:eastAsia="zh-CN"/>
        </w:rPr>
        <w:t xml:space="preserve"> 17 айды құрайды. Бұл салыстырылып отырған елдер арасындағы орташа көрсеткіш болғандықтан, барлық Еуропалық Одақ елдері шартты түрде 2 баллмен бағаланды [115]. Жапонияда инновациялық азық-түлік өнімдерін мақұлдау мерзімі 12 айдан астам уақытты қамтиды, ал </w:t>
      </w:r>
      <w:r>
        <w:rPr>
          <w:rFonts w:ascii="Times New Roman" w:eastAsia="DengXian" w:hAnsi="Times New Roman" w:cs="Times New Roman"/>
          <w:sz w:val="28"/>
          <w:szCs w:val="28"/>
          <w:lang w:val="kk-KZ" w:eastAsia="zh-CN"/>
        </w:rPr>
        <w:t>Австралияда барлық рәсімдер бір жылдан аспайтын икемді жүйе енгізілген. Мұндай қысқа мерзімдер инновациялық шығындарды азайтып, жаңа өнімдердің нарыққа шығуын жеделдетеді. Сондықтан бұл ердерге 3 балл берілді [116]. Канадада тек ғылыми шолулардың өзі 13 ай</w:t>
      </w:r>
      <w:r>
        <w:rPr>
          <w:rFonts w:ascii="Times New Roman" w:eastAsia="DengXian" w:hAnsi="Times New Roman" w:cs="Times New Roman"/>
          <w:sz w:val="28"/>
          <w:szCs w:val="28"/>
          <w:lang w:val="kk-KZ" w:eastAsia="zh-CN"/>
        </w:rPr>
        <w:t>ға</w:t>
      </w:r>
      <w:r>
        <w:rPr>
          <w:rFonts w:ascii="Times New Roman" w:eastAsia="DengXian" w:hAnsi="Times New Roman" w:cs="Times New Roman"/>
          <w:sz w:val="28"/>
          <w:szCs w:val="28"/>
          <w:lang w:val="kk-KZ" w:eastAsia="zh-CN"/>
        </w:rPr>
        <w:t xml:space="preserve"> созылатыны жөніндегі дерек бар, алайда нақты ақпараттың шектеулі болуына байланысты елдің бағасы 1 ұпаймен бағаланды [88, р. 4473]. АҚШ-тағы жағдай сәл ерекшеленеді: жаңа өнімдерді мақұлдаудың екі рәсімі бар. Біріншісі - GRAS (Жалпы қауіпсіз деп танылға</w:t>
      </w:r>
      <w:r>
        <w:rPr>
          <w:rFonts w:ascii="Times New Roman" w:eastAsia="DengXian" w:hAnsi="Times New Roman" w:cs="Times New Roman"/>
          <w:sz w:val="28"/>
          <w:szCs w:val="28"/>
          <w:lang w:val="kk-KZ" w:eastAsia="zh-CN"/>
        </w:rPr>
        <w:t xml:space="preserve">н) категориясына жататын қоспалар үшін өтінімдер 180-270 күн ішінде қаралады. Екіншісі - FDA (Азық-түлік және дәрі-дәрмек басқармасы) мақұлдауын талап ететін тағамдық қоспалар, оларды тіркеу мерзімі екі жылға дейін созылуы мүмкін. Бұл күрделі жүйе АҚШ-тың </w:t>
      </w:r>
      <w:r>
        <w:rPr>
          <w:rFonts w:ascii="Times New Roman" w:eastAsia="DengXian" w:hAnsi="Times New Roman" w:cs="Times New Roman"/>
          <w:sz w:val="28"/>
          <w:szCs w:val="28"/>
          <w:lang w:val="kk-KZ" w:eastAsia="zh-CN"/>
        </w:rPr>
        <w:t xml:space="preserve">бағасын орташадан 1 баллға төмендетті [117].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Оңтүстік Кореяда Азық-түлік және дәрі-дәрмек қауіпсідігі министрлігімен жаңа азық-түлік өнімін бекіту мерзімі 12-24 ай аралығын құрайды [118]. Ал Қытайдағы жаңа азық-түлік өнімдерін мақұлдау үдерісі өнім  түрін</w:t>
      </w:r>
      <w:r>
        <w:rPr>
          <w:rFonts w:ascii="Times New Roman" w:eastAsia="DengXian" w:hAnsi="Times New Roman" w:cs="Times New Roman"/>
          <w:sz w:val="28"/>
          <w:szCs w:val="28"/>
          <w:lang w:val="kk-KZ" w:eastAsia="zh-CN"/>
        </w:rPr>
        <w:t>е байланысты айтарлықтай өзгеруі мүмкін, бірақ әдетте орта есеппен 18 айды құрайды, соның ішінде, ең азы 10 айды, ал ең көбі 4 жылға дейін созылуы мүмкін [119]. Қоспа түріне қауіпсіздікті бағалау күрделілігіне қарай өзгеретін бұл рәсімдер осы елдердің баға</w:t>
      </w:r>
      <w:r>
        <w:rPr>
          <w:rFonts w:ascii="Times New Roman" w:eastAsia="DengXian" w:hAnsi="Times New Roman" w:cs="Times New Roman"/>
          <w:sz w:val="28"/>
          <w:szCs w:val="28"/>
          <w:lang w:val="kk-KZ" w:eastAsia="zh-CN"/>
        </w:rPr>
        <w:t xml:space="preserve">сын 1 баллға төмендетті.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w:t>
      </w:r>
      <w:r>
        <w:rPr>
          <w:rFonts w:ascii="Times New Roman" w:eastAsia="DengXian" w:hAnsi="Times New Roman" w:cs="Times New Roman"/>
          <w:sz w:val="28"/>
          <w:szCs w:val="28"/>
          <w:lang w:val="kk-KZ" w:eastAsia="zh-CN"/>
        </w:rPr>
        <w:t xml:space="preserve"> тәжірибесі салыстырмалы түрде тиімді әрі инновацияны қолдауға бағытталған. Құзыретті орган толық құжаттарды ұсынған жағдайда, өтінімді 5 күн ішінде қарайды, ал тағамдық қоспалар үшін мақұлдау мерзімі 5-7 айдан аспайды. С</w:t>
      </w:r>
      <w:r>
        <w:rPr>
          <w:rFonts w:ascii="Times New Roman" w:eastAsia="DengXian" w:hAnsi="Times New Roman" w:cs="Times New Roman"/>
          <w:sz w:val="28"/>
          <w:szCs w:val="28"/>
          <w:lang w:val="kk-KZ" w:eastAsia="zh-CN"/>
        </w:rPr>
        <w:t>онымен қатар, бір рет мақұлданған өнімді қайтадан тіркеу қажет етпейді және оның жарамдылық мерзімі шексіз сақталады. Мұндай қысқа әрі тиімді рәсім Қазақстанға 3 балл беруге негіз болды. Бұл тәжірибе жаңа өнімдерді нарыққа шығару үдерісін жеделтедіп қана қ</w:t>
      </w:r>
      <w:r>
        <w:rPr>
          <w:rFonts w:ascii="Times New Roman" w:eastAsia="DengXian" w:hAnsi="Times New Roman" w:cs="Times New Roman"/>
          <w:sz w:val="28"/>
          <w:szCs w:val="28"/>
          <w:lang w:val="kk-KZ" w:eastAsia="zh-CN"/>
        </w:rPr>
        <w:t xml:space="preserve">оймай, кәсіпорынның шығындарын азайтып, инновациялық белсенділікті арттыруға мүмкіндік береді [120]. </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Азық-түлік қауіпсіздігін қамтамасыз ету шаралары. Көптеген дамыған мемлекеттерде азық-түлік өнімдерінің қауіпсіздігін қамтамасыз ету қатаң заңнамалық норм</w:t>
      </w:r>
      <w:r>
        <w:rPr>
          <w:rFonts w:ascii="Times New Roman" w:eastAsia="DengXian" w:hAnsi="Times New Roman" w:cs="Times New Roman"/>
          <w:sz w:val="28"/>
          <w:szCs w:val="28"/>
          <w:lang w:val="kk-KZ" w:eastAsia="zh-CN"/>
        </w:rPr>
        <w:t>алар мен көпдеңгейлі бақылау жүйелері арқылы жүзеге асады. Мысалы, Германия, Нидерланды және Италия елдерінде жоспарлы және жоспардан тыс тексерулер, сондай-ақ өнімнің қозғалысын толық қадағалауға мүмкіндік беретін бақылау журналдары кеңінен қолданылады. Б</w:t>
      </w:r>
      <w:r>
        <w:rPr>
          <w:rFonts w:ascii="Times New Roman" w:eastAsia="DengXian" w:hAnsi="Times New Roman" w:cs="Times New Roman"/>
          <w:sz w:val="28"/>
          <w:szCs w:val="28"/>
          <w:lang w:val="kk-KZ" w:eastAsia="zh-CN"/>
        </w:rPr>
        <w:t>ұл</w:t>
      </w:r>
      <w:r>
        <w:rPr>
          <w:rFonts w:ascii="Times New Roman" w:eastAsia="DengXian" w:hAnsi="Times New Roman" w:cs="Times New Roman"/>
          <w:sz w:val="28"/>
          <w:szCs w:val="28"/>
          <w:lang w:val="kk-KZ" w:eastAsia="zh-CN"/>
        </w:rPr>
        <w:t xml:space="preserve"> елдердегі тәжірибенің тиімділігі мен жүйелілігі оларға 3 баллдық жоғары баға беруге негіз болды [121]. АҚШ пен Канадада азық-түлік және дәрі-дәрмек басқармасының [122] бақылау жүйелері жоспарлы тексерулерді қамтып қана қоймай, қосымша алын-алуға бағытта</w:t>
      </w:r>
      <w:r>
        <w:rPr>
          <w:rFonts w:ascii="Times New Roman" w:eastAsia="DengXian" w:hAnsi="Times New Roman" w:cs="Times New Roman"/>
          <w:sz w:val="28"/>
          <w:szCs w:val="28"/>
          <w:lang w:val="kk-KZ" w:eastAsia="zh-CN"/>
        </w:rPr>
        <w:t xml:space="preserve">лған қауіпсіздік жоспарларын талап етеді, алайда тосын тексерулер барлық аймақтарды бірдей дәрежеде қолданылмайды. Сондықтан, бұл елдер 2 баллмен бағаланды [123]. Австралияда да федералдық деңгейдегі қадағалау жүйелері бар, бірақ аймақтық деңгейде бақылау </w:t>
      </w:r>
      <w:r>
        <w:rPr>
          <w:rFonts w:ascii="Times New Roman" w:eastAsia="DengXian" w:hAnsi="Times New Roman" w:cs="Times New Roman"/>
          <w:sz w:val="28"/>
          <w:szCs w:val="28"/>
          <w:lang w:val="kk-KZ" w:eastAsia="zh-CN"/>
        </w:rPr>
        <w:t xml:space="preserve">мен алдын алу шаралары жеткілікті үйлестірілмеген, сондықтан елдің бағасы 2 балл деңгейінде бағаланды [124].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Жапония мен Оңтүстік Кореяда тағам қауіпсіздігін қамтамасыз етудің заманауи тәсілдері қолданылады: ХАССП (өнімдерді өндірудің, сақтаудың және </w:t>
      </w:r>
      <w:r>
        <w:rPr>
          <w:rFonts w:ascii="Times New Roman" w:eastAsia="DengXian" w:hAnsi="Times New Roman" w:cs="Times New Roman"/>
          <w:sz w:val="28"/>
          <w:szCs w:val="28"/>
          <w:lang w:val="kk-KZ" w:eastAsia="zh-CN"/>
        </w:rPr>
        <w:t>таратудың барлық кезеңдерінде тәуекелдерді талдайтын және маңызды бақылау нүктелерін анықтайтын халықаралық тамақ қауіпсіздігін басқару жүйесі</w:t>
      </w:r>
      <w:r>
        <w:rPr>
          <w:rFonts w:ascii="Times New Roman" w:eastAsia="DengXian" w:hAnsi="Times New Roman"/>
          <w:sz w:val="28"/>
          <w:szCs w:val="28"/>
          <w:lang w:val="kk-KZ" w:eastAsia="zh-CN"/>
        </w:rPr>
        <w:t>)</w:t>
      </w:r>
      <w:r>
        <w:rPr>
          <w:rFonts w:ascii="Times New Roman" w:eastAsia="DengXian" w:hAnsi="Times New Roman" w:cs="Times New Roman"/>
          <w:sz w:val="28"/>
          <w:szCs w:val="28"/>
          <w:lang w:val="kk-KZ" w:eastAsia="zh-CN"/>
        </w:rPr>
        <w:t xml:space="preserve"> стандарттары міндетті түрде енгізілген, ал реттеуші органдар жоспардан тыс тексерулер жүргізу құқығына ие. Бұл е</w:t>
      </w:r>
      <w:r>
        <w:rPr>
          <w:rFonts w:ascii="Times New Roman" w:eastAsia="DengXian" w:hAnsi="Times New Roman" w:cs="Times New Roman"/>
          <w:sz w:val="28"/>
          <w:szCs w:val="28"/>
          <w:lang w:val="kk-KZ" w:eastAsia="zh-CN"/>
        </w:rPr>
        <w:t xml:space="preserve">лдер қосымша шараларды тиімді қолданғандықтан, оларға 3 балл берілді [125, 126]. Қытайда азық-түлік қауіпсіздігі туралы заңнама бар болғанымен, тәжірибеде бақылау рәсімдері біркелкі орындалмайды, кейбір аймақтарда жүйесіздік пен стандарттардың жеткіліксіз </w:t>
      </w:r>
      <w:r>
        <w:rPr>
          <w:rFonts w:ascii="Times New Roman" w:eastAsia="DengXian" w:hAnsi="Times New Roman" w:cs="Times New Roman"/>
          <w:sz w:val="28"/>
          <w:szCs w:val="28"/>
          <w:lang w:val="kk-KZ" w:eastAsia="zh-CN"/>
        </w:rPr>
        <w:t>орындалуы байқалады. Сондықтан елдің бағасы 1 ұпаймен шектелді [115]. Қазақстанда азық-түлік өнімдерінің қауіпсіздігі жеке кодекспен емес, “Тамақ өнімдерінің қауіпсіздіні туралы” Қазақстан Республикасының Заңымен және басқа да нормативтік-құқықтық актілерм</w:t>
      </w:r>
      <w:r>
        <w:rPr>
          <w:rFonts w:ascii="Times New Roman" w:eastAsia="DengXian" w:hAnsi="Times New Roman" w:cs="Times New Roman"/>
          <w:sz w:val="28"/>
          <w:szCs w:val="28"/>
          <w:lang w:val="kk-KZ" w:eastAsia="zh-CN"/>
        </w:rPr>
        <w:t>ен, соның ішінде Азық-түлік қауіпсіздігінің жай-күйіне мониторинг жүргізу қағидаларымен реттеледі. Осы құжаттар аясында жоспарлы және жоспардан тыс тексерулер жүргізілгенмен, бақылау журналдары мен алдын алу шараларын енгізу толық деңгейде жүзеге асырылмағ</w:t>
      </w:r>
      <w:r>
        <w:rPr>
          <w:rFonts w:ascii="Times New Roman" w:eastAsia="DengXian" w:hAnsi="Times New Roman" w:cs="Times New Roman"/>
          <w:sz w:val="28"/>
          <w:szCs w:val="28"/>
          <w:lang w:val="kk-KZ" w:eastAsia="zh-CN"/>
        </w:rPr>
        <w:t xml:space="preserve">ан. Осыған байланысты Қазақстандан 2 балл берілді [116, р. 3-71].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Осылайша, жүргізілген салыстырмалы бағалау көрсеткендей, азық-түлік қауіпсіздігін қамтамасыз етуде Германия, Нидерланды, Италия, Жапония және Оңтүстік Корея ең жоғары көрсеткішке қол жеткі</w:t>
      </w:r>
      <w:r>
        <w:rPr>
          <w:rFonts w:ascii="Times New Roman" w:eastAsia="DengXian" w:hAnsi="Times New Roman" w:cs="Times New Roman"/>
          <w:sz w:val="28"/>
          <w:szCs w:val="28"/>
          <w:lang w:val="kk-KZ" w:eastAsia="zh-CN"/>
        </w:rPr>
        <w:t>зсе, Қытай меншікті бақылау жүйесінің әлсіздігенен төмен бағаланып отыр. Қазақстан мен бірқатар елдер (АҚШ, Канада, Австралия) аралық позицияда тұр, бұл болашақта бақылау журналдарын енгізу мен алдын алу шараларын жетілдіру арқылы ұлттық жүйені нығайту қаж</w:t>
      </w:r>
      <w:r>
        <w:rPr>
          <w:rFonts w:ascii="Times New Roman" w:eastAsia="DengXian" w:hAnsi="Times New Roman" w:cs="Times New Roman"/>
          <w:sz w:val="28"/>
          <w:szCs w:val="28"/>
          <w:lang w:val="kk-KZ" w:eastAsia="zh-CN"/>
        </w:rPr>
        <w:t xml:space="preserve">еттілігін айқындап отыр. </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Ашықтық және коммуникация. Бұл көрсеткіш бойынша бағалауда біріншіден, мемлекеттік басқару органдары тұтынушылармен ықтимал ластанулар, індеттер және бекітілген қоспалардағы өзгерістер туралы қаншалықты анық және тиімді байланысат</w:t>
      </w:r>
      <w:r>
        <w:rPr>
          <w:rFonts w:ascii="Times New Roman" w:eastAsia="DengXian" w:hAnsi="Times New Roman" w:cs="Times New Roman"/>
          <w:sz w:val="28"/>
          <w:szCs w:val="28"/>
          <w:lang w:val="kk-KZ" w:eastAsia="zh-CN"/>
        </w:rPr>
        <w:t>ыны талданады. Екіншіден, көптеген уәкілетті мемлекеттік органдардың веб-сайтында ақпараттың болуы, бірнеше тілде ұсынылуы мен веб-cайттағы іздеу мүмкіндіктері бағаланды.  Егер елдерде екіден көп тіл қолжетімді болса және шешімдерге қатысты қоғамдық кері б</w:t>
      </w:r>
      <w:r>
        <w:rPr>
          <w:rFonts w:ascii="Times New Roman" w:eastAsia="DengXian" w:hAnsi="Times New Roman" w:cs="Times New Roman"/>
          <w:sz w:val="28"/>
          <w:szCs w:val="28"/>
          <w:lang w:val="kk-KZ" w:eastAsia="zh-CN"/>
        </w:rPr>
        <w:t xml:space="preserve">айланыс кезеңі болса, оларға қосымша балл берілді.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Зерттеу нәтижелері көрсеткендей тамақ өнеркәсібіндегі ақпараттың ашықтығы мен коммуникация деңгейі салыстырылып отырған елдер арасында елеулі айырмашылықтарға ие. Канада, Австралия және АҚШ-та мемлекеттік</w:t>
      </w:r>
      <w:r>
        <w:rPr>
          <w:rFonts w:ascii="Times New Roman" w:eastAsia="DengXian" w:hAnsi="Times New Roman" w:cs="Times New Roman"/>
          <w:sz w:val="28"/>
          <w:szCs w:val="28"/>
          <w:lang w:val="kk-KZ" w:eastAsia="zh-CN"/>
        </w:rPr>
        <w:t xml:space="preserve"> органдар тағам қауіпсіздігіне қатысты ықтимал тәуекелдер, аурулардың таралу жағдайлары мен жаңа тағам қоспаларының енгізілуі туралы деректерді өздерінің ресми порталдарында бірнеше тілде жариялап, сонымен бірге қоғаммен кері байланыс алу жүйесін енгізген.</w:t>
      </w:r>
      <w:r>
        <w:rPr>
          <w:rFonts w:ascii="Times New Roman" w:eastAsia="DengXian" w:hAnsi="Times New Roman" w:cs="Times New Roman"/>
          <w:sz w:val="28"/>
          <w:szCs w:val="28"/>
          <w:lang w:val="kk-KZ" w:eastAsia="zh-CN"/>
        </w:rPr>
        <w:t xml:space="preserve"> Мысалы, АҚШ-тығ Food and Drug Administration сайты тұтынушыларға ықтимал қауіптер жөнінде бірнеше тілде хабарламалар ұсынып қана қоймай, қоғамдық пікір алу рәсімін де қарастырады [127]. Канада мен Австралияның да ұлттық азық-түлік қауіпсіздігі агенттіктер</w:t>
      </w:r>
      <w:r>
        <w:rPr>
          <w:rFonts w:ascii="Times New Roman" w:eastAsia="DengXian" w:hAnsi="Times New Roman" w:cs="Times New Roman"/>
          <w:sz w:val="28"/>
          <w:szCs w:val="28"/>
          <w:lang w:val="kk-KZ" w:eastAsia="zh-CN"/>
        </w:rPr>
        <w:t xml:space="preserve">і ашық деректер базасы мен көптілді ақпараттық жүйелері дамыған [128, 129]. Мұндай тәжірибелер бұл елдерге ең жоғары - 3 баллдық баға алуына мүмкіндік берді.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Германия, Италия, Нидерланды және Жапонияда тағам қауіпсіздігі жөніндегі ақпарат екі тілде қолжет</w:t>
      </w:r>
      <w:r>
        <w:rPr>
          <w:rFonts w:ascii="Times New Roman" w:eastAsia="DengXian" w:hAnsi="Times New Roman" w:cs="Times New Roman"/>
          <w:sz w:val="28"/>
          <w:szCs w:val="28"/>
          <w:lang w:val="kk-KZ" w:eastAsia="zh-CN"/>
        </w:rPr>
        <w:t>імді болып, ресми сайттарда іздеу функциясы енгізілгенімен, қоғамдық пікірді жүйелі түрде тарту тетіктері әлі де шектеулі болуымен сипатталды [130]. Сондықтан бұл елдер 2 балл деңгейінде бағаланды. Қытай мен Оңтүстік Кореяда негізгі ақпарат тек мемлекеттік</w:t>
      </w:r>
      <w:r>
        <w:rPr>
          <w:rFonts w:ascii="Times New Roman" w:eastAsia="DengXian" w:hAnsi="Times New Roman" w:cs="Times New Roman"/>
          <w:sz w:val="28"/>
          <w:szCs w:val="28"/>
          <w:lang w:val="kk-KZ" w:eastAsia="zh-CN"/>
        </w:rPr>
        <w:t xml:space="preserve"> тілде жарияланып, көпшілік үшін қолжетімділігі төмен болды. Сонымен қатар, шешім қабылдау кезінде қоғамдық талқылауларды жүйелі түрде енгізу байқалмайды, сондықтан бұл елдерге 1 балл берілді [131, 132]. Қазақстан жағдайында азық-түлік өнімдері туралы ақпа</w:t>
      </w:r>
      <w:r>
        <w:rPr>
          <w:rFonts w:ascii="Times New Roman" w:eastAsia="DengXian" w:hAnsi="Times New Roman" w:cs="Times New Roman"/>
          <w:sz w:val="28"/>
          <w:szCs w:val="28"/>
          <w:lang w:val="kk-KZ" w:eastAsia="zh-CN"/>
        </w:rPr>
        <w:t>рат мемлекеттік және орыс тілдерінде, кейбір ақпараттар ғана ағылшын тілінде де ұсынылады (мысалы, ҚР Денсаулық сақтау министрлігі мен “Ашық НҚА” платформасы), дегенмен шешім қабылдау процесінде тұрақты қоғамдық талқылау жүйесі дамымаған. Сондықтан ел тәжі</w:t>
      </w:r>
      <w:r>
        <w:rPr>
          <w:rFonts w:ascii="Times New Roman" w:eastAsia="DengXian" w:hAnsi="Times New Roman" w:cs="Times New Roman"/>
          <w:sz w:val="28"/>
          <w:szCs w:val="28"/>
          <w:lang w:val="kk-KZ" w:eastAsia="zh-CN"/>
        </w:rPr>
        <w:t>рибесі 2 баллдық деңгейге сәйкес келеді [1</w:t>
      </w:r>
      <w:r>
        <w:rPr>
          <w:rFonts w:ascii="Times New Roman" w:eastAsia="DengXian" w:hAnsi="Times New Roman" w:cs="Times New Roman"/>
          <w:sz w:val="28"/>
          <w:szCs w:val="28"/>
          <w:lang w:val="en-US" w:eastAsia="zh-CN"/>
        </w:rPr>
        <w:t>3</w:t>
      </w:r>
      <w:r>
        <w:rPr>
          <w:rFonts w:ascii="Times New Roman" w:eastAsia="DengXian" w:hAnsi="Times New Roman" w:cs="Times New Roman"/>
          <w:sz w:val="28"/>
          <w:szCs w:val="28"/>
          <w:lang w:eastAsia="zh-CN"/>
        </w:rPr>
        <w:t>3</w:t>
      </w:r>
      <w:r>
        <w:rPr>
          <w:rFonts w:ascii="Times New Roman" w:eastAsia="DengXian" w:hAnsi="Times New Roman" w:cs="Times New Roman"/>
          <w:sz w:val="28"/>
          <w:szCs w:val="28"/>
          <w:lang w:val="kk-KZ" w:eastAsia="zh-CN"/>
        </w:rPr>
        <w:t>, 1</w:t>
      </w:r>
      <w:r>
        <w:rPr>
          <w:rFonts w:ascii="Times New Roman" w:eastAsia="DengXian" w:hAnsi="Times New Roman" w:cs="Times New Roman"/>
          <w:sz w:val="28"/>
          <w:szCs w:val="28"/>
          <w:lang w:val="en-US" w:eastAsia="zh-CN"/>
        </w:rPr>
        <w:t>3</w:t>
      </w:r>
      <w:r>
        <w:rPr>
          <w:rFonts w:ascii="Times New Roman" w:eastAsia="DengXian" w:hAnsi="Times New Roman" w:cs="Times New Roman"/>
          <w:sz w:val="28"/>
          <w:szCs w:val="28"/>
          <w:lang w:eastAsia="zh-CN"/>
        </w:rPr>
        <w:t>4</w:t>
      </w:r>
      <w:r>
        <w:rPr>
          <w:rFonts w:ascii="Times New Roman" w:eastAsia="DengXian" w:hAnsi="Times New Roman" w:cs="Times New Roman"/>
          <w:sz w:val="28"/>
          <w:szCs w:val="28"/>
          <w:lang w:val="kk-KZ" w:eastAsia="zh-CN"/>
        </w:rPr>
        <w:t xml:space="preserve">]. </w:t>
      </w:r>
    </w:p>
    <w:p w:rsidR="005118AF" w:rsidRDefault="00EF60C3">
      <w:pPr>
        <w:numPr>
          <w:ilvl w:val="1"/>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Қоршаған</w:t>
      </w:r>
      <w:r>
        <w:rPr>
          <w:rFonts w:ascii="Times New Roman" w:eastAsia="DengXian" w:hAnsi="Times New Roman" w:cs="Times New Roman"/>
          <w:sz w:val="28"/>
          <w:szCs w:val="28"/>
          <w:lang w:val="kk-KZ" w:eastAsia="zh-CN"/>
        </w:rPr>
        <w:t xml:space="preserve"> ортаны қорғау нормалары. 17-кестеде бөлімдегі әрбір көрсеткіш бойынша әрбір елге берілген баллдары бөлімнің жалпы баллдарымен бірге жинақтап көрсетілді. Кестеден кейін әр көрсеткіш баллының негі</w:t>
      </w:r>
      <w:r>
        <w:rPr>
          <w:rFonts w:ascii="Times New Roman" w:eastAsia="DengXian" w:hAnsi="Times New Roman" w:cs="Times New Roman"/>
          <w:sz w:val="28"/>
          <w:szCs w:val="28"/>
          <w:lang w:val="kk-KZ" w:eastAsia="zh-CN"/>
        </w:rPr>
        <w:t xml:space="preserve">здемесін сипаттау үшін талдау ұсынылған. </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17 ‒ Қоршаған ортаны қорғау нормалары</w:t>
      </w:r>
    </w:p>
    <w:p w:rsidR="005118AF" w:rsidRDefault="005118AF">
      <w:pPr>
        <w:spacing w:after="0" w:line="240" w:lineRule="auto"/>
        <w:jc w:val="right"/>
        <w:rPr>
          <w:rFonts w:ascii="Times New Roman" w:eastAsia="DengXian" w:hAnsi="Times New Roman" w:cs="Times New Roman"/>
          <w:sz w:val="16"/>
          <w:szCs w:val="16"/>
          <w:lang w:val="kk-KZ" w:eastAsia="zh-CN"/>
        </w:rPr>
      </w:pPr>
    </w:p>
    <w:tbl>
      <w:tblPr>
        <w:tblStyle w:val="ae"/>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282"/>
        <w:gridCol w:w="3051"/>
        <w:gridCol w:w="1687"/>
      </w:tblGrid>
      <w:tr w:rsidR="005118AF">
        <w:trPr>
          <w:jc w:val="center"/>
        </w:trPr>
        <w:tc>
          <w:tcPr>
            <w:tcW w:w="25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228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1.2.1.</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Қалдықтарды</w:t>
            </w:r>
            <w:r>
              <w:rPr>
                <w:rFonts w:ascii="Times New Roman" w:eastAsia="DengXian" w:hAnsi="Times New Roman" w:cs="Times New Roman"/>
                <w:sz w:val="24"/>
                <w:szCs w:val="24"/>
                <w:lang w:val="kk-KZ" w:eastAsia="zh-CN"/>
              </w:rPr>
              <w:t xml:space="preserve"> басқару </w:t>
            </w:r>
            <w:r>
              <w:rPr>
                <w:rFonts w:ascii="Times New Roman" w:eastAsia="DengXian" w:hAnsi="Times New Roman" w:cs="Times New Roman"/>
                <w:sz w:val="24"/>
                <w:szCs w:val="24"/>
                <w:lang w:eastAsia="zh-CN"/>
              </w:rPr>
              <w:t>(/3)</w:t>
            </w:r>
          </w:p>
        </w:tc>
        <w:tc>
          <w:tcPr>
            <w:tcW w:w="305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1.2.2.</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Қоршаған</w:t>
            </w:r>
            <w:r>
              <w:rPr>
                <w:rFonts w:ascii="Times New Roman" w:eastAsia="DengXian" w:hAnsi="Times New Roman" w:cs="Times New Roman"/>
                <w:sz w:val="24"/>
                <w:szCs w:val="24"/>
                <w:lang w:val="kk-KZ" w:eastAsia="zh-CN"/>
              </w:rPr>
              <w:t xml:space="preserve"> ортаның тәуекелдерін бағалау</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(/3)</w:t>
            </w:r>
          </w:p>
        </w:tc>
        <w:tc>
          <w:tcPr>
            <w:tcW w:w="168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 xml:space="preserve">Барлығы </w:t>
            </w:r>
            <w:r>
              <w:rPr>
                <w:rFonts w:ascii="Times New Roman" w:eastAsia="DengXian" w:hAnsi="Times New Roman" w:cs="Times New Roman"/>
                <w:sz w:val="24"/>
                <w:szCs w:val="24"/>
                <w:lang w:eastAsia="zh-CN"/>
              </w:rPr>
              <w:t>(/6)</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507"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228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5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bl>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numPr>
          <w:ilvl w:val="2"/>
          <w:numId w:val="18"/>
        </w:num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Қалдықтарды</w:t>
      </w:r>
      <w:r>
        <w:rPr>
          <w:rFonts w:ascii="Times New Roman" w:eastAsia="DengXian" w:hAnsi="Times New Roman" w:cs="Times New Roman"/>
          <w:sz w:val="28"/>
          <w:szCs w:val="28"/>
          <w:lang w:val="kk-KZ" w:eastAsia="zh-CN"/>
        </w:rPr>
        <w:t xml:space="preserve"> басқару. Тамақ өнеркәсібінде қалдықтарды басқару қызметі мен саясаты елдердің тұрақты даму стратегиясында маңызды рөл атқарады. Канада, Австралия және Германия сияқты мемлекеттерде қауіпті қалдықтарды бөлек жинау, ағынды суларды тазарту техноло</w:t>
      </w:r>
      <w:r>
        <w:rPr>
          <w:rFonts w:ascii="Times New Roman" w:eastAsia="DengXian" w:hAnsi="Times New Roman" w:cs="Times New Roman"/>
          <w:sz w:val="28"/>
          <w:szCs w:val="28"/>
          <w:lang w:val="kk-KZ" w:eastAsia="zh-CN"/>
        </w:rPr>
        <w:t>гияларын енгізу міндетті талап болып табылады. Мысалы, Германияда қалдықтарды басқару “Циклді экономика туралы” Заңына сәйкес жүзеге асады, ол қаптаманы қайта өңдеу мен қалдықсыз өндіріс қағидаттарын енгізуді күшейтеді [135]. Австралия мен Канада да өндіру</w:t>
      </w:r>
      <w:r>
        <w:rPr>
          <w:rFonts w:ascii="Times New Roman" w:eastAsia="DengXian" w:hAnsi="Times New Roman" w:cs="Times New Roman"/>
          <w:sz w:val="28"/>
          <w:szCs w:val="28"/>
          <w:lang w:val="kk-KZ" w:eastAsia="zh-CN"/>
        </w:rPr>
        <w:t>шілер үшін қалдықтарды азайтуға бағытталған кешенді бағдарламалар қабылданған [136, 137]. Сол себепті бұл елдер 3 балл деңгейінде бағаланады. Италия, Нидерданды және Жапония да қатаң қалдықтарды басқару ережелері бар, мысалы, Жапонияда “Тұрақты материалдық</w:t>
      </w:r>
      <w:r>
        <w:rPr>
          <w:rFonts w:ascii="Times New Roman" w:eastAsia="DengXian" w:hAnsi="Times New Roman" w:cs="Times New Roman"/>
          <w:sz w:val="28"/>
          <w:szCs w:val="28"/>
          <w:lang w:val="kk-KZ" w:eastAsia="zh-CN"/>
        </w:rPr>
        <w:t xml:space="preserve"> цикл қоғамын құру туралы” нормативтік құжаты арқылы қайта өңдеуді жүйелі түрле дамытуда [138]. Дегенмен, аталмыш саясаттардың орындалуы өңірлер бойынша әркелкі. Сондықтан бұл елдер 2 баллдық деңгейге сәйкес келеді. Оңтүстік Корея мен Қытайда соңғы жылдары</w:t>
      </w:r>
      <w:r>
        <w:rPr>
          <w:rFonts w:ascii="Times New Roman" w:eastAsia="DengXian" w:hAnsi="Times New Roman" w:cs="Times New Roman"/>
          <w:sz w:val="28"/>
          <w:szCs w:val="28"/>
          <w:lang w:val="kk-KZ" w:eastAsia="zh-CN"/>
        </w:rPr>
        <w:t xml:space="preserve"> өндірістік қалдықтарды азайту және экологиялық стандарттарды күшейту бағытында ауқымды реформалар қабылданды, алайда олардың орындалуы кейбір аймақтарда шектеулі, әрі шағын кәсіпорындар үшін әкімшілік ауыртпалықтар әлі де жоғары болып отыр [139, 140]. Сон</w:t>
      </w:r>
      <w:r>
        <w:rPr>
          <w:rFonts w:ascii="Times New Roman" w:eastAsia="DengXian" w:hAnsi="Times New Roman" w:cs="Times New Roman"/>
          <w:sz w:val="28"/>
          <w:szCs w:val="28"/>
          <w:lang w:val="kk-KZ" w:eastAsia="zh-CN"/>
        </w:rPr>
        <w:t xml:space="preserve">дықтан бұл елдер 2 баллмен бағаланады. АҚШ-та қалдықтарды басқару саясаты федералдық деңгейде анықталса да, кейбір штаттарда стандарттар бір-бірінен ерекшеленеді. Бұл жүйе кәсіпорындар үшін белгілі бір икемділік берсе де, кейде ортақ ұлттық стандарттардың </w:t>
      </w:r>
      <w:r>
        <w:rPr>
          <w:rFonts w:ascii="Times New Roman" w:eastAsia="DengXian" w:hAnsi="Times New Roman" w:cs="Times New Roman"/>
          <w:sz w:val="28"/>
          <w:szCs w:val="28"/>
          <w:lang w:val="kk-KZ" w:eastAsia="zh-CN"/>
        </w:rPr>
        <w:t xml:space="preserve">жетіспеушілігі байқалады. Сондықтан бұл елдің тәжірибесі 2 баллға сәйкес келеді деп бағаланған [141]. Қазақстанда өндірістік және қауіпті қалдықтарды басқару “Жасыл экономикаға көшу тұжырымдамасы” мен “Экологиялық Кодекс” шеңберінде реттеледі [142]. Соңғы </w:t>
      </w:r>
      <w:r>
        <w:rPr>
          <w:rFonts w:ascii="Times New Roman" w:eastAsia="DengXian" w:hAnsi="Times New Roman" w:cs="Times New Roman"/>
          <w:sz w:val="28"/>
          <w:szCs w:val="28"/>
          <w:lang w:val="kk-KZ" w:eastAsia="zh-CN"/>
        </w:rPr>
        <w:t xml:space="preserve">жылдары пластикалық қалдықтарды қысқарту және қаптамаға шектеулер қою шаралары қабылданғанымен, қалдықтарды қайта өңдеу үлесі әлі де төмен деңгейде қалып отыр. Сондықтан Қазақстан тәжірибесі 1 балл деңгейінде бағаланады. </w:t>
      </w:r>
    </w:p>
    <w:p w:rsidR="005118AF" w:rsidRDefault="00EF60C3">
      <w:pPr>
        <w:numPr>
          <w:ilvl w:val="2"/>
          <w:numId w:val="18"/>
        </w:num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Қоршаған</w:t>
      </w:r>
      <w:r>
        <w:rPr>
          <w:rFonts w:ascii="Times New Roman" w:eastAsia="DengXian" w:hAnsi="Times New Roman" w:cs="Times New Roman"/>
          <w:sz w:val="28"/>
          <w:szCs w:val="28"/>
          <w:lang w:val="kk-KZ" w:eastAsia="zh-CN"/>
        </w:rPr>
        <w:t xml:space="preserve"> ортаның тәуекелдерін баға</w:t>
      </w:r>
      <w:r>
        <w:rPr>
          <w:rFonts w:ascii="Times New Roman" w:eastAsia="DengXian" w:hAnsi="Times New Roman" w:cs="Times New Roman"/>
          <w:sz w:val="28"/>
          <w:szCs w:val="28"/>
          <w:lang w:val="kk-KZ" w:eastAsia="zh-CN"/>
        </w:rPr>
        <w:t>лау және қоршаған ортаны қорғау бойынша нормативтік-құқықтық актілер. Көптеген дамыған мемлекеттерде жаңа өнімдер мен технологияларды енгізу барысында міндетті түрде экологиялық тәуекелдерді бағалау талап етіледі, бұл олардың заңнамасында нақты бекітілген.</w:t>
      </w:r>
      <w:r>
        <w:rPr>
          <w:rFonts w:ascii="Times New Roman" w:eastAsia="DengXian" w:hAnsi="Times New Roman" w:cs="Times New Roman"/>
          <w:sz w:val="28"/>
          <w:szCs w:val="28"/>
          <w:lang w:val="kk-KZ" w:eastAsia="zh-CN"/>
        </w:rPr>
        <w:t xml:space="preserve"> Мысалы, АҚШ-та Қоршаған ортаны қорғау агенттігі кәсіпорындардан жаңа өнімдерді нарыққа шығарғанда қоршаған ортаға әсерін алдын ала бағалауды міндеттейді [143]. Еуропалық Одақ елдерінде, соның ішінде Германия, Италия және Нидерландыда, экологиялық тәуекелд</w:t>
      </w:r>
      <w:r>
        <w:rPr>
          <w:rFonts w:ascii="Times New Roman" w:eastAsia="DengXian" w:hAnsi="Times New Roman" w:cs="Times New Roman"/>
          <w:sz w:val="28"/>
          <w:szCs w:val="28"/>
          <w:lang w:val="kk-KZ" w:eastAsia="zh-CN"/>
        </w:rPr>
        <w:t>ерді бағалау “Қоршаған ортаға әсерді бағалау директивасы” шеңберінде жүзеге асырылады [144]. Канада мен Австралияда да қоршаған ортаны қорғау заңдары арқылы жаңа өндірістік жобалар мен азық-түлік инновацияларына қатысты тәуекелдерге кешенді бағалау жүргізі</w:t>
      </w:r>
      <w:r>
        <w:rPr>
          <w:rFonts w:ascii="Times New Roman" w:eastAsia="DengXian" w:hAnsi="Times New Roman" w:cs="Times New Roman"/>
          <w:sz w:val="28"/>
          <w:szCs w:val="28"/>
          <w:lang w:val="kk-KZ" w:eastAsia="zh-CN"/>
        </w:rPr>
        <w:t>леді [145, 146]. Бұл елдер тәжірибесі халықаралық стандарттарға толық сәйкес келетіндіктен, 2 балл деңгейінде бағаланды. Жапония мен Оңтүстік Кореяда экологиялық тәуекелдерді басқару талаптары бар болғанымен, олар басым жағдайды ірі өндірістік жобаларға қа</w:t>
      </w:r>
      <w:r>
        <w:rPr>
          <w:rFonts w:ascii="Times New Roman" w:eastAsia="DengXian" w:hAnsi="Times New Roman" w:cs="Times New Roman"/>
          <w:sz w:val="28"/>
          <w:szCs w:val="28"/>
          <w:lang w:val="kk-KZ" w:eastAsia="zh-CN"/>
        </w:rPr>
        <w:t>тысты қатаң қолданылады да, ал шағын инновациялық кәсіпорындарға қатысты бірқатар жеңілдіктер ұсынады [139; 147]. Қытайда экологиялық тәуекелдерді бағалау жүйесі “Қоршаған ортаға әсерді бағалау туралы заң” арқылы реттеледі, алайда іс жүзінде бұл Заңның айм</w:t>
      </w:r>
      <w:r>
        <w:rPr>
          <w:rFonts w:ascii="Times New Roman" w:eastAsia="DengXian" w:hAnsi="Times New Roman" w:cs="Times New Roman"/>
          <w:sz w:val="28"/>
          <w:szCs w:val="28"/>
          <w:lang w:val="kk-KZ" w:eastAsia="zh-CN"/>
        </w:rPr>
        <w:t xml:space="preserve">ақтар бойынша орындалуында айырмашылықтар бар [148]. Бұл елдер 2 баллмен бағаланады, бірақ қолдану тәжірибесі кейбір шектеулерге ие.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Қазақстандық</w:t>
      </w:r>
      <w:r>
        <w:rPr>
          <w:rFonts w:ascii="Times New Roman" w:eastAsia="DengXian" w:hAnsi="Times New Roman" w:cs="Times New Roman"/>
          <w:sz w:val="28"/>
          <w:szCs w:val="28"/>
          <w:lang w:val="kk-KZ" w:eastAsia="zh-CN"/>
        </w:rPr>
        <w:t xml:space="preserve"> экологиялық тәуекелдерді бағалау 2021 жылы қабылданған “Экологиялық кодекс” шеңберінде қарастырылған, Жаңа өндірістік жобаларға міндетті экологиялық сараптама талап етілгенімен,  инновациялық шағын және орта бизнеске қатысты талаптар толық оры</w:t>
      </w:r>
      <w:r>
        <w:rPr>
          <w:rFonts w:ascii="Times New Roman" w:eastAsia="DengXian" w:hAnsi="Times New Roman" w:cs="Times New Roman"/>
          <w:sz w:val="28"/>
          <w:szCs w:val="28"/>
          <w:lang w:val="kk-KZ" w:eastAsia="zh-CN"/>
        </w:rPr>
        <w:t xml:space="preserve">ндалмайды және құқықтық қолдану тетіктері әлі де жетілдіруді қажет етеді [142]. Сондықтан Қазақстан тәжірибесі салыстырмалы түрде 1 баллға сәйкес келеді. </w:t>
      </w:r>
    </w:p>
    <w:p w:rsidR="005118AF" w:rsidRDefault="00EF60C3">
      <w:pPr>
        <w:numPr>
          <w:ilvl w:val="0"/>
          <w:numId w:val="18"/>
        </w:numPr>
        <w:spacing w:after="0" w:line="240" w:lineRule="auto"/>
        <w:ind w:left="0"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 Бизнестің бәсекеге қабілеттілігі. 18-кестеде “Бизнестің бәсекеге қабілеттілігінің” бірінші топ көр</w:t>
      </w:r>
      <w:r>
        <w:rPr>
          <w:rFonts w:ascii="Times New Roman" w:eastAsia="DengXian" w:hAnsi="Times New Roman" w:cs="Times New Roman"/>
          <w:sz w:val="28"/>
          <w:szCs w:val="28"/>
          <w:lang w:val="kk-KZ" w:eastAsia="zh-CN"/>
        </w:rPr>
        <w:t xml:space="preserve">сеткіштері бойынша әр елге берілген баллдар және бөлім бойынша жалпы баллдары көрсетілген. Әр көрсеткіш баллдарының негіздемесі 18-кестеден кейін талданған.  </w:t>
      </w:r>
    </w:p>
    <w:p w:rsidR="005118AF" w:rsidRDefault="005118AF">
      <w:pPr>
        <w:spacing w:after="0" w:line="240" w:lineRule="auto"/>
        <w:ind w:firstLineChars="252" w:firstLine="706"/>
        <w:jc w:val="both"/>
        <w:rPr>
          <w:rFonts w:ascii="Times New Roman" w:eastAsia="DengXian" w:hAnsi="Times New Roman" w:cs="Times New Roman"/>
          <w:sz w:val="28"/>
          <w:szCs w:val="28"/>
          <w:lang w:val="kk-KZ" w:eastAsia="zh-CN"/>
        </w:rPr>
      </w:pPr>
    </w:p>
    <w:p w:rsidR="005118AF" w:rsidRDefault="005118AF">
      <w:pPr>
        <w:spacing w:after="0" w:line="240" w:lineRule="auto"/>
        <w:ind w:firstLineChars="252" w:firstLine="706"/>
        <w:jc w:val="both"/>
        <w:rPr>
          <w:rFonts w:ascii="Times New Roman" w:eastAsia="DengXian" w:hAnsi="Times New Roman" w:cs="Times New Roman"/>
          <w:sz w:val="28"/>
          <w:szCs w:val="28"/>
          <w:lang w:val="kk-KZ" w:eastAsia="zh-CN"/>
        </w:rPr>
      </w:pPr>
    </w:p>
    <w:p w:rsidR="005118AF" w:rsidRDefault="005118AF">
      <w:pPr>
        <w:spacing w:after="0" w:line="240" w:lineRule="auto"/>
        <w:ind w:firstLineChars="252" w:firstLine="706"/>
        <w:jc w:val="both"/>
        <w:rPr>
          <w:rFonts w:ascii="Times New Roman" w:eastAsia="DengXian" w:hAnsi="Times New Roman" w:cs="Times New Roman"/>
          <w:sz w:val="28"/>
          <w:szCs w:val="28"/>
          <w:lang w:val="kk-KZ" w:eastAsia="zh-CN"/>
        </w:rPr>
      </w:pPr>
    </w:p>
    <w:p w:rsidR="005118AF" w:rsidRDefault="005118AF">
      <w:pPr>
        <w:spacing w:after="0" w:line="240" w:lineRule="auto"/>
        <w:ind w:firstLineChars="252" w:firstLine="706"/>
        <w:jc w:val="both"/>
        <w:rPr>
          <w:rFonts w:ascii="Times New Roman" w:eastAsia="DengXian" w:hAnsi="Times New Roman" w:cs="Times New Roman"/>
          <w:sz w:val="28"/>
          <w:szCs w:val="28"/>
          <w:lang w:val="kk-KZ" w:eastAsia="zh-CN"/>
        </w:rPr>
      </w:pPr>
    </w:p>
    <w:p w:rsidR="005118AF" w:rsidRDefault="005118AF">
      <w:pPr>
        <w:spacing w:after="0" w:line="240" w:lineRule="auto"/>
        <w:ind w:firstLineChars="252" w:firstLine="706"/>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18 ‒ Бизнестің бәсекеге қабілеттілік ортасын бағалау нәтижелері</w:t>
      </w:r>
    </w:p>
    <w:p w:rsidR="005118AF" w:rsidRDefault="005118AF">
      <w:pPr>
        <w:spacing w:after="0" w:line="240" w:lineRule="auto"/>
        <w:jc w:val="right"/>
        <w:rPr>
          <w:rFonts w:ascii="Times New Roman" w:eastAsia="DengXi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2"/>
        <w:gridCol w:w="2977"/>
        <w:gridCol w:w="3015"/>
        <w:gridCol w:w="1521"/>
      </w:tblGrid>
      <w:tr w:rsidR="005118AF">
        <w:trPr>
          <w:trHeight w:val="62"/>
          <w:jc w:val="center"/>
        </w:trPr>
        <w:tc>
          <w:tcPr>
            <w:tcW w:w="217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2977" w:type="dxa"/>
            <w:vAlign w:val="center"/>
          </w:tcPr>
          <w:p w:rsidR="005118AF" w:rsidRDefault="00EF60C3">
            <w:pPr>
              <w:pStyle w:val="af0"/>
              <w:numPr>
                <w:ilvl w:val="2"/>
                <w:numId w:val="18"/>
              </w:num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Сауда </w:t>
            </w:r>
            <w:r>
              <w:rPr>
                <w:rFonts w:ascii="Times New Roman" w:eastAsia="DengXian" w:hAnsi="Times New Roman" w:cs="Times New Roman"/>
                <w:sz w:val="24"/>
                <w:szCs w:val="24"/>
                <w:lang w:eastAsia="zh-CN"/>
              </w:rPr>
              <w:t>балансы. Азы</w:t>
            </w:r>
            <w:r>
              <w:rPr>
                <w:rFonts w:ascii="Times New Roman" w:eastAsia="DengXian" w:hAnsi="Times New Roman" w:cs="Times New Roman"/>
                <w:sz w:val="24"/>
                <w:szCs w:val="24"/>
                <w:lang w:val="kk-KZ" w:eastAsia="zh-CN"/>
              </w:rPr>
              <w:t>қ</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түлік экспорты</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 xml:space="preserve">импорты </w:t>
            </w:r>
            <w:r>
              <w:rPr>
                <w:rFonts w:ascii="Times New Roman" w:eastAsia="DengXian" w:hAnsi="Times New Roman" w:cs="Times New Roman"/>
                <w:sz w:val="24"/>
                <w:szCs w:val="24"/>
                <w:lang w:eastAsia="zh-CN"/>
              </w:rPr>
              <w:t>(/3)</w:t>
            </w:r>
          </w:p>
        </w:tc>
        <w:tc>
          <w:tcPr>
            <w:tcW w:w="3015" w:type="dxa"/>
            <w:vAlign w:val="center"/>
          </w:tcPr>
          <w:p w:rsidR="005118AF" w:rsidRDefault="00EF60C3">
            <w:pPr>
              <w:pStyle w:val="af0"/>
              <w:numPr>
                <w:ilvl w:val="2"/>
                <w:numId w:val="18"/>
              </w:num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Тұтыну бағасының индекстері (тағам өнімдері) </w:t>
            </w:r>
            <w:r>
              <w:rPr>
                <w:rFonts w:ascii="Times New Roman" w:eastAsia="DengXian" w:hAnsi="Times New Roman" w:cs="Times New Roman"/>
                <w:sz w:val="24"/>
                <w:szCs w:val="24"/>
                <w:lang w:eastAsia="zh-CN"/>
              </w:rPr>
              <w:t>(/3)</w:t>
            </w:r>
          </w:p>
        </w:tc>
        <w:tc>
          <w:tcPr>
            <w:tcW w:w="152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1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Оңтүстік </w:t>
            </w:r>
            <w:r>
              <w:rPr>
                <w:rFonts w:ascii="Times New Roman" w:eastAsia="DengXian" w:hAnsi="Times New Roman" w:cs="Times New Roman"/>
                <w:sz w:val="24"/>
                <w:szCs w:val="24"/>
                <w:lang w:val="kk-KZ" w:eastAsia="zh-CN"/>
              </w:rPr>
              <w:t>Корея</w:t>
            </w:r>
          </w:p>
        </w:tc>
        <w:tc>
          <w:tcPr>
            <w:tcW w:w="2977"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015"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52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bl>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numPr>
          <w:ilvl w:val="2"/>
          <w:numId w:val="18"/>
        </w:num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hAnsi="Times New Roman" w:cs="Times New Roman"/>
          <w:sz w:val="28"/>
          <w:szCs w:val="28"/>
          <w:lang w:val="kk-KZ"/>
        </w:rPr>
        <w:t xml:space="preserve">Азық-түлік өнімдерінің экспорты мен импорты. </w:t>
      </w:r>
      <w:r>
        <w:rPr>
          <w:rFonts w:ascii="Times New Roman" w:eastAsia="DengXian" w:hAnsi="Times New Roman" w:cs="Times New Roman"/>
          <w:sz w:val="28"/>
          <w:szCs w:val="28"/>
          <w:lang w:val="kk-KZ" w:eastAsia="zh-CN"/>
        </w:rPr>
        <w:t>Әлемдік</w:t>
      </w:r>
      <w:r>
        <w:rPr>
          <w:rFonts w:ascii="Times New Roman" w:eastAsia="DengXian" w:hAnsi="Times New Roman" w:cs="Times New Roman"/>
          <w:sz w:val="28"/>
          <w:szCs w:val="28"/>
          <w:lang w:val="kk-KZ" w:eastAsia="zh-CN"/>
        </w:rPr>
        <w:t xml:space="preserve"> тәжірибеде елдің сауда балансы мен тамақ өнімдерінің экспорт-импорт құрылымы оның даму деңгейін және инновацияларға ашықтығын айқындайды. АҚШ, Канада және Австралия елдері дәстүрлі түрде таза экспорттаушылар болып табылады: олардың ауыл шаруашылық </w:t>
      </w:r>
      <w:r>
        <w:rPr>
          <w:rFonts w:ascii="Times New Roman" w:eastAsia="DengXian" w:hAnsi="Times New Roman" w:cs="Times New Roman"/>
          <w:sz w:val="28"/>
          <w:szCs w:val="28"/>
          <w:lang w:val="kk-KZ" w:eastAsia="zh-CN"/>
        </w:rPr>
        <w:t>өнімдері</w:t>
      </w:r>
      <w:r>
        <w:rPr>
          <w:rFonts w:ascii="Times New Roman" w:eastAsia="DengXian" w:hAnsi="Times New Roman" w:cs="Times New Roman"/>
          <w:sz w:val="28"/>
          <w:szCs w:val="28"/>
          <w:lang w:val="kk-KZ" w:eastAsia="zh-CN"/>
        </w:rPr>
        <w:t xml:space="preserve"> мен қайта өңделген азық-түлік тауарлары халықаралық нарықта бәсекеге қабілетті және тұрақты сұранысқа ие [149, 150]. Бұл елдерде азық-түлік экспортының жоғары үлесі инновациялық инфрақұрылымның көлік-логистикалық және ғылыми зерттеулер мен әзірлем</w:t>
      </w:r>
      <w:r>
        <w:rPr>
          <w:rFonts w:ascii="Times New Roman" w:eastAsia="DengXian" w:hAnsi="Times New Roman" w:cs="Times New Roman"/>
          <w:sz w:val="28"/>
          <w:szCs w:val="28"/>
          <w:lang w:val="kk-KZ" w:eastAsia="zh-CN"/>
        </w:rPr>
        <w:t xml:space="preserve">елер жүйесінің дамуына ықпал етеді, сондықтан 3 баллмен бағаланады.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Германия, Италия және Нидерланды елдері - әлемдік азық-түлік нарығында жетекші орын алады. Мысалы, Нидерланды әлем бойынша екінші орындағы ірі азық-түлік өнімдерінің экспорттаушы ел ретін</w:t>
      </w:r>
      <w:r>
        <w:rPr>
          <w:rFonts w:ascii="Times New Roman" w:eastAsia="DengXian" w:hAnsi="Times New Roman" w:cs="Times New Roman"/>
          <w:sz w:val="28"/>
          <w:szCs w:val="28"/>
          <w:lang w:val="kk-KZ" w:eastAsia="zh-CN"/>
        </w:rPr>
        <w:t>де белгілі, бұл оның инновациялық агротехнологиялар мен тұрақты өндірістік жүйелерінің нәтижесі [151]. Германия мен Италияда да экспорт үлесі жоғары, бірақ сонымен бірге импортқа тәуелділіктің де белгілі бір деңгейі байқалады, сондықтан бұл елдер 3 балл де</w:t>
      </w:r>
      <w:r>
        <w:rPr>
          <w:rFonts w:ascii="Times New Roman" w:eastAsia="DengXian" w:hAnsi="Times New Roman" w:cs="Times New Roman"/>
          <w:sz w:val="28"/>
          <w:szCs w:val="28"/>
          <w:lang w:val="kk-KZ" w:eastAsia="zh-CN"/>
        </w:rPr>
        <w:t>ңгейінде</w:t>
      </w:r>
      <w:r>
        <w:rPr>
          <w:rFonts w:ascii="Times New Roman" w:eastAsia="DengXian" w:hAnsi="Times New Roman" w:cs="Times New Roman"/>
          <w:sz w:val="28"/>
          <w:szCs w:val="28"/>
          <w:lang w:val="kk-KZ" w:eastAsia="zh-CN"/>
        </w:rPr>
        <w:t xml:space="preserve"> бағаланды.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Жапония мен Оңтүстік Корея, керісінше, таза импорттаушы елдер болып табылады. Олардың азық-түлік импортының үлесі жоғары болғанымен, бұл елдер жаңа технологиялар мен инновациялық, логистикалық жүйесі арқылы азық-түлік қауіпсіздігін қам</w:t>
      </w:r>
      <w:r>
        <w:rPr>
          <w:rFonts w:ascii="Times New Roman" w:eastAsia="DengXian" w:hAnsi="Times New Roman" w:cs="Times New Roman"/>
          <w:sz w:val="28"/>
          <w:szCs w:val="28"/>
          <w:lang w:val="kk-KZ" w:eastAsia="zh-CN"/>
        </w:rPr>
        <w:t>тамасыз етуге ұмтылады [152, 153]. Мұндай жағдай бұл мемлекеттерді 2 баллмен бағалауға мүмкіндік береді. Қытай азық-түлік өнімдерінің ірі өндірушісі әрі тұтынушысы ретінде аралас сипатқа ие: ауылшаруашылық өнімдерінің экмпорты да, импорты да жоғары деңгейд</w:t>
      </w:r>
      <w:r>
        <w:rPr>
          <w:rFonts w:ascii="Times New Roman" w:eastAsia="DengXian" w:hAnsi="Times New Roman" w:cs="Times New Roman"/>
          <w:sz w:val="28"/>
          <w:szCs w:val="28"/>
          <w:lang w:val="kk-KZ" w:eastAsia="zh-CN"/>
        </w:rPr>
        <w:t xml:space="preserve">е [154]. Соңғы жылдары ол инновациялық агротехнологияларды белсенді енгізіп, жаһандық азық-түлік жүйесінде ықпалын арттырып келеді және сол себепті Қытай мемлекетті 2 баллмен бағаланды [148].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w:t>
      </w:r>
      <w:r>
        <w:rPr>
          <w:rFonts w:ascii="Times New Roman" w:eastAsia="DengXian" w:hAnsi="Times New Roman" w:cs="Times New Roman"/>
          <w:sz w:val="28"/>
          <w:szCs w:val="28"/>
          <w:lang w:val="kk-KZ" w:eastAsia="zh-CN"/>
        </w:rPr>
        <w:t xml:space="preserve"> азық-түлік өнімдері экспорты ауыл шаруашылық шикізат</w:t>
      </w:r>
      <w:r>
        <w:rPr>
          <w:rFonts w:ascii="Times New Roman" w:eastAsia="DengXian" w:hAnsi="Times New Roman" w:cs="Times New Roman"/>
          <w:sz w:val="28"/>
          <w:szCs w:val="28"/>
          <w:lang w:val="kk-KZ" w:eastAsia="zh-CN"/>
        </w:rPr>
        <w:t>ына негізделген, мысалы астық, май, арпа өнімдері бойынша аймақтағы елдер мен Қытай бағытында жоғары экспорттық әлеуетті көрсеткенімен, өңделген өнімдер үлесі салыстырмалы түрде өте төмен. Сонымен қатар, импорт үлесі айтарлықтай жоғары, әсіресе қайта өңдел</w:t>
      </w:r>
      <w:r>
        <w:rPr>
          <w:rFonts w:ascii="Times New Roman" w:eastAsia="DengXian" w:hAnsi="Times New Roman" w:cs="Times New Roman"/>
          <w:sz w:val="28"/>
          <w:szCs w:val="28"/>
          <w:lang w:val="kk-KZ" w:eastAsia="zh-CN"/>
        </w:rPr>
        <w:t xml:space="preserve">ген және дайын өнім сегментінде [155]. Жалпы еліміздің азық-түлік импортының Ресейге жоғары тәуелділігі (47%-ға дейін) елімізге азық-түлік қауіпсіздігін тудырады [156].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Бұл жағдай инновациялық инфрақұрылымның жеткіліксіздігін және қосылған құн тізбегінің </w:t>
      </w:r>
      <w:r>
        <w:rPr>
          <w:rFonts w:ascii="Times New Roman" w:eastAsia="DengXian" w:hAnsi="Times New Roman" w:cs="Times New Roman"/>
          <w:sz w:val="28"/>
          <w:szCs w:val="28"/>
          <w:lang w:val="kk-KZ" w:eastAsia="zh-CN"/>
        </w:rPr>
        <w:t>әлсіз</w:t>
      </w:r>
      <w:r>
        <w:rPr>
          <w:rFonts w:ascii="Times New Roman" w:eastAsia="DengXian" w:hAnsi="Times New Roman" w:cs="Times New Roman"/>
          <w:sz w:val="28"/>
          <w:szCs w:val="28"/>
          <w:lang w:val="kk-KZ" w:eastAsia="zh-CN"/>
        </w:rPr>
        <w:t xml:space="preserve"> дамығандығын көрсетеді. Сондықтан Қазақстан тәжірибесі 1 баллға сәйкес келеді. </w:t>
      </w:r>
    </w:p>
    <w:p w:rsidR="005118AF" w:rsidRDefault="00EF60C3">
      <w:pPr>
        <w:numPr>
          <w:ilvl w:val="2"/>
          <w:numId w:val="18"/>
        </w:num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Тұтыну бағасының индекстері (Азық-түлік өнімдері бойынша). Азық-түлік бағасының инфляциясының жыл сайынғы өзгерістері әр мемлекет үшін төрт кезең бойынша есептелді: 2019-2020; 2021-2022; 2023-2024 және 2025 жылдың мәліметтері.  Орташа көрсеткіштер бойынша </w:t>
      </w:r>
      <w:r>
        <w:rPr>
          <w:rFonts w:ascii="Times New Roman" w:eastAsia="DengXian" w:hAnsi="Times New Roman" w:cs="Times New Roman"/>
          <w:sz w:val="28"/>
          <w:szCs w:val="28"/>
          <w:lang w:val="kk-KZ" w:eastAsia="zh-CN"/>
        </w:rPr>
        <w:t>2021-2022 жылдары 5,7%. Канадада Ковид-2019 пандемиясына  байланысты 2021 жылы инфляция 0,5-тен 5,1-ге күрт өсіп, одан кейінгі кезеңдерде тек төмендеу қарқынын байқауға болады. Жалпы Канада осы алынған төрт кезеңнің екі кезеңінде өсім орын алды және сондық</w:t>
      </w:r>
      <w:r>
        <w:rPr>
          <w:rFonts w:ascii="Times New Roman" w:eastAsia="DengXian" w:hAnsi="Times New Roman" w:cs="Times New Roman"/>
          <w:sz w:val="28"/>
          <w:szCs w:val="28"/>
          <w:lang w:val="kk-KZ" w:eastAsia="zh-CN"/>
        </w:rPr>
        <w:t xml:space="preserve">тан бұл ел екі баллмен бағаланды [157-159].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Осыған ұқсас АҚШ, Германия және Оңтүстік Кореяда төрт кезең бойынша жиынтық орта есеппен екі баллдан берілді [157; 160]. Австралияда да, Нидерландыда да екі кезеңде орташа инфляция болды және екі кезеңде инфляци</w:t>
      </w:r>
      <w:r>
        <w:rPr>
          <w:rFonts w:ascii="Times New Roman" w:eastAsia="DengXian" w:hAnsi="Times New Roman" w:cs="Times New Roman"/>
          <w:sz w:val="28"/>
          <w:szCs w:val="28"/>
          <w:lang w:val="kk-KZ" w:eastAsia="zh-CN"/>
        </w:rPr>
        <w:t>я төмендеп, үш баллмен бағаланды [161, 162]. Қазақстанда төрт кезеңің үшеуінде өте жоғары инфляцияға орын алды (2025 жылы 10,6%), сондықтан бір балл берілді [163]. Италия мен Қытайда төрт кезеңнің үшеуінде инфляция жоғарылаған, алайда орташа деңгейдің мөлш</w:t>
      </w:r>
      <w:r>
        <w:rPr>
          <w:rFonts w:ascii="Times New Roman" w:eastAsia="DengXian" w:hAnsi="Times New Roman" w:cs="Times New Roman"/>
          <w:sz w:val="28"/>
          <w:szCs w:val="28"/>
          <w:lang w:val="kk-KZ" w:eastAsia="zh-CN"/>
        </w:rPr>
        <w:t xml:space="preserve">ерінде сақталғандықтан екі баллдан берілді [164, 165]. Жапонияда бір балл себебі, бұл кезеңдерде инфляция тұрақты өсіп келген [157].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Жаңа өнімдерге бағаның шамадан тыс өсуі тұтынушылардың сатып алу әлеуетін төмендетіп, инновацияларының коммерциялық табыс</w:t>
      </w:r>
      <w:r>
        <w:rPr>
          <w:rFonts w:ascii="Times New Roman" w:eastAsia="DengXian" w:hAnsi="Times New Roman" w:cs="Times New Roman"/>
          <w:sz w:val="28"/>
          <w:szCs w:val="28"/>
          <w:lang w:val="kk-KZ" w:eastAsia="zh-CN"/>
        </w:rPr>
        <w:t>ына кедергі келтіруі мүмкін. Сондықnан инфляция деңгейі маңызды ғана емес, оның тұрақтылығы мен болжамдығы да инновациялық стратегяларды қалыптастыруда шешуші фактор болмақ.</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2.2. Капитал және несиенің қолжетімділігі. 19-кесте бөлімдегі әрбір көрсеткіш бойы</w:t>
      </w:r>
      <w:r>
        <w:rPr>
          <w:rFonts w:ascii="Times New Roman" w:eastAsia="DengXian" w:hAnsi="Times New Roman" w:cs="Times New Roman"/>
          <w:sz w:val="28"/>
          <w:szCs w:val="28"/>
          <w:lang w:val="kk-KZ" w:eastAsia="zh-CN"/>
        </w:rPr>
        <w:t>нша әр елге берілген баллдары және бөлім бойынша жалпы балл көрсетілген. Әр көрсеткіш баллының негіздемесін сипаттау үшін талдау жүргізілді.</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19 ‒ Капиталды қаржыландыру және несиенің қол жетімділігі</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2835"/>
        <w:gridCol w:w="3596"/>
        <w:gridCol w:w="1160"/>
      </w:tblGrid>
      <w:tr w:rsidR="005118AF">
        <w:trPr>
          <w:jc w:val="center"/>
        </w:trPr>
        <w:tc>
          <w:tcPr>
            <w:tcW w:w="1924"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2835"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2.2.1.</w:t>
            </w:r>
          </w:p>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Мемлекетт</w:t>
            </w:r>
            <w:r>
              <w:rPr>
                <w:rFonts w:ascii="Times New Roman" w:eastAsia="DengXian" w:hAnsi="Times New Roman" w:cs="Times New Roman"/>
                <w:sz w:val="24"/>
                <w:szCs w:val="24"/>
                <w:lang w:val="kk-KZ" w:eastAsia="zh-CN"/>
              </w:rPr>
              <w:t>ік гранттар мен несиелер</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(/3)</w:t>
            </w:r>
          </w:p>
        </w:tc>
        <w:tc>
          <w:tcPr>
            <w:tcW w:w="3596"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2.2.2.</w:t>
            </w:r>
          </w:p>
          <w:p w:rsidR="005118AF" w:rsidRDefault="00EF60C3">
            <w:pPr>
              <w:spacing w:after="0" w:line="228"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Жан басына ша</w:t>
            </w:r>
            <w:r>
              <w:rPr>
                <w:rFonts w:ascii="Times New Roman" w:eastAsia="DengXian" w:hAnsi="Times New Roman" w:cs="Times New Roman"/>
                <w:sz w:val="24"/>
                <w:szCs w:val="24"/>
                <w:lang w:val="kk-KZ" w:eastAsia="zh-CN"/>
              </w:rPr>
              <w:t>ққандағы</w:t>
            </w:r>
            <w:r>
              <w:rPr>
                <w:rFonts w:ascii="Times New Roman" w:eastAsia="DengXian" w:hAnsi="Times New Roman" w:cs="Times New Roman"/>
                <w:sz w:val="24"/>
                <w:szCs w:val="24"/>
                <w:lang w:val="kk-KZ" w:eastAsia="zh-CN"/>
              </w:rPr>
              <w:t xml:space="preserve"> тікелей шетелдік инвестициялар</w:t>
            </w:r>
            <w:r>
              <w:rPr>
                <w:rFonts w:ascii="Times New Roman" w:eastAsia="DengXian" w:hAnsi="Times New Roman" w:cs="Times New Roman"/>
                <w:sz w:val="24"/>
                <w:szCs w:val="24"/>
                <w:lang w:eastAsia="zh-CN"/>
              </w:rPr>
              <w:t xml:space="preserve"> </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(/3)</w:t>
            </w:r>
          </w:p>
        </w:tc>
        <w:tc>
          <w:tcPr>
            <w:tcW w:w="116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28"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trHeight w:val="62"/>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924" w:type="dxa"/>
          </w:tcPr>
          <w:p w:rsidR="005118AF" w:rsidRDefault="00EF60C3">
            <w:pPr>
              <w:spacing w:after="0" w:line="228"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2835"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3596"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160" w:type="dxa"/>
          </w:tcPr>
          <w:p w:rsidR="005118AF" w:rsidRDefault="00EF60C3">
            <w:pPr>
              <w:spacing w:after="0" w:line="228"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bl>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2.2.1. Үкіметтік гранттар мен несиелер. Үкіметтік гранттар мен несиелерді ұсыну дәрежесін бағалау төрт өлшем бойынша бағаланды: бірінші, зерттеушілер анықтаған бағдарламалар саны; екінші, бағдарламалардың әртүрлілігі; үшінші, бағдарламалардың құрылымы; төр</w:t>
      </w:r>
      <w:r>
        <w:rPr>
          <w:rFonts w:ascii="Times New Roman" w:eastAsia="DengXian" w:hAnsi="Times New Roman" w:cs="Times New Roman"/>
          <w:sz w:val="28"/>
          <w:szCs w:val="28"/>
          <w:lang w:val="kk-KZ" w:eastAsia="zh-CN"/>
        </w:rPr>
        <w:t xml:space="preserve">тінші бағдарламаларға тапсырған өтінімдер туралы ақпараттың қолжетімділігі.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2020-2025 жылдар аралығында мемлекеттік гранттар мен несиелерді талдау нәтижесінде 10 елдің тәжірибесі салыстырмалы түрде бағаланды. АҚШ агробизнес, балық шаруашылығы және тамақ ө</w:t>
      </w:r>
      <w:r>
        <w:rPr>
          <w:rFonts w:ascii="Times New Roman" w:eastAsia="DengXian" w:hAnsi="Times New Roman" w:cs="Times New Roman"/>
          <w:sz w:val="28"/>
          <w:szCs w:val="28"/>
          <w:lang w:val="kk-KZ" w:eastAsia="zh-CN"/>
        </w:rPr>
        <w:t>неркәсібіне арналған көпсалалы бағдарламаларымен ерекшеленді [166, 167]. Бұл елде өтінім беру тәртібі толық ашық, ақпарат онлайн қолжетімді, сондықтан 3 баллға лайық. Канадада мемлекеттік қолдау бар болғанымен, мемлекеттік әртараптандырылуы жеткілікті дәре</w:t>
      </w:r>
      <w:r>
        <w:rPr>
          <w:rFonts w:ascii="Times New Roman" w:eastAsia="DengXian" w:hAnsi="Times New Roman" w:cs="Times New Roman"/>
          <w:sz w:val="28"/>
          <w:szCs w:val="28"/>
          <w:lang w:val="kk-KZ" w:eastAsia="zh-CN"/>
        </w:rPr>
        <w:t xml:space="preserve">жеде емес, өтініш беру рәсімі күрделірек, сондықтан 2 баллмен бағаланды [168-170]. Австралия ауыл шаруашылығы мен агроинновацияларды дамытуға бағытталған ашық әрі тиімді бағдарламаларының арқасында 3 баллмен бағаланды [171].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Германия мен Италияда субсидия</w:t>
      </w:r>
      <w:r>
        <w:rPr>
          <w:rFonts w:ascii="Times New Roman" w:eastAsia="DengXian" w:hAnsi="Times New Roman" w:cs="Times New Roman"/>
          <w:sz w:val="28"/>
          <w:szCs w:val="28"/>
          <w:lang w:val="kk-KZ" w:eastAsia="zh-CN"/>
        </w:rPr>
        <w:t xml:space="preserve">лар бар, бірақ өтінім беру рәсімдері ақпарат қолжетімділігі шектеулі болғандықтан 2 баллға бағаланды [172, 173]. Нидерланд инновациялық агротехнологияларға ерекше назар аударады және субсидиялар құрылымы жүйелі әрі ашық, сондықтан 3 баллға ие болды [174]. </w:t>
      </w:r>
      <w:r>
        <w:rPr>
          <w:rFonts w:ascii="Times New Roman" w:eastAsia="DengXian" w:hAnsi="Times New Roman" w:cs="Times New Roman"/>
          <w:sz w:val="28"/>
          <w:szCs w:val="28"/>
          <w:lang w:val="kk-KZ" w:eastAsia="zh-CN"/>
        </w:rPr>
        <w:t xml:space="preserve">Жапония мемлекеттік қолдауды негізінен ауыл шаруашылығына бағыттағанымен, өтінім беру рәсімінде ақпараттың толық еместігіне байланысты 2 баллмен бағаланды [175].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Қытайда</w:t>
      </w:r>
      <w:r>
        <w:rPr>
          <w:rFonts w:ascii="Times New Roman" w:eastAsia="DengXian" w:hAnsi="Times New Roman" w:cs="Times New Roman"/>
          <w:sz w:val="28"/>
          <w:szCs w:val="28"/>
          <w:lang w:val="kk-KZ" w:eastAsia="zh-CN"/>
        </w:rPr>
        <w:t xml:space="preserve"> тамақ өнеркәсібіне кең көлемде субсидиялау жүргізгенімен, оның ашықтық деңгейі төмен </w:t>
      </w:r>
      <w:r>
        <w:rPr>
          <w:rFonts w:ascii="Times New Roman" w:eastAsia="DengXian" w:hAnsi="Times New Roman" w:cs="Times New Roman"/>
          <w:sz w:val="28"/>
          <w:szCs w:val="28"/>
          <w:lang w:val="kk-KZ" w:eastAsia="zh-CN"/>
        </w:rPr>
        <w:t>және 2 баллға ие болды [176]. Оңтүстік Корея өтінім беру жүйесін енгізіп, инновациялық жобаларға қолдау көрсетуге жоғары ашықтықты қаматамыз ету себепті 3 баллмен бағаланды [177]. Ал Қазақстанда ауыл шаруашылығына арналған гранттар мен субсидиялар бар, бір</w:t>
      </w:r>
      <w:r>
        <w:rPr>
          <w:rFonts w:ascii="Times New Roman" w:eastAsia="DengXian" w:hAnsi="Times New Roman" w:cs="Times New Roman"/>
          <w:sz w:val="28"/>
          <w:szCs w:val="28"/>
          <w:lang w:val="kk-KZ" w:eastAsia="zh-CN"/>
        </w:rPr>
        <w:t xml:space="preserve">ақ ақпарат қолжетімділігі мен құрылымдық ашықтық жеткіліксіз болғандықтан 2 баллмен бағанады [178].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2.2.2. Тікелей шетелдік инвестициялар. Орта есеппен 2023 жылға жан басына шаққандағы тікелей шетелдік инвестициялар көлемі 1123 АҚШ деңгейінде есептелді. А</w:t>
      </w:r>
      <w:r>
        <w:rPr>
          <w:rFonts w:ascii="Times New Roman" w:eastAsia="DengXian" w:hAnsi="Times New Roman" w:cs="Times New Roman"/>
          <w:sz w:val="28"/>
          <w:szCs w:val="28"/>
          <w:lang w:val="kk-KZ" w:eastAsia="zh-CN"/>
        </w:rPr>
        <w:t xml:space="preserve">лайда бұл көрсеткіштер әр елде әртүрлі мөлшерде болып отыр (268 АҚШ долларынан - 6629 АҚШ долларына дейін), сондықтан орташа мән белгілі бір деңгейде бұрмаланған болып есептелінеді [179]. Осыған байланысты, орташа мәннен +/- 30% шегінде орналасқан елдерге </w:t>
      </w:r>
      <w:r>
        <w:rPr>
          <w:rFonts w:ascii="Times New Roman" w:eastAsia="DengXian" w:hAnsi="Times New Roman" w:cs="Times New Roman"/>
          <w:sz w:val="28"/>
          <w:szCs w:val="28"/>
          <w:lang w:val="kk-KZ" w:eastAsia="zh-CN"/>
        </w:rPr>
        <w:t xml:space="preserve">2 балл берілді. Орташа мәннен 30%-дан жоғары көрсеткіш көрсеткен елдер 3 баллмен бағаланды, ал 30%-дан төмен елдер көрсеткіш тіркелген елдерге 1 баллдан берілді.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 әдіснамаға сәйкес, Канада, АҚШ және Оңтүстік Корея жан басына шаққандағы тікелей шетелдік</w:t>
      </w:r>
      <w:r>
        <w:rPr>
          <w:rFonts w:ascii="Times New Roman" w:eastAsia="DengXian" w:hAnsi="Times New Roman" w:cs="Times New Roman"/>
          <w:sz w:val="28"/>
          <w:szCs w:val="28"/>
          <w:lang w:val="kk-KZ" w:eastAsia="zh-CN"/>
        </w:rPr>
        <w:t xml:space="preserve"> инвестициялар көрсеткіші орташа мәннен +/- 30% аралығында болғандықтан 2 баллға ие болды. Германия, Италия, Жапония, Қытай және Австралия көрсеткіштері орташа деңгейден төмен болғандықтан 1 баллға бағаланды. Ал Нидерланды жан басына шаққандағы өте жоғары </w:t>
      </w:r>
      <w:r>
        <w:rPr>
          <w:rFonts w:ascii="Times New Roman" w:eastAsia="DengXian" w:hAnsi="Times New Roman" w:cs="Times New Roman"/>
          <w:sz w:val="28"/>
          <w:szCs w:val="28"/>
          <w:lang w:val="kk-KZ" w:eastAsia="zh-CN"/>
        </w:rPr>
        <w:t>тікелей шетелдік инвестиция деңгейімен (6629 АҚШ доллары) ерекшеленіп, 3 баллға бағаланды. Қазақстанда 2023 жылғы таза тікелей шетелдік инвестициялар көлемі шамамен 5,3 млрд. АҚШ долларын құрады, ал халық саны 19,8 млн адамды құрады. Осыған сәйкес, жан бас</w:t>
      </w:r>
      <w:r>
        <w:rPr>
          <w:rFonts w:ascii="Times New Roman" w:eastAsia="DengXian" w:hAnsi="Times New Roman" w:cs="Times New Roman"/>
          <w:sz w:val="28"/>
          <w:szCs w:val="28"/>
          <w:lang w:val="kk-KZ" w:eastAsia="zh-CN"/>
        </w:rPr>
        <w:t xml:space="preserve">ына шаққандағы тікелей шетелдік инвестиция шамамен шамамен 268 АҚШ долларын құрады. Бұл көрсетікіш халықаралық орташа мәннен (≈ 1123) айтарлықтай төмен, сондықтан 1 баллмен бағаланды [180].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Мұндай айырмашылықтар инновациялық дамуға ықпал ету мүмкіндіктері</w:t>
      </w:r>
      <w:r>
        <w:rPr>
          <w:rFonts w:ascii="Times New Roman" w:eastAsia="DengXian" w:hAnsi="Times New Roman" w:cs="Times New Roman"/>
          <w:sz w:val="28"/>
          <w:szCs w:val="28"/>
          <w:lang w:val="kk-KZ" w:eastAsia="zh-CN"/>
        </w:rPr>
        <w:t>н де айқындайды: жоғары тікелей шетелдік инвестиция құйылған елдер арасындағы білім мен технология алмасуын күшейтсе, төмен көрсеткіш шетелдік капиталдың жаңа технологияларды трансферлеу, халықаралық тәжірибе мен ғылыми-зерттеу жобаларын қолдаудағы әлеуеті</w:t>
      </w:r>
      <w:r>
        <w:rPr>
          <w:rFonts w:ascii="Times New Roman" w:eastAsia="DengXian" w:hAnsi="Times New Roman" w:cs="Times New Roman"/>
          <w:sz w:val="28"/>
          <w:szCs w:val="28"/>
          <w:lang w:val="kk-KZ" w:eastAsia="zh-CN"/>
        </w:rPr>
        <w:t xml:space="preserve">н шектейді.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2.3. Тарату желілері. 20-кестеде бөлімдегі әрбір индикатор бойынша әрбір елге берілген баллдары бөлімнің жалпы баллымен бірге көрсетілген. Әр көрсеткіш бойынша баллдардың негіздемесін сипаттау үшін талдау жүргізілді.</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20 ‒ Тарату желілер</w:t>
      </w:r>
      <w:r>
        <w:rPr>
          <w:rFonts w:ascii="Times New Roman" w:eastAsia="DengXian" w:hAnsi="Times New Roman" w:cs="Times New Roman"/>
          <w:sz w:val="28"/>
          <w:szCs w:val="28"/>
          <w:lang w:val="kk-KZ" w:eastAsia="zh-CN"/>
        </w:rPr>
        <w:t>ін талдау нәтижелері</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2533"/>
        <w:gridCol w:w="3260"/>
        <w:gridCol w:w="1984"/>
      </w:tblGrid>
      <w:tr w:rsidR="005118AF">
        <w:tc>
          <w:tcPr>
            <w:tcW w:w="182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2533"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2.3.1.</w:t>
            </w:r>
            <w:r>
              <w:rPr>
                <w:rFonts w:ascii="Times New Roman" w:eastAsia="DengXian" w:hAnsi="Times New Roman" w:cs="Times New Roman"/>
                <w:sz w:val="24"/>
                <w:szCs w:val="24"/>
                <w:lang w:val="kk-KZ" w:eastAsia="zh-CN"/>
              </w:rPr>
              <w:t xml:space="preserve"> Жеке сауда белгілері </w:t>
            </w:r>
            <w:r>
              <w:rPr>
                <w:rFonts w:ascii="Times New Roman" w:eastAsia="DengXian" w:hAnsi="Times New Roman" w:cs="Times New Roman"/>
                <w:sz w:val="24"/>
                <w:szCs w:val="24"/>
                <w:lang w:eastAsia="zh-CN"/>
              </w:rPr>
              <w:t>(/3)</w:t>
            </w:r>
          </w:p>
        </w:tc>
        <w:tc>
          <w:tcPr>
            <w:tcW w:w="3260"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2.3.2. Көлік жүйесінің сыйымдылығы (/3)</w:t>
            </w:r>
          </w:p>
        </w:tc>
        <w:tc>
          <w:tcPr>
            <w:tcW w:w="1984"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 (/6)</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2533"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326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1984"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2533"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326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1984"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2533"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w:t>
            </w:r>
          </w:p>
        </w:tc>
        <w:tc>
          <w:tcPr>
            <w:tcW w:w="326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1984"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3</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2533"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w:t>
            </w:r>
          </w:p>
        </w:tc>
        <w:tc>
          <w:tcPr>
            <w:tcW w:w="326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w:t>
            </w:r>
          </w:p>
        </w:tc>
        <w:tc>
          <w:tcPr>
            <w:tcW w:w="1984"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4</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2533"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3</w:t>
            </w:r>
          </w:p>
        </w:tc>
        <w:tc>
          <w:tcPr>
            <w:tcW w:w="326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1984"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4</w:t>
            </w:r>
          </w:p>
        </w:tc>
      </w:tr>
      <w:tr w:rsidR="005118AF">
        <w:tc>
          <w:tcPr>
            <w:tcW w:w="1820"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2533"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3</w:t>
            </w:r>
          </w:p>
        </w:tc>
        <w:tc>
          <w:tcPr>
            <w:tcW w:w="3260"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3</w:t>
            </w:r>
          </w:p>
        </w:tc>
        <w:tc>
          <w:tcPr>
            <w:tcW w:w="1984"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6</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2533"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3</w:t>
            </w:r>
          </w:p>
        </w:tc>
        <w:tc>
          <w:tcPr>
            <w:tcW w:w="326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1</w:t>
            </w:r>
          </w:p>
        </w:tc>
        <w:tc>
          <w:tcPr>
            <w:tcW w:w="1984"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4</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2533"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326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98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2533"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26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98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c>
          <w:tcPr>
            <w:tcW w:w="1820"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2533"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326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8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bl>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2.3.1. Жеке тауар белгісі. Бағаланып отырған мемлекеттерде орта есеппен алғанда 18 түрлі жеке тауар белгісі бар екендігі анықталды және олардың негізгі мақсаты жеңілдік ұсыну немесе қолданыстағы өнімдерге қосымша құндылық енгізу болып табылады. Орташа мән </w:t>
      </w:r>
      <w:r>
        <w:rPr>
          <w:rFonts w:ascii="Times New Roman" w:eastAsia="DengXian" w:hAnsi="Times New Roman" w:cs="Times New Roman"/>
          <w:sz w:val="28"/>
          <w:szCs w:val="28"/>
          <w:lang w:val="kk-KZ" w:eastAsia="zh-CN"/>
        </w:rPr>
        <w:t>жеңілдіктен қосымша құндылыққа дейінгі аралықты қамтиды. Алайда бұл көрсеткіш негізінен инновациялық қызметке бағытталғандықтан, егер елдердің жеке тауар белгілері тек жеңілдік немесе құндылық қосудан бөлек, инновациялық сипатқа ие болса, оларға қосымша ба</w:t>
      </w:r>
      <w:r>
        <w:rPr>
          <w:rFonts w:ascii="Times New Roman" w:eastAsia="DengXian" w:hAnsi="Times New Roman" w:cs="Times New Roman"/>
          <w:sz w:val="28"/>
          <w:szCs w:val="28"/>
          <w:lang w:val="kk-KZ" w:eastAsia="zh-CN"/>
        </w:rPr>
        <w:t xml:space="preserve">лл берілді. Керісінше, егер негізгі басымдық қолданыстағы өнімдерге жеңілдік жасауға бағытталса, елдер бір балл жоғалтты.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АҚШ, Австралия, Қытай және Оңтүстік Корея екі ұпаймен бағаланды, себебі олардың жеке тауар белгілерінің саны орташа көрсеткішке жақын</w:t>
      </w:r>
      <w:r>
        <w:rPr>
          <w:rFonts w:ascii="Times New Roman" w:eastAsia="DengXian" w:hAnsi="Times New Roman" w:cs="Times New Roman"/>
          <w:sz w:val="28"/>
          <w:szCs w:val="28"/>
          <w:lang w:val="kk-KZ" w:eastAsia="zh-CN"/>
        </w:rPr>
        <w:t xml:space="preserve"> және негізінен қолданыстағы өнімдерге қосымша құндылық енгізу мақсатында ұсынылған, алайда бұл елдерде жеңілдіктен құндылыққа дейінгі ауқым да байқалады [181-190]. Канада және Жапония бойынша орташа есеппен жеке тауар белгілерінің саны аздау, әрі олардың </w:t>
      </w:r>
      <w:r>
        <w:rPr>
          <w:rFonts w:ascii="Times New Roman" w:eastAsia="DengXian" w:hAnsi="Times New Roman" w:cs="Times New Roman"/>
          <w:sz w:val="28"/>
          <w:szCs w:val="28"/>
          <w:lang w:val="kk-KZ" w:eastAsia="zh-CN"/>
        </w:rPr>
        <w:t xml:space="preserve">мақсаты негізінен жеңілдік ұсынуға бағытталған, тек кейбір тауар белгілерінде ғана құндылық қосу байқалады [191-195]. Сондықтан бұл елдер 1 балл берілді.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Германия, Нидерланды және Италия жеке тауар белгілерін инновация көзі ретінде кеңінен қолдануда, сонд</w:t>
      </w:r>
      <w:r>
        <w:rPr>
          <w:rFonts w:ascii="Times New Roman" w:eastAsia="DengXian" w:hAnsi="Times New Roman" w:cs="Times New Roman"/>
          <w:sz w:val="28"/>
          <w:szCs w:val="28"/>
          <w:lang w:val="kk-KZ" w:eastAsia="zh-CN"/>
        </w:rPr>
        <w:t xml:space="preserve">ықтан әрқайсысы 3 баллмен бағаланды [195; 196-210]. Атап айтқанда, Италиядағы Coop және Selex дүкендерінің өнімдері тек қосымша құндылық ұсынып қана қоймай, экологиялық тұрақтылық, әділ сауда және қолөнерлік өнімдер сияқты түрлі құндылықтарға негізделген, </w:t>
      </w:r>
      <w:r>
        <w:rPr>
          <w:rFonts w:ascii="Times New Roman" w:eastAsia="DengXian" w:hAnsi="Times New Roman" w:cs="Times New Roman"/>
          <w:sz w:val="28"/>
          <w:szCs w:val="28"/>
          <w:lang w:val="kk-KZ" w:eastAsia="zh-CN"/>
        </w:rPr>
        <w:t>осылайша тұтыну сегменттерін нысанға алады [211].</w:t>
      </w:r>
    </w:p>
    <w:p w:rsidR="005118AF" w:rsidRDefault="00EF60C3">
      <w:pPr>
        <w:spacing w:after="0" w:line="20" w:lineRule="atLeast"/>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Қазақстанда</w:t>
      </w:r>
      <w:r>
        <w:rPr>
          <w:rFonts w:ascii="Times New Roman" w:eastAsia="DengXian" w:hAnsi="Times New Roman" w:cs="Times New Roman"/>
          <w:sz w:val="28"/>
          <w:szCs w:val="28"/>
          <w:lang w:val="kk-KZ" w:eastAsia="zh-CN"/>
        </w:rPr>
        <w:t xml:space="preserve"> азық-түлік өнімдері өндірісі бойынша жеке тауар белгісі бар екі ірі ритейлор бар. Олар ТОО “Скиф трейд” (Small супермаркеттер желісі) және Magnum Cash&amp;Carry. Жеке тауар белгілерінің үлесі азық т</w:t>
      </w:r>
      <w:r>
        <w:rPr>
          <w:rFonts w:ascii="Times New Roman" w:eastAsia="DengXian" w:hAnsi="Times New Roman" w:cs="Times New Roman"/>
          <w:sz w:val="28"/>
          <w:szCs w:val="28"/>
          <w:lang w:val="kk-KZ" w:eastAsia="zh-CN"/>
        </w:rPr>
        <w:t>үлік</w:t>
      </w:r>
      <w:r>
        <w:rPr>
          <w:rFonts w:ascii="Times New Roman" w:eastAsia="DengXian" w:hAnsi="Times New Roman" w:cs="Times New Roman"/>
          <w:sz w:val="28"/>
          <w:szCs w:val="28"/>
          <w:lang w:val="kk-KZ" w:eastAsia="zh-CN"/>
        </w:rPr>
        <w:t xml:space="preserve"> тауарларында шамамен 0,8% (шамамен 5,9 млрд. теңге), азық-түлік емес тауарларда 3,5% (4,6 млрд. тенге) құрайды. Сонымен қатар, отандық тауар белгілері негізінен жеңілдік ұсынуға бағытталған. Алайда, зерттеліп отырған 10 мемлекеттің орташа көрсеткішіне</w:t>
      </w:r>
      <w:r>
        <w:rPr>
          <w:rFonts w:ascii="Times New Roman" w:eastAsia="DengXian" w:hAnsi="Times New Roman" w:cs="Times New Roman"/>
          <w:sz w:val="28"/>
          <w:szCs w:val="28"/>
          <w:lang w:val="kk-KZ" w:eastAsia="zh-CN"/>
        </w:rPr>
        <w:t xml:space="preserve">н әлдеқайда төмен және мақсаты өнімдерге жеңілдіктер беру арқылы жылжыту болып табылғандықтан Қазақстанға бір балл берілді [212].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2.3.2. Тасымалдау және жеткізу мүмкіндіктері. Әрбір көлік санаты бойынша елдердің тасымалдау әлеуеті олардың аумақтық көлемі (шаршы километрге шаққандағы көрсеткіш) салыстырылып, арнайы коэфицент айқындалды және әрбір көрсеткіштің орташа мәні айқындалды. Е</w:t>
      </w:r>
      <w:r>
        <w:rPr>
          <w:rFonts w:ascii="Times New Roman" w:eastAsia="DengXian" w:hAnsi="Times New Roman" w:cs="Times New Roman"/>
          <w:sz w:val="28"/>
          <w:szCs w:val="28"/>
          <w:lang w:val="kk-KZ" w:eastAsia="zh-CN"/>
        </w:rPr>
        <w:t xml:space="preserve">гер елдік негізгі көрсеткіштері орташа деңгейден төмен болса - 1 баллмен, ішінара жоғары және төмен болса - 2 балл, ал едеуір жоғары болса - 3 баллмен бағаланды.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АҚШ және Оңтүстік Корея көрсеткіштері орташа деңгейге сәйкес келіп, 2 баллмен бағаланды. Кана</w:t>
      </w:r>
      <w:r>
        <w:rPr>
          <w:rFonts w:ascii="Times New Roman" w:eastAsia="DengXian" w:hAnsi="Times New Roman" w:cs="Times New Roman"/>
          <w:sz w:val="28"/>
          <w:szCs w:val="28"/>
          <w:lang w:val="kk-KZ" w:eastAsia="zh-CN"/>
        </w:rPr>
        <w:t xml:space="preserve">да, Нидерланды, Италия және Австралия орташа деңгейден төмен инфрақұрылымға ие болғандықтан, әрқайсысы 1 баллмен бағаланды [213-221]. Сонымен қатар, Австралияда порттар бойынша, ал Италияда әуежай бойынша мәліметтер жетіспеді. Германия, Жапония және Қытай </w:t>
      </w:r>
      <w:r>
        <w:rPr>
          <w:rFonts w:ascii="Times New Roman" w:eastAsia="DengXian" w:hAnsi="Times New Roman" w:cs="Times New Roman"/>
          <w:sz w:val="28"/>
          <w:szCs w:val="28"/>
          <w:lang w:val="kk-KZ" w:eastAsia="zh-CN"/>
        </w:rPr>
        <w:t xml:space="preserve">барлық көлік түрлері бойынша орташа деңгейден жоғары инфрақұрылымға ие болып, 3 баллмен бағаланды [222-227].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Қазақстанның</w:t>
      </w:r>
      <w:r>
        <w:rPr>
          <w:rFonts w:ascii="Times New Roman" w:eastAsia="DengXian" w:hAnsi="Times New Roman" w:cs="Times New Roman"/>
          <w:sz w:val="28"/>
          <w:szCs w:val="28"/>
          <w:lang w:val="kk-KZ" w:eastAsia="zh-CN"/>
        </w:rPr>
        <w:t xml:space="preserve"> темір жол көлігінің нақты жүк айналымы өте жорғары (327 млрд. тонна жылына), бірақ еліміздің өткізу қабілеті айтарлықтай төмен екенді</w:t>
      </w:r>
      <w:r>
        <w:rPr>
          <w:rFonts w:ascii="Times New Roman" w:eastAsia="DengXian" w:hAnsi="Times New Roman" w:cs="Times New Roman"/>
          <w:sz w:val="28"/>
          <w:szCs w:val="28"/>
          <w:lang w:val="kk-KZ" w:eastAsia="zh-CN"/>
        </w:rPr>
        <w:t>гі анықталып отыр (20 млн. тонна жылына). Ал құбырлар тамысалының әлеуеті экспортқа сәйкес келеді (100 млн. тонна/жылына), бірақ сұраныстың артуымен шамадан тыс жүктелу қауіпі бар. Басқа көлік түрлері бойынша өткізу қабілеті туралы мәліметтер табылмады. Ко</w:t>
      </w:r>
      <w:r>
        <w:rPr>
          <w:rFonts w:ascii="Times New Roman" w:eastAsia="DengXian" w:hAnsi="Times New Roman" w:cs="Times New Roman"/>
          <w:sz w:val="28"/>
          <w:szCs w:val="28"/>
          <w:lang w:val="kk-KZ" w:eastAsia="zh-CN"/>
        </w:rPr>
        <w:t xml:space="preserve">эфицент бойынша орташадан төмен көрсеткіш болғандықтан Қазақстан бір баллмен бағаланды [228].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 Оқыту және білім беру. 21-кестеде бөлімдегі әрбір көрсеткіш бойынша әрбір елге берілген баллдары бөлімнің жалпы баллмен жиынтығын көрсетеді. Әр көрсеткіш б</w:t>
      </w:r>
      <w:r>
        <w:rPr>
          <w:rFonts w:ascii="Times New Roman" w:eastAsia="DengXian" w:hAnsi="Times New Roman" w:cs="Times New Roman"/>
          <w:sz w:val="28"/>
          <w:szCs w:val="28"/>
          <w:lang w:val="kk-KZ" w:eastAsia="zh-CN"/>
        </w:rPr>
        <w:t>алының негіздемесін сипаттау үшін талдау жүргізіледі.</w:t>
      </w: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21 ‒ Оқыту және білім беруді талдау нәтижелері</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1596"/>
        <w:gridCol w:w="1792"/>
        <w:gridCol w:w="1611"/>
        <w:gridCol w:w="1940"/>
      </w:tblGrid>
      <w:tr w:rsidR="005118AF">
        <w:trPr>
          <w:jc w:val="center"/>
        </w:trPr>
        <w:tc>
          <w:tcPr>
            <w:tcW w:w="258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1596"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3.1.1.</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Студенттерд</w:t>
            </w:r>
            <w:r>
              <w:rPr>
                <w:rFonts w:ascii="Times New Roman" w:eastAsia="DengXian" w:hAnsi="Times New Roman" w:cs="Times New Roman"/>
                <w:sz w:val="24"/>
                <w:szCs w:val="24"/>
                <w:lang w:val="kk-KZ" w:eastAsia="zh-CN"/>
              </w:rPr>
              <w:t>і ынталандыру</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79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3.1.2.</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Білім берудегі трендтер</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(/3)</w:t>
            </w:r>
          </w:p>
        </w:tc>
        <w:tc>
          <w:tcPr>
            <w:tcW w:w="1611"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3.1.3.</w:t>
            </w:r>
            <w:r>
              <w:rPr>
                <w:rFonts w:ascii="Times New Roman" w:eastAsia="DengXian" w:hAnsi="Times New Roman" w:cs="Times New Roman"/>
                <w:sz w:val="24"/>
                <w:szCs w:val="24"/>
                <w:lang w:val="kk-KZ" w:eastAsia="zh-CN"/>
              </w:rPr>
              <w:t xml:space="preserve"> Кадрларды қайта даярлау</w:t>
            </w:r>
          </w:p>
        </w:tc>
        <w:tc>
          <w:tcPr>
            <w:tcW w:w="194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(/9)</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588"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1596"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79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11"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40"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bl>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3.1.1. Студенттерді ынталандыру. Бұл санатта жоғары оқу орнынан кейінгі білім алуды ынталандыруға бағытталған қаржылық және әлеуметтік қолдау шаралары қарастырылды. Бағалау елдерде қабылданған қолдау түрлерінің санына, әсіресе әлеуметтік  осал топтарға арн</w:t>
      </w:r>
      <w:r>
        <w:rPr>
          <w:rFonts w:ascii="Times New Roman" w:eastAsia="DengXian" w:hAnsi="Times New Roman" w:cs="Times New Roman"/>
          <w:sz w:val="28"/>
          <w:szCs w:val="28"/>
          <w:lang w:val="kk-KZ" w:eastAsia="zh-CN"/>
        </w:rPr>
        <w:t>алған бастамалардың болуына байланысты жүргізілді. Көптеген елдерде студенттерге арналған федералды гранттар мен білім беру несиелерін ұсынады. Тек гранттар мен несиелермен шектеліп, әртүрлі әлеуметтік топтардан студенттерді тартуға арнайы шаралар енгізбег</w:t>
      </w:r>
      <w:r>
        <w:rPr>
          <w:rFonts w:ascii="Times New Roman" w:eastAsia="DengXian" w:hAnsi="Times New Roman" w:cs="Times New Roman"/>
          <w:sz w:val="28"/>
          <w:szCs w:val="28"/>
          <w:lang w:val="kk-KZ" w:eastAsia="zh-CN"/>
        </w:rPr>
        <w:t>ен елдерге (Нидерланды, Жапония) бір балл берілді. Ал федералды гранттар мен несиелерден бөлек, төмен әлеуметтік-экономикалық топтардан шыққан студенттерге, байырғы халық өкілдеріне немесе этникалық аз топтарға қосымша қолдау көрсететін мемлекеттер (Канада</w:t>
      </w:r>
      <w:r>
        <w:rPr>
          <w:rFonts w:ascii="Times New Roman" w:eastAsia="DengXian" w:hAnsi="Times New Roman" w:cs="Times New Roman"/>
          <w:sz w:val="28"/>
          <w:szCs w:val="28"/>
          <w:lang w:val="kk-KZ" w:eastAsia="zh-CN"/>
        </w:rPr>
        <w:t>, АҚШ, Австралия) екі баллмен бағаланды [229, 230]. Мысалы, АҚШ-та USDA-ның білім мен кадрларды қолдауға бағытталған EWD/NNF сияқты агро азық-түлікке тікелей бағытталған гранттары, сондай-ақ NSF GRFP секілді ұлттық деңгейдегі докторантуралық бағдарламалард</w:t>
      </w:r>
      <w:r>
        <w:rPr>
          <w:rFonts w:ascii="Times New Roman" w:eastAsia="DengXian" w:hAnsi="Times New Roman" w:cs="Times New Roman"/>
          <w:sz w:val="28"/>
          <w:szCs w:val="28"/>
          <w:lang w:val="kk-KZ" w:eastAsia="zh-CN"/>
        </w:rPr>
        <w:t xml:space="preserve">ы қолдау кең тараған және әртүрлілілікті қолдау бойынша басымдылықтарға ие [231].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Германияның жоғары білім беру жүйесі көбінесе мемлекет тарапынан субсидияланады, сондықтан студенттердің басым бөлігі университетке тегін оқуға түсе алады. Докторантура мен </w:t>
      </w:r>
      <w:r>
        <w:rPr>
          <w:rFonts w:ascii="Times New Roman" w:eastAsia="DengXian" w:hAnsi="Times New Roman" w:cs="Times New Roman"/>
          <w:sz w:val="28"/>
          <w:szCs w:val="28"/>
          <w:lang w:val="kk-KZ" w:eastAsia="zh-CN"/>
        </w:rPr>
        <w:t>магистратура бағдарламаларының көпшілігінде оқу ақысы белгіленбегенімен, ол басқа елдермен салыстырғанда әлдеқайда төмен. Сонымен қатар, қажет болған жағдайда студенттер пайызсыз мемлекеттік несие мен мемлекеттік шәкіртақыға өтініш бере алады [232]. Сондық</w:t>
      </w:r>
      <w:r>
        <w:rPr>
          <w:rFonts w:ascii="Times New Roman" w:eastAsia="DengXian" w:hAnsi="Times New Roman" w:cs="Times New Roman"/>
          <w:sz w:val="28"/>
          <w:szCs w:val="28"/>
          <w:lang w:val="kk-KZ" w:eastAsia="zh-CN"/>
        </w:rPr>
        <w:t>тан Германияға қаржылық ресурстардың кедергі бола алмайтынын ескеріп, 3 баллға бағаланды. Италия соңғы жылдары PNRR аясында PhD орындары айтарлықтай ұлғайған; Еуропалық Одақтың MSCA/EIT Food арналары бар, бірақ секторлық тікілей құралдарының ашықтығы мен ж</w:t>
      </w:r>
      <w:r>
        <w:rPr>
          <w:rFonts w:ascii="Times New Roman" w:eastAsia="DengXian" w:hAnsi="Times New Roman" w:cs="Times New Roman"/>
          <w:sz w:val="28"/>
          <w:szCs w:val="28"/>
          <w:lang w:val="kk-KZ" w:eastAsia="zh-CN"/>
        </w:rPr>
        <w:t>үйелілігі</w:t>
      </w:r>
      <w:r>
        <w:rPr>
          <w:rFonts w:ascii="Times New Roman" w:eastAsia="DengXian" w:hAnsi="Times New Roman" w:cs="Times New Roman"/>
          <w:sz w:val="28"/>
          <w:szCs w:val="28"/>
          <w:lang w:val="kk-KZ" w:eastAsia="zh-CN"/>
        </w:rPr>
        <w:t xml:space="preserve"> біршама төмен және 2 баллмен бағаланады [233, 234].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Оңтүстік Кореяда BK21 FOUR бағдарламасы арқылы магистр-докторанттарды жүйелі қаржыландырудың болуы, сонымен қатар ғылыми кадрларды даярлауға баса назар аударуына байланысты 3 баллмен бағаланды</w:t>
      </w:r>
      <w:r>
        <w:rPr>
          <w:rFonts w:ascii="Times New Roman" w:eastAsia="DengXian" w:hAnsi="Times New Roman" w:cs="Times New Roman"/>
          <w:sz w:val="28"/>
          <w:szCs w:val="28"/>
          <w:lang w:val="kk-KZ" w:eastAsia="zh-CN"/>
        </w:rPr>
        <w:t xml:space="preserve"> [235]. Қытайда Қытай степендиялық кеңесі бағдарламасы арқылы кең көлемді мемлекеттік шәкіртақылар бар (магистр/PhD), алайда нақты тамақ өнеркәсібі саласы немесе маргиналдық топтарға нысаналы әлеуметтік қолдау тетіктері туралы ашық деректер шектеулі болды </w:t>
      </w:r>
      <w:r>
        <w:rPr>
          <w:rFonts w:ascii="Times New Roman" w:eastAsia="DengXian" w:hAnsi="Times New Roman" w:cs="Times New Roman"/>
          <w:sz w:val="28"/>
          <w:szCs w:val="28"/>
          <w:lang w:val="kk-KZ" w:eastAsia="zh-CN"/>
        </w:rPr>
        <w:t xml:space="preserve">және 2 баллмен бағаланды [236].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Ал Қазақстанда магистратура және докторантура бағдарламаларына мемлекеттік гранттар мен “Болашақ” халықаралық бағдарламалар бар, сондай-ақ шетелде немесе отанымызда білім алу үшін базалық қолдау жеткілікті, бірақ тамақ өнер</w:t>
      </w:r>
      <w:r>
        <w:rPr>
          <w:rFonts w:ascii="Times New Roman" w:eastAsia="DengXian" w:hAnsi="Times New Roman" w:cs="Times New Roman"/>
          <w:sz w:val="28"/>
          <w:szCs w:val="28"/>
          <w:lang w:val="kk-KZ" w:eastAsia="zh-CN"/>
        </w:rPr>
        <w:t xml:space="preserve">кәсібі секторын нысаналы қаржыландыру мен ақпараттың толықтығы озық елдерден төмен болуына байланысты 2 баллмен бағаланды [105].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3.1.2. Білім беру трендтері. Бұл санатта тамақ өнеркәсібіндегі мансап үшін қажетті білім деңгейін және түлектердің жұмысқа орн</w:t>
      </w:r>
      <w:r>
        <w:rPr>
          <w:rFonts w:ascii="Times New Roman" w:eastAsia="DengXian" w:hAnsi="Times New Roman" w:cs="Times New Roman"/>
          <w:sz w:val="28"/>
          <w:szCs w:val="28"/>
          <w:lang w:val="kk-KZ" w:eastAsia="zh-CN"/>
        </w:rPr>
        <w:t>аласу көрсеткіштері зерттелді. Канада және АҚШ-та тамақ өнеркәсібінде жұмыс істейтін түлектер білім деңгейіне байланысты 85-91% жұмысқа орналасу деңгейін көрсетті [229; 230; 231]. Жұмыспен қамту деңгейі жоғары болғандықтан, бұл екі ел 3 баллмен бағаланды.</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Италияда студенттердің 60%-ы оқуын аяқтағаннан кейін жұмысқа орналасады, ал студенттердің 15,6%-ы диплом алғанға дейін немесе оқу барысында жұмыс істеді [233]. Италия бұл санатта 2 балл жинады. Оңтүстік Корея үшін жалпы түлектердің жұмысқа орналасу деңгейі</w:t>
      </w:r>
      <w:r>
        <w:rPr>
          <w:rFonts w:ascii="Times New Roman" w:eastAsia="DengXian" w:hAnsi="Times New Roman" w:cs="Times New Roman"/>
          <w:sz w:val="28"/>
          <w:szCs w:val="28"/>
          <w:lang w:val="kk-KZ" w:eastAsia="zh-CN"/>
        </w:rPr>
        <w:t xml:space="preserve"> салыстырмалы түрде жоғары (2020 жылы колледж дәрежесі бар 25-34 жас аралығындағылар 75% құрады), бірақ салалық зерттеулер тамақ өнеркәсібі түлектері арасындағы негізгі жұмыспен сәйкессіздігінің айтарлықтай жоғары деңгейін көрсетті, сондықтан бұл елге 2 ба</w:t>
      </w:r>
      <w:r>
        <w:rPr>
          <w:rFonts w:ascii="Times New Roman" w:eastAsia="DengXian" w:hAnsi="Times New Roman" w:cs="Times New Roman"/>
          <w:sz w:val="28"/>
          <w:szCs w:val="28"/>
          <w:lang w:val="kk-KZ" w:eastAsia="zh-CN"/>
        </w:rPr>
        <w:t xml:space="preserve">лл берілді [237].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Германия, Нидерланды, Жапония, Қытай және Австралия 1 баллмен бағаланды, себебі түлектердің жұмысқа орналасу көрсеткіштері туралы деректер жиналмайды [238-243]. Қазақстан бойынша да нақты тамақ өнеркәсібінде жұмысқа орналасқан түлектер т</w:t>
      </w:r>
      <w:r>
        <w:rPr>
          <w:rFonts w:ascii="Times New Roman" w:eastAsia="DengXian" w:hAnsi="Times New Roman" w:cs="Times New Roman"/>
          <w:sz w:val="28"/>
          <w:szCs w:val="28"/>
          <w:lang w:val="kk-KZ" w:eastAsia="zh-CN"/>
        </w:rPr>
        <w:t>уралы мәліметтер жоқ. Тек “Атамекен” ҚР Ұлттық кәсіпкерлер палатасының ЖОО білім беру бағдарламаларының рейтингісіне сейкес В068 - Азық-түлік өнімдерінің өндірісі деген бағдарлама бойынша 23 ЖОО мамандар даярлайды және орташа түлектердің жұмысқа орналасу к</w:t>
      </w:r>
      <w:r>
        <w:rPr>
          <w:rFonts w:ascii="Times New Roman" w:eastAsia="DengXian" w:hAnsi="Times New Roman" w:cs="Times New Roman"/>
          <w:sz w:val="28"/>
          <w:szCs w:val="28"/>
          <w:lang w:val="kk-KZ" w:eastAsia="zh-CN"/>
        </w:rPr>
        <w:t>өрсеткіші</w:t>
      </w:r>
      <w:r>
        <w:rPr>
          <w:rFonts w:ascii="Times New Roman" w:eastAsia="DengXian" w:hAnsi="Times New Roman" w:cs="Times New Roman"/>
          <w:sz w:val="28"/>
          <w:szCs w:val="28"/>
          <w:lang w:val="kk-KZ" w:eastAsia="zh-CN"/>
        </w:rPr>
        <w:t xml:space="preserve"> 85%-ды құраған. Сонымен қатар, ауыл шаруашылығы мамандығын бітірген түлектердің 55% ғана өз мамандығы бойынша жұмысқа орналасқан. Бұл агроөнеркәсіптік кешендегі саладағы жұмыспен қамту орташа деңгейден төмен екенін көрсетеді [244]. Алайда, бұл мә</w:t>
      </w:r>
      <w:r>
        <w:rPr>
          <w:rFonts w:ascii="Times New Roman" w:eastAsia="DengXian" w:hAnsi="Times New Roman" w:cs="Times New Roman"/>
          <w:sz w:val="28"/>
          <w:szCs w:val="28"/>
          <w:lang w:val="kk-KZ" w:eastAsia="zh-CN"/>
        </w:rPr>
        <w:t xml:space="preserve">лімет тұтас сала кәсіпорындарында қызмет ететін түлектер туралы ақпаратты толық сипаттамайды, сондықтан Қазақстанға да бұл санатта 1 балл берілді.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3.1.3. Жұмыс орнында кадрларды қайта даярлау. Бұл санатта зерттеліп отырған елдердің тамақ өнеркәсібі саласында ұсынылатын қайта даярлау бағдарламалары қаралды және олар бірнеше әлеуметтік топтарға - жастарға, ардагерлерге, егде адамдарға және т.б. бағытта</w:t>
      </w:r>
      <w:r>
        <w:rPr>
          <w:rFonts w:ascii="Times New Roman" w:eastAsia="DengXian" w:hAnsi="Times New Roman" w:cs="Times New Roman"/>
          <w:sz w:val="28"/>
          <w:szCs w:val="28"/>
          <w:lang w:val="kk-KZ" w:eastAsia="zh-CN"/>
        </w:rPr>
        <w:t>лған болуы мүмкін. Елдерге егер кемінде екі тортқа бағытталған қайта оқыту бағдарламалары ұсынылса - 2 балл, егер көп топқа немесе кең қайта даярлау бағдарламалы бар болса - 3 балл, ал жиі тек бір топқа ғана бағытталған немесе нақты бағдарламалары жоқ елде</w:t>
      </w:r>
      <w:r>
        <w:rPr>
          <w:rFonts w:ascii="Times New Roman" w:eastAsia="DengXian" w:hAnsi="Times New Roman" w:cs="Times New Roman"/>
          <w:sz w:val="28"/>
          <w:szCs w:val="28"/>
          <w:lang w:val="kk-KZ" w:eastAsia="zh-CN"/>
        </w:rPr>
        <w:t xml:space="preserve">рге - 1 баллдан берілді.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АҚШ, Австралия, Қытай және Жапонияға барлық бағыттарда (кемінде екі топқа) қайта даярлау бағдарламаларын ұсынуы себепті 2 балл берілді [231; 245-247]. Канадаға қарт адамдарға, жастар мен аз ұлт топтарына бағытталған қайта даярлау </w:t>
      </w:r>
      <w:r>
        <w:rPr>
          <w:rFonts w:ascii="Times New Roman" w:eastAsia="DengXian" w:hAnsi="Times New Roman" w:cs="Times New Roman"/>
          <w:sz w:val="28"/>
          <w:szCs w:val="28"/>
          <w:lang w:val="kk-KZ" w:eastAsia="zh-CN"/>
        </w:rPr>
        <w:t>бағдарламаларының кеңдігіне байланысты 3 балл берілді [248]. Италия, Германия және Нидерланды елдерінде қайта даярлау бағдарламаларының нақты ақпараттары шектеулі, көбіне тек шәкірттік форматында болғандықтан 1 баллдан берілді [240; 249, 250]. Оңтүстік Кор</w:t>
      </w:r>
      <w:r>
        <w:rPr>
          <w:rFonts w:ascii="Times New Roman" w:eastAsia="DengXian" w:hAnsi="Times New Roman" w:cs="Times New Roman"/>
          <w:sz w:val="28"/>
          <w:szCs w:val="28"/>
          <w:lang w:val="kk-KZ" w:eastAsia="zh-CN"/>
        </w:rPr>
        <w:t>еяда қарт адамдар мен жастарды қайта даярлау бағдарламаларымен қамтылған бастамалар бар. Мысалы, Youth Soldiers үшін кәсіби бағытталған дамыту және қызметтен босаған адамдар үшін әлеуметтік-оқу іс-шаралары ұйымдастырылған. Осыған сүйене отырып, Оңтүстік Ко</w:t>
      </w:r>
      <w:r>
        <w:rPr>
          <w:rFonts w:ascii="Times New Roman" w:eastAsia="DengXian" w:hAnsi="Times New Roman" w:cs="Times New Roman"/>
          <w:sz w:val="28"/>
          <w:szCs w:val="28"/>
          <w:lang w:val="kk-KZ" w:eastAsia="zh-CN"/>
        </w:rPr>
        <w:t xml:space="preserve">рея 2 баллмен бағаланды [251]. </w:t>
      </w:r>
    </w:p>
    <w:p w:rsidR="005118AF" w:rsidRDefault="00EF60C3">
      <w:pPr>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w:t>
      </w:r>
      <w:r>
        <w:rPr>
          <w:rFonts w:ascii="Times New Roman" w:eastAsia="DengXian" w:hAnsi="Times New Roman" w:cs="Times New Roman"/>
          <w:sz w:val="28"/>
          <w:szCs w:val="28"/>
          <w:lang w:val="kk-KZ" w:eastAsia="zh-CN"/>
        </w:rPr>
        <w:t xml:space="preserve"> Республикасының Индустриалды-инновациялық бағдарламасы (2021-2025) аясында жаңа цифрлық технологияларға (Индустрия 4.0) баса назар аудара отырып, жұмысшыларды, оның ішінде тамақ өнеркәсібінде жұмыспен қамтуды және қайта даярлауды қолдау шаралары </w:t>
      </w:r>
      <w:r>
        <w:rPr>
          <w:rFonts w:ascii="Times New Roman" w:eastAsia="DengXian" w:hAnsi="Times New Roman" w:cs="Times New Roman"/>
          <w:sz w:val="28"/>
          <w:szCs w:val="28"/>
          <w:lang w:val="kk-KZ" w:eastAsia="zh-CN"/>
        </w:rPr>
        <w:t>қарастырылған</w:t>
      </w:r>
      <w:r>
        <w:rPr>
          <w:rFonts w:ascii="Times New Roman" w:eastAsia="DengXian" w:hAnsi="Times New Roman" w:cs="Times New Roman"/>
          <w:sz w:val="28"/>
          <w:szCs w:val="28"/>
          <w:lang w:val="kk-KZ" w:eastAsia="zh-CN"/>
        </w:rPr>
        <w:t xml:space="preserve">. Сонымен қатар, бірқатар отандық ЖОО мен зерттеу институттары арқылы түрлі біліктілік арттыру курстары ұсынылады. Сондықтан Қазақстанға 2 балл берілді [110]. </w:t>
      </w:r>
    </w:p>
    <w:p w:rsidR="005118AF" w:rsidRDefault="00EF60C3">
      <w:pPr>
        <w:spacing w:after="0" w:line="240" w:lineRule="auto"/>
        <w:ind w:firstLine="720"/>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 Әртүрлілік және инклюзия. 22-кестеде бөлімдегі әрбір көрсеткіштер бойынша әрбі</w:t>
      </w:r>
      <w:r>
        <w:rPr>
          <w:rFonts w:ascii="Times New Roman" w:eastAsia="DengXian" w:hAnsi="Times New Roman" w:cs="Times New Roman"/>
          <w:sz w:val="28"/>
          <w:szCs w:val="28"/>
          <w:lang w:val="kk-KZ" w:eastAsia="zh-CN"/>
        </w:rPr>
        <w:t>р елге берілген баллдары бөлім бойынша жалпы баллмен бірге жинақталып көрсетілген. Әр көрсеткіш баллының негіздемесін сипаттау үшін талдау жүргізіледі.</w:t>
      </w: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22 ‒ Әртүрлілік және инклюзия ортасын талдау нәтижелері</w:t>
      </w:r>
    </w:p>
    <w:p w:rsidR="005118AF" w:rsidRDefault="005118AF">
      <w:pPr>
        <w:spacing w:after="0" w:line="240" w:lineRule="auto"/>
        <w:jc w:val="right"/>
        <w:rPr>
          <w:rFonts w:ascii="Times New Roman" w:eastAsia="DengXian" w:hAnsi="Times New Roman" w:cs="Times New Roman"/>
          <w:sz w:val="16"/>
          <w:szCs w:val="16"/>
          <w:lang w:val="kk-KZ" w:eastAsia="zh-CN"/>
        </w:rPr>
      </w:pPr>
    </w:p>
    <w:tbl>
      <w:tblPr>
        <w:tblStyle w:val="ae"/>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402"/>
        <w:gridCol w:w="2375"/>
        <w:gridCol w:w="1674"/>
      </w:tblGrid>
      <w:tr w:rsidR="005118AF">
        <w:trPr>
          <w:trHeight w:val="62"/>
          <w:jc w:val="center"/>
        </w:trPr>
        <w:tc>
          <w:tcPr>
            <w:tcW w:w="2155"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340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3.2.1.</w:t>
            </w:r>
            <w:r>
              <w:rPr>
                <w:rFonts w:ascii="Times New Roman" w:eastAsia="DengXian" w:hAnsi="Times New Roman" w:cs="Times New Roman"/>
                <w:sz w:val="24"/>
                <w:szCs w:val="24"/>
                <w:lang w:val="kk-KZ" w:eastAsia="zh-CN"/>
              </w:rPr>
              <w:t xml:space="preserve"> Ынталандыру және жұмыс о</w:t>
            </w:r>
            <w:r>
              <w:rPr>
                <w:rFonts w:ascii="Times New Roman" w:eastAsia="DengXian" w:hAnsi="Times New Roman" w:cs="Times New Roman"/>
                <w:sz w:val="24"/>
                <w:szCs w:val="24"/>
                <w:lang w:val="kk-KZ" w:eastAsia="zh-CN"/>
              </w:rPr>
              <w:t xml:space="preserve">рында әділ оқыту бағдарламалары </w:t>
            </w:r>
            <w:r>
              <w:rPr>
                <w:rFonts w:ascii="Times New Roman" w:eastAsia="DengXian" w:hAnsi="Times New Roman" w:cs="Times New Roman"/>
                <w:sz w:val="24"/>
                <w:szCs w:val="24"/>
                <w:lang w:eastAsia="zh-CN"/>
              </w:rPr>
              <w:t>(/3)</w:t>
            </w:r>
          </w:p>
        </w:tc>
        <w:tc>
          <w:tcPr>
            <w:tcW w:w="2375"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3.2.2.</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Еңбек ақы төлеудегі а</w:t>
            </w:r>
            <w:r>
              <w:rPr>
                <w:rFonts w:ascii="Times New Roman" w:eastAsia="DengXian" w:hAnsi="Times New Roman" w:cs="Times New Roman"/>
                <w:sz w:val="24"/>
                <w:szCs w:val="24"/>
                <w:lang w:eastAsia="zh-CN"/>
              </w:rPr>
              <w:t>лша</w:t>
            </w:r>
            <w:r>
              <w:rPr>
                <w:rFonts w:ascii="Times New Roman" w:eastAsia="DengXian" w:hAnsi="Times New Roman" w:cs="Times New Roman"/>
                <w:sz w:val="24"/>
                <w:szCs w:val="24"/>
                <w:lang w:val="kk-KZ" w:eastAsia="zh-CN"/>
              </w:rPr>
              <w:t>қтық</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(/3)</w:t>
            </w:r>
          </w:p>
        </w:tc>
        <w:tc>
          <w:tcPr>
            <w:tcW w:w="1674"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155"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3402" w:type="dxa"/>
            <w:tcBorders>
              <w:bottom w:val="nil"/>
            </w:tcBorders>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375" w:type="dxa"/>
            <w:tcBorders>
              <w:bottom w:val="nil"/>
            </w:tcBorders>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74" w:type="dxa"/>
            <w:tcBorders>
              <w:bottom w:val="nil"/>
            </w:tcBorders>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75"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2</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r w:rsidR="005118AF">
        <w:trPr>
          <w:jc w:val="center"/>
        </w:trPr>
        <w:tc>
          <w:tcPr>
            <w:tcW w:w="2155"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3402"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75"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1</w:t>
            </w:r>
          </w:p>
        </w:tc>
        <w:tc>
          <w:tcPr>
            <w:tcW w:w="167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r>
    </w:tbl>
    <w:p w:rsidR="005118AF" w:rsidRDefault="005118AF">
      <w:pPr>
        <w:spacing w:after="0" w:line="240" w:lineRule="auto"/>
        <w:ind w:firstLine="720"/>
        <w:jc w:val="both"/>
        <w:rPr>
          <w:rFonts w:ascii="Times New Roman" w:eastAsia="DengXian" w:hAnsi="Times New Roman" w:cs="Times New Roman"/>
          <w:sz w:val="24"/>
          <w:szCs w:val="24"/>
          <w:lang w:val="kk-KZ" w:eastAsia="zh-CN"/>
        </w:rPr>
      </w:pPr>
    </w:p>
    <w:p w:rsidR="005118AF" w:rsidRDefault="00EF60C3">
      <w:pPr>
        <w:spacing w:after="0" w:line="240" w:lineRule="auto"/>
        <w:ind w:firstLine="720"/>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3.2.1. Ынталандыру және жұмыс орында әділ оқыту бағдарламалары. Жұмыс орнындағы әртүрлілілік инновацияларға оң ықпал етіп қана қоймай, қызметкерлердің жалпы қанағаттану деңгейінің артуын және ұйым тұрақтылығына әсер етеді. Бұл көрсеткіш бойынша елдерде аз</w:t>
      </w:r>
      <w:r>
        <w:rPr>
          <w:rFonts w:ascii="Times New Roman" w:eastAsia="DengXian" w:hAnsi="Times New Roman" w:cs="Times New Roman"/>
          <w:sz w:val="28"/>
          <w:szCs w:val="28"/>
          <w:lang w:val="kk-KZ" w:eastAsia="zh-CN"/>
        </w:rPr>
        <w:t xml:space="preserve"> ұлт өкілдеріне білім алуға, оқуын жалғасытыруға немесе жеке бизнес ашуға арналған қаржылық қолдау түрлерінің болуы, мемлекеттік деңгейдегі әртүрлілік пен инклюзияға қатысты бастамалар, сондай-ақ кәсіпорындарға арналған тең оқыту бағдарламаларының болуы қа</w:t>
      </w:r>
      <w:r>
        <w:rPr>
          <w:rFonts w:ascii="Times New Roman" w:eastAsia="DengXian" w:hAnsi="Times New Roman" w:cs="Times New Roman"/>
          <w:sz w:val="28"/>
          <w:szCs w:val="28"/>
          <w:lang w:val="kk-KZ" w:eastAsia="zh-CN"/>
        </w:rPr>
        <w:t xml:space="preserve">растырылды. </w:t>
      </w:r>
    </w:p>
    <w:p w:rsidR="005118AF" w:rsidRDefault="00EF60C3">
      <w:pPr>
        <w:spacing w:after="0" w:line="240" w:lineRule="auto"/>
        <w:ind w:firstLine="720"/>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Австралия және Нидерланды сайттарында ашық көрсетілген әртүрлілік мәлімдемелері мен кемсітушілікке қарсы заңнамалары бар, сондықтан бұл елдер 2 баллға бағаланды [247; 250]. Канада, АҚШ және Жапония кемсітушілікке қарсы заңнаманы, әртүрлілік мә</w:t>
      </w:r>
      <w:r>
        <w:rPr>
          <w:rFonts w:ascii="Times New Roman" w:eastAsia="DengXian" w:hAnsi="Times New Roman" w:cs="Times New Roman"/>
          <w:sz w:val="28"/>
          <w:szCs w:val="28"/>
          <w:lang w:val="kk-KZ" w:eastAsia="zh-CN"/>
        </w:rPr>
        <w:t>лімдемелерін және кемінде екі федералдық бастаманы іске асырып отырғандықтан 3 баллға бағаланды [170; 241; 252]. Германия және Италия мұндай мәлімдемелер мен заңнамалар бойынша деректер табылмағандықтан, бұл елдерге 1 ұпай берілді [249]. Қытайда аз этнос ө</w:t>
      </w:r>
      <w:r>
        <w:rPr>
          <w:rFonts w:ascii="Times New Roman" w:eastAsia="DengXian" w:hAnsi="Times New Roman" w:cs="Times New Roman"/>
          <w:sz w:val="28"/>
          <w:szCs w:val="28"/>
          <w:lang w:val="kk-KZ" w:eastAsia="zh-CN"/>
        </w:rPr>
        <w:t>кілдерінің білім алуына және кәсіпкерлікті дамытуына бағытталған мемлекеттік деңгейдегі қолдау бастамалары бар, сондай-ақ  заңнамалық тұрғыдан кемсітушілікті болдырмауға арналған нормативтік құжаттар қабылданған [245]. Соған қарамастан, әртүрлілік туралы а</w:t>
      </w:r>
      <w:r>
        <w:rPr>
          <w:rFonts w:ascii="Times New Roman" w:eastAsia="DengXian" w:hAnsi="Times New Roman" w:cs="Times New Roman"/>
          <w:sz w:val="28"/>
          <w:szCs w:val="28"/>
          <w:lang w:val="kk-KZ" w:eastAsia="zh-CN"/>
        </w:rPr>
        <w:t>шық жарияланған мәлімдемелер аз кездеседі. Сондықтан Қытайға 2 балл берілді. Ал Оңтүстік Кореяда әйелдер мен жастарды қолдау, сондай-ақ гендерлік теңдікті қаматамсыз етуге арналған ұлттық бастамалар бар. Инклюзивті қоғам құру саясаты мемлекеттік деңгейде ж</w:t>
      </w:r>
      <w:r>
        <w:rPr>
          <w:rFonts w:ascii="Times New Roman" w:eastAsia="DengXian" w:hAnsi="Times New Roman" w:cs="Times New Roman"/>
          <w:sz w:val="28"/>
          <w:szCs w:val="28"/>
          <w:lang w:val="kk-KZ" w:eastAsia="zh-CN"/>
        </w:rPr>
        <w:t>үргізіліп</w:t>
      </w:r>
      <w:r>
        <w:rPr>
          <w:rFonts w:ascii="Times New Roman" w:eastAsia="DengXian" w:hAnsi="Times New Roman" w:cs="Times New Roman"/>
          <w:sz w:val="28"/>
          <w:szCs w:val="28"/>
          <w:lang w:val="kk-KZ" w:eastAsia="zh-CN"/>
        </w:rPr>
        <w:t xml:space="preserve">, еңбек нарығында әртүрлілікті арттыруға бағытталған бағдарламалар іске асырылуда. Осыған байланысты Оңтүстік Корея 3 баллмен бағаланды [253]. </w:t>
      </w:r>
    </w:p>
    <w:p w:rsidR="005118AF" w:rsidRDefault="00EF60C3">
      <w:pPr>
        <w:spacing w:after="0" w:line="240" w:lineRule="auto"/>
        <w:ind w:firstLine="720"/>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Қазақстанда</w:t>
      </w:r>
      <w:r>
        <w:rPr>
          <w:rFonts w:ascii="Times New Roman" w:eastAsia="DengXian" w:hAnsi="Times New Roman" w:cs="Times New Roman"/>
          <w:sz w:val="28"/>
          <w:szCs w:val="28"/>
          <w:lang w:val="kk-KZ" w:eastAsia="zh-CN"/>
        </w:rPr>
        <w:t xml:space="preserve"> да еңбек заңнамасында кемсітушілікке жол бермеу қағидалары бекітілген. Сонымен қатар, этнос</w:t>
      </w:r>
      <w:r>
        <w:rPr>
          <w:rFonts w:ascii="Times New Roman" w:eastAsia="DengXian" w:hAnsi="Times New Roman" w:cs="Times New Roman"/>
          <w:sz w:val="28"/>
          <w:szCs w:val="28"/>
          <w:lang w:val="kk-KZ" w:eastAsia="zh-CN"/>
        </w:rPr>
        <w:t>тық және әлеуемттік топтардың теңдігін қолдайтын мемлекеттік бағдарламалар (мысалы, “Қазақстан Халықтар Ассамблеясы” аясындағы бастамалар, гендерлік теңдікті дамыту стратегиялары) бар. Алайда, корпоративтік деңгейде әртүрлілік пен инклюзияға қатысты ашық м</w:t>
      </w:r>
      <w:r>
        <w:rPr>
          <w:rFonts w:ascii="Times New Roman" w:eastAsia="DengXian" w:hAnsi="Times New Roman" w:cs="Times New Roman"/>
          <w:sz w:val="28"/>
          <w:szCs w:val="28"/>
          <w:lang w:val="kk-KZ" w:eastAsia="zh-CN"/>
        </w:rPr>
        <w:t>әлімдемелері</w:t>
      </w:r>
      <w:r>
        <w:rPr>
          <w:rFonts w:ascii="Times New Roman" w:eastAsia="DengXian" w:hAnsi="Times New Roman" w:cs="Times New Roman"/>
          <w:sz w:val="28"/>
          <w:szCs w:val="28"/>
          <w:lang w:val="kk-KZ" w:eastAsia="zh-CN"/>
        </w:rPr>
        <w:t xml:space="preserve"> әлі де жеткіліксіз. Сондықтан Қазақстанға 2 балл беруге болады [254, 255]. </w:t>
      </w:r>
    </w:p>
    <w:p w:rsidR="005118AF" w:rsidRDefault="00EF60C3">
      <w:pPr>
        <w:spacing w:after="0" w:line="240" w:lineRule="auto"/>
        <w:ind w:firstLine="720"/>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3.2.2. Ерлер мен әйелдерге еңбек ақы төлеудегі алшақтық. Гендерлік жалақының орташа пайыздық алшақтығы әр елдің ұлттық статистикалық деректері негізінде құрылды және о</w:t>
      </w:r>
      <w:r>
        <w:rPr>
          <w:rFonts w:ascii="Times New Roman" w:eastAsia="DengXian" w:hAnsi="Times New Roman" w:cs="Times New Roman"/>
          <w:sz w:val="28"/>
          <w:szCs w:val="28"/>
          <w:lang w:val="kk-KZ" w:eastAsia="zh-CN"/>
        </w:rPr>
        <w:t>сы орташа мәнмен әр елдің көрсеткіші салыстырылды. Ерлер мен әйелдердің оеңбекақыларының алшақтығының орташа мәні 18,7%-ды құрағандықтан. Еңбекақы алшақтығы 15%-дан 20%-ға дейін төмендеген елдерге екі балл берілді. 23-кестеде гендердік жалақы бойынша мәлім</w:t>
      </w:r>
      <w:r>
        <w:rPr>
          <w:rFonts w:ascii="Times New Roman" w:eastAsia="DengXian" w:hAnsi="Times New Roman" w:cs="Times New Roman"/>
          <w:sz w:val="28"/>
          <w:szCs w:val="28"/>
          <w:lang w:val="kk-KZ" w:eastAsia="zh-CN"/>
        </w:rPr>
        <w:t xml:space="preserve">еттер жинақталған [256]. </w:t>
      </w: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23 ‒ Әр ел бойынша еңбекақы төлеудегі алшақтық деректері</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pPr w:leftFromText="180" w:rightFromText="180" w:vertAnchor="text" w:horzAnchor="page" w:tblpX="1771" w:tblpY="13"/>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6366"/>
        <w:gridCol w:w="1417"/>
      </w:tblGrid>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еңбекақы төлеудегі алшақтық</w:t>
            </w:r>
            <w:r>
              <w:rPr>
                <w:rFonts w:ascii="Times New Roman" w:eastAsia="DengXian" w:hAnsi="Times New Roman" w:cs="Times New Roman"/>
                <w:sz w:val="24"/>
                <w:szCs w:val="24"/>
                <w:lang w:eastAsia="zh-CN"/>
              </w:rPr>
              <w:t>, %</w:t>
            </w:r>
          </w:p>
        </w:tc>
        <w:tc>
          <w:tcPr>
            <w:tcW w:w="1417"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Ұпай</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6366"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21 - ауыл шаруашылығы саласы үшін, 22,9 өңдеу өнеркәсібі үшін*</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29,8</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34,0 </w:t>
            </w:r>
            <w:r>
              <w:rPr>
                <w:rFonts w:ascii="Times New Roman" w:eastAsia="DengXian" w:hAnsi="Times New Roman" w:cs="Times New Roman"/>
                <w:sz w:val="24"/>
                <w:szCs w:val="24"/>
                <w:lang w:val="kk-KZ" w:eastAsia="zh-CN"/>
              </w:rPr>
              <w:t>ғылыми</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 xml:space="preserve">техникалық салаларда, </w:t>
            </w:r>
            <w:r>
              <w:rPr>
                <w:rFonts w:ascii="Times New Roman" w:eastAsia="DengXian" w:hAnsi="Times New Roman" w:cs="Times New Roman"/>
                <w:sz w:val="24"/>
                <w:szCs w:val="24"/>
                <w:lang w:eastAsia="zh-CN"/>
              </w:rPr>
              <w:t xml:space="preserve">39,0 - </w:t>
            </w:r>
            <w:r>
              <w:rPr>
                <w:rFonts w:ascii="Times New Roman" w:eastAsia="DengXian" w:hAnsi="Times New Roman" w:cs="Times New Roman"/>
                <w:sz w:val="24"/>
                <w:szCs w:val="24"/>
                <w:lang w:val="kk-KZ" w:eastAsia="zh-CN"/>
              </w:rPr>
              <w:t>өндірісте</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16,9</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7,1 </w:t>
            </w:r>
            <w:r>
              <w:rPr>
                <w:rFonts w:ascii="Times New Roman" w:eastAsia="DengXian" w:hAnsi="Times New Roman" w:cs="Times New Roman"/>
                <w:sz w:val="24"/>
                <w:szCs w:val="24"/>
                <w:lang w:val="kk-KZ" w:eastAsia="zh-CN"/>
              </w:rPr>
              <w:t>ғылыми</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 xml:space="preserve">техникалық салалар үшін, </w:t>
            </w:r>
            <w:r>
              <w:rPr>
                <w:rFonts w:ascii="Times New Roman" w:eastAsia="DengXian" w:hAnsi="Times New Roman" w:cs="Times New Roman"/>
                <w:sz w:val="24"/>
                <w:szCs w:val="24"/>
                <w:lang w:eastAsia="zh-CN"/>
              </w:rPr>
              <w:t xml:space="preserve">13.9 </w:t>
            </w:r>
            <w:r>
              <w:rPr>
                <w:rFonts w:ascii="Times New Roman" w:eastAsia="DengXian" w:hAnsi="Times New Roman" w:cs="Times New Roman"/>
                <w:sz w:val="24"/>
                <w:szCs w:val="24"/>
                <w:lang w:val="kk-KZ" w:eastAsia="zh-CN"/>
              </w:rPr>
              <w:t>өңдеу</w:t>
            </w:r>
            <w:r>
              <w:rPr>
                <w:rFonts w:ascii="Times New Roman" w:eastAsia="DengXian" w:hAnsi="Times New Roman" w:cs="Times New Roman"/>
                <w:sz w:val="24"/>
                <w:szCs w:val="24"/>
                <w:lang w:val="kk-KZ" w:eastAsia="zh-CN"/>
              </w:rPr>
              <w:t xml:space="preserve"> саласы </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20</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11-13</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21-23</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13-20</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c>
          <w:tcPr>
            <w:tcW w:w="1964"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636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29-32,5</w:t>
            </w:r>
          </w:p>
        </w:tc>
        <w:tc>
          <w:tcPr>
            <w:tcW w:w="141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c>
          <w:tcPr>
            <w:tcW w:w="9747" w:type="dxa"/>
            <w:gridSpan w:val="3"/>
          </w:tcPr>
          <w:p w:rsidR="005118AF" w:rsidRDefault="00EF60C3">
            <w:pPr>
              <w:spacing w:after="0" w:line="240" w:lineRule="auto"/>
              <w:ind w:firstLine="709"/>
              <w:jc w:val="both"/>
              <w:rPr>
                <w:rFonts w:ascii="Times New Roman" w:eastAsia="DengXian" w:hAnsi="Times New Roman" w:cs="Times New Roman"/>
                <w:sz w:val="24"/>
                <w:szCs w:val="24"/>
                <w:lang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DengXian" w:hAnsi="Times New Roman" w:cs="Times New Roman"/>
                <w:sz w:val="24"/>
                <w:szCs w:val="24"/>
                <w:lang w:eastAsia="zh-CN"/>
              </w:rPr>
              <w:t>[2</w:t>
            </w:r>
            <w:r>
              <w:rPr>
                <w:rFonts w:ascii="Times New Roman" w:eastAsia="DengXian" w:hAnsi="Times New Roman" w:cs="Times New Roman"/>
                <w:sz w:val="24"/>
                <w:szCs w:val="24"/>
                <w:lang w:val="kk-KZ" w:eastAsia="zh-CN"/>
              </w:rPr>
              <w:t>5</w:t>
            </w:r>
            <w:r>
              <w:rPr>
                <w:rFonts w:ascii="Times New Roman" w:eastAsia="DengXian" w:hAnsi="Times New Roman" w:cs="Times New Roman"/>
                <w:sz w:val="24"/>
                <w:szCs w:val="24"/>
                <w:lang w:eastAsia="zh-CN"/>
              </w:rPr>
              <w:t>7]</w:t>
            </w:r>
          </w:p>
        </w:tc>
      </w:tr>
    </w:tbl>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4.1. Меншікті қорғау. 2</w:t>
      </w:r>
      <w:r>
        <w:rPr>
          <w:rFonts w:ascii="Times New Roman" w:eastAsia="DengXian" w:hAnsi="Times New Roman" w:cs="Times New Roman"/>
          <w:sz w:val="28"/>
          <w:szCs w:val="28"/>
          <w:lang w:eastAsia="zh-CN"/>
        </w:rPr>
        <w:t>4</w:t>
      </w:r>
      <w:r>
        <w:rPr>
          <w:rFonts w:ascii="Times New Roman" w:eastAsia="DengXian" w:hAnsi="Times New Roman" w:cs="Times New Roman"/>
          <w:sz w:val="28"/>
          <w:szCs w:val="28"/>
          <w:lang w:val="kk-KZ" w:eastAsia="zh-CN"/>
        </w:rPr>
        <w:t>-кестеде бөлімдегі әрбір көрсеткіш бойынша әрбір елге берілген баллдарды бөлімнің жалпы балымен бірге жинақтық баллы көрсетіліп ұсынылған. Әр көрсеткіш баллының негіздемесін сипаттау үшін талдау жүргізілді.</w:t>
      </w: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Кесте 24 ‒ Меншікті </w:t>
      </w:r>
      <w:r>
        <w:rPr>
          <w:rFonts w:ascii="Times New Roman" w:eastAsia="DengXian" w:hAnsi="Times New Roman" w:cs="Times New Roman"/>
          <w:sz w:val="28"/>
          <w:szCs w:val="28"/>
          <w:lang w:val="kk-KZ" w:eastAsia="zh-CN"/>
        </w:rPr>
        <w:t>қорғауды</w:t>
      </w:r>
      <w:r>
        <w:rPr>
          <w:rFonts w:ascii="Times New Roman" w:eastAsia="DengXian" w:hAnsi="Times New Roman" w:cs="Times New Roman"/>
          <w:sz w:val="28"/>
          <w:szCs w:val="28"/>
          <w:lang w:val="kk-KZ" w:eastAsia="zh-CN"/>
        </w:rPr>
        <w:t xml:space="preserve"> талдау нәтижесі</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2732"/>
        <w:gridCol w:w="2314"/>
        <w:gridCol w:w="1680"/>
      </w:tblGrid>
      <w:tr w:rsidR="005118AF">
        <w:trPr>
          <w:jc w:val="center"/>
        </w:trPr>
        <w:tc>
          <w:tcPr>
            <w:tcW w:w="2776" w:type="dxa"/>
            <w:vAlign w:val="center"/>
          </w:tcPr>
          <w:p w:rsidR="005118AF" w:rsidRDefault="00EF60C3">
            <w:pPr>
              <w:spacing w:after="0" w:line="240" w:lineRule="auto"/>
              <w:ind w:rightChars="-27" w:right="-59"/>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2732" w:type="dxa"/>
            <w:vAlign w:val="center"/>
          </w:tcPr>
          <w:p w:rsidR="005118AF" w:rsidRDefault="00EF60C3">
            <w:pPr>
              <w:spacing w:after="0" w:line="240" w:lineRule="auto"/>
              <w:ind w:rightChars="-27" w:right="-59"/>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4.1.1.</w:t>
            </w:r>
          </w:p>
          <w:p w:rsidR="005118AF" w:rsidRDefault="00EF60C3">
            <w:pPr>
              <w:spacing w:after="0" w:line="240" w:lineRule="auto"/>
              <w:ind w:rightChars="-27" w:right="-59"/>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П</w:t>
            </w:r>
            <w:r>
              <w:rPr>
                <w:rFonts w:ascii="Times New Roman" w:eastAsia="DengXian" w:hAnsi="Times New Roman" w:cs="Times New Roman"/>
                <w:sz w:val="24"/>
                <w:szCs w:val="24"/>
                <w:lang w:val="kk-KZ" w:eastAsia="zh-CN"/>
              </w:rPr>
              <w:t xml:space="preserve">атенттік рәсімдер </w:t>
            </w:r>
            <w:r>
              <w:rPr>
                <w:rFonts w:ascii="Times New Roman" w:eastAsia="DengXian" w:hAnsi="Times New Roman" w:cs="Times New Roman"/>
                <w:sz w:val="24"/>
                <w:szCs w:val="24"/>
                <w:lang w:eastAsia="zh-CN"/>
              </w:rPr>
              <w:t>(/3)</w:t>
            </w:r>
          </w:p>
        </w:tc>
        <w:tc>
          <w:tcPr>
            <w:tcW w:w="2314" w:type="dxa"/>
            <w:vAlign w:val="center"/>
          </w:tcPr>
          <w:p w:rsidR="005118AF" w:rsidRDefault="00EF60C3">
            <w:pPr>
              <w:spacing w:after="0" w:line="240" w:lineRule="auto"/>
              <w:ind w:rightChars="-27" w:right="-59"/>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4.1.2.</w:t>
            </w:r>
          </w:p>
          <w:p w:rsidR="005118AF" w:rsidRDefault="00EF60C3">
            <w:pPr>
              <w:spacing w:after="0" w:line="240" w:lineRule="auto"/>
              <w:ind w:rightChars="-27" w:right="-59"/>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Патентті қорғау </w:t>
            </w:r>
            <w:r>
              <w:rPr>
                <w:rFonts w:ascii="Times New Roman" w:eastAsia="DengXian" w:hAnsi="Times New Roman" w:cs="Times New Roman"/>
                <w:sz w:val="24"/>
                <w:szCs w:val="24"/>
                <w:lang w:eastAsia="zh-CN"/>
              </w:rPr>
              <w:t>(/3)</w:t>
            </w:r>
          </w:p>
        </w:tc>
        <w:tc>
          <w:tcPr>
            <w:tcW w:w="1680" w:type="dxa"/>
            <w:vAlign w:val="center"/>
          </w:tcPr>
          <w:p w:rsidR="005118AF" w:rsidRDefault="00EF60C3">
            <w:pPr>
              <w:spacing w:after="0" w:line="240" w:lineRule="auto"/>
              <w:ind w:rightChars="-27" w:right="-59"/>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ind w:rightChars="-27" w:right="-59"/>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40" w:lineRule="auto"/>
              <w:ind w:rightChars="-27" w:right="-59"/>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4</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6</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4</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5</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5</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4</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6</w:t>
            </w:r>
          </w:p>
        </w:tc>
      </w:tr>
      <w:tr w:rsidR="005118AF">
        <w:trPr>
          <w:jc w:val="center"/>
        </w:trPr>
        <w:tc>
          <w:tcPr>
            <w:tcW w:w="27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2732"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314" w:type="dxa"/>
          </w:tcPr>
          <w:p w:rsidR="005118AF" w:rsidRDefault="00EF60C3">
            <w:pPr>
              <w:spacing w:after="0" w:line="24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680" w:type="dxa"/>
          </w:tcPr>
          <w:p w:rsidR="005118AF" w:rsidRDefault="00EF60C3">
            <w:pPr>
              <w:spacing w:after="0" w:line="240" w:lineRule="auto"/>
              <w:jc w:val="both"/>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6</w:t>
            </w:r>
          </w:p>
        </w:tc>
      </w:tr>
    </w:tbl>
    <w:p w:rsidR="005118AF" w:rsidRDefault="005118AF">
      <w:pPr>
        <w:spacing w:after="0" w:line="240" w:lineRule="auto"/>
        <w:ind w:firstLineChars="285" w:firstLine="798"/>
        <w:jc w:val="both"/>
        <w:rPr>
          <w:rFonts w:ascii="Times New Roman" w:eastAsia="DengXian" w:hAnsi="Times New Roman" w:cs="Times New Roman"/>
          <w:sz w:val="28"/>
          <w:szCs w:val="28"/>
          <w:lang w:val="en-US"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en-US" w:eastAsia="zh-CN"/>
        </w:rPr>
        <w:t xml:space="preserve">4.1.1. </w:t>
      </w:r>
      <w:r>
        <w:rPr>
          <w:rFonts w:ascii="Times New Roman" w:eastAsia="DengXian" w:hAnsi="Times New Roman" w:cs="Times New Roman"/>
          <w:sz w:val="28"/>
          <w:szCs w:val="28"/>
          <w:lang w:val="kk-KZ" w:eastAsia="zh-CN"/>
        </w:rPr>
        <w:t>Патенттік рәсімдер. Патенттер жаңа өнертабыстарды қорғауға бағытталған, олардың қатарына өнімдер (құрылғы, зат, микроорганизм штамм және т.б.) машиналар, технологиялық процесс, сондай-ақ осы санаттарға енгізілген кез келген жетілдірулер жатады. Патенттер Ғ</w:t>
      </w:r>
      <w:r>
        <w:rPr>
          <w:rFonts w:ascii="Times New Roman" w:eastAsia="DengXian" w:hAnsi="Times New Roman" w:cs="Times New Roman"/>
          <w:sz w:val="28"/>
          <w:szCs w:val="28"/>
          <w:lang w:val="kk-KZ" w:eastAsia="zh-CN"/>
        </w:rPr>
        <w:t>ылыми зерттеулер мен әзірлемелерді ынталандыратын тетігі болып табылады, себебі олар өнертапқыштарға шектеулі уақыт аралығында нарыққа өз өнімдерін шығаруда айрықша құқық береді. Патенттік рәсімдер санаты бірнеше көрсеткіш бойынша бағаланады: патентті беру</w:t>
      </w:r>
      <w:r>
        <w:rPr>
          <w:rFonts w:ascii="Times New Roman" w:eastAsia="DengXian" w:hAnsi="Times New Roman" w:cs="Times New Roman"/>
          <w:sz w:val="28"/>
          <w:szCs w:val="28"/>
          <w:lang w:val="kk-KZ" w:eastAsia="zh-CN"/>
        </w:rPr>
        <w:t xml:space="preserve"> мерзімі, рәсім барысында төленетін алымдардың болуы, әртүрлі патенттік өнімідерге арналған төлемдер кестесінің икемділігі, патенттің қолданылу мерзімі және өзге де ықтимал кедергілер.  Паттенттеу рәсіміне қатысты ақпарат ресми мемлекеттік органдардың сайт</w:t>
      </w:r>
      <w:r>
        <w:rPr>
          <w:rFonts w:ascii="Times New Roman" w:eastAsia="DengXian" w:hAnsi="Times New Roman" w:cs="Times New Roman"/>
          <w:sz w:val="28"/>
          <w:szCs w:val="28"/>
          <w:lang w:val="kk-KZ" w:eastAsia="zh-CN"/>
        </w:rPr>
        <w:t xml:space="preserve">тарында қолжетімді. Патент алуға өтініштің ұзақ уақыт қаралуы мемлекеттік инновациялық дамуына кедергі келтіруі мүмкін, себебі өтінім берушілер патенттік қорғаусыз өнімді нарыққа шығаруға тәуекелге бармайды.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Алынған мәліметтерге сәйкес, орташа есеппен алғанда, 10 ел бойынша патентке өтінімдерді қарау мерзімі шамамен 36 айды құрайды, ал патенттің әрекет ету мерзімі 20 жылға тең.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АҚШ орташа көрсеткіштен жоғары нәтиже көрсетіп, рәсімдер мен мерзімдердің ашықтығы</w:t>
      </w:r>
      <w:r>
        <w:rPr>
          <w:rFonts w:ascii="Times New Roman" w:eastAsia="DengXian" w:hAnsi="Times New Roman" w:cs="Times New Roman"/>
          <w:sz w:val="28"/>
          <w:szCs w:val="28"/>
          <w:lang w:val="kk-KZ" w:eastAsia="zh-CN"/>
        </w:rPr>
        <w:t xml:space="preserve">ның арқасында 3 баллға бағаланды. Канада, Германия, Нидерланды және Италия орташа деңгейде көрсеткішке ие болып, </w:t>
      </w:r>
      <w:r>
        <w:rPr>
          <w:rFonts w:ascii="Times New Roman" w:eastAsia="DengXian" w:hAnsi="Times New Roman" w:cs="Times New Roman"/>
          <w:sz w:val="28"/>
          <w:szCs w:val="28"/>
          <w:lang w:eastAsia="zh-CN"/>
        </w:rPr>
        <w:t xml:space="preserve">2 </w:t>
      </w:r>
      <w:r>
        <w:rPr>
          <w:rFonts w:ascii="Times New Roman" w:eastAsia="DengXian" w:hAnsi="Times New Roman" w:cs="Times New Roman"/>
          <w:sz w:val="28"/>
          <w:szCs w:val="28"/>
          <w:lang w:val="kk-KZ" w:eastAsia="zh-CN"/>
        </w:rPr>
        <w:t>баллдан алды. Канадада шағын кәсіпорындар үшін төлемдердің төмендетілген кестесі қарастырылғанымен, қалған өлшемшарттар бойынша орташа нәтиже</w:t>
      </w:r>
      <w:r>
        <w:rPr>
          <w:rFonts w:ascii="Times New Roman" w:eastAsia="DengXian" w:hAnsi="Times New Roman" w:cs="Times New Roman"/>
          <w:sz w:val="28"/>
          <w:szCs w:val="28"/>
          <w:lang w:val="kk-KZ" w:eastAsia="zh-CN"/>
        </w:rPr>
        <w:t>ге сәйкес келді. Жапония және Австралия бір баллдан алды. Жапония негізгі өлшемшарттар бойынша орташа деңгейде болғанымен де, шет тіліндегі өтінімдерге қосымша аударма талап етіледі. Бұл жағдай өтінім берушілер үшін қосымша кедергі тудырып, шығындарды артт</w:t>
      </w:r>
      <w:r>
        <w:rPr>
          <w:rFonts w:ascii="Times New Roman" w:eastAsia="DengXian" w:hAnsi="Times New Roman" w:cs="Times New Roman"/>
          <w:sz w:val="28"/>
          <w:szCs w:val="28"/>
          <w:lang w:val="kk-KZ" w:eastAsia="zh-CN"/>
        </w:rPr>
        <w:t xml:space="preserve">ырады. Австралияда төлем кестесі мен патент мерзімі бойынша орташа нәтижелер бар, бірақ өтінімдерді қарау ұзақтығы мемлекеттік сайттарда нақты көрсетілмеген [258].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Қытайда</w:t>
      </w:r>
      <w:r>
        <w:rPr>
          <w:rFonts w:ascii="Times New Roman" w:eastAsia="DengXian" w:hAnsi="Times New Roman" w:cs="Times New Roman"/>
          <w:sz w:val="28"/>
          <w:szCs w:val="28"/>
          <w:lang w:val="kk-KZ" w:eastAsia="zh-CN"/>
        </w:rPr>
        <w:t xml:space="preserve"> патенттік жүйе соңғы жылдары едәуір дамыды, өтінімдерді қарау мерзімі орта есеппен </w:t>
      </w:r>
      <w:r>
        <w:rPr>
          <w:rFonts w:ascii="Times New Roman" w:eastAsia="DengXian" w:hAnsi="Times New Roman" w:cs="Times New Roman"/>
          <w:sz w:val="28"/>
          <w:szCs w:val="28"/>
          <w:lang w:val="kk-KZ" w:eastAsia="zh-CN"/>
        </w:rPr>
        <w:t xml:space="preserve">22-24 айды құрайды, бұл орташа көрсеткіштен біршама жылдам. Сондай-ақ, шетелдік өтінім берушілер үшін қосымша аудармалар ұсынылған және жалпы рәсімдері айқын [259]. Сондықтан Қытайды 3 балл деп бағалауға болады.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Оңтүстік Кореяда патент рәсімдері ашық әрі </w:t>
      </w:r>
      <w:r>
        <w:rPr>
          <w:rFonts w:ascii="Times New Roman" w:eastAsia="DengXian" w:hAnsi="Times New Roman" w:cs="Times New Roman"/>
          <w:sz w:val="28"/>
          <w:szCs w:val="28"/>
          <w:lang w:val="kk-KZ" w:eastAsia="zh-CN"/>
        </w:rPr>
        <w:t xml:space="preserve">тиімді ұйымдастырылған, орташа қарау мерзімі 18-20 ай, яғни жаһандық орташа деңгейден жылдам. Сонымен қатар, инновациялық шағын кәсіпорындар үшін төлемдер төмендетілген [260]. Осыған байланысты Оңтүстік Кореяға 3 балл беруге болады.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Қазақстанда</w:t>
      </w:r>
      <w:r>
        <w:rPr>
          <w:rFonts w:ascii="Times New Roman" w:eastAsia="DengXian" w:hAnsi="Times New Roman" w:cs="Times New Roman"/>
          <w:sz w:val="28"/>
          <w:szCs w:val="28"/>
          <w:lang w:val="kk-KZ" w:eastAsia="zh-CN"/>
        </w:rPr>
        <w:t xml:space="preserve"> патентті</w:t>
      </w:r>
      <w:r>
        <w:rPr>
          <w:rFonts w:ascii="Times New Roman" w:eastAsia="DengXian" w:hAnsi="Times New Roman" w:cs="Times New Roman"/>
          <w:sz w:val="28"/>
          <w:szCs w:val="28"/>
          <w:lang w:val="kk-KZ" w:eastAsia="zh-CN"/>
        </w:rPr>
        <w:t>к рәсімдер негізінен Еуразиялық патенттік ұйым аясында және “Ұлттық зияткерлік меншік институты” арқылы жүзеге асады. Өтінімдерді қару мерзімі орта есеппен 24-36 айды құрайды, төлемдер жүйесі шағын кәсіпорындарға немесе зерттеу ұйымдарына жеңілдетілген шар</w:t>
      </w:r>
      <w:r>
        <w:rPr>
          <w:rFonts w:ascii="Times New Roman" w:eastAsia="DengXian" w:hAnsi="Times New Roman" w:cs="Times New Roman"/>
          <w:sz w:val="28"/>
          <w:szCs w:val="28"/>
          <w:lang w:val="kk-KZ" w:eastAsia="zh-CN"/>
        </w:rPr>
        <w:t xml:space="preserve">ттарды қарастырмайды [261]. Сондықтан Қазақстанды екі балл деңгейінде бағалауға болады.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4.1.2. Патенттік қорғау және мониторинг. Зерттеліп отырған елдерде патентті қорғау жүйелері мен құқықтық қорғау тетіктеріне жүргізілген талдау құқықтық қолдау тәжірибе</w:t>
      </w:r>
      <w:r>
        <w:rPr>
          <w:rFonts w:ascii="Times New Roman" w:eastAsia="DengXian" w:hAnsi="Times New Roman" w:cs="Times New Roman"/>
          <w:sz w:val="28"/>
          <w:szCs w:val="28"/>
          <w:lang w:val="kk-KZ" w:eastAsia="zh-CN"/>
        </w:rPr>
        <w:t xml:space="preserve">сі мен мониторингтің тиімділік деңгейіндегі айтарлықтай айырмашылықтың бар екендігін көрсетті.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Ең жоғарғы стандарттар АҚШ, Германия, Жапония және Нидерландыда сақталған, мұнда кең нормативтік базамен қатар патент иеленушілерінңң мүдделерін қорғаудың куатт</w:t>
      </w:r>
      <w:r>
        <w:rPr>
          <w:rFonts w:ascii="Times New Roman" w:eastAsia="DengXian" w:hAnsi="Times New Roman" w:cs="Times New Roman"/>
          <w:sz w:val="28"/>
          <w:szCs w:val="28"/>
          <w:lang w:val="kk-KZ" w:eastAsia="zh-CN"/>
        </w:rPr>
        <w:t>ы құралдары бар. Мысалы, залалды өтеуден бастап, қылмыстық санкцияларға дейінгі шараларды қамтыған. Канада, Австралия және Италия тиімділіктің орташа деңгейін көрсетті: ресми түрде әзірленген нормативтік база қатаң емес бақылаумен  және кедендік бақылаудың</w:t>
      </w:r>
      <w:r>
        <w:rPr>
          <w:rFonts w:ascii="Times New Roman" w:eastAsia="DengXian" w:hAnsi="Times New Roman" w:cs="Times New Roman"/>
          <w:sz w:val="28"/>
          <w:szCs w:val="28"/>
          <w:lang w:val="kk-KZ" w:eastAsia="zh-CN"/>
        </w:rPr>
        <w:t xml:space="preserve"> шектеулі тетіктерімен біріктірілген [258]. Қытай соңғы онжылдықта патенттерді қорғау саласында айтарлықтай жетістіктерге қол жеткізді. Елде зияткерлік меншікке мамандандырылған соттар жүйесі құрылған, сондай-ақ Әділет министрлігі мен Ұлттық зияткерлік мен</w:t>
      </w:r>
      <w:r>
        <w:rPr>
          <w:rFonts w:ascii="Times New Roman" w:eastAsia="DengXian" w:hAnsi="Times New Roman" w:cs="Times New Roman"/>
          <w:sz w:val="28"/>
          <w:szCs w:val="28"/>
          <w:lang w:val="kk-KZ" w:eastAsia="zh-CN"/>
        </w:rPr>
        <w:t>шік басқармасы бірлесіп құқықбұзушылықтарды әкімшілік деңгейде қарастырады [259]. Жалпы алғанда, Қытайға үш балл берілді, себебі патенттердегі қорғау рәсімдері дамыған, бірақ қолдану практикасы әлі де жетілдіруді қажет етеді. Оңтүстік Кореяның зияткерлік м</w:t>
      </w:r>
      <w:r>
        <w:rPr>
          <w:rFonts w:ascii="Times New Roman" w:eastAsia="DengXian" w:hAnsi="Times New Roman" w:cs="Times New Roman"/>
          <w:sz w:val="28"/>
          <w:szCs w:val="28"/>
          <w:lang w:val="kk-KZ" w:eastAsia="zh-CN"/>
        </w:rPr>
        <w:t>еншік саласында Азиядағы ең тиімді құқықтық тетіктердің бірі қалыптастырылған. Елде Патенттік сот жұмыс істейді, бұл шығындарды азайтып, шешімдердің сапасын арттыруға мүмкіндңк береді. Сонымен қатар, құқық бұзушылықтарға қатысты санкциялар көбіне материалд</w:t>
      </w:r>
      <w:r>
        <w:rPr>
          <w:rFonts w:ascii="Times New Roman" w:eastAsia="DengXian" w:hAnsi="Times New Roman" w:cs="Times New Roman"/>
          <w:sz w:val="28"/>
          <w:szCs w:val="28"/>
          <w:lang w:val="kk-KZ" w:eastAsia="zh-CN"/>
        </w:rPr>
        <w:t xml:space="preserve">ық өтемақылар мен шектеледі, бас бостандығын айыру шаралары қолданылмайды. Осы себепті, Оңтүстік Кореяны үш баллмен бағалауға болады [260].  </w:t>
      </w:r>
    </w:p>
    <w:p w:rsidR="005118AF" w:rsidRDefault="00EF60C3">
      <w:pPr>
        <w:spacing w:after="0" w:line="240" w:lineRule="auto"/>
        <w:ind w:firstLineChars="252" w:firstLine="706"/>
        <w:jc w:val="both"/>
        <w:rPr>
          <w:rFonts w:ascii="Calibri" w:eastAsia="DengXian" w:hAnsi="Calibri" w:cs="Times New Roman"/>
          <w:sz w:val="20"/>
          <w:szCs w:val="20"/>
          <w:lang w:val="kk-KZ" w:eastAsia="zh-CN"/>
        </w:rPr>
      </w:pPr>
      <w:r>
        <w:rPr>
          <w:rFonts w:ascii="Times New Roman" w:eastAsia="DengXian" w:hAnsi="Times New Roman" w:cs="Times New Roman"/>
          <w:sz w:val="28"/>
          <w:szCs w:val="28"/>
          <w:lang w:val="kk-KZ" w:eastAsia="zh-CN"/>
        </w:rPr>
        <w:t>Қазақстан</w:t>
      </w:r>
      <w:r>
        <w:rPr>
          <w:rFonts w:ascii="Times New Roman" w:eastAsia="DengXian" w:hAnsi="Times New Roman" w:cs="Times New Roman"/>
          <w:sz w:val="28"/>
          <w:szCs w:val="28"/>
          <w:lang w:val="kk-KZ" w:eastAsia="zh-CN"/>
        </w:rPr>
        <w:t xml:space="preserve"> заңнамада бекітілген негізгі қорғау шараларымен сипатталады, бірақ практикалық енгізу және институционад</w:t>
      </w:r>
      <w:r>
        <w:rPr>
          <w:rFonts w:ascii="Times New Roman" w:eastAsia="DengXian" w:hAnsi="Times New Roman" w:cs="Times New Roman"/>
          <w:sz w:val="28"/>
          <w:szCs w:val="28"/>
          <w:lang w:val="kk-KZ" w:eastAsia="zh-CN"/>
        </w:rPr>
        <w:t xml:space="preserve">ық қамтамасыз ету деңгейі әлі де халықаралық стандарттардан төмен. Бұл патенттік заң бұзушылықтарды бақылау мүмкіндіктерінің шектеулілігінен және қатаң санкциялардың аз болуына байланысты орын алады. Тұтастай алғанда, Қазақстандағы патенттік қорғау жүйесі </w:t>
      </w:r>
      <w:r>
        <w:rPr>
          <w:rFonts w:ascii="Times New Roman" w:eastAsia="DengXian" w:hAnsi="Times New Roman" w:cs="Times New Roman"/>
          <w:sz w:val="28"/>
          <w:szCs w:val="28"/>
          <w:lang w:val="kk-KZ" w:eastAsia="zh-CN"/>
        </w:rPr>
        <w:t xml:space="preserve">даму сатысында деп қорытынды жасауға болады: халықаралық шарттарды формальды түрде сақтай отырып, бақылау тетіктерін одан әрі жетілдіру, сот тәжірибесін күшейті және озық шетелдік үлгілердің элементтерін (мысалы, жеделдетілген сот рәсімдері) интеграциялау </w:t>
      </w:r>
      <w:r>
        <w:rPr>
          <w:rFonts w:ascii="Times New Roman" w:eastAsia="DengXian" w:hAnsi="Times New Roman" w:cs="Times New Roman"/>
          <w:sz w:val="28"/>
          <w:szCs w:val="28"/>
          <w:lang w:val="kk-KZ" w:eastAsia="zh-CN"/>
        </w:rPr>
        <w:t>қажет</w:t>
      </w:r>
      <w:r>
        <w:rPr>
          <w:rFonts w:ascii="Times New Roman" w:eastAsia="DengXian" w:hAnsi="Times New Roman" w:cs="Times New Roman"/>
          <w:sz w:val="28"/>
          <w:szCs w:val="28"/>
          <w:lang w:val="kk-KZ" w:eastAsia="zh-CN"/>
        </w:rPr>
        <w:t xml:space="preserve"> [261].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 Зерттеулер және әзірлемелер. 25-кестеде бөлімдегі әрбір көрсеткіш бойынша әрбір елге берілген баллдарды бөлім бойынша жалпы баллдармен көрсетілген. Әр көрсеткіш баллдарының негіздемесін сипаттау үшін талдау жүргізіледі.</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25 ‒ Зерт</w:t>
      </w:r>
      <w:r>
        <w:rPr>
          <w:rFonts w:ascii="Times New Roman" w:eastAsia="DengXian" w:hAnsi="Times New Roman" w:cs="Times New Roman"/>
          <w:sz w:val="28"/>
          <w:szCs w:val="28"/>
          <w:lang w:val="kk-KZ" w:eastAsia="zh-CN"/>
        </w:rPr>
        <w:t>теулер және әзірлемелерді талдау нәтижелері</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959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1596"/>
        <w:gridCol w:w="1927"/>
        <w:gridCol w:w="2923"/>
        <w:gridCol w:w="1275"/>
      </w:tblGrid>
      <w:tr w:rsidR="005118AF">
        <w:tc>
          <w:tcPr>
            <w:tcW w:w="1876"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1596"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4.2.1.</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Бюджет</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927"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4.2.2.</w:t>
            </w:r>
            <w:r>
              <w:rPr>
                <w:rFonts w:ascii="Times New Roman" w:eastAsia="DengXian" w:hAnsi="Times New Roman" w:cs="Times New Roman"/>
                <w:sz w:val="24"/>
                <w:szCs w:val="24"/>
                <w:lang w:val="kk-KZ" w:eastAsia="zh-CN"/>
              </w:rPr>
              <w:t xml:space="preserve"> Ұлттық деректер стратегиясы </w:t>
            </w:r>
            <w:r>
              <w:rPr>
                <w:rFonts w:ascii="Times New Roman" w:eastAsia="DengXian" w:hAnsi="Times New Roman" w:cs="Times New Roman"/>
                <w:sz w:val="24"/>
                <w:szCs w:val="24"/>
                <w:lang w:eastAsia="zh-CN"/>
              </w:rPr>
              <w:t>(/3)</w:t>
            </w:r>
          </w:p>
        </w:tc>
        <w:tc>
          <w:tcPr>
            <w:tcW w:w="2923"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4.2.3.</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Деректер құпиялылығы және қол жетімділік(/3)</w:t>
            </w:r>
          </w:p>
        </w:tc>
        <w:tc>
          <w:tcPr>
            <w:tcW w:w="1275"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Бөлім</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(/9)</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159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92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159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92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159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92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2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1596"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2</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6</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1596"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8</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159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7</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159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927"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9</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1596"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927"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3</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9</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1596"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927"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3</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3</w:t>
            </w:r>
          </w:p>
        </w:tc>
        <w:tc>
          <w:tcPr>
            <w:tcW w:w="1275"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9</w:t>
            </w:r>
          </w:p>
        </w:tc>
      </w:tr>
      <w:tr w:rsidR="005118AF">
        <w:tc>
          <w:tcPr>
            <w:tcW w:w="1876"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1596"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1927"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1</w:t>
            </w:r>
          </w:p>
        </w:tc>
        <w:tc>
          <w:tcPr>
            <w:tcW w:w="2923" w:type="dxa"/>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2</w:t>
            </w:r>
          </w:p>
        </w:tc>
        <w:tc>
          <w:tcPr>
            <w:tcW w:w="1275"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r>
    </w:tbl>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4.2.1. Ғылыми зерттеулерді қаржыландыру. Тамақ өнеркәсібіндегі инновацияларды қолдауға арналған мемлекеттік мақсатты қаржыландырудың ауқымы </w:t>
      </w:r>
      <w:r>
        <w:rPr>
          <w:rFonts w:ascii="Times New Roman" w:eastAsia="DengXian" w:hAnsi="Times New Roman" w:cs="Times New Roman"/>
          <w:sz w:val="28"/>
          <w:szCs w:val="28"/>
          <w:lang w:val="kk-KZ" w:eastAsia="zh-CN"/>
        </w:rPr>
        <w:t>мен қолжетімділігіне негізделген халықаралық талдау нәтижелері бойынша, елдер келесідей бағаланды: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АҚШ, Жапония, Германия, Қытай және Оңтүстік Корея азық-түлік инновацияларын қаржыландырудағы алдыңғы қатарлы елдер болып танылды. Бұл мемлекеттерде тиісті </w:t>
      </w:r>
      <w:r>
        <w:rPr>
          <w:rFonts w:ascii="Times New Roman" w:eastAsia="DengXian" w:hAnsi="Times New Roman" w:cs="Times New Roman"/>
          <w:sz w:val="28"/>
          <w:szCs w:val="28"/>
          <w:lang w:val="kk-KZ" w:eastAsia="zh-CN"/>
        </w:rPr>
        <w:t>салалық агенттіктердің тұрақты бюджеттері және айқын мақсатты бағдарламалар бар.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АҚШ бұл саладағы көшбасшылығын $11,3 млн АҚШ доллары инвестиция бөлген Ұлттық азық-түлік және ауыл шаруашылығы институты және оның «Ауыл шаруашылығы және азық-түлік саласындағ</w:t>
      </w:r>
      <w:r>
        <w:rPr>
          <w:rFonts w:ascii="Times New Roman" w:eastAsia="DengXian" w:hAnsi="Times New Roman" w:cs="Times New Roman"/>
          <w:sz w:val="28"/>
          <w:szCs w:val="28"/>
          <w:lang w:val="kk-KZ" w:eastAsia="zh-CN"/>
        </w:rPr>
        <w:t>ы зерттеулер бастамасы - Тұрақы ауыл шаруашылығы жүйелері» бағдарламасы арқылы дәлелдейді. Бұл жоғары тұрақтылықты және ашық гранттық жүйені көрсетеді [262, 263].</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Жапония инновацияларды қолдауға арналған айқын бағдарламаарының болуымен ерекшеленеді. «Жасыл</w:t>
      </w:r>
      <w:r>
        <w:rPr>
          <w:rFonts w:ascii="Times New Roman" w:eastAsia="DengXian" w:hAnsi="Times New Roman" w:cs="Times New Roman"/>
          <w:sz w:val="28"/>
          <w:szCs w:val="28"/>
          <w:lang w:val="kk-KZ" w:eastAsia="zh-CN"/>
        </w:rPr>
        <w:t xml:space="preserve"> инновациялық қоры» арқылы шамамен 2 трлн иен ($16 млрд АҚШ доллары) көлеміндегі қаражатты азық-түлік, ауыл-шаруашылық және орман шаруашылығын дамытуға бағыттайды [264].</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Германияда Федералдық азық-түлік және ауыл шаруашылығы министрлігі тұрақты азық-түлік </w:t>
      </w:r>
      <w:r>
        <w:rPr>
          <w:rFonts w:ascii="Times New Roman" w:eastAsia="DengXian" w:hAnsi="Times New Roman" w:cs="Times New Roman"/>
          <w:sz w:val="28"/>
          <w:szCs w:val="28"/>
          <w:lang w:val="kk-KZ" w:eastAsia="zh-CN"/>
        </w:rPr>
        <w:t>жүйесіне бағытталған «Тұрақты тамақтануға арналған инновациялар» сияқты арнайы сайыстар арқылы қолдау көрсетеді [265].</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Қытай</w:t>
      </w:r>
      <w:r>
        <w:rPr>
          <w:rFonts w:ascii="Times New Roman" w:eastAsia="DengXian" w:hAnsi="Times New Roman" w:cs="Times New Roman"/>
          <w:sz w:val="28"/>
          <w:szCs w:val="28"/>
          <w:lang w:val="kk-KZ" w:eastAsia="zh-CN"/>
        </w:rPr>
        <w:t xml:space="preserve"> өзінің ауқымдылығын 2024–2028 жылдарға арналған «Ұлттық ақылды ауыл шаруашылығы іс-қимыл жоспары» арқылы дәлелдеп, цифрлық технолог</w:t>
      </w:r>
      <w:r>
        <w:rPr>
          <w:rFonts w:ascii="Times New Roman" w:eastAsia="DengXian" w:hAnsi="Times New Roman" w:cs="Times New Roman"/>
          <w:sz w:val="28"/>
          <w:szCs w:val="28"/>
          <w:lang w:val="kk-KZ" w:eastAsia="zh-CN"/>
        </w:rPr>
        <w:t>ияларды азық-түлік өндірісіне енгізу арқылы инновацияға айқын басымдық береді [266].</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Оңтүстік Корея да мақсатты қаржыландыруды дамытқан, оған «Ауыл шаруашылығы азық-түлік верчурлық қоры» (шамамен $149 млн АҚШ доллары) мысал бола алады [267].</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Бұл бес </w:t>
      </w:r>
      <w:r>
        <w:rPr>
          <w:rFonts w:ascii="Times New Roman" w:eastAsia="DengXian" w:hAnsi="Times New Roman" w:cs="Times New Roman"/>
          <w:sz w:val="28"/>
          <w:szCs w:val="28"/>
          <w:lang w:val="kk-KZ" w:eastAsia="zh-CN"/>
        </w:rPr>
        <w:t>мемлекеттің барлығында инновацияларды қолдау жүйесі жоғары болғандықтан, 3 балл алды.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Ал Канада, А</w:t>
      </w:r>
      <w:r>
        <w:rPr>
          <w:rFonts w:ascii="Times New Roman" w:eastAsia="DengXian" w:hAnsi="Times New Roman" w:cs="Times New Roman"/>
          <w:sz w:val="28"/>
          <w:szCs w:val="28"/>
          <w:lang w:eastAsia="zh-CN"/>
        </w:rPr>
        <w:t>в</w:t>
      </w:r>
      <w:r>
        <w:rPr>
          <w:rFonts w:ascii="Times New Roman" w:eastAsia="DengXian" w:hAnsi="Times New Roman" w:cs="Times New Roman"/>
          <w:sz w:val="28"/>
          <w:szCs w:val="28"/>
          <w:lang w:val="kk-KZ" w:eastAsia="zh-CN"/>
        </w:rPr>
        <w:t>стралия, Нидерланды және Италия орташа деңгейдегі (2 балл) елдер тобына енді. Бұл елдерде инновациялық қолдау құралдары көп болғанымен, абсолютті қаржы көлем</w:t>
      </w:r>
      <w:r>
        <w:rPr>
          <w:rFonts w:ascii="Times New Roman" w:eastAsia="DengXian" w:hAnsi="Times New Roman" w:cs="Times New Roman"/>
          <w:sz w:val="28"/>
          <w:szCs w:val="28"/>
          <w:lang w:val="kk-KZ" w:eastAsia="zh-CN"/>
        </w:rPr>
        <w:t>дері немесе олардың жалпы мемлекеттік бюджеттегі үлесі көшбасшы елдермен салыстырғанда төмен болып бағаланды [268, 269].</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Бұл төрт елде де инновациялық бағдарламалар бар, бірақ олардың азық-түлік өнеркәсібіне бағытталған арнайы деректері, бюджет көлемі мен </w:t>
      </w:r>
      <w:r>
        <w:rPr>
          <w:rFonts w:ascii="Times New Roman" w:eastAsia="DengXian" w:hAnsi="Times New Roman" w:cs="Times New Roman"/>
          <w:sz w:val="28"/>
          <w:szCs w:val="28"/>
          <w:lang w:val="kk-KZ" w:eastAsia="zh-CN"/>
        </w:rPr>
        <w:t>ашықтығы бойынша шектеулі мәліметтер бар.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w:t>
      </w:r>
      <w:r>
        <w:rPr>
          <w:rFonts w:ascii="Times New Roman" w:eastAsia="DengXian" w:hAnsi="Times New Roman" w:cs="Times New Roman"/>
          <w:sz w:val="28"/>
          <w:szCs w:val="28"/>
          <w:lang w:val="kk-KZ" w:eastAsia="zh-CN"/>
        </w:rPr>
        <w:t xml:space="preserve"> Республикасы төменгі деңгейдегі (1 балл) топқа енгізілді. Қаржыландыру көлемі бойынша өсу байқалса да, бұл әлі де ОЭСР елдерінің үздік тәжірибелерінен төмен болып бағаланды.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Қазақстанда</w:t>
      </w:r>
      <w:r>
        <w:rPr>
          <w:rFonts w:ascii="Times New Roman" w:eastAsia="DengXian" w:hAnsi="Times New Roman" w:cs="Times New Roman"/>
          <w:sz w:val="28"/>
          <w:szCs w:val="28"/>
          <w:lang w:val="kk-KZ" w:eastAsia="zh-CN"/>
        </w:rPr>
        <w:t xml:space="preserve"> «QazInnovations», </w:t>
      </w:r>
      <w:r>
        <w:rPr>
          <w:rFonts w:ascii="Times New Roman" w:eastAsia="DengXian" w:hAnsi="Times New Roman" w:cs="Times New Roman"/>
          <w:sz w:val="28"/>
          <w:szCs w:val="28"/>
          <w:lang w:val="kk-KZ" w:eastAsia="zh-CN"/>
        </w:rPr>
        <w:t>Ғылыми</w:t>
      </w:r>
      <w:r>
        <w:rPr>
          <w:rFonts w:ascii="Times New Roman" w:eastAsia="DengXian" w:hAnsi="Times New Roman" w:cs="Times New Roman"/>
          <w:sz w:val="28"/>
          <w:szCs w:val="28"/>
          <w:lang w:val="kk-KZ" w:eastAsia="zh-CN"/>
        </w:rPr>
        <w:t xml:space="preserve"> фонд және Ауыл шаруашылығы министрлігінің ҒЗТКЖ жобалары сияқты қолдау құралдары жұмыс істейді [105; 270, 271]. Алайда, азық-түлік өнеркәсібіне бағытталған нақты қаржы көлемінің жеткіліксіздігі және институционалдық қолдау жүйесінің ауқымы әлі де ар</w:t>
      </w:r>
      <w:r>
        <w:rPr>
          <w:rFonts w:ascii="Times New Roman" w:eastAsia="DengXian" w:hAnsi="Times New Roman" w:cs="Times New Roman"/>
          <w:sz w:val="28"/>
          <w:szCs w:val="28"/>
          <w:lang w:val="kk-KZ" w:eastAsia="zh-CN"/>
        </w:rPr>
        <w:t>тта қалуына байланысты, елге 1 балл берілді. Бұл жағдай Қазақстанға инновациялық қолдау ауқымын арттыру қажеттігін көрсетеді.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Жоғары балл алған елдерде (АҚШ, Жапония, Германия, Қытай, Оңтүстік Корея) азық-түлік өнеркәсібіндегі инновацияларға бағытталған ар</w:t>
      </w:r>
      <w:r>
        <w:rPr>
          <w:rFonts w:ascii="Times New Roman" w:eastAsia="DengXian" w:hAnsi="Times New Roman" w:cs="Times New Roman"/>
          <w:sz w:val="28"/>
          <w:szCs w:val="28"/>
          <w:lang w:val="kk-KZ" w:eastAsia="zh-CN"/>
        </w:rPr>
        <w:t>найы қаржыландыру агенттіктері бар, бюджетті бөлу жүйесі тұрақты, инновациялық жобаларға ашық қолжетімділік жоғары. Орташа деңгейдегі елдерде құралы болса да масштаб пен ашық деректер бойынша шектеулер бар. Қазақстан сапалы тұжырымдамаларға қадам басқаныме</w:t>
      </w:r>
      <w:r>
        <w:rPr>
          <w:rFonts w:ascii="Times New Roman" w:eastAsia="DengXian" w:hAnsi="Times New Roman" w:cs="Times New Roman"/>
          <w:sz w:val="28"/>
          <w:szCs w:val="28"/>
          <w:lang w:val="kk-KZ" w:eastAsia="zh-CN"/>
        </w:rPr>
        <w:t>н, қаржылық ресурстары мен институционалдық инфрақұрылымы жағынан әлі толық жетілмеген.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4.2.1. Ұлттық деректер стратегиясы. Ұлттық деректер стратегияларының салыстырмалы талдауы барлық қарастырылып отырған елдерде деректерді сақтау мен пайдалану тәсілдерін</w:t>
      </w:r>
      <w:r>
        <w:rPr>
          <w:rFonts w:ascii="Times New Roman" w:eastAsia="DengXian" w:hAnsi="Times New Roman" w:cs="Times New Roman"/>
          <w:sz w:val="28"/>
          <w:szCs w:val="28"/>
          <w:lang w:val="kk-KZ" w:eastAsia="zh-CN"/>
        </w:rPr>
        <w:t xml:space="preserve"> анықтайтын ресми нормативтік құжаттар бар екенін көрсетті (26-кесте). Дегенмен, олардың толықтылығы мен қолданбалы бағдарлану деңгейінде айтарлықтай өзгешеліктер бар. Көптеген стратегиялар 2016 жылдан кейін қабылданған, бұл цифрландырырудың жаһандық үрдіс</w:t>
      </w:r>
      <w:r>
        <w:rPr>
          <w:rFonts w:ascii="Times New Roman" w:eastAsia="DengXian" w:hAnsi="Times New Roman" w:cs="Times New Roman"/>
          <w:sz w:val="28"/>
          <w:szCs w:val="28"/>
          <w:lang w:val="kk-KZ" w:eastAsia="zh-CN"/>
        </w:rPr>
        <w:t>ін және экономикадағы деректер рөлінің артуын көрсетеді. Дамыған елдерде (АҚШ, Германия, Жапония, Оңтүстік Корея, Нидерланды) анағұрлым жан-жақты негіздемелік стратегиялардың болуымен сипатталады, бірақ олар көбінесе іске асырудың егжей-тегжейлі жоспарын қ</w:t>
      </w:r>
      <w:r>
        <w:rPr>
          <w:rFonts w:ascii="Times New Roman" w:eastAsia="DengXian" w:hAnsi="Times New Roman" w:cs="Times New Roman"/>
          <w:sz w:val="28"/>
          <w:szCs w:val="28"/>
          <w:lang w:val="kk-KZ" w:eastAsia="zh-CN"/>
        </w:rPr>
        <w:t xml:space="preserve">амтамайды және нақты бюджеттік бөлулермен байланыстырылған жариялылық қағидаларымен ғана шектелді. АҚШ пен Оңтүстік Кореяның стратегиялары ұлттық цифрландыру және инновациялық бағдарламалар, оның ішінде жеке секторда қолданумен неғұрлым айқын байланысымен </w:t>
      </w:r>
      <w:r>
        <w:rPr>
          <w:rFonts w:ascii="Times New Roman" w:eastAsia="DengXian" w:hAnsi="Times New Roman" w:cs="Times New Roman"/>
          <w:sz w:val="28"/>
          <w:szCs w:val="28"/>
          <w:lang w:val="kk-KZ" w:eastAsia="zh-CN"/>
        </w:rPr>
        <w:t>ерекшеленеді. Еуропа елдері (Германия, Италия, Нидерланды) жалпы алғанда, бизнес секторының одан әрі кеңеюіне негіз жасай отырып, қоғамдық салаға назар аударады. Азия елдерінде (Қытай, Жапония, Оңтүстік Корея) стратегиялар салааралық болып табылады және кө</w:t>
      </w:r>
      <w:r>
        <w:rPr>
          <w:rFonts w:ascii="Times New Roman" w:eastAsia="DengXian" w:hAnsi="Times New Roman" w:cs="Times New Roman"/>
          <w:sz w:val="28"/>
          <w:szCs w:val="28"/>
          <w:lang w:val="kk-KZ" w:eastAsia="zh-CN"/>
        </w:rPr>
        <w:t>бінесе жасанды интеллект, үлкен деректер мен смарт өндірісті дамытудың ұзақ мерзімді ұлттық мақсаттарымен байланысты. Канада мен Австралия мемлекеттік секторға және ашық деректермен қамтамасыз етуге көбірек көңіл бөледі, қолжетімділікті қаматасыз етеді, бі</w:t>
      </w:r>
      <w:r>
        <w:rPr>
          <w:rFonts w:ascii="Times New Roman" w:eastAsia="DengXian" w:hAnsi="Times New Roman" w:cs="Times New Roman"/>
          <w:sz w:val="28"/>
          <w:szCs w:val="28"/>
          <w:lang w:val="kk-KZ" w:eastAsia="zh-CN"/>
        </w:rPr>
        <w:t>рақ бизнестің деректерді пайдалануға ынталандырудың кешенді тетіктерін құрмайды. Қазақстанда мемлекеттік секторды цифрландыруға көбірек бағытталған стратегиялық бағдарламалар бар (мысалы, “Цифрлық Қазақстан”), олар жалпы әлемдік трендті көрсетеді, бірақ би</w:t>
      </w:r>
      <w:r>
        <w:rPr>
          <w:rFonts w:ascii="Times New Roman" w:eastAsia="DengXian" w:hAnsi="Times New Roman" w:cs="Times New Roman"/>
          <w:sz w:val="28"/>
          <w:szCs w:val="28"/>
          <w:lang w:val="kk-KZ" w:eastAsia="zh-CN"/>
        </w:rPr>
        <w:t xml:space="preserve">знестің экожүйесі мен қаржыландыру мәселелерін толық қамтамайды. </w:t>
      </w:r>
    </w:p>
    <w:p w:rsidR="005118AF" w:rsidRDefault="005118AF">
      <w:pPr>
        <w:spacing w:after="0" w:line="240" w:lineRule="auto"/>
        <w:ind w:firstLine="720"/>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Кесте </w:t>
      </w:r>
      <w:r>
        <w:rPr>
          <w:rFonts w:ascii="Times New Roman" w:eastAsia="DengXian" w:hAnsi="Times New Roman" w:cs="Times New Roman"/>
          <w:sz w:val="28"/>
          <w:szCs w:val="28"/>
          <w:lang w:eastAsia="zh-CN"/>
        </w:rPr>
        <w:t>26</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kk-KZ" w:eastAsia="zh-CN"/>
        </w:rPr>
        <w:t>Деректер басқару саласындағы стратегияларды бағалау</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7372"/>
        <w:gridCol w:w="903"/>
      </w:tblGrid>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Мемлекет</w:t>
            </w:r>
          </w:p>
        </w:tc>
        <w:tc>
          <w:tcPr>
            <w:tcW w:w="7372"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Стратегия (қолжетімділігі, қамтылуы, бюджеті)</w:t>
            </w:r>
          </w:p>
        </w:tc>
        <w:tc>
          <w:tcPr>
            <w:tcW w:w="90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Ұпай</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7372" w:type="dxa"/>
          </w:tcPr>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“2023-2024 Data Strategy for Federal Public Service” - Канадалық федералдық қызмет үшін деректер стратегиясы жарияланған. </w:t>
            </w:r>
          </w:p>
          <w:p w:rsidR="005118AF" w:rsidRDefault="00EF60C3">
            <w:pPr>
              <w:spacing w:after="0" w:line="240" w:lineRule="auto"/>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Басты назар - ашық мемлекеттік деректер, қол жетімділік шектеулі </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1243" w:type="dxa"/>
          </w:tcPr>
          <w:p w:rsidR="005118AF" w:rsidRDefault="00EF60C3">
            <w:pPr>
              <w:spacing w:after="0" w:line="240" w:lineRule="auto"/>
              <w:ind w:left="-56" w:right="-65"/>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“Australian Data Strategy (2022)” - деректерді басқару</w:t>
            </w:r>
            <w:r>
              <w:rPr>
                <w:rFonts w:ascii="Times New Roman" w:eastAsia="DengXian" w:hAnsi="Times New Roman" w:cs="Times New Roman"/>
                <w:sz w:val="24"/>
                <w:szCs w:val="24"/>
                <w:lang w:val="kk-KZ" w:eastAsia="zh-CN"/>
              </w:rPr>
              <w:t xml:space="preserve"> және пайдалану жөніндегі ұлттық стратегия қабылданған. Канадаға ұқсас: ашық мем лекеттік деректерге баса назар аудару,бизнесті ынталандыру төмен</w:t>
            </w:r>
          </w:p>
        </w:tc>
        <w:tc>
          <w:tcPr>
            <w:tcW w:w="90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2</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“America’s AI Action Plan” және “National AI R&amp;D Plan” - деректер мен жасанды интеллект саласында кең </w:t>
            </w:r>
            <w:r>
              <w:rPr>
                <w:rFonts w:ascii="Times New Roman" w:eastAsia="DengXian" w:hAnsi="Times New Roman" w:cs="Times New Roman"/>
                <w:sz w:val="24"/>
                <w:szCs w:val="24"/>
                <w:lang w:val="kk-KZ" w:eastAsia="zh-CN"/>
              </w:rPr>
              <w:t>қамтылған</w:t>
            </w:r>
            <w:r>
              <w:rPr>
                <w:rFonts w:ascii="Times New Roman" w:eastAsia="DengXian" w:hAnsi="Times New Roman" w:cs="Times New Roman"/>
                <w:sz w:val="24"/>
                <w:szCs w:val="24"/>
                <w:lang w:val="kk-KZ" w:eastAsia="zh-CN"/>
              </w:rPr>
              <w:t xml:space="preserve"> стратегиялар. Ұлттық деректер стратегиясының мемлекеттік және жеке секторлар ды қамтуы, инновациялар мен AI-мен байланысты ашық мәліметтер бар</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Ашық деректер және цифрландыру бойынша кейбір бастамалар бар, бірақ бизнеске бағытталған толы</w:t>
            </w:r>
            <w:r>
              <w:rPr>
                <w:rFonts w:ascii="Times New Roman" w:eastAsia="DengXian" w:hAnsi="Times New Roman" w:cs="Times New Roman"/>
                <w:sz w:val="24"/>
                <w:szCs w:val="24"/>
                <w:lang w:val="kk-KZ" w:eastAsia="zh-CN"/>
              </w:rPr>
              <w:t>қ</w:t>
            </w:r>
            <w:r>
              <w:rPr>
                <w:rFonts w:ascii="Times New Roman" w:eastAsia="DengXian" w:hAnsi="Times New Roman" w:cs="Times New Roman"/>
                <w:sz w:val="24"/>
                <w:szCs w:val="24"/>
                <w:lang w:val="kk-KZ" w:eastAsia="zh-CN"/>
              </w:rPr>
              <w:t xml:space="preserve"> деректер шектеулі</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Сандық деректер және жасанды интеллект бойынша стратегиялар бар, бірақ толық әрі айқын мақсаттар мен деректер жарияланбаған </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Open Data бойынша жақсы база қалыптасқан, бірақ мемлекеттік секторға қатты көңіл бөлі</w:t>
            </w:r>
            <w:r>
              <w:rPr>
                <w:rFonts w:ascii="Times New Roman" w:eastAsia="DengXian" w:hAnsi="Times New Roman" w:cs="Times New Roman"/>
                <w:sz w:val="24"/>
                <w:szCs w:val="24"/>
                <w:lang w:val="kk-KZ" w:eastAsia="zh-CN"/>
              </w:rPr>
              <w:t xml:space="preserve">нген. Стратегияның бизнеске бағытталған бөлігі мен бюджет мөлшері аз қамтылған </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“Society 5.0”, Big Data және жасанды интеллект стратегиялық жоспары арқылы сектораралық қамтылған </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Инновациялармен және өнеркәсіппен байланысты Big data + AI секторалық стратегиясы, соның ішінде жеке сектормен байланысты </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243"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Мемлекеттік және жеке секторға баса назар аудара отырып, толық стратегиясы бар, инновациялар мен ЖИ назар аудару, б</w:t>
            </w:r>
            <w:r>
              <w:rPr>
                <w:rFonts w:ascii="Times New Roman" w:eastAsia="DengXian" w:hAnsi="Times New Roman" w:cs="Times New Roman"/>
                <w:sz w:val="24"/>
                <w:szCs w:val="24"/>
                <w:lang w:val="kk-KZ" w:eastAsia="zh-CN"/>
              </w:rPr>
              <w:t>юджеті бар</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1243" w:type="dxa"/>
          </w:tcPr>
          <w:p w:rsidR="005118AF" w:rsidRDefault="00EF60C3">
            <w:pPr>
              <w:spacing w:after="0" w:line="240" w:lineRule="auto"/>
              <w:ind w:right="-121"/>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7372"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r>
              <w:rPr>
                <w:rFonts w:ascii="Times New Roman" w:eastAsia="DengXian" w:hAnsi="Times New Roman" w:cs="Times New Roman"/>
                <w:sz w:val="24"/>
                <w:szCs w:val="24"/>
                <w:lang w:val="kk-KZ" w:eastAsia="zh-CN"/>
              </w:rPr>
              <w:t xml:space="preserve"> “Киберқалқан” және “Цифрлық Қазақстан” бағдарлама ларын, маңызды инфрақүрылымды дамытуда, нақты институционал дық үлгіні енгізген және CERT/SOC желісін құрған кешенді страте гиялары бар. Олар негізінен мемлекеттік секторға</w:t>
            </w:r>
            <w:r>
              <w:rPr>
                <w:rFonts w:ascii="Times New Roman" w:eastAsia="DengXian" w:hAnsi="Times New Roman" w:cs="Times New Roman"/>
                <w:sz w:val="24"/>
                <w:szCs w:val="24"/>
                <w:lang w:val="kk-KZ" w:eastAsia="zh-CN"/>
              </w:rPr>
              <w:t xml:space="preserve"> бағытталған, алайда бизнес пен бюджет бойынша жеткілікті деректер жоқ</w:t>
            </w:r>
          </w:p>
        </w:tc>
        <w:tc>
          <w:tcPr>
            <w:tcW w:w="903" w:type="dxa"/>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9518" w:type="dxa"/>
            <w:gridSpan w:val="3"/>
          </w:tcPr>
          <w:p w:rsidR="005118AF" w:rsidRDefault="00EF60C3">
            <w:pPr>
              <w:spacing w:after="0" w:line="240" w:lineRule="auto"/>
              <w:ind w:firstLine="546"/>
              <w:jc w:val="both"/>
              <w:rPr>
                <w:rFonts w:ascii="Times New Roman" w:eastAsia="DengXian" w:hAnsi="Times New Roman" w:cs="Times New Roman"/>
                <w:sz w:val="24"/>
                <w:szCs w:val="24"/>
                <w:lang w:val="kk-KZ" w:eastAsia="zh-CN"/>
              </w:rPr>
            </w:pPr>
            <w:r>
              <w:rPr>
                <w:rFonts w:ascii="Times New Roman" w:eastAsia="Calibri" w:hAnsi="Times New Roman" w:cs="Times New Roman"/>
                <w:sz w:val="24"/>
                <w:szCs w:val="24"/>
                <w:lang w:val="kk-KZ"/>
              </w:rPr>
              <w:t>Ескерту –</w:t>
            </w:r>
            <w:r>
              <w:rPr>
                <w:rFonts w:ascii="Times New Roman" w:eastAsia="Calibri" w:hAnsi="Times New Roman" w:cs="Times New Roman"/>
                <w:bCs/>
                <w:sz w:val="24"/>
                <w:szCs w:val="24"/>
                <w:lang w:val="kk-KZ"/>
              </w:rPr>
              <w:t xml:space="preserve"> Әдебиет негізінде құралған </w:t>
            </w:r>
            <w:r>
              <w:rPr>
                <w:rFonts w:ascii="Times New Roman" w:eastAsia="DengXian" w:hAnsi="Times New Roman" w:cs="Times New Roman"/>
                <w:sz w:val="24"/>
                <w:szCs w:val="24"/>
                <w:lang w:val="kk-KZ" w:eastAsia="zh-CN"/>
              </w:rPr>
              <w:t>[272-277]</w:t>
            </w:r>
          </w:p>
        </w:tc>
      </w:tr>
    </w:tbl>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Салыстырмалы бағалау нәтижелері бойынша ең жоғары деңгейде (3 балл) АҚШ, Жапония, Қытай және Оңтүстік Корея көрсетеді, мұнда деректер стратегиялары жан-жақты және мемлекеттік пен жеке секторларды қамтиды, инновациялық саясатпен байланысты және ішінара ресу</w:t>
      </w:r>
      <w:r>
        <w:rPr>
          <w:rFonts w:ascii="Times New Roman" w:eastAsia="DengXian" w:hAnsi="Times New Roman" w:cs="Times New Roman"/>
          <w:sz w:val="28"/>
          <w:szCs w:val="28"/>
          <w:lang w:val="kk-KZ" w:eastAsia="zh-CN"/>
        </w:rPr>
        <w:t xml:space="preserve">рстармен қамтамасыз етілген. Орташа деңгей (2 балл) Канада, Австралия, Германия және Нидерландыға тән: бұл елдерде стратегиялар бар, олар қолжетімді және қолданыста, алайда негізінен тек мемлекеттік секторды қамтиды. Италия мен Қазақстан орташадан төменгі </w:t>
      </w:r>
      <w:r>
        <w:rPr>
          <w:rFonts w:ascii="Times New Roman" w:eastAsia="DengXian" w:hAnsi="Times New Roman" w:cs="Times New Roman"/>
          <w:sz w:val="28"/>
          <w:szCs w:val="28"/>
          <w:lang w:val="kk-KZ" w:eastAsia="zh-CN"/>
        </w:rPr>
        <w:t xml:space="preserve">деңгеймен бағаланды (1 балл), онда стратегиялар көбінесе жариялылық сипатта және негізінен мемлекеттік секторда қолданылады және пысықталған қадамдар мен бюджеттік тетіктерді қамтымайды.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4.2.3. Деректердің құпиялылығы және шектеулері. Құпиялылық және дер</w:t>
      </w:r>
      <w:r>
        <w:rPr>
          <w:rFonts w:ascii="Times New Roman" w:eastAsia="DengXian" w:hAnsi="Times New Roman" w:cs="Times New Roman"/>
          <w:sz w:val="28"/>
          <w:szCs w:val="28"/>
          <w:lang w:val="kk-KZ" w:eastAsia="zh-CN"/>
        </w:rPr>
        <w:t>ектерді пайдалану туралы заңдарды талдау осы жүйені іске асыратын, қадағалауға жауапты мемлекеттік басқару деңгейін, қолданылу аясын және құқық бұзушылықтар үшін айып шаралары ескере отырып жүргізілді. Көптеген елдерде мемлекеттік органдардың қызметін ретт</w:t>
      </w:r>
      <w:r>
        <w:rPr>
          <w:rFonts w:ascii="Times New Roman" w:eastAsia="DengXian" w:hAnsi="Times New Roman" w:cs="Times New Roman"/>
          <w:sz w:val="28"/>
          <w:szCs w:val="28"/>
          <w:lang w:val="kk-KZ" w:eastAsia="zh-CN"/>
        </w:rPr>
        <w:t xml:space="preserve">ейтін, мемлекеттік және жеке секторла да қолданылатын және айыппұлдарды қарастыратын нормативтік-құқықтық актілер бар.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DLA Piper-дің 2025 жылғы «Әлемдегі Деректерді Қорғау Заңдары» атты жыл сайынғы халықаралық шолуына сүйенсек, дамыған елдердің басым бөлі</w:t>
      </w:r>
      <w:r>
        <w:rPr>
          <w:rFonts w:ascii="Times New Roman" w:eastAsia="DengXian" w:hAnsi="Times New Roman" w:cs="Times New Roman"/>
          <w:sz w:val="28"/>
          <w:szCs w:val="28"/>
          <w:lang w:val="kk-KZ" w:eastAsia="zh-CN"/>
        </w:rPr>
        <w:t>гінде мемлекеттік және жеке секторларды қамтитын дербес деректерді реттейтін кешенді жүйелер қалыптасқан. Аталған есеп ұлттық деректерді қорғау жүйелерінің маңызды құрамдас бөліктеріне баға береді. Оларға: базалық заңнама, тәуелсіз қадағалаушы органдар, за</w:t>
      </w:r>
      <w:r>
        <w:rPr>
          <w:rFonts w:ascii="Times New Roman" w:eastAsia="DengXian" w:hAnsi="Times New Roman" w:cs="Times New Roman"/>
          <w:sz w:val="28"/>
          <w:szCs w:val="28"/>
          <w:lang w:val="kk-KZ" w:eastAsia="zh-CN"/>
        </w:rPr>
        <w:t>ңбұзушылықтар</w:t>
      </w:r>
      <w:r>
        <w:rPr>
          <w:rFonts w:ascii="Times New Roman" w:eastAsia="DengXian" w:hAnsi="Times New Roman" w:cs="Times New Roman"/>
          <w:sz w:val="28"/>
          <w:szCs w:val="28"/>
          <w:lang w:val="kk-KZ" w:eastAsia="zh-CN"/>
        </w:rPr>
        <w:t xml:space="preserve"> үшін айыппұлдар және шекарааралық деректерді тасымалдау тетіктері жатады.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Деректерді қорғау және құпиялылық салалсында Канада, Австралия, Германия, Италия, Жапония, Нидерланды, Қытай және Оңтүстік Корея жоғары деңгейде (3 балл) бағаланды. Бұл</w:t>
      </w:r>
      <w:r>
        <w:rPr>
          <w:rFonts w:ascii="Times New Roman" w:eastAsia="DengXian" w:hAnsi="Times New Roman" w:cs="Times New Roman"/>
          <w:sz w:val="28"/>
          <w:szCs w:val="28"/>
          <w:lang w:val="kk-KZ" w:eastAsia="zh-CN"/>
        </w:rPr>
        <w:t xml:space="preserve"> елдерде екі секторлы да реттейтін заңдар, тәуелсіз қадағалау органдары және құқық бұзушылыққа қатысты санкциялар қарастырылған (әсіресе Еуропалық одақта - Еуропалық Одақ қабылдаған Деректерді қорғаудың жалпы ережесі). АҚШ-та орташа деңгей (2 балл), онда р</w:t>
      </w:r>
      <w:r>
        <w:rPr>
          <w:rFonts w:ascii="Times New Roman" w:eastAsia="DengXian" w:hAnsi="Times New Roman" w:cs="Times New Roman"/>
          <w:sz w:val="28"/>
          <w:szCs w:val="28"/>
          <w:lang w:val="kk-KZ" w:eastAsia="zh-CN"/>
        </w:rPr>
        <w:t>еттеу бөлшектелген және штаттар мен салаларға  тәуелді: аймақтық деңгейде күшті заңдар бар, бірақ бірыңғай федералды жүйе қалыптаспаған. Қазақстанды орташа деңгейден төмен деп бағалауға болады (1 балл), себебі деректерді қорғау саласындағы негізгі заңы бол</w:t>
      </w:r>
      <w:r>
        <w:rPr>
          <w:rFonts w:ascii="Times New Roman" w:eastAsia="DengXian" w:hAnsi="Times New Roman" w:cs="Times New Roman"/>
          <w:sz w:val="28"/>
          <w:szCs w:val="28"/>
          <w:lang w:val="kk-KZ" w:eastAsia="zh-CN"/>
        </w:rPr>
        <w:t>ғанына</w:t>
      </w:r>
      <w:r>
        <w:rPr>
          <w:rFonts w:ascii="Times New Roman" w:eastAsia="DengXian" w:hAnsi="Times New Roman" w:cs="Times New Roman"/>
          <w:sz w:val="28"/>
          <w:szCs w:val="28"/>
          <w:lang w:val="kk-KZ" w:eastAsia="zh-CN"/>
        </w:rPr>
        <w:t xml:space="preserve"> қарамасатан, реттеу шектеулі, жеке секторды қамту әлсіз, қадағалау тетіктері жеткілікті тиімді емес [278]. </w:t>
      </w:r>
    </w:p>
    <w:p w:rsidR="005118AF" w:rsidRDefault="00EF60C3">
      <w:pPr>
        <w:spacing w:after="0" w:line="240" w:lineRule="auto"/>
        <w:ind w:firstLineChars="253" w:firstLine="708"/>
        <w:jc w:val="both"/>
        <w:rPr>
          <w:rFonts w:ascii="Times New Roman" w:eastAsia="DengXian" w:hAnsi="Times New Roman" w:cs="Times New Roman"/>
          <w:i/>
          <w:sz w:val="28"/>
          <w:szCs w:val="28"/>
          <w:lang w:val="kk-KZ" w:eastAsia="zh-CN"/>
        </w:rPr>
      </w:pPr>
      <w:r>
        <w:rPr>
          <w:rFonts w:ascii="Times New Roman" w:eastAsia="DengXian" w:hAnsi="Times New Roman" w:cs="Times New Roman"/>
          <w:i/>
          <w:sz w:val="28"/>
          <w:szCs w:val="28"/>
          <w:lang w:val="kk-KZ" w:eastAsia="zh-CN"/>
        </w:rPr>
        <w:t>Қорытынды</w:t>
      </w:r>
      <w:r>
        <w:rPr>
          <w:rFonts w:ascii="Times New Roman" w:eastAsia="DengXian" w:hAnsi="Times New Roman" w:cs="Times New Roman"/>
          <w:i/>
          <w:sz w:val="28"/>
          <w:szCs w:val="28"/>
          <w:lang w:val="kk-KZ" w:eastAsia="zh-CN"/>
        </w:rPr>
        <w:t xml:space="preserve"> рейтингтерді анықтау</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Азық-түлік инновацияларының жаһандық индексі негізінде таңдалған он елдің инновациялық қызметін кешенді бағала</w:t>
      </w:r>
      <w:r>
        <w:rPr>
          <w:rFonts w:ascii="Times New Roman" w:eastAsia="DengXian" w:hAnsi="Times New Roman" w:cs="Times New Roman"/>
          <w:sz w:val="28"/>
          <w:szCs w:val="28"/>
          <w:lang w:val="kk-KZ" w:eastAsia="zh-CN"/>
        </w:rPr>
        <w:t>у мақсатында 4 негізгі санатқа  топтастырылған 21 көрсеткіштен тұратын терең талдау жүргізілді. Бұл әдістемелік құрылым инновациялық дамуға ықпал ететін төрт маңызды факторды – Нормативтік-құқықтық база ортасы, Бизнестің бәсекеге қабілеттілігі, Нарықтың да</w:t>
      </w:r>
      <w:r>
        <w:rPr>
          <w:rFonts w:ascii="Times New Roman" w:eastAsia="DengXian" w:hAnsi="Times New Roman" w:cs="Times New Roman"/>
          <w:sz w:val="28"/>
          <w:szCs w:val="28"/>
          <w:lang w:val="kk-KZ" w:eastAsia="zh-CN"/>
        </w:rPr>
        <w:t>йындығы және Зияткерлік меншік пен зерттеулер мен әзірлемелерді – талдауға мүмкіндік берді. Әрбір көрсеткіш бойынша жинақталған баллдар негізінде елдердің жеке санаттар бойынша және жалпы инновациялық индекстегі орындары  анықталды.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Талдаудың қорытынды нәт</w:t>
      </w:r>
      <w:r>
        <w:rPr>
          <w:rFonts w:ascii="Times New Roman" w:eastAsia="DengXian" w:hAnsi="Times New Roman" w:cs="Times New Roman"/>
          <w:sz w:val="28"/>
          <w:szCs w:val="28"/>
          <w:lang w:val="kk-KZ" w:eastAsia="zh-CN"/>
        </w:rPr>
        <w:t xml:space="preserve">ижелері "Зерттеулер және әзірлемелерді талдау нәтижелері" атты төмендегі 28-кестеде көрсетілді. Бұл кестеде әрбір төрт санат бойынша алынған баллдарды және әр Санат бойынша елдің алған орындары анықталды. Бұл жоғарыда аталған бағыттардың қайсысы ең күшті, </w:t>
      </w:r>
      <w:r>
        <w:rPr>
          <w:rFonts w:ascii="Times New Roman" w:eastAsia="DengXian" w:hAnsi="Times New Roman" w:cs="Times New Roman"/>
          <w:sz w:val="28"/>
          <w:szCs w:val="28"/>
          <w:lang w:val="kk-KZ" w:eastAsia="zh-CN"/>
        </w:rPr>
        <w:t>қайсысы</w:t>
      </w:r>
      <w:r>
        <w:rPr>
          <w:rFonts w:ascii="Times New Roman" w:eastAsia="DengXian" w:hAnsi="Times New Roman" w:cs="Times New Roman"/>
          <w:sz w:val="28"/>
          <w:szCs w:val="28"/>
          <w:lang w:val="kk-KZ" w:eastAsia="zh-CN"/>
        </w:rPr>
        <w:t xml:space="preserve"> әлсіз екенін көрсетеді. Сонымен қатар, төрт Санат бойынша алынған барлық балдар біріктірілген жиынтық баллдар есептелді. Бұл көрсеткіш қарастырылып отырған елдердің жалпы инновациялық қызметінің даму деңгейін сипаттайды.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 жиынтық ұпайлардың негі</w:t>
      </w:r>
      <w:r>
        <w:rPr>
          <w:rFonts w:ascii="Times New Roman" w:eastAsia="DengXian" w:hAnsi="Times New Roman" w:cs="Times New Roman"/>
          <w:sz w:val="28"/>
          <w:szCs w:val="28"/>
          <w:lang w:val="kk-KZ" w:eastAsia="zh-CN"/>
        </w:rPr>
        <w:t xml:space="preserve">зінде соңғы орындар белгіленді. Бұл көрсеткіш тамақ өнеркәсібіндегі инновациялық көшбасшылар мен артта қалушыларды анықтайтын негізгі көрсеткіш болып табылады.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Осылайша, сараланған орындарды пайдалана отырып, Нидерланды бірінші, АҚШ екінші, Австралия, Кан</w:t>
      </w:r>
      <w:r>
        <w:rPr>
          <w:rFonts w:ascii="Times New Roman" w:eastAsia="DengXian" w:hAnsi="Times New Roman" w:cs="Times New Roman"/>
          <w:sz w:val="28"/>
          <w:szCs w:val="28"/>
          <w:lang w:val="kk-KZ" w:eastAsia="zh-CN"/>
        </w:rPr>
        <w:t>ада, Нидерланды және Қазақстан - үшінші, Италия жетінші, Жапония мен Қытай сегізінші, ал Оңтүстік Корея оныншы болды деген қорытындыға келді (27-кесте).</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sz w:val="28"/>
          <w:szCs w:val="28"/>
          <w:lang w:val="kk-KZ" w:eastAsia="zh-CN"/>
        </w:rPr>
      </w:pPr>
      <w:r>
        <w:rPr>
          <w:rFonts w:ascii="Times New Roman" w:eastAsia="DengXian" w:hAnsi="Times New Roman" w:cs="Times New Roman"/>
          <w:sz w:val="28"/>
          <w:szCs w:val="28"/>
          <w:lang w:val="kk-KZ" w:eastAsia="zh-CN"/>
        </w:rPr>
        <w:t xml:space="preserve">Кесте 27 ‒ </w:t>
      </w:r>
      <w:r>
        <w:rPr>
          <w:rFonts w:ascii="Times New Roman" w:eastAsia="DengXian" w:hAnsi="Times New Roman"/>
          <w:sz w:val="28"/>
          <w:szCs w:val="28"/>
          <w:lang w:val="kk-KZ" w:eastAsia="zh-CN"/>
        </w:rPr>
        <w:t>Азық-түлік инновацияларының жаһандық индексі бойынша жиынтық ұпайлар</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4"/>
        <w:gridCol w:w="812"/>
        <w:gridCol w:w="826"/>
        <w:gridCol w:w="910"/>
        <w:gridCol w:w="700"/>
        <w:gridCol w:w="769"/>
        <w:gridCol w:w="686"/>
        <w:gridCol w:w="775"/>
        <w:gridCol w:w="631"/>
        <w:gridCol w:w="631"/>
        <w:gridCol w:w="729"/>
      </w:tblGrid>
      <w:tr w:rsidR="005118AF">
        <w:trPr>
          <w:jc w:val="center"/>
        </w:trPr>
        <w:tc>
          <w:tcPr>
            <w:tcW w:w="2074" w:type="dxa"/>
            <w:shd w:val="clear" w:color="auto" w:fill="auto"/>
            <w:vAlign w:val="center"/>
          </w:tcPr>
          <w:p w:rsidR="005118AF" w:rsidRDefault="00EF60C3">
            <w:pPr>
              <w:spacing w:after="0" w:line="240" w:lineRule="auto"/>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Мемлекет</w:t>
            </w:r>
          </w:p>
        </w:tc>
        <w:tc>
          <w:tcPr>
            <w:tcW w:w="812"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eastAsia="zh-CN"/>
              </w:rPr>
              <w:t xml:space="preserve">1 секция, </w:t>
            </w:r>
            <w:r>
              <w:rPr>
                <w:rFonts w:ascii="Times New Roman" w:eastAsia="DengXian" w:hAnsi="Times New Roman" w:cs="Times New Roman"/>
                <w:bCs/>
                <w:sz w:val="24"/>
                <w:szCs w:val="24"/>
                <w:lang w:val="kk-KZ" w:eastAsia="zh-CN"/>
              </w:rPr>
              <w:t>барлы ғы</w:t>
            </w:r>
          </w:p>
        </w:tc>
        <w:tc>
          <w:tcPr>
            <w:tcW w:w="826"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Ранг</w:t>
            </w:r>
          </w:p>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eastAsia="zh-CN"/>
              </w:rPr>
              <w:t>1</w:t>
            </w:r>
            <w:r>
              <w:rPr>
                <w:rFonts w:ascii="Times New Roman" w:eastAsia="DengXian" w:hAnsi="Times New Roman" w:cs="Times New Roman"/>
                <w:bCs/>
                <w:sz w:val="24"/>
                <w:szCs w:val="24"/>
                <w:lang w:val="en-US" w:eastAsia="zh-CN"/>
              </w:rPr>
              <w:t>-</w:t>
            </w:r>
            <w:r>
              <w:rPr>
                <w:rFonts w:ascii="Times New Roman" w:eastAsia="DengXian" w:hAnsi="Times New Roman" w:cs="Times New Roman"/>
                <w:bCs/>
                <w:sz w:val="24"/>
                <w:szCs w:val="24"/>
                <w:lang w:val="kk-KZ" w:eastAsia="zh-CN"/>
              </w:rPr>
              <w:t>ші санат</w:t>
            </w:r>
          </w:p>
        </w:tc>
        <w:tc>
          <w:tcPr>
            <w:tcW w:w="910"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 xml:space="preserve">2 секция, </w:t>
            </w:r>
            <w:r>
              <w:rPr>
                <w:rFonts w:ascii="Times New Roman" w:eastAsia="DengXian" w:hAnsi="Times New Roman" w:cs="Times New Roman"/>
                <w:bCs/>
                <w:sz w:val="24"/>
                <w:szCs w:val="24"/>
                <w:lang w:val="kk-KZ" w:eastAsia="zh-CN"/>
              </w:rPr>
              <w:t>барлығы</w:t>
            </w:r>
          </w:p>
        </w:tc>
        <w:tc>
          <w:tcPr>
            <w:tcW w:w="700"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Ранг</w:t>
            </w:r>
          </w:p>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2</w:t>
            </w:r>
            <w:r>
              <w:rPr>
                <w:rFonts w:ascii="Times New Roman" w:eastAsia="DengXian" w:hAnsi="Times New Roman" w:cs="Times New Roman"/>
                <w:bCs/>
                <w:sz w:val="24"/>
                <w:szCs w:val="24"/>
                <w:lang w:val="en-US" w:eastAsia="zh-CN"/>
              </w:rPr>
              <w:t>-</w:t>
            </w:r>
            <w:r>
              <w:rPr>
                <w:rFonts w:ascii="Times New Roman" w:eastAsia="DengXian" w:hAnsi="Times New Roman" w:cs="Times New Roman"/>
                <w:bCs/>
                <w:sz w:val="24"/>
                <w:szCs w:val="24"/>
                <w:lang w:val="kk-KZ" w:eastAsia="zh-CN"/>
              </w:rPr>
              <w:t>ші санат</w:t>
            </w:r>
          </w:p>
        </w:tc>
        <w:tc>
          <w:tcPr>
            <w:tcW w:w="769"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 xml:space="preserve">3 секция, </w:t>
            </w:r>
            <w:r>
              <w:rPr>
                <w:rFonts w:ascii="Times New Roman" w:eastAsia="DengXian" w:hAnsi="Times New Roman" w:cs="Times New Roman"/>
                <w:bCs/>
                <w:sz w:val="24"/>
                <w:szCs w:val="24"/>
                <w:lang w:val="kk-KZ" w:eastAsia="zh-CN"/>
              </w:rPr>
              <w:t>барлы ғы</w:t>
            </w:r>
          </w:p>
        </w:tc>
        <w:tc>
          <w:tcPr>
            <w:tcW w:w="686"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Ранг</w:t>
            </w:r>
          </w:p>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3</w:t>
            </w:r>
            <w:r>
              <w:rPr>
                <w:rFonts w:ascii="Times New Roman" w:eastAsia="DengXian" w:hAnsi="Times New Roman" w:cs="Times New Roman"/>
                <w:bCs/>
                <w:sz w:val="24"/>
                <w:szCs w:val="24"/>
                <w:lang w:val="en-US" w:eastAsia="zh-CN"/>
              </w:rPr>
              <w:t>-</w:t>
            </w:r>
            <w:r>
              <w:rPr>
                <w:rFonts w:ascii="Times New Roman" w:eastAsia="DengXian" w:hAnsi="Times New Roman" w:cs="Times New Roman"/>
                <w:bCs/>
                <w:sz w:val="24"/>
                <w:szCs w:val="24"/>
                <w:lang w:val="kk-KZ" w:eastAsia="zh-CN"/>
              </w:rPr>
              <w:t>ші санат</w:t>
            </w:r>
          </w:p>
        </w:tc>
        <w:tc>
          <w:tcPr>
            <w:tcW w:w="775"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 xml:space="preserve">4 секция, </w:t>
            </w:r>
            <w:r>
              <w:rPr>
                <w:rFonts w:ascii="Times New Roman" w:eastAsia="DengXian" w:hAnsi="Times New Roman" w:cs="Times New Roman"/>
                <w:bCs/>
                <w:sz w:val="24"/>
                <w:szCs w:val="24"/>
                <w:lang w:val="kk-KZ" w:eastAsia="zh-CN"/>
              </w:rPr>
              <w:t>барлы ғы</w:t>
            </w:r>
          </w:p>
        </w:tc>
        <w:tc>
          <w:tcPr>
            <w:tcW w:w="631"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Ранг</w:t>
            </w:r>
          </w:p>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eastAsia="zh-CN"/>
              </w:rPr>
              <w:t>4</w:t>
            </w:r>
            <w:r>
              <w:rPr>
                <w:rFonts w:ascii="Times New Roman" w:eastAsia="DengXian" w:hAnsi="Times New Roman" w:cs="Times New Roman"/>
                <w:bCs/>
                <w:sz w:val="24"/>
                <w:szCs w:val="24"/>
                <w:lang w:val="en-US" w:eastAsia="zh-CN"/>
              </w:rPr>
              <w:t>-</w:t>
            </w:r>
            <w:r>
              <w:rPr>
                <w:rFonts w:ascii="Times New Roman" w:eastAsia="DengXian" w:hAnsi="Times New Roman" w:cs="Times New Roman"/>
                <w:bCs/>
                <w:sz w:val="24"/>
                <w:szCs w:val="24"/>
                <w:lang w:val="kk-KZ" w:eastAsia="zh-CN"/>
              </w:rPr>
              <w:t>ші санат</w:t>
            </w:r>
          </w:p>
        </w:tc>
        <w:tc>
          <w:tcPr>
            <w:tcW w:w="631"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eastAsia="zh-CN"/>
              </w:rPr>
              <w:t>Бар</w:t>
            </w:r>
            <w:r>
              <w:rPr>
                <w:rFonts w:ascii="Times New Roman" w:eastAsia="DengXian" w:hAnsi="Times New Roman" w:cs="Times New Roman"/>
                <w:bCs/>
                <w:sz w:val="24"/>
                <w:szCs w:val="24"/>
                <w:lang w:val="kk-KZ" w:eastAsia="zh-CN"/>
              </w:rPr>
              <w:t xml:space="preserve"> </w:t>
            </w:r>
            <w:r>
              <w:rPr>
                <w:rFonts w:ascii="Times New Roman" w:eastAsia="DengXian" w:hAnsi="Times New Roman" w:cs="Times New Roman"/>
                <w:bCs/>
                <w:sz w:val="24"/>
                <w:szCs w:val="24"/>
                <w:lang w:eastAsia="zh-CN"/>
              </w:rPr>
              <w:t>лы</w:t>
            </w:r>
            <w:r>
              <w:rPr>
                <w:rFonts w:ascii="Times New Roman" w:eastAsia="DengXian" w:hAnsi="Times New Roman" w:cs="Times New Roman"/>
                <w:bCs/>
                <w:sz w:val="24"/>
                <w:szCs w:val="24"/>
                <w:lang w:val="kk-KZ" w:eastAsia="zh-CN"/>
              </w:rPr>
              <w:t>ғы</w:t>
            </w:r>
          </w:p>
          <w:p w:rsidR="005118AF" w:rsidRDefault="00EF60C3">
            <w:pPr>
              <w:spacing w:after="0" w:line="240" w:lineRule="auto"/>
              <w:ind w:left="-94" w:right="-122"/>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val="kk-KZ" w:eastAsia="zh-CN"/>
              </w:rPr>
              <w:t>/</w:t>
            </w:r>
            <w:r>
              <w:rPr>
                <w:rFonts w:ascii="Times New Roman" w:eastAsia="DengXian" w:hAnsi="Times New Roman" w:cs="Times New Roman"/>
                <w:bCs/>
                <w:sz w:val="24"/>
                <w:szCs w:val="24"/>
                <w:lang w:eastAsia="zh-CN"/>
              </w:rPr>
              <w:t>(63)</w:t>
            </w:r>
          </w:p>
        </w:tc>
        <w:tc>
          <w:tcPr>
            <w:tcW w:w="729" w:type="dxa"/>
            <w:shd w:val="clear" w:color="auto" w:fill="auto"/>
            <w:vAlign w:val="center"/>
          </w:tcPr>
          <w:p w:rsidR="005118AF" w:rsidRDefault="00EF60C3">
            <w:pPr>
              <w:spacing w:after="0" w:line="240" w:lineRule="auto"/>
              <w:ind w:left="-94" w:right="-122"/>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Ранг</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Канада</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45</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Австралия</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13</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13</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8</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45</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АҚШ</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10</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14</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48</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Италия</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val="en-US" w:eastAsia="zh-CN"/>
              </w:rPr>
            </w:pPr>
            <w:r>
              <w:rPr>
                <w:rFonts w:ascii="Times New Roman" w:eastAsia="SimSun" w:hAnsi="Times New Roman" w:cs="Times New Roman"/>
                <w:color w:val="000000"/>
                <w:sz w:val="24"/>
                <w:szCs w:val="24"/>
                <w:lang w:val="en-US" w:eastAsia="zh-CN" w:bidi="ar"/>
              </w:rPr>
              <w:t>11</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9</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44</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Германия</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14</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7</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45</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Нидерланды</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16</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8</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14</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49</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r>
      <w:tr w:rsidR="005118AF">
        <w:trPr>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Жапония</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10</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9</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8</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13</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43</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r>
      <w:tr w:rsidR="005118AF">
        <w:trPr>
          <w:trHeight w:val="62"/>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Қытай</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val="en-US" w:eastAsia="zh-CN"/>
              </w:rPr>
            </w:pPr>
            <w:r>
              <w:rPr>
                <w:rFonts w:ascii="Times New Roman" w:eastAsia="SimSun" w:hAnsi="Times New Roman" w:cs="Times New Roman"/>
                <w:color w:val="000000"/>
                <w:sz w:val="24"/>
                <w:szCs w:val="24"/>
                <w:lang w:val="en-US" w:eastAsia="zh-CN" w:bidi="ar"/>
              </w:rPr>
              <w:t>7</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12</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9</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15</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43</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r>
      <w:tr w:rsidR="005118AF">
        <w:trPr>
          <w:trHeight w:val="62"/>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Оңтүстік Корея</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val="en-US" w:eastAsia="zh-CN"/>
              </w:rPr>
            </w:pPr>
            <w:r>
              <w:rPr>
                <w:rFonts w:ascii="Times New Roman" w:eastAsia="SimSun" w:hAnsi="Times New Roman" w:cs="Times New Roman"/>
                <w:color w:val="000000"/>
                <w:sz w:val="24"/>
                <w:szCs w:val="24"/>
                <w:lang w:val="en-US" w:eastAsia="zh-CN" w:bidi="ar"/>
              </w:rPr>
              <w:t>9</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11</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42</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w:t>
            </w:r>
          </w:p>
        </w:tc>
      </w:tr>
      <w:tr w:rsidR="005118AF">
        <w:trPr>
          <w:trHeight w:val="62"/>
          <w:jc w:val="center"/>
        </w:trPr>
        <w:tc>
          <w:tcPr>
            <w:tcW w:w="2074" w:type="dxa"/>
            <w:shd w:val="clear" w:color="auto" w:fill="auto"/>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Қазақстан</w:t>
            </w:r>
          </w:p>
        </w:tc>
        <w:tc>
          <w:tcPr>
            <w:tcW w:w="812"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9</w:t>
            </w:r>
          </w:p>
        </w:tc>
        <w:tc>
          <w:tcPr>
            <w:tcW w:w="82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910"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c>
          <w:tcPr>
            <w:tcW w:w="700"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w:t>
            </w:r>
          </w:p>
        </w:tc>
        <w:tc>
          <w:tcPr>
            <w:tcW w:w="769"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686"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775"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w:t>
            </w:r>
          </w:p>
        </w:tc>
        <w:tc>
          <w:tcPr>
            <w:tcW w:w="631"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w:t>
            </w:r>
          </w:p>
        </w:tc>
        <w:tc>
          <w:tcPr>
            <w:tcW w:w="631" w:type="dxa"/>
            <w:shd w:val="clear" w:color="auto" w:fill="auto"/>
            <w:vAlign w:val="center"/>
          </w:tcPr>
          <w:p w:rsidR="005118AF" w:rsidRDefault="00EF60C3">
            <w:pPr>
              <w:spacing w:after="0" w:line="240" w:lineRule="auto"/>
              <w:jc w:val="center"/>
              <w:textAlignment w:val="center"/>
              <w:rPr>
                <w:rFonts w:ascii="Times New Roman" w:eastAsia="DengXian" w:hAnsi="Times New Roman" w:cs="Times New Roman"/>
                <w:sz w:val="24"/>
                <w:szCs w:val="24"/>
                <w:lang w:eastAsia="zh-CN"/>
              </w:rPr>
            </w:pPr>
            <w:r>
              <w:rPr>
                <w:rFonts w:ascii="Times New Roman" w:eastAsia="SimSun" w:hAnsi="Times New Roman" w:cs="Times New Roman"/>
                <w:color w:val="000000"/>
                <w:sz w:val="24"/>
                <w:szCs w:val="24"/>
                <w:lang w:val="en-US" w:eastAsia="zh-CN" w:bidi="ar"/>
              </w:rPr>
              <w:t>45</w:t>
            </w:r>
          </w:p>
        </w:tc>
        <w:tc>
          <w:tcPr>
            <w:tcW w:w="729" w:type="dxa"/>
            <w:shd w:val="clear" w:color="auto" w:fill="auto"/>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r>
    </w:tbl>
    <w:p w:rsidR="005118AF" w:rsidRDefault="005118AF">
      <w:pPr>
        <w:spacing w:after="0" w:line="240" w:lineRule="auto"/>
        <w:jc w:val="both"/>
        <w:rPr>
          <w:rFonts w:ascii="Times New Roman" w:eastAsia="DengXian" w:hAnsi="Times New Roman" w:cs="Times New Roman"/>
          <w:sz w:val="28"/>
          <w:szCs w:val="28"/>
          <w:lang w:eastAsia="zh-CN"/>
        </w:rPr>
      </w:pPr>
    </w:p>
    <w:p w:rsidR="005118AF" w:rsidRDefault="00EF60C3">
      <w:pPr>
        <w:spacing w:after="0" w:line="240" w:lineRule="auto"/>
        <w:ind w:firstLineChars="285" w:firstLine="79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Талдау нәтижесі </w:t>
      </w:r>
      <w:r>
        <w:rPr>
          <w:rFonts w:ascii="Times New Roman" w:eastAsia="DengXian" w:hAnsi="Times New Roman" w:cs="Times New Roman"/>
          <w:sz w:val="28"/>
          <w:szCs w:val="28"/>
          <w:lang w:val="kk-KZ" w:eastAsia="zh-CN"/>
        </w:rPr>
        <w:t>бойынша, Нидерланды ең жоғары жиынтық 49 ұпай жинап, ғаламдық инновациялық индекстің көшбасшысы атанды. Одан кейін АҚШ (48 ұпай, 2-ші ранг) екінші орынға тұрақтады. Айта кету керек, Канада, Австралия, Германия және Қазақстан елдері бірдей 45 ұпай жинап, 3-</w:t>
      </w:r>
      <w:r>
        <w:rPr>
          <w:rFonts w:ascii="Times New Roman" w:eastAsia="DengXian" w:hAnsi="Times New Roman" w:cs="Times New Roman"/>
          <w:sz w:val="28"/>
          <w:szCs w:val="28"/>
          <w:lang w:val="kk-KZ" w:eastAsia="zh-CN"/>
        </w:rPr>
        <w:t>ші орынды бөлісті. Бұл төрт елдің инновациялық әлеуетінің жалпылама тепе-теңдігін көрсетеді. Тізімнің соңында Жапония мен Қытай (43 ұпай, 8-ші ранг) және Оңтүстік Корея (42 ұпай, 10-шы ранг) орналасты.</w:t>
      </w:r>
    </w:p>
    <w:p w:rsidR="005118AF" w:rsidRDefault="00EF60C3">
      <w:pPr>
        <w:tabs>
          <w:tab w:val="left" w:pos="8140"/>
        </w:tabs>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Дегенмен, жалпы жоғары нәтижелерге қарамастан, жеке санаттар бойынша мемлекеттердің күшті және әлсіз жақтары айқын көрінеді: Нормативтік-құқықтық база ортасы (1-ші санат) бойынша Австралия (13 ұпай, 1-ші ранг) көш бастады, бұл оның инновацияларды қолдауға </w:t>
      </w:r>
      <w:r>
        <w:rPr>
          <w:rFonts w:ascii="Times New Roman" w:eastAsia="DengXian" w:hAnsi="Times New Roman" w:cs="Times New Roman"/>
          <w:sz w:val="28"/>
          <w:szCs w:val="28"/>
          <w:lang w:val="kk-KZ" w:eastAsia="zh-CN"/>
        </w:rPr>
        <w:t xml:space="preserve">бағытталған тиімді заңнамалық ортасын көрсетеді. </w:t>
      </w:r>
      <w:r>
        <w:rPr>
          <w:rFonts w:ascii="Times New Roman" w:eastAsia="DengXian" w:hAnsi="Times New Roman" w:cs="Times New Roman"/>
          <w:sz w:val="28"/>
          <w:szCs w:val="28"/>
          <w:lang w:eastAsia="zh-CN"/>
        </w:rPr>
        <w:t xml:space="preserve">Ал, Бизнестің бәсекеге қабілеттілігі (2-ші </w:t>
      </w:r>
      <w:r>
        <w:rPr>
          <w:rFonts w:ascii="Times New Roman" w:eastAsia="DengXian" w:hAnsi="Times New Roman" w:cs="Times New Roman"/>
          <w:sz w:val="28"/>
          <w:szCs w:val="28"/>
          <w:lang w:val="kk-KZ" w:eastAsia="zh-CN"/>
        </w:rPr>
        <w:t>санат</w:t>
      </w:r>
      <w:r>
        <w:rPr>
          <w:rFonts w:ascii="Times New Roman" w:eastAsia="DengXian" w:hAnsi="Times New Roman" w:cs="Times New Roman"/>
          <w:sz w:val="28"/>
          <w:szCs w:val="28"/>
          <w:lang w:eastAsia="zh-CN"/>
        </w:rPr>
        <w:t xml:space="preserve">) бойынша Нидерланды 16 ұпаймен үздік нәтиже көрсетіп, бизнестің инновацияларды енгізуге ең қабілетті екенін дәлелдеді. Нарықтың дайындығы (3-ші </w:t>
      </w:r>
      <w:r>
        <w:rPr>
          <w:rFonts w:ascii="Times New Roman" w:eastAsia="DengXian" w:hAnsi="Times New Roman" w:cs="Times New Roman"/>
          <w:sz w:val="28"/>
          <w:szCs w:val="28"/>
          <w:lang w:val="kk-KZ" w:eastAsia="zh-CN"/>
        </w:rPr>
        <w:t>санат</w:t>
      </w:r>
      <w:r>
        <w:rPr>
          <w:rFonts w:ascii="Times New Roman" w:eastAsia="DengXian" w:hAnsi="Times New Roman" w:cs="Times New Roman"/>
          <w:sz w:val="28"/>
          <w:szCs w:val="28"/>
          <w:lang w:eastAsia="zh-CN"/>
        </w:rPr>
        <w:t>) бойынша</w:t>
      </w:r>
      <w:r>
        <w:rPr>
          <w:rFonts w:ascii="Times New Roman" w:eastAsia="DengXian" w:hAnsi="Times New Roman" w:cs="Times New Roman"/>
          <w:sz w:val="28"/>
          <w:szCs w:val="28"/>
          <w:lang w:eastAsia="zh-CN"/>
        </w:rPr>
        <w:t xml:space="preserve"> Канада мен АҚШ екеуі де 12 ұпаймен 1-ші орынды бөлісіп, инновациялық өнімдерді коммерцияландыруға қолайлы нарық жағдайын қалыптастырғанын көрсетті. Зияткерлік меншік және зерттеулер мен </w:t>
      </w:r>
      <w:r>
        <w:rPr>
          <w:rFonts w:ascii="Times New Roman" w:eastAsia="DengXian" w:hAnsi="Times New Roman" w:cs="Times New Roman"/>
          <w:sz w:val="28"/>
          <w:szCs w:val="28"/>
          <w:lang w:val="kk-KZ" w:eastAsia="zh-CN"/>
        </w:rPr>
        <w:t>әзірлемелер</w:t>
      </w:r>
      <w:r>
        <w:rPr>
          <w:rFonts w:ascii="Times New Roman" w:eastAsia="DengXian" w:hAnsi="Times New Roman" w:cs="Times New Roman"/>
          <w:sz w:val="28"/>
          <w:szCs w:val="28"/>
          <w:lang w:eastAsia="zh-CN"/>
        </w:rPr>
        <w:t xml:space="preserve"> (4-ші </w:t>
      </w:r>
      <w:r>
        <w:rPr>
          <w:rFonts w:ascii="Times New Roman" w:eastAsia="DengXian" w:hAnsi="Times New Roman" w:cs="Times New Roman"/>
          <w:sz w:val="28"/>
          <w:szCs w:val="28"/>
          <w:lang w:val="kk-KZ" w:eastAsia="zh-CN"/>
        </w:rPr>
        <w:t>санат</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kk-KZ" w:eastAsia="zh-CN"/>
        </w:rPr>
        <w:t xml:space="preserve"> бойынша</w:t>
      </w:r>
      <w:r>
        <w:rPr>
          <w:rFonts w:ascii="Times New Roman" w:eastAsia="DengXian" w:hAnsi="Times New Roman" w:cs="Times New Roman"/>
          <w:sz w:val="28"/>
          <w:szCs w:val="28"/>
          <w:lang w:eastAsia="zh-CN"/>
        </w:rPr>
        <w:t xml:space="preserve"> 15 ұпаймен</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Қытай</w:t>
      </w:r>
      <w:r>
        <w:rPr>
          <w:rFonts w:ascii="Times New Roman" w:eastAsia="DengXian" w:hAnsi="Times New Roman" w:cs="Times New Roman"/>
          <w:sz w:val="28"/>
          <w:szCs w:val="28"/>
          <w:lang w:eastAsia="zh-CN"/>
        </w:rPr>
        <w:t xml:space="preserve"> көшбасшылық</w:t>
      </w:r>
      <w:r>
        <w:rPr>
          <w:rFonts w:ascii="Times New Roman" w:eastAsia="DengXian" w:hAnsi="Times New Roman" w:cs="Times New Roman"/>
          <w:sz w:val="28"/>
          <w:szCs w:val="28"/>
          <w:lang w:val="kk-KZ" w:eastAsia="zh-CN"/>
        </w:rPr>
        <w:t>қа</w:t>
      </w:r>
      <w:r>
        <w:rPr>
          <w:rFonts w:ascii="Times New Roman" w:eastAsia="DengXian" w:hAnsi="Times New Roman" w:cs="Times New Roman"/>
          <w:sz w:val="28"/>
          <w:szCs w:val="28"/>
          <w:lang w:val="kk-KZ" w:eastAsia="zh-CN"/>
        </w:rPr>
        <w:t xml:space="preserve"> ие бо</w:t>
      </w:r>
      <w:r>
        <w:rPr>
          <w:rFonts w:ascii="Times New Roman" w:eastAsia="DengXian" w:hAnsi="Times New Roman" w:cs="Times New Roman"/>
          <w:sz w:val="28"/>
          <w:szCs w:val="28"/>
          <w:lang w:val="kk-KZ" w:eastAsia="zh-CN"/>
        </w:rPr>
        <w:t>лды</w:t>
      </w:r>
      <w:r>
        <w:rPr>
          <w:rFonts w:ascii="Times New Roman" w:eastAsia="DengXian" w:hAnsi="Times New Roman" w:cs="Times New Roman"/>
          <w:sz w:val="28"/>
          <w:szCs w:val="28"/>
          <w:lang w:eastAsia="zh-CN"/>
        </w:rPr>
        <w:t>, бұл оның ғылыми зерттеулерге және жаңа технологияларды жасауға баса назар аударып жатқанын білдіреді.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eastAsia="zh-CN"/>
        </w:rPr>
        <w:t>Қазақстан</w:t>
      </w:r>
      <w:r>
        <w:rPr>
          <w:rFonts w:ascii="Times New Roman" w:eastAsia="DengXian" w:hAnsi="Times New Roman" w:cs="Times New Roman"/>
          <w:sz w:val="28"/>
          <w:szCs w:val="28"/>
          <w:lang w:eastAsia="zh-CN"/>
        </w:rPr>
        <w:t xml:space="preserve"> жалпы рейтингте 45 ұпаймен (3-ші ранг) жоғары позицияға ие болғанымен, бұл жетістік 2-ші </w:t>
      </w:r>
      <w:r>
        <w:rPr>
          <w:rFonts w:ascii="Times New Roman" w:eastAsia="DengXian" w:hAnsi="Times New Roman" w:cs="Times New Roman"/>
          <w:sz w:val="28"/>
          <w:szCs w:val="28"/>
          <w:lang w:val="kk-KZ" w:eastAsia="zh-CN"/>
        </w:rPr>
        <w:t>санат</w:t>
      </w:r>
      <w:r>
        <w:rPr>
          <w:rFonts w:ascii="Times New Roman" w:eastAsia="DengXian" w:hAnsi="Times New Roman" w:cs="Times New Roman"/>
          <w:sz w:val="28"/>
          <w:szCs w:val="28"/>
          <w:lang w:eastAsia="zh-CN"/>
        </w:rPr>
        <w:t xml:space="preserve"> (Бизнестің бәсекеге қабілеттілігі) және 4-ші</w:t>
      </w:r>
      <w:r>
        <w:rPr>
          <w:rFonts w:ascii="Times New Roman" w:eastAsia="DengXian" w:hAnsi="Times New Roman" w:cs="Times New Roman"/>
          <w:sz w:val="28"/>
          <w:szCs w:val="28"/>
          <w:lang w:eastAsia="zh-CN"/>
        </w:rPr>
        <w:t xml:space="preserve"> с</w:t>
      </w:r>
      <w:r>
        <w:rPr>
          <w:rFonts w:ascii="Times New Roman" w:eastAsia="DengXian" w:hAnsi="Times New Roman" w:cs="Times New Roman"/>
          <w:sz w:val="28"/>
          <w:szCs w:val="28"/>
          <w:lang w:val="kk-KZ" w:eastAsia="zh-CN"/>
        </w:rPr>
        <w:t>анат</w:t>
      </w:r>
      <w:r>
        <w:rPr>
          <w:rFonts w:ascii="Times New Roman" w:eastAsia="DengXian" w:hAnsi="Times New Roman" w:cs="Times New Roman"/>
          <w:sz w:val="28"/>
          <w:szCs w:val="28"/>
          <w:lang w:eastAsia="zh-CN"/>
        </w:rPr>
        <w:t xml:space="preserve"> (Зияткерлік меншік және </w:t>
      </w:r>
      <w:r>
        <w:rPr>
          <w:rFonts w:ascii="Times New Roman" w:eastAsia="DengXian" w:hAnsi="Times New Roman" w:cs="Times New Roman"/>
          <w:sz w:val="28"/>
          <w:szCs w:val="28"/>
          <w:lang w:val="kk-KZ" w:eastAsia="zh-CN"/>
        </w:rPr>
        <w:t>зерттеулер мен әзірлемелер</w:t>
      </w:r>
      <w:r>
        <w:rPr>
          <w:rFonts w:ascii="Times New Roman" w:eastAsia="DengXian" w:hAnsi="Times New Roman" w:cs="Times New Roman"/>
          <w:sz w:val="28"/>
          <w:szCs w:val="28"/>
          <w:lang w:eastAsia="zh-CN"/>
        </w:rPr>
        <w:t>) бағыттарындағы ең төменгі 10-шы рангтағы көрсеткіштердің фонында алынған.</w:t>
      </w:r>
      <w:r>
        <w:rPr>
          <w:rFonts w:ascii="Times New Roman" w:eastAsia="DengXian" w:hAnsi="Times New Roman" w:cs="Times New Roman"/>
          <w:sz w:val="28"/>
          <w:szCs w:val="28"/>
          <w:lang w:val="kk-KZ" w:eastAsia="zh-CN"/>
        </w:rPr>
        <w:t xml:space="preserve"> Бұл факт Қазақстанның инновациялық әлеуетін арттыру үшін екі маңызды бағытқа – жеке бизнестің инновациялық белсенділігін ын</w:t>
      </w:r>
      <w:r>
        <w:rPr>
          <w:rFonts w:ascii="Times New Roman" w:eastAsia="DengXian" w:hAnsi="Times New Roman" w:cs="Times New Roman"/>
          <w:sz w:val="28"/>
          <w:szCs w:val="28"/>
          <w:lang w:val="kk-KZ" w:eastAsia="zh-CN"/>
        </w:rPr>
        <w:t>таландыруға және ғылыми-зерттеу, әзірлеме жұмыстарының сапасы мен көлемін арттыруға басты назар аудару қажеттігін айқындайды.</w:t>
      </w:r>
    </w:p>
    <w:p w:rsidR="005118AF" w:rsidRDefault="00EF60C3">
      <w:pPr>
        <w:autoSpaceDE w:val="0"/>
        <w:autoSpaceDN w:val="0"/>
        <w:adjustRightInd w:val="0"/>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Қорытынды</w:t>
      </w:r>
      <w:r>
        <w:rPr>
          <w:rFonts w:ascii="Times New Roman" w:eastAsia="DengXian" w:hAnsi="Times New Roman" w:cs="Times New Roman"/>
          <w:sz w:val="28"/>
          <w:szCs w:val="28"/>
          <w:lang w:val="kk-KZ" w:eastAsia="zh-CN"/>
        </w:rPr>
        <w:t xml:space="preserve"> орын тамақ өнеркәсібіндегі инновациялық қызмет ортасының жиынтық бейнесін қалыптастыру үшін, сонымен қатар басқа елдерде</w:t>
      </w:r>
      <w:r>
        <w:rPr>
          <w:rFonts w:ascii="Times New Roman" w:eastAsia="DengXian" w:hAnsi="Times New Roman" w:cs="Times New Roman"/>
          <w:sz w:val="28"/>
          <w:szCs w:val="28"/>
          <w:lang w:val="kk-KZ" w:eastAsia="zh-CN"/>
        </w:rPr>
        <w:t xml:space="preserve"> қабылданған шараларды үлгі ретінде пайдалана отырып, олардың күшті жақтарын айқындауға және қай жерде жақсартулар қажет екенін көру үшін әр елді бағалау пайдалы. Бұл бөлімде талдау нәтижесінде алынған рейтингтер әр ел үшін нақты мәселелерді анықтап қана қ</w:t>
      </w:r>
      <w:r>
        <w:rPr>
          <w:rFonts w:ascii="Times New Roman" w:eastAsia="DengXian" w:hAnsi="Times New Roman" w:cs="Times New Roman"/>
          <w:sz w:val="28"/>
          <w:szCs w:val="28"/>
          <w:lang w:val="kk-KZ" w:eastAsia="zh-CN"/>
        </w:rPr>
        <w:t>оймайды, сонымен қатар қай елдердің қай саясат саласында озық екені туралы ақпарат береді. Бұл ақпарат маңызды, өйткені ол жаңа саясатты құрудағы тиімділікке ықпал етеді, сонымен қатар саясатты құру шығындарын азайтады.</w:t>
      </w:r>
    </w:p>
    <w:p w:rsidR="005118AF" w:rsidRDefault="005118AF">
      <w:pPr>
        <w:spacing w:after="0" w:line="240" w:lineRule="auto"/>
        <w:ind w:firstLineChars="214" w:firstLine="599"/>
        <w:jc w:val="both"/>
        <w:rPr>
          <w:rFonts w:ascii="Times New Roman" w:eastAsia="DengXian" w:hAnsi="Times New Roman" w:cs="Times New Roman"/>
          <w:b/>
          <w:bCs/>
          <w:sz w:val="28"/>
          <w:szCs w:val="28"/>
          <w:lang w:val="kk-KZ" w:eastAsia="zh-CN"/>
        </w:rPr>
      </w:pPr>
    </w:p>
    <w:p w:rsidR="005118AF" w:rsidRDefault="00EF60C3">
      <w:pPr>
        <w:spacing w:after="0" w:line="240" w:lineRule="auto"/>
        <w:ind w:firstLineChars="252" w:firstLine="706"/>
        <w:jc w:val="both"/>
        <w:rPr>
          <w:rFonts w:ascii="Times New Roman" w:eastAsia="DengXian" w:hAnsi="Times New Roman" w:cs="Times New Roman"/>
          <w:b/>
          <w:bCs/>
          <w:sz w:val="28"/>
          <w:szCs w:val="28"/>
          <w:lang w:val="kk-KZ" w:eastAsia="zh-CN"/>
        </w:rPr>
      </w:pPr>
      <w:r>
        <w:rPr>
          <w:rFonts w:ascii="Times New Roman" w:eastAsia="DengXian" w:hAnsi="Times New Roman" w:cs="Times New Roman"/>
          <w:b/>
          <w:bCs/>
          <w:sz w:val="28"/>
          <w:szCs w:val="28"/>
          <w:lang w:val="kk-KZ" w:eastAsia="zh-CN"/>
        </w:rPr>
        <w:t xml:space="preserve">2.3 Қазақстанның тамақ өнеркәсібі </w:t>
      </w:r>
      <w:r>
        <w:rPr>
          <w:rFonts w:ascii="Times New Roman" w:eastAsia="DengXian" w:hAnsi="Times New Roman" w:cs="Times New Roman"/>
          <w:b/>
          <w:bCs/>
          <w:sz w:val="28"/>
          <w:szCs w:val="28"/>
          <w:lang w:val="kk-KZ" w:eastAsia="zh-CN"/>
        </w:rPr>
        <w:t>кәсіпорындарының стратегиялық дамуындағы ашық инновацияларды қолдану дәрежесін бағалау</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Зерттеудің эмпирикалық базасы Қазақстан Республикасының тамақ өнеркәсібінің 56 кәсіпорны арасында құрылымданған сауалнама жүргізу нәтижесінде алынған мәліметтер негізінд</w:t>
      </w:r>
      <w:r>
        <w:rPr>
          <w:rFonts w:ascii="Times New Roman" w:eastAsia="DengXian" w:hAnsi="Times New Roman" w:cs="Times New Roman"/>
          <w:sz w:val="28"/>
          <w:szCs w:val="28"/>
          <w:lang w:val="kk-KZ" w:eastAsia="zh-CN"/>
        </w:rPr>
        <w:t>е қалыптастырылды. Бұл әдіс инновациялық қызметтің ағымдағы жағдайы, инновацияларды енгізудегі кедергілер және кәсіпорындардың ашық инновацияларды пайдалануға дайындық деңгейі туралы жан-жақты және жүйеленген ақпарат алуға мүмкіндік беретіндіктен таңдалды.</w:t>
      </w:r>
      <w:r>
        <w:rPr>
          <w:rFonts w:ascii="Times New Roman" w:eastAsia="DengXian" w:hAnsi="Times New Roman" w:cs="Times New Roman"/>
          <w:sz w:val="28"/>
          <w:szCs w:val="28"/>
          <w:lang w:val="kk-KZ" w:eastAsia="zh-CN"/>
        </w:rPr>
        <w:t xml:space="preserve"> Зерттеуге эмпирикалық базаны енгізу инновациялық даму үдерістерін тек теориялық емес, сонымен қатар практикалық тұрғыдан түсіну қажеттілігімен негізделеді: жиналған деректер кәсіпорындардың практикалық қажеттіліктеріне және мемлекеттік инновациялық саясат</w:t>
      </w:r>
      <w:r>
        <w:rPr>
          <w:rFonts w:ascii="Times New Roman" w:eastAsia="DengXian" w:hAnsi="Times New Roman" w:cs="Times New Roman"/>
          <w:sz w:val="28"/>
          <w:szCs w:val="28"/>
          <w:lang w:val="kk-KZ" w:eastAsia="zh-CN"/>
        </w:rPr>
        <w:t>тың талаптарына бағытталған ұсыныстарды тұжырымдауға мүмкіндік беретін саланың нақты үрдістері мен мәселелерін көрсетеді. Осылайша, сауалнаманы эмпирикалық құрал ретінде пайдалану диссертацияға қолданбалы сипат беріп, Қазақстанның тамақ өнеркәсібінің дамуы</w:t>
      </w:r>
      <w:r>
        <w:rPr>
          <w:rFonts w:ascii="Times New Roman" w:eastAsia="DengXian" w:hAnsi="Times New Roman" w:cs="Times New Roman"/>
          <w:sz w:val="28"/>
          <w:szCs w:val="28"/>
          <w:lang w:val="kk-KZ" w:eastAsia="zh-CN"/>
        </w:rPr>
        <w:t xml:space="preserve"> үшін оның маңыздылығын арттырады.</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Құрылымданған</w:t>
      </w:r>
      <w:r>
        <w:rPr>
          <w:rFonts w:ascii="Times New Roman" w:eastAsia="DengXian" w:hAnsi="Times New Roman" w:cs="Times New Roman"/>
          <w:sz w:val="28"/>
          <w:szCs w:val="28"/>
          <w:lang w:val="kk-KZ" w:eastAsia="zh-CN"/>
        </w:rPr>
        <w:t xml:space="preserve"> сауалнама Қазақстанның тамақ өнеркәсібі кәсіпорындарының стратегиялық дамуындағы ашық инновация негізінде сыртқы серіктестермен ынтымақтасуға дайындық деңгейін анықтауға көмектесті. Алынған мәліметтер кәсіпо</w:t>
      </w:r>
      <w:r>
        <w:rPr>
          <w:rFonts w:ascii="Times New Roman" w:eastAsia="DengXian" w:hAnsi="Times New Roman" w:cs="Times New Roman"/>
          <w:sz w:val="28"/>
          <w:szCs w:val="28"/>
          <w:lang w:val="kk-KZ" w:eastAsia="zh-CN"/>
        </w:rPr>
        <w:t>рындардың инновациялық әлеуеті мен олардың әртүрлі сыртқы субъектілермен өзара әрекеттесуі арасында статистикалық маңызды оң байланыстың болуын растады. Тұтастай алғанда, нәтижелер ашық инновациялық тәжірибені пайдалану кәсіпорындардың бәсекеге қабілеттілі</w:t>
      </w:r>
      <w:r>
        <w:rPr>
          <w:rFonts w:ascii="Times New Roman" w:eastAsia="DengXian" w:hAnsi="Times New Roman" w:cs="Times New Roman"/>
          <w:sz w:val="28"/>
          <w:szCs w:val="28"/>
          <w:lang w:val="kk-KZ" w:eastAsia="zh-CN"/>
        </w:rPr>
        <w:t>гін арттыруға, серіктестік байланыстарды нығайтуға, агроазық-түлік жүйелерінің технологиялық және ғылыми әзірлемелерін белсендіруге ықпал ететінін көрсетті.</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Зерттеудің эмпирикалық негізін қамтамасыз ету үшін Қазақстандағы 56 тамақ өнеркәсібі кәсіпорындарын</w:t>
      </w:r>
      <w:r>
        <w:rPr>
          <w:rFonts w:ascii="Times New Roman" w:eastAsia="DengXian" w:hAnsi="Times New Roman" w:cs="Times New Roman"/>
          <w:sz w:val="28"/>
          <w:szCs w:val="28"/>
          <w:lang w:val="kk-KZ" w:eastAsia="zh-CN"/>
        </w:rPr>
        <w:t>а құрылымданған сауалнама жүргізілді. Бұл іріктеме көлемі статистикалық талдауды қолданудың ең төменгі талаптарын қанағаттандырады, сонымен қатар сектордың нақты құрылымын көрсетеді (шағын, орта және ірі кәсіпорындардың пропорциясы). Бақылаулардың шектеулі</w:t>
      </w:r>
      <w:r>
        <w:rPr>
          <w:rFonts w:ascii="Times New Roman" w:eastAsia="DengXian" w:hAnsi="Times New Roman" w:cs="Times New Roman"/>
          <w:sz w:val="28"/>
          <w:szCs w:val="28"/>
          <w:lang w:val="kk-KZ" w:eastAsia="zh-CN"/>
        </w:rPr>
        <w:t xml:space="preserve"> санына қарамастан, алынған деректер негізгі тенденцияларды анықтауға және практикалық ұсыныстар беруге мүмкіндік береді.</w:t>
      </w:r>
    </w:p>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28 ‒ Салалық мамандануы, қызмет ауқымы мен қызмет ету кезеңі бойынша респондент-кәсіпорындар іріктемесінің жалпы сипаттамасы</w:t>
      </w:r>
    </w:p>
    <w:p w:rsidR="005118AF" w:rsidRDefault="005118AF">
      <w:pPr>
        <w:spacing w:after="0" w:line="240" w:lineRule="auto"/>
        <w:ind w:firstLineChars="214" w:firstLine="342"/>
        <w:jc w:val="both"/>
        <w:rPr>
          <w:rFonts w:ascii="Times New Roman" w:eastAsia="DengXi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2410"/>
        <w:gridCol w:w="2509"/>
      </w:tblGrid>
      <w:tr w:rsidR="005118AF">
        <w:trPr>
          <w:jc w:val="center"/>
        </w:trPr>
        <w:tc>
          <w:tcPr>
            <w:tcW w:w="4637" w:type="dxa"/>
          </w:tcPr>
          <w:p w:rsidR="005118AF" w:rsidRDefault="00EF60C3">
            <w:pPr>
              <w:spacing w:after="0" w:line="228"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А</w:t>
            </w:r>
            <w:r>
              <w:rPr>
                <w:rFonts w:ascii="Times New Roman" w:eastAsia="DengXian" w:hAnsi="Times New Roman" w:cs="Times New Roman"/>
                <w:bCs/>
                <w:sz w:val="24"/>
                <w:szCs w:val="24"/>
                <w:lang w:val="kk-KZ" w:eastAsia="zh-CN"/>
              </w:rPr>
              <w:t>зық</w:t>
            </w:r>
            <w:r>
              <w:rPr>
                <w:rFonts w:ascii="Times New Roman" w:eastAsia="DengXian" w:hAnsi="Times New Roman" w:cs="Times New Roman"/>
                <w:bCs/>
                <w:sz w:val="24"/>
                <w:szCs w:val="24"/>
                <w:lang w:eastAsia="zh-CN"/>
              </w:rPr>
              <w:t>-</w:t>
            </w:r>
            <w:r>
              <w:rPr>
                <w:rFonts w:ascii="Times New Roman" w:eastAsia="DengXian" w:hAnsi="Times New Roman" w:cs="Times New Roman"/>
                <w:bCs/>
                <w:sz w:val="24"/>
                <w:szCs w:val="24"/>
                <w:lang w:val="kk-KZ" w:eastAsia="zh-CN"/>
              </w:rPr>
              <w:t>түлік тізбегіндегі рөлі</w:t>
            </w:r>
          </w:p>
        </w:tc>
        <w:tc>
          <w:tcPr>
            <w:tcW w:w="2410" w:type="dxa"/>
          </w:tcPr>
          <w:p w:rsidR="005118AF" w:rsidRDefault="00EF60C3">
            <w:pPr>
              <w:spacing w:after="0" w:line="228"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Кәсіпорын саны</w:t>
            </w:r>
          </w:p>
        </w:tc>
        <w:tc>
          <w:tcPr>
            <w:tcW w:w="2509" w:type="dxa"/>
          </w:tcPr>
          <w:p w:rsidR="005118AF" w:rsidRDefault="00EF60C3">
            <w:pPr>
              <w:spacing w:after="0" w:line="228" w:lineRule="auto"/>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val="kk-KZ" w:eastAsia="zh-CN"/>
              </w:rPr>
              <w:t xml:space="preserve">Пайыздық үлесі </w:t>
            </w:r>
            <w:r>
              <w:rPr>
                <w:rFonts w:ascii="Times New Roman" w:eastAsia="DengXian" w:hAnsi="Times New Roman" w:cs="Times New Roman"/>
                <w:bCs/>
                <w:sz w:val="24"/>
                <w:szCs w:val="24"/>
                <w:lang w:eastAsia="zh-CN"/>
              </w:rPr>
              <w:t>(%)</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Шикізатты өндірушілер (аграрлық сектор)</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17</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30,4</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Азық</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түлік өнімдерін өңдеу және өндіру</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34</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60,7</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Азық</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түлік саудасы/сату</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8,9</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val="kk-KZ" w:eastAsia="zh-CN"/>
              </w:rPr>
              <w:t>Кәсіпорындар</w:t>
            </w:r>
            <w:r>
              <w:rPr>
                <w:rFonts w:ascii="Times New Roman" w:eastAsia="DengXian" w:hAnsi="Times New Roman" w:cs="Times New Roman"/>
                <w:bCs/>
                <w:sz w:val="24"/>
                <w:szCs w:val="24"/>
                <w:lang w:eastAsia="zh-CN"/>
              </w:rPr>
              <w:t xml:space="preserve"> к</w:t>
            </w:r>
            <w:r>
              <w:rPr>
                <w:rFonts w:ascii="Times New Roman" w:eastAsia="DengXian" w:hAnsi="Times New Roman" w:cs="Times New Roman"/>
                <w:bCs/>
                <w:sz w:val="24"/>
                <w:szCs w:val="24"/>
                <w:lang w:val="kk-KZ" w:eastAsia="zh-CN"/>
              </w:rPr>
              <w:t>өлемі</w:t>
            </w:r>
          </w:p>
        </w:tc>
        <w:tc>
          <w:tcPr>
            <w:tcW w:w="2410" w:type="dxa"/>
            <w:vAlign w:val="center"/>
          </w:tcPr>
          <w:p w:rsidR="005118AF" w:rsidRDefault="00EF60C3">
            <w:pPr>
              <w:spacing w:after="0" w:line="228" w:lineRule="auto"/>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val="kk-KZ" w:eastAsia="zh-CN"/>
              </w:rPr>
              <w:t>Кәсіпорындар саны</w:t>
            </w:r>
          </w:p>
        </w:tc>
        <w:tc>
          <w:tcPr>
            <w:tcW w:w="2509" w:type="dxa"/>
            <w:vAlign w:val="center"/>
          </w:tcPr>
          <w:p w:rsidR="005118AF" w:rsidRDefault="00EF60C3">
            <w:pPr>
              <w:spacing w:after="0" w:line="228" w:lineRule="auto"/>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val="kk-KZ" w:eastAsia="zh-CN"/>
              </w:rPr>
              <w:t xml:space="preserve">Пайыздық үлесі </w:t>
            </w:r>
            <w:r>
              <w:rPr>
                <w:rFonts w:ascii="Times New Roman" w:eastAsia="DengXian" w:hAnsi="Times New Roman" w:cs="Times New Roman"/>
                <w:bCs/>
                <w:sz w:val="24"/>
                <w:szCs w:val="24"/>
                <w:lang w:eastAsia="zh-CN"/>
              </w:rPr>
              <w:t>(%)</w:t>
            </w:r>
          </w:p>
        </w:tc>
      </w:tr>
      <w:tr w:rsidR="005118AF">
        <w:trPr>
          <w:trHeight w:val="62"/>
          <w:jc w:val="center"/>
        </w:trPr>
        <w:tc>
          <w:tcPr>
            <w:tcW w:w="4637" w:type="dxa"/>
          </w:tcPr>
          <w:p w:rsidR="005118AF" w:rsidRDefault="00EF60C3">
            <w:pPr>
              <w:spacing w:after="0" w:line="228"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&lt;10</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1</w:t>
            </w:r>
            <w:r>
              <w:rPr>
                <w:rFonts w:ascii="Times New Roman" w:eastAsia="DengXian" w:hAnsi="Times New Roman" w:cs="Times New Roman"/>
                <w:sz w:val="24"/>
                <w:szCs w:val="24"/>
                <w:lang w:eastAsia="zh-CN"/>
              </w:rPr>
              <w:t>8</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32,1</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11-50</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14</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25</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51-100</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13</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23,2</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100-250</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14,3</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&gt;250</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8,9</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kk-KZ" w:eastAsia="zh-CN"/>
              </w:rPr>
            </w:pPr>
            <w:r>
              <w:rPr>
                <w:rFonts w:ascii="Times New Roman" w:eastAsia="DengXian" w:hAnsi="Times New Roman" w:cs="Times New Roman"/>
                <w:bCs/>
                <w:sz w:val="24"/>
                <w:szCs w:val="24"/>
                <w:lang w:val="kk-KZ" w:eastAsia="zh-CN"/>
              </w:rPr>
              <w:t>Қызмет</w:t>
            </w:r>
            <w:r>
              <w:rPr>
                <w:rFonts w:ascii="Times New Roman" w:eastAsia="DengXian" w:hAnsi="Times New Roman" w:cs="Times New Roman"/>
                <w:bCs/>
                <w:sz w:val="24"/>
                <w:szCs w:val="24"/>
                <w:lang w:val="kk-KZ" w:eastAsia="zh-CN"/>
              </w:rPr>
              <w:t xml:space="preserve"> ету ұзақтығы</w:t>
            </w:r>
          </w:p>
        </w:tc>
        <w:tc>
          <w:tcPr>
            <w:tcW w:w="2410" w:type="dxa"/>
            <w:vAlign w:val="center"/>
          </w:tcPr>
          <w:p w:rsidR="005118AF" w:rsidRDefault="00EF60C3">
            <w:pPr>
              <w:spacing w:after="0" w:line="228" w:lineRule="auto"/>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val="kk-KZ" w:eastAsia="zh-CN"/>
              </w:rPr>
              <w:t>Кәсіпорындар саны</w:t>
            </w:r>
          </w:p>
        </w:tc>
        <w:tc>
          <w:tcPr>
            <w:tcW w:w="2509" w:type="dxa"/>
            <w:vAlign w:val="center"/>
          </w:tcPr>
          <w:p w:rsidR="005118AF" w:rsidRDefault="00EF60C3">
            <w:pPr>
              <w:spacing w:after="0" w:line="228"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 xml:space="preserve">Пайыздық үлесі </w:t>
            </w:r>
            <w:r>
              <w:rPr>
                <w:rFonts w:ascii="Times New Roman" w:eastAsia="DengXian" w:hAnsi="Times New Roman" w:cs="Times New Roman"/>
                <w:bCs/>
                <w:sz w:val="24"/>
                <w:szCs w:val="24"/>
                <w:lang w:eastAsia="zh-CN"/>
              </w:rPr>
              <w:t>(%)</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1-3 жыл</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13</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23,2</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3-7 жыл</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15</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26,7</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7-12 жыл</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12</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21,4</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12-20 жыл</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12,5</w:t>
            </w:r>
          </w:p>
        </w:tc>
      </w:tr>
      <w:tr w:rsidR="005118AF">
        <w:trPr>
          <w:jc w:val="center"/>
        </w:trPr>
        <w:tc>
          <w:tcPr>
            <w:tcW w:w="4637" w:type="dxa"/>
          </w:tcPr>
          <w:p w:rsidR="005118AF" w:rsidRDefault="00EF60C3">
            <w:pPr>
              <w:spacing w:after="0" w:line="228"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en-US" w:eastAsia="zh-CN"/>
              </w:rPr>
              <w:t xml:space="preserve">&gt;20 </w:t>
            </w:r>
            <w:r>
              <w:rPr>
                <w:rFonts w:ascii="Times New Roman" w:eastAsia="DengXian" w:hAnsi="Times New Roman" w:cs="Times New Roman"/>
                <w:sz w:val="24"/>
                <w:szCs w:val="24"/>
                <w:lang w:val="kk-KZ" w:eastAsia="zh-CN"/>
              </w:rPr>
              <w:t>жыл</w:t>
            </w:r>
          </w:p>
        </w:tc>
        <w:tc>
          <w:tcPr>
            <w:tcW w:w="2410"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9</w:t>
            </w:r>
          </w:p>
        </w:tc>
        <w:tc>
          <w:tcPr>
            <w:tcW w:w="2509" w:type="dxa"/>
            <w:vAlign w:val="center"/>
          </w:tcPr>
          <w:p w:rsidR="005118AF" w:rsidRDefault="00EF60C3">
            <w:pPr>
              <w:spacing w:after="0" w:line="228"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16</w:t>
            </w:r>
          </w:p>
        </w:tc>
      </w:tr>
    </w:tbl>
    <w:p w:rsidR="005118AF" w:rsidRDefault="005118AF">
      <w:pPr>
        <w:spacing w:after="0" w:line="240" w:lineRule="auto"/>
        <w:ind w:firstLineChars="253" w:firstLine="708"/>
        <w:jc w:val="both"/>
        <w:rPr>
          <w:rFonts w:ascii="Times New Roman" w:eastAsia="DengXian" w:hAnsi="Times New Roman" w:cs="Times New Roman"/>
          <w:sz w:val="28"/>
          <w:szCs w:val="28"/>
          <w:lang w:eastAsia="zh-CN"/>
        </w:rPr>
      </w:pP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28-кестеде көлемі, жұмыс істеу кезеңі және құн тізбегіндегі орны бойынша кәсіпорындардың іріктеме құрылымы берілген. Талдау көрсеткендей, іріктеудің негізгі бөлігін шағын және орта кәсіпорындар құрайды, олардың ішінде 5 кәсіпорында 250-ден астам қызметкер </w:t>
      </w:r>
      <w:r>
        <w:rPr>
          <w:rFonts w:ascii="Times New Roman" w:eastAsia="DengXian" w:hAnsi="Times New Roman" w:cs="Times New Roman"/>
          <w:sz w:val="28"/>
          <w:szCs w:val="28"/>
          <w:lang w:val="kk-KZ" w:eastAsia="zh-CN"/>
        </w:rPr>
        <w:t>жұмыс істейді. Сонымен қатар, кәсіпорындардың 80%-дан астамы шағын және микрокәсіпорындар санатына жатады, бұл шағын бизнес басым болатын Қазақстанның тамақ өнеркәсібі секторының нақты ерекшеліктерін көрсетеді. Маңызды аспект, сондай-ақ 1 жылдан 3 жылға де</w:t>
      </w:r>
      <w:r>
        <w:rPr>
          <w:rFonts w:ascii="Times New Roman" w:eastAsia="DengXian" w:hAnsi="Times New Roman" w:cs="Times New Roman"/>
          <w:sz w:val="28"/>
          <w:szCs w:val="28"/>
          <w:lang w:val="kk-KZ" w:eastAsia="zh-CN"/>
        </w:rPr>
        <w:t xml:space="preserve">йінгі өмір сүру мерзімі бар жас кәсіпорындардың жоғары үлесі (40,4%) болып табылады, бұл инновациялық белсенділік үшін айтарлықтай әлеуеті бар нарық қатысушыларының жаңа толқынының қалыптасуын және икемді даму стратегияларын іздеуді көрсетеді. </w:t>
      </w:r>
    </w:p>
    <w:p w:rsidR="005118AF" w:rsidRDefault="00EF60C3">
      <w:p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Сонымен қат</w:t>
      </w:r>
      <w:r>
        <w:rPr>
          <w:rFonts w:ascii="Times New Roman" w:eastAsia="DengXian" w:hAnsi="Times New Roman" w:cs="Times New Roman"/>
          <w:sz w:val="28"/>
          <w:szCs w:val="28"/>
          <w:lang w:val="kk-KZ" w:eastAsia="zh-CN"/>
        </w:rPr>
        <w:t>ар, төмендегі 29-кестеде сауалнама жүргізілген кәсіпорындардың негізгі қызметі бойынша жіктелуі көрсетілген. Таңдамадағы</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kk-KZ" w:eastAsia="zh-CN"/>
        </w:rPr>
        <w:t>кәсіпорындардың</w:t>
      </w:r>
      <w:r>
        <w:rPr>
          <w:rFonts w:ascii="Times New Roman" w:eastAsia="DengXian" w:hAnsi="Times New Roman" w:cs="Times New Roman"/>
          <w:sz w:val="28"/>
          <w:szCs w:val="28"/>
          <w:lang w:eastAsia="zh-CN"/>
        </w:rPr>
        <w:t xml:space="preserve"> ең көп таралған экономика</w:t>
      </w:r>
      <w:r>
        <w:rPr>
          <w:rFonts w:ascii="Times New Roman" w:eastAsia="DengXian" w:hAnsi="Times New Roman" w:cs="Times New Roman"/>
          <w:sz w:val="28"/>
          <w:szCs w:val="28"/>
          <w:lang w:val="kk-KZ" w:eastAsia="zh-CN"/>
        </w:rPr>
        <w:t>ның</w:t>
      </w:r>
      <w:r>
        <w:rPr>
          <w:rFonts w:ascii="Times New Roman" w:eastAsia="DengXian" w:hAnsi="Times New Roman" w:cs="Times New Roman"/>
          <w:sz w:val="28"/>
          <w:szCs w:val="28"/>
          <w:lang w:eastAsia="zh-CN"/>
        </w:rPr>
        <w:t xml:space="preserve"> ішкі секторлар</w:t>
      </w:r>
      <w:r>
        <w:rPr>
          <w:rFonts w:ascii="Times New Roman" w:eastAsia="DengXian" w:hAnsi="Times New Roman" w:cs="Times New Roman"/>
          <w:sz w:val="28"/>
          <w:szCs w:val="28"/>
          <w:lang w:val="kk-KZ" w:eastAsia="zh-CN"/>
        </w:rPr>
        <w:t>ына</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kk-KZ" w:eastAsia="zh-CN"/>
        </w:rPr>
        <w:t xml:space="preserve">сүт өнімдерін өндіру </w:t>
      </w:r>
      <w:r>
        <w:rPr>
          <w:rFonts w:ascii="Times New Roman" w:eastAsia="DengXian" w:hAnsi="Times New Roman" w:cs="Times New Roman"/>
          <w:sz w:val="28"/>
          <w:szCs w:val="28"/>
          <w:lang w:eastAsia="zh-CN"/>
        </w:rPr>
        <w:t xml:space="preserve">(26,8%) болды, </w:t>
      </w:r>
      <w:r>
        <w:rPr>
          <w:rFonts w:ascii="Times New Roman" w:eastAsia="DengXian" w:hAnsi="Times New Roman" w:cs="Times New Roman"/>
          <w:sz w:val="28"/>
          <w:szCs w:val="28"/>
          <w:lang w:val="kk-KZ" w:eastAsia="zh-CN"/>
        </w:rPr>
        <w:t>сонымен қатар</w:t>
      </w:r>
      <w:r>
        <w:rPr>
          <w:rFonts w:ascii="Times New Roman" w:eastAsia="DengXian" w:hAnsi="Times New Roman" w:cs="Times New Roman"/>
          <w:sz w:val="28"/>
          <w:szCs w:val="28"/>
          <w:lang w:eastAsia="zh-CN"/>
        </w:rPr>
        <w:t xml:space="preserve"> және </w:t>
      </w:r>
      <w:r>
        <w:rPr>
          <w:rFonts w:ascii="Times New Roman" w:eastAsia="DengXian" w:hAnsi="Times New Roman" w:cs="Times New Roman"/>
          <w:sz w:val="28"/>
          <w:szCs w:val="28"/>
          <w:lang w:val="kk-KZ" w:eastAsia="zh-CN"/>
        </w:rPr>
        <w:t>ет өнімдерін өнді</w:t>
      </w:r>
      <w:r>
        <w:rPr>
          <w:rFonts w:ascii="Times New Roman" w:eastAsia="DengXian" w:hAnsi="Times New Roman" w:cs="Times New Roman"/>
          <w:sz w:val="28"/>
          <w:szCs w:val="28"/>
          <w:lang w:val="kk-KZ" w:eastAsia="zh-CN"/>
        </w:rPr>
        <w:t xml:space="preserve">ру </w:t>
      </w:r>
      <w:r>
        <w:rPr>
          <w:rFonts w:ascii="Times New Roman" w:eastAsia="DengXian" w:hAnsi="Times New Roman" w:cs="Times New Roman"/>
          <w:sz w:val="28"/>
          <w:szCs w:val="28"/>
          <w:lang w:eastAsia="zh-CN"/>
        </w:rPr>
        <w:t>(19,6%) к</w:t>
      </w:r>
      <w:r>
        <w:rPr>
          <w:rFonts w:ascii="Times New Roman" w:eastAsia="DengXian" w:hAnsi="Times New Roman" w:cs="Times New Roman"/>
          <w:sz w:val="28"/>
          <w:szCs w:val="28"/>
          <w:lang w:val="kk-KZ" w:eastAsia="zh-CN"/>
        </w:rPr>
        <w:t xml:space="preserve">ірді. </w:t>
      </w:r>
      <w:r>
        <w:rPr>
          <w:rFonts w:ascii="Times New Roman" w:eastAsia="DengXian" w:hAnsi="Times New Roman" w:cs="Times New Roman"/>
          <w:sz w:val="28"/>
          <w:szCs w:val="28"/>
          <w:lang w:eastAsia="zh-CN"/>
        </w:rPr>
        <w:t xml:space="preserve"> </w:t>
      </w:r>
    </w:p>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29 ‒ Таңдамадағы кәсіпорындардың экономикалық қызмет түрі бойынша жіктелуі</w:t>
      </w:r>
    </w:p>
    <w:p w:rsidR="005118AF" w:rsidRDefault="005118AF">
      <w:pPr>
        <w:spacing w:after="0" w:line="240" w:lineRule="auto"/>
        <w:ind w:firstLineChars="214" w:firstLine="342"/>
        <w:jc w:val="both"/>
        <w:rPr>
          <w:rFonts w:ascii="Times New Roman" w:eastAsia="DengXi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2722"/>
        <w:gridCol w:w="2598"/>
      </w:tblGrid>
      <w:tr w:rsidR="005118AF">
        <w:trPr>
          <w:jc w:val="center"/>
        </w:trPr>
        <w:tc>
          <w:tcPr>
            <w:tcW w:w="4184" w:type="dxa"/>
          </w:tcPr>
          <w:p w:rsidR="005118AF" w:rsidRDefault="00EF60C3">
            <w:pPr>
              <w:spacing w:after="0" w:line="240"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Азық</w:t>
            </w:r>
            <w:r>
              <w:rPr>
                <w:rFonts w:ascii="Times New Roman" w:eastAsia="DengXian" w:hAnsi="Times New Roman" w:cs="Times New Roman"/>
                <w:bCs/>
                <w:sz w:val="24"/>
                <w:szCs w:val="24"/>
                <w:lang w:eastAsia="zh-CN"/>
              </w:rPr>
              <w:t>-</w:t>
            </w:r>
            <w:r>
              <w:rPr>
                <w:rFonts w:ascii="Times New Roman" w:eastAsia="DengXian" w:hAnsi="Times New Roman" w:cs="Times New Roman"/>
                <w:bCs/>
                <w:sz w:val="24"/>
                <w:szCs w:val="24"/>
                <w:lang w:val="kk-KZ" w:eastAsia="zh-CN"/>
              </w:rPr>
              <w:t>түлік тізбегіндегі рөлі</w:t>
            </w:r>
          </w:p>
        </w:tc>
        <w:tc>
          <w:tcPr>
            <w:tcW w:w="2722" w:type="dxa"/>
          </w:tcPr>
          <w:p w:rsidR="005118AF" w:rsidRDefault="00EF60C3">
            <w:pPr>
              <w:spacing w:after="0" w:line="240"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Кәсіпорындар саны</w:t>
            </w:r>
          </w:p>
        </w:tc>
        <w:tc>
          <w:tcPr>
            <w:tcW w:w="2598" w:type="dxa"/>
          </w:tcPr>
          <w:p w:rsidR="005118AF" w:rsidRDefault="00EF60C3">
            <w:pPr>
              <w:spacing w:after="0" w:line="240" w:lineRule="auto"/>
              <w:jc w:val="center"/>
              <w:rPr>
                <w:rFonts w:ascii="Times New Roman" w:eastAsia="DengXian" w:hAnsi="Times New Roman" w:cs="Times New Roman"/>
                <w:bCs/>
                <w:sz w:val="24"/>
                <w:szCs w:val="24"/>
                <w:lang w:eastAsia="zh-CN"/>
              </w:rPr>
            </w:pPr>
            <w:r>
              <w:rPr>
                <w:rFonts w:ascii="Times New Roman" w:eastAsia="DengXian" w:hAnsi="Times New Roman" w:cs="Times New Roman"/>
                <w:bCs/>
                <w:sz w:val="24"/>
                <w:szCs w:val="24"/>
                <w:lang w:val="kk-KZ" w:eastAsia="zh-CN"/>
              </w:rPr>
              <w:t xml:space="preserve">Пайыздық үлесі </w:t>
            </w:r>
            <w:r>
              <w:rPr>
                <w:rFonts w:ascii="Times New Roman" w:eastAsia="DengXian" w:hAnsi="Times New Roman" w:cs="Times New Roman"/>
                <w:bCs/>
                <w:sz w:val="24"/>
                <w:szCs w:val="24"/>
                <w:lang w:eastAsia="zh-CN"/>
              </w:rPr>
              <w:t>(%)</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Сүт өнімдерін өндіру</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15</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26,8</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Жемістер мен көкөністерді өндіру, өңдеу немесе сату</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8,9</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Кондитерлік өнімдер</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14,3</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Ет өнімдерін</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11</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19,6</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Көтерме азық</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түлік саудасы</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7</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12,5</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Мұздатылған немесе тоңазытылған тағамдар</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5,4</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Басқа да өңделген тағамдар</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8</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14,3</w:t>
            </w:r>
          </w:p>
        </w:tc>
      </w:tr>
      <w:tr w:rsidR="005118AF">
        <w:trPr>
          <w:jc w:val="center"/>
        </w:trPr>
        <w:tc>
          <w:tcPr>
            <w:tcW w:w="418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Барлығы</w:t>
            </w:r>
          </w:p>
        </w:tc>
        <w:tc>
          <w:tcPr>
            <w:tcW w:w="2722"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56</w:t>
            </w:r>
          </w:p>
        </w:tc>
        <w:tc>
          <w:tcPr>
            <w:tcW w:w="2598"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100</w:t>
            </w:r>
          </w:p>
        </w:tc>
      </w:tr>
    </w:tbl>
    <w:p w:rsidR="005118AF" w:rsidRDefault="005118AF">
      <w:pPr>
        <w:spacing w:after="0" w:line="240" w:lineRule="auto"/>
        <w:ind w:firstLineChars="214" w:firstLine="599"/>
        <w:jc w:val="both"/>
        <w:rPr>
          <w:rFonts w:ascii="Times New Roman" w:eastAsia="DengXian" w:hAnsi="Times New Roman" w:cs="Times New Roman"/>
          <w:sz w:val="28"/>
          <w:szCs w:val="28"/>
          <w:lang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 xml:space="preserve">Кондитерлік </w:t>
      </w:r>
      <w:r>
        <w:rPr>
          <w:rFonts w:ascii="Times New Roman" w:eastAsia="DengXian" w:hAnsi="Times New Roman" w:cs="Times New Roman"/>
          <w:sz w:val="28"/>
          <w:szCs w:val="28"/>
          <w:lang w:val="kk-KZ" w:eastAsia="zh-CN"/>
        </w:rPr>
        <w:t>өнімдер</w:t>
      </w:r>
      <w:r>
        <w:rPr>
          <w:rFonts w:ascii="Times New Roman" w:eastAsia="DengXian" w:hAnsi="Times New Roman" w:cs="Times New Roman"/>
          <w:sz w:val="28"/>
          <w:szCs w:val="28"/>
          <w:lang w:val="kk-KZ" w:eastAsia="zh-CN"/>
        </w:rPr>
        <w:t xml:space="preserve"> өндіретін және басқа да өңделген тағамдар өндіретін </w:t>
      </w:r>
      <w:r>
        <w:rPr>
          <w:rFonts w:ascii="Times New Roman" w:eastAsia="DengXian" w:hAnsi="Times New Roman" w:cs="Times New Roman"/>
          <w:sz w:val="28"/>
          <w:szCs w:val="28"/>
          <w:lang w:eastAsia="zh-CN"/>
        </w:rPr>
        <w:t xml:space="preserve">кәсіпорындар </w:t>
      </w:r>
      <w:r>
        <w:rPr>
          <w:rFonts w:ascii="Times New Roman" w:eastAsia="DengXian" w:hAnsi="Times New Roman" w:cs="Times New Roman"/>
          <w:sz w:val="28"/>
          <w:szCs w:val="28"/>
          <w:lang w:val="kk-KZ" w:eastAsia="zh-CN"/>
        </w:rPr>
        <w:t>әрқайсысы</w:t>
      </w:r>
      <w:r>
        <w:rPr>
          <w:rFonts w:ascii="Times New Roman" w:eastAsia="DengXian" w:hAnsi="Times New Roman" w:cs="Times New Roman"/>
          <w:sz w:val="28"/>
          <w:szCs w:val="28"/>
          <w:lang w:eastAsia="zh-CN"/>
        </w:rPr>
        <w:t xml:space="preserve"> 14,3% </w:t>
      </w:r>
      <w:r>
        <w:rPr>
          <w:rFonts w:ascii="Times New Roman" w:eastAsia="DengXian" w:hAnsi="Times New Roman" w:cs="Times New Roman"/>
          <w:sz w:val="28"/>
          <w:szCs w:val="28"/>
          <w:lang w:val="kk-KZ" w:eastAsia="zh-CN"/>
        </w:rPr>
        <w:t>құрады</w:t>
      </w:r>
      <w:r>
        <w:rPr>
          <w:rFonts w:ascii="Times New Roman" w:eastAsia="DengXian" w:hAnsi="Times New Roman" w:cs="Times New Roman"/>
          <w:sz w:val="28"/>
          <w:szCs w:val="28"/>
          <w:lang w:eastAsia="zh-CN"/>
        </w:rPr>
        <w:t xml:space="preserve">. Өз кезегінде, «басқа да өңделген тағамдар» </w:t>
      </w:r>
      <w:r>
        <w:rPr>
          <w:rFonts w:ascii="Times New Roman" w:eastAsia="DengXian" w:hAnsi="Times New Roman" w:cs="Times New Roman"/>
          <w:sz w:val="28"/>
          <w:szCs w:val="28"/>
          <w:lang w:val="kk-KZ" w:eastAsia="zh-CN"/>
        </w:rPr>
        <w:t>сыныптамасына</w:t>
      </w:r>
      <w:r>
        <w:rPr>
          <w:rFonts w:ascii="Times New Roman" w:eastAsia="DengXian" w:hAnsi="Times New Roman" w:cs="Times New Roman"/>
          <w:sz w:val="28"/>
          <w:szCs w:val="28"/>
          <w:lang w:eastAsia="zh-CN"/>
        </w:rPr>
        <w:t xml:space="preserve"> балмұздақ, сүт коктейл</w:t>
      </w:r>
      <w:r>
        <w:rPr>
          <w:rFonts w:ascii="Times New Roman" w:eastAsia="DengXian" w:hAnsi="Times New Roman" w:cs="Times New Roman"/>
          <w:sz w:val="28"/>
          <w:szCs w:val="28"/>
          <w:lang w:val="kk-KZ" w:eastAsia="zh-CN"/>
        </w:rPr>
        <w:t>іне</w:t>
      </w:r>
      <w:r>
        <w:rPr>
          <w:rFonts w:ascii="Times New Roman" w:eastAsia="DengXian" w:hAnsi="Times New Roman" w:cs="Times New Roman"/>
          <w:sz w:val="28"/>
          <w:szCs w:val="28"/>
          <w:lang w:eastAsia="zh-CN"/>
        </w:rPr>
        <w:t xml:space="preserve"> арналған дайын қоспалар және бидай немесе жүгері ұнынан жасалған тағамдар си</w:t>
      </w:r>
      <w:r>
        <w:rPr>
          <w:rFonts w:ascii="Times New Roman" w:eastAsia="DengXian" w:hAnsi="Times New Roman" w:cs="Times New Roman"/>
          <w:sz w:val="28"/>
          <w:szCs w:val="28"/>
          <w:lang w:eastAsia="zh-CN"/>
        </w:rPr>
        <w:t xml:space="preserve">яқты аймақтық өнімдерді шығаратын </w:t>
      </w:r>
      <w:r>
        <w:rPr>
          <w:rFonts w:ascii="Times New Roman" w:eastAsia="DengXian" w:hAnsi="Times New Roman" w:cs="Times New Roman"/>
          <w:sz w:val="28"/>
          <w:szCs w:val="28"/>
          <w:lang w:val="kk-KZ" w:eastAsia="zh-CN"/>
        </w:rPr>
        <w:t>кәсіпорындар</w:t>
      </w:r>
      <w:r>
        <w:rPr>
          <w:rFonts w:ascii="Times New Roman" w:eastAsia="DengXian" w:hAnsi="Times New Roman" w:cs="Times New Roman"/>
          <w:sz w:val="28"/>
          <w:szCs w:val="28"/>
          <w:lang w:eastAsia="zh-CN"/>
        </w:rPr>
        <w:t xml:space="preserve"> кіреді.</w:t>
      </w:r>
    </w:p>
    <w:p w:rsidR="005118AF" w:rsidRDefault="00EF60C3">
      <w:p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 xml:space="preserve">Сауалнамаға енгізілген сұрақтар </w:t>
      </w:r>
      <w:r>
        <w:rPr>
          <w:rFonts w:ascii="Times New Roman" w:eastAsia="DengXian" w:hAnsi="Times New Roman" w:cs="Times New Roman"/>
          <w:sz w:val="28"/>
          <w:szCs w:val="28"/>
          <w:lang w:val="kk-KZ" w:eastAsia="zh-CN"/>
        </w:rPr>
        <w:t xml:space="preserve">диаграммада қолданылатын </w:t>
      </w:r>
      <w:r>
        <w:rPr>
          <w:rFonts w:ascii="Times New Roman" w:eastAsia="DengXian" w:hAnsi="Times New Roman" w:cs="Times New Roman"/>
          <w:sz w:val="28"/>
          <w:szCs w:val="28"/>
          <w:lang w:eastAsia="zh-CN"/>
        </w:rPr>
        <w:t xml:space="preserve"> кодтау жүйесімен бірге 30-кестеде келтірілген, онда </w:t>
      </w:r>
      <w:r>
        <w:rPr>
          <w:rFonts w:ascii="Times New Roman" w:eastAsia="DengXian" w:hAnsi="Times New Roman" w:cs="Times New Roman"/>
          <w:sz w:val="28"/>
          <w:szCs w:val="28"/>
          <w:lang w:val="kk-KZ" w:eastAsia="zh-CN"/>
        </w:rPr>
        <w:t>кәсіпорындардың</w:t>
      </w:r>
      <w:r>
        <w:rPr>
          <w:rFonts w:ascii="Times New Roman" w:eastAsia="DengXian" w:hAnsi="Times New Roman" w:cs="Times New Roman"/>
          <w:sz w:val="28"/>
          <w:szCs w:val="28"/>
          <w:lang w:eastAsia="zh-CN"/>
        </w:rPr>
        <w:t xml:space="preserve"> инновациялық мүмкіндіктері туралы бөлімнің жауаптар жиынтығының қысқаша мазмұны мен сызбасы көрсетілген.</w:t>
      </w:r>
    </w:p>
    <w:p w:rsidR="005118AF" w:rsidRDefault="005118AF">
      <w:pPr>
        <w:spacing w:after="0" w:line="240" w:lineRule="auto"/>
        <w:ind w:firstLineChars="214" w:firstLine="599"/>
        <w:jc w:val="both"/>
        <w:rPr>
          <w:rFonts w:ascii="Times New Roman" w:eastAsia="DengXian" w:hAnsi="Times New Roman" w:cs="Times New Roman"/>
          <w:sz w:val="28"/>
          <w:szCs w:val="28"/>
          <w:lang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w:t>
      </w:r>
      <w:r>
        <w:rPr>
          <w:rFonts w:ascii="Times New Roman" w:eastAsia="DengXian" w:hAnsi="Times New Roman" w:cs="Times New Roman"/>
          <w:sz w:val="28"/>
          <w:szCs w:val="28"/>
          <w:lang w:eastAsia="zh-CN"/>
        </w:rPr>
        <w:t xml:space="preserve"> 30 ‒</w:t>
      </w:r>
      <w:r>
        <w:rPr>
          <w:rFonts w:ascii="Times New Roman" w:eastAsia="DengXian" w:hAnsi="Times New Roman" w:cs="Times New Roman"/>
          <w:sz w:val="28"/>
          <w:szCs w:val="28"/>
          <w:lang w:val="kk-KZ" w:eastAsia="zh-CN"/>
        </w:rPr>
        <w:t xml:space="preserve"> Жалпы инновациялық құзыреттілік туралы сұрақтар</w:t>
      </w:r>
    </w:p>
    <w:p w:rsidR="005118AF" w:rsidRDefault="005118AF">
      <w:pPr>
        <w:spacing w:after="0" w:line="240" w:lineRule="auto"/>
        <w:jc w:val="right"/>
        <w:rPr>
          <w:rFonts w:ascii="Times New Roman" w:eastAsia="DengXian" w:hAnsi="Times New Roman" w:cs="Times New Roman"/>
          <w:sz w:val="16"/>
          <w:szCs w:val="16"/>
          <w:lang w:val="kk-KZ" w:eastAsia="zh-CN"/>
        </w:rPr>
      </w:pPr>
    </w:p>
    <w:tbl>
      <w:tblPr>
        <w:tblStyle w:val="ae"/>
        <w:tblW w:w="9533"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3"/>
        <w:gridCol w:w="1750"/>
      </w:tblGrid>
      <w:tr w:rsidR="005118AF">
        <w:tc>
          <w:tcPr>
            <w:tcW w:w="7783" w:type="dxa"/>
          </w:tcPr>
          <w:p w:rsidR="005118AF" w:rsidRDefault="00EF60C3">
            <w:pPr>
              <w:spacing w:after="0" w:line="240"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Сұрақтар</w:t>
            </w:r>
          </w:p>
        </w:tc>
        <w:tc>
          <w:tcPr>
            <w:tcW w:w="1750" w:type="dxa"/>
          </w:tcPr>
          <w:p w:rsidR="005118AF" w:rsidRDefault="00EF60C3">
            <w:pPr>
              <w:spacing w:after="0" w:line="240" w:lineRule="auto"/>
              <w:jc w:val="center"/>
              <w:rPr>
                <w:rFonts w:ascii="Times New Roman" w:eastAsia="DengXian" w:hAnsi="Times New Roman" w:cs="Times New Roman"/>
                <w:bCs/>
                <w:sz w:val="24"/>
                <w:szCs w:val="24"/>
                <w:lang w:val="kk-KZ" w:eastAsia="zh-CN"/>
              </w:rPr>
            </w:pPr>
            <w:r>
              <w:rPr>
                <w:rFonts w:ascii="Times New Roman" w:eastAsia="DengXian" w:hAnsi="Times New Roman" w:cs="Times New Roman"/>
                <w:bCs/>
                <w:sz w:val="24"/>
                <w:szCs w:val="24"/>
                <w:lang w:val="kk-KZ" w:eastAsia="zh-CN"/>
              </w:rPr>
              <w:t>Коды</w:t>
            </w:r>
          </w:p>
        </w:tc>
      </w:tr>
      <w:tr w:rsidR="005118AF">
        <w:tc>
          <w:tcPr>
            <w:tcW w:w="7783"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Сіздің кәсіпорыныңыздың стратегиясы инновацияларды ескереді ме және ол сіз</w:t>
            </w:r>
            <w:r>
              <w:rPr>
                <w:rFonts w:ascii="Times New Roman" w:eastAsia="DengXian" w:hAnsi="Times New Roman" w:cs="Times New Roman"/>
                <w:sz w:val="24"/>
                <w:szCs w:val="24"/>
                <w:lang w:val="kk-KZ" w:eastAsia="zh-CN"/>
              </w:rPr>
              <w:t>дің табысыңыздың негізгі факторы болып саналады ма?</w:t>
            </w:r>
          </w:p>
        </w:tc>
        <w:tc>
          <w:tcPr>
            <w:tcW w:w="1750"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Негізгі фактор</w:t>
            </w:r>
          </w:p>
        </w:tc>
      </w:tr>
      <w:tr w:rsidR="005118AF">
        <w:tc>
          <w:tcPr>
            <w:tcW w:w="7783"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Сіздің кәсіпорыныңызда Ғылыми</w:t>
            </w:r>
            <w:r>
              <w:rPr>
                <w:rFonts w:ascii="Times New Roman" w:eastAsia="DengXian" w:hAnsi="Times New Roman" w:cs="Times New Roman"/>
                <w:sz w:val="24"/>
                <w:szCs w:val="24"/>
                <w:lang w:eastAsia="zh-CN"/>
              </w:rPr>
              <w:t>-з</w:t>
            </w:r>
            <w:r>
              <w:rPr>
                <w:rFonts w:ascii="Times New Roman" w:eastAsia="DengXian" w:hAnsi="Times New Roman" w:cs="Times New Roman"/>
                <w:sz w:val="24"/>
                <w:szCs w:val="24"/>
                <w:lang w:val="kk-KZ" w:eastAsia="zh-CN"/>
              </w:rPr>
              <w:t>ерттеу және әзірлеу (</w:t>
            </w:r>
            <w:r>
              <w:rPr>
                <w:rFonts w:ascii="Times New Roman" w:eastAsia="DengXian" w:hAnsi="Times New Roman" w:cs="Times New Roman"/>
                <w:sz w:val="24"/>
                <w:szCs w:val="24"/>
                <w:lang w:val="en-US" w:eastAsia="zh-CN"/>
              </w:rPr>
              <w:t>R</w:t>
            </w:r>
            <w:r>
              <w:rPr>
                <w:rFonts w:ascii="Times New Roman" w:eastAsia="DengXian" w:hAnsi="Times New Roman" w:cs="Times New Roman"/>
                <w:sz w:val="24"/>
                <w:szCs w:val="24"/>
                <w:lang w:eastAsia="zh-CN"/>
              </w:rPr>
              <w:t>&amp;</w:t>
            </w:r>
            <w:r>
              <w:rPr>
                <w:rFonts w:ascii="Times New Roman" w:eastAsia="DengXian" w:hAnsi="Times New Roman" w:cs="Times New Roman"/>
                <w:sz w:val="24"/>
                <w:szCs w:val="24"/>
                <w:lang w:val="en-US" w:eastAsia="zh-CN"/>
              </w:rPr>
              <w:t>D</w:t>
            </w:r>
            <w:r>
              <w:rPr>
                <w:rFonts w:ascii="Times New Roman" w:eastAsia="DengXian" w:hAnsi="Times New Roman" w:cs="Times New Roman"/>
                <w:sz w:val="24"/>
                <w:szCs w:val="24"/>
                <w:lang w:val="kk-KZ" w:eastAsia="zh-CN"/>
              </w:rPr>
              <w:t xml:space="preserve">) бөлімі бар ма? </w:t>
            </w:r>
          </w:p>
        </w:tc>
        <w:tc>
          <w:tcPr>
            <w:tcW w:w="1750"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en-US" w:eastAsia="zh-CN"/>
              </w:rPr>
              <w:t>R&amp;D</w:t>
            </w:r>
            <w:r>
              <w:rPr>
                <w:rFonts w:ascii="Times New Roman" w:eastAsia="DengXian" w:hAnsi="Times New Roman" w:cs="Times New Roman"/>
                <w:sz w:val="24"/>
                <w:szCs w:val="24"/>
                <w:lang w:val="kk-KZ" w:eastAsia="zh-CN"/>
              </w:rPr>
              <w:t xml:space="preserve"> бөлімі</w:t>
            </w:r>
          </w:p>
        </w:tc>
      </w:tr>
      <w:tr w:rsidR="005118AF">
        <w:tc>
          <w:tcPr>
            <w:tcW w:w="7783"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С</w:t>
            </w:r>
            <w:r>
              <w:rPr>
                <w:rFonts w:ascii="Times New Roman" w:eastAsia="DengXian" w:hAnsi="Times New Roman" w:cs="Times New Roman"/>
                <w:sz w:val="24"/>
                <w:szCs w:val="24"/>
                <w:lang w:val="kk-KZ" w:eastAsia="zh-CN"/>
              </w:rPr>
              <w:t xml:space="preserve">іздің кәсіпорыныңыз инновациялық стратегияны қалыптастырды неме се енгізді ме? (инновациялық қызметті </w:t>
            </w:r>
            <w:r>
              <w:rPr>
                <w:rFonts w:ascii="Times New Roman" w:eastAsia="DengXian" w:hAnsi="Times New Roman" w:cs="Times New Roman"/>
                <w:sz w:val="24"/>
                <w:szCs w:val="24"/>
                <w:lang w:val="kk-KZ" w:eastAsia="zh-CN"/>
              </w:rPr>
              <w:t>дамыту үшін мақсатты шаралар ды, ресурстарды бөлу және бюджеті бар ресми жоспарларды құру)</w:t>
            </w:r>
          </w:p>
        </w:tc>
        <w:tc>
          <w:tcPr>
            <w:tcW w:w="1750"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Иннов. Страт.</w:t>
            </w:r>
          </w:p>
        </w:tc>
      </w:tr>
      <w:tr w:rsidR="005118AF">
        <w:tc>
          <w:tcPr>
            <w:tcW w:w="7783"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С</w:t>
            </w:r>
            <w:r>
              <w:rPr>
                <w:rFonts w:ascii="Times New Roman" w:eastAsia="DengXian" w:hAnsi="Times New Roman" w:cs="Times New Roman"/>
                <w:sz w:val="24"/>
                <w:szCs w:val="24"/>
                <w:lang w:val="kk-KZ" w:eastAsia="zh-CN"/>
              </w:rPr>
              <w:t>іздің кәсіпорыныңыз технологиялық бақылау жұмыстарын жүргізді ме?</w:t>
            </w:r>
          </w:p>
        </w:tc>
        <w:tc>
          <w:tcPr>
            <w:tcW w:w="1750"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Техн. бақылау</w:t>
            </w:r>
          </w:p>
        </w:tc>
      </w:tr>
      <w:tr w:rsidR="005118AF">
        <w:tc>
          <w:tcPr>
            <w:tcW w:w="7783"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С</w:t>
            </w:r>
            <w:r>
              <w:rPr>
                <w:rFonts w:ascii="Times New Roman" w:eastAsia="DengXian" w:hAnsi="Times New Roman" w:cs="Times New Roman"/>
                <w:sz w:val="24"/>
                <w:szCs w:val="24"/>
                <w:lang w:val="kk-KZ" w:eastAsia="zh-CN"/>
              </w:rPr>
              <w:t>іздің кәсіпорыныңыз  ашық инновациялық процестерді дамытты ма немес</w:t>
            </w:r>
            <w:r>
              <w:rPr>
                <w:rFonts w:ascii="Times New Roman" w:eastAsia="DengXian" w:hAnsi="Times New Roman" w:cs="Times New Roman"/>
                <w:sz w:val="24"/>
                <w:szCs w:val="24"/>
                <w:lang w:val="kk-KZ" w:eastAsia="zh-CN"/>
              </w:rPr>
              <w:t>е оларға қатысты ма?</w:t>
            </w:r>
          </w:p>
        </w:tc>
        <w:tc>
          <w:tcPr>
            <w:tcW w:w="1750"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Ашық иннов.</w:t>
            </w:r>
          </w:p>
        </w:tc>
      </w:tr>
      <w:tr w:rsidR="005118AF">
        <w:tc>
          <w:tcPr>
            <w:tcW w:w="7783"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С</w:t>
            </w:r>
            <w:r>
              <w:rPr>
                <w:rFonts w:ascii="Times New Roman" w:eastAsia="DengXian" w:hAnsi="Times New Roman" w:cs="Times New Roman"/>
                <w:sz w:val="24"/>
                <w:szCs w:val="24"/>
                <w:lang w:val="kk-KZ" w:eastAsia="zh-CN"/>
              </w:rPr>
              <w:t>іздің кәсіпорыныңызда: Инновациялық модель. Инновациялық басқару моделі немесе инновациялық басқару жүйесі бар ма?</w:t>
            </w:r>
          </w:p>
        </w:tc>
        <w:tc>
          <w:tcPr>
            <w:tcW w:w="1750" w:type="dxa"/>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Иннов. менедж.</w:t>
            </w:r>
          </w:p>
        </w:tc>
      </w:tr>
    </w:tbl>
    <w:p w:rsidR="005118AF" w:rsidRDefault="00EF60C3">
      <w:pPr>
        <w:spacing w:after="0" w:line="240" w:lineRule="auto"/>
        <w:ind w:firstLineChars="214" w:firstLine="599"/>
        <w:jc w:val="cente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object w:dxaOrig="7665" w:dyaOrig="4599">
          <v:shape id="_x0000_i1026" type="#_x0000_t75" style="width:383.25pt;height:230.25pt" o:ole="">
            <v:imagedata r:id="rId35" o:title=""/>
          </v:shape>
          <o:OLEObject Type="Embed" ProgID="Excel.Sheet.8" ShapeID="_x0000_i1026" DrawAspect="Content" ObjectID="_1837696323" r:id="rId36"/>
        </w:object>
      </w:r>
    </w:p>
    <w:p w:rsidR="005118AF" w:rsidRDefault="005118AF">
      <w:pPr>
        <w:spacing w:after="0" w:line="240" w:lineRule="auto"/>
        <w:ind w:firstLineChars="295" w:firstLine="472"/>
        <w:jc w:val="both"/>
        <w:rPr>
          <w:rFonts w:ascii="Times New Roman" w:eastAsia="DengXian" w:hAnsi="Times New Roman" w:cs="Times New Roman"/>
          <w:sz w:val="16"/>
          <w:szCs w:val="16"/>
          <w:lang w:val="kk-KZ" w:eastAsia="zh-CN"/>
        </w:rPr>
      </w:pPr>
    </w:p>
    <w:p w:rsidR="005118AF" w:rsidRDefault="00EF60C3">
      <w:pPr>
        <w:spacing w:after="0" w:line="240" w:lineRule="auto"/>
        <w:ind w:firstLineChars="295" w:firstLine="708"/>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 ЖББТ - Жауап беруден бас тартамын</w:t>
      </w:r>
    </w:p>
    <w:p w:rsidR="005118AF" w:rsidRDefault="005118AF">
      <w:pPr>
        <w:spacing w:after="0" w:line="240" w:lineRule="auto"/>
        <w:ind w:firstLineChars="214" w:firstLine="342"/>
        <w:jc w:val="both"/>
        <w:rPr>
          <w:rFonts w:ascii="Times New Roman" w:eastAsia="DengXian" w:hAnsi="Times New Roman" w:cs="Times New Roman"/>
          <w:sz w:val="16"/>
          <w:szCs w:val="16"/>
          <w:lang w:val="kk-KZ" w:eastAsia="zh-CN"/>
        </w:rPr>
      </w:pPr>
    </w:p>
    <w:p w:rsidR="005118AF" w:rsidRDefault="00EF60C3">
      <w:pPr>
        <w:spacing w:after="0" w:line="240" w:lineRule="auto"/>
        <w:jc w:val="cente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Сурет 18 ‒ Зерттелген </w:t>
      </w:r>
      <w:r>
        <w:rPr>
          <w:rFonts w:ascii="Times New Roman" w:eastAsia="DengXian" w:hAnsi="Times New Roman" w:cs="Times New Roman"/>
          <w:sz w:val="28"/>
          <w:szCs w:val="28"/>
          <w:lang w:val="kk-KZ" w:eastAsia="zh-CN"/>
        </w:rPr>
        <w:t>кәсіпорындардың жалпы инновациялық құзыреттеріне қатысты нәтижелері</w:t>
      </w:r>
    </w:p>
    <w:p w:rsidR="005118AF" w:rsidRDefault="005118AF">
      <w:pPr>
        <w:spacing w:after="0" w:line="240" w:lineRule="auto"/>
        <w:ind w:leftChars="214" w:left="471" w:firstLineChars="250" w:firstLine="700"/>
        <w:jc w:val="both"/>
        <w:rPr>
          <w:rFonts w:ascii="Times New Roman" w:eastAsia="DengXian" w:hAnsi="Times New Roman" w:cs="Times New Roman"/>
          <w:sz w:val="28"/>
          <w:szCs w:val="28"/>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18-суретте көрсетілгендей, сауалнамаға қатысқан кәсіпорындардың көпшілігі инновацияны табысының негізгі факторы ретінде қарастырады (88,1%). Дегенмен, бұл тармақ басқа нәтижелерден ерекше</w:t>
      </w:r>
      <w:r>
        <w:rPr>
          <w:rFonts w:ascii="Times New Roman" w:eastAsia="DengXian" w:hAnsi="Times New Roman" w:cs="Times New Roman"/>
          <w:sz w:val="28"/>
          <w:szCs w:val="28"/>
          <w:lang w:val="kk-KZ" w:eastAsia="zh-CN"/>
        </w:rPr>
        <w:t>ленеді. Бірінші сұраққа қарағанда, кәсіпорындардың тек 7,4%-ында R&amp;D бөлімі бар, 15,6%-ы инновациялық стратегияны енгізген немесе тұжырымдаған, тек 5,2%-да инновациялық басқару жүйесі немесе моделі бар. Таңдалған кәсіпорындарың құрамын ескеретін болсақ, кө</w:t>
      </w:r>
      <w:r>
        <w:rPr>
          <w:rFonts w:ascii="Times New Roman" w:eastAsia="DengXian" w:hAnsi="Times New Roman" w:cs="Times New Roman"/>
          <w:sz w:val="28"/>
          <w:szCs w:val="28"/>
          <w:lang w:val="kk-KZ" w:eastAsia="zh-CN"/>
        </w:rPr>
        <w:t>птеген кәсіпорындар өздерінің бизнес-модельдерінде инновацияның маңыздылығын түсінсе де, олардың инновацияларды жүйелі түрде басқаруға тәжірибесі немесе ресурстары жоқ болуы мүмкін.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Сауалнаманың келесі бөлімінде ашық инновациялық платформалар зерделенді. Н</w:t>
      </w:r>
      <w:r>
        <w:rPr>
          <w:rFonts w:ascii="Times New Roman" w:eastAsia="DengXian" w:hAnsi="Times New Roman" w:cs="Times New Roman"/>
          <w:sz w:val="28"/>
          <w:szCs w:val="28"/>
          <w:lang w:val="kk-KZ" w:eastAsia="zh-CN"/>
        </w:rPr>
        <w:t>әтижелер</w:t>
      </w:r>
      <w:r>
        <w:rPr>
          <w:rFonts w:ascii="Times New Roman" w:eastAsia="DengXian" w:hAnsi="Times New Roman" w:cs="Times New Roman"/>
          <w:sz w:val="28"/>
          <w:szCs w:val="28"/>
          <w:lang w:val="kk-KZ" w:eastAsia="zh-CN"/>
        </w:rPr>
        <w:t xml:space="preserve"> зерттелген кәсіпорындардың 84,2% бұл ашық инновациялық тәсілді қолдану олардың бизнес үлгілері үшін пайдалы болуы мүмкін деп санайды. Сауалнамаға қатысқан кәсіпорындардың 88,9%-ы бұл бастаманы жүзеге асыруға дайын екендіктерін айтқаны өзекті болып</w:t>
      </w:r>
      <w:r>
        <w:rPr>
          <w:rFonts w:ascii="Times New Roman" w:eastAsia="DengXian" w:hAnsi="Times New Roman" w:cs="Times New Roman"/>
          <w:sz w:val="28"/>
          <w:szCs w:val="28"/>
          <w:lang w:val="kk-KZ" w:eastAsia="zh-CN"/>
        </w:rPr>
        <w:t xml:space="preserve"> саналады.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Сондай-ақ кәсіпорындарға олардың ұйымға инновацияларды “сырттан ішке енгізу” (білім мен технологияларды кәсіпорында қолдану үшін сырттан іздестіру), “іштен сыртқа енгізу” (өз ішкі білімін экспорттау немесе коммерцияландыру, осылайша басқа кәсіпо</w:t>
      </w:r>
      <w:r>
        <w:rPr>
          <w:rFonts w:ascii="Times New Roman" w:eastAsia="DengXian" w:hAnsi="Times New Roman" w:cs="Times New Roman"/>
          <w:sz w:val="28"/>
          <w:szCs w:val="28"/>
          <w:lang w:val="kk-KZ" w:eastAsia="zh-CN"/>
        </w:rPr>
        <w:t xml:space="preserve">рындарға өз мәселелерін шешуге көмектесу) немесе аралас (екі түрдің үйлесімі) моделінен пайда көреді деп ойлай ма деген сауалнама жүргізілді. </w:t>
      </w:r>
      <w:r>
        <w:rPr>
          <w:rFonts w:ascii="Times New Roman" w:eastAsia="DengXian" w:hAnsi="Times New Roman" w:cs="Times New Roman"/>
          <w:sz w:val="28"/>
          <w:szCs w:val="28"/>
          <w:lang w:eastAsia="zh-CN"/>
        </w:rPr>
        <w:t>19</w:t>
      </w:r>
      <w:r>
        <w:rPr>
          <w:rFonts w:ascii="Times New Roman" w:eastAsia="DengXian" w:hAnsi="Times New Roman" w:cs="Times New Roman"/>
          <w:sz w:val="28"/>
          <w:szCs w:val="28"/>
          <w:lang w:val="kk-KZ" w:eastAsia="zh-CN"/>
        </w:rPr>
        <w:t>-сурет</w:t>
      </w:r>
      <w:r>
        <w:rPr>
          <w:rFonts w:ascii="Times New Roman" w:eastAsia="DengXian" w:hAnsi="Times New Roman" w:cs="Times New Roman"/>
          <w:sz w:val="28"/>
          <w:szCs w:val="28"/>
          <w:lang w:eastAsia="zh-CN"/>
        </w:rPr>
        <w:t>те</w:t>
      </w:r>
      <w:r>
        <w:rPr>
          <w:rFonts w:ascii="Times New Roman" w:eastAsia="DengXian" w:hAnsi="Times New Roman" w:cs="Times New Roman"/>
          <w:sz w:val="28"/>
          <w:szCs w:val="28"/>
          <w:lang w:val="kk-KZ" w:eastAsia="zh-CN"/>
        </w:rPr>
        <w:t xml:space="preserve"> нәтижелер көрсетілген.</w:t>
      </w:r>
    </w:p>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jc w:val="cente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object w:dxaOrig="8292" w:dyaOrig="3391">
          <v:shape id="_x0000_i1027" type="#_x0000_t75" style="width:414.75pt;height:169.5pt" o:ole="">
            <v:imagedata r:id="rId37" o:title=""/>
          </v:shape>
          <o:OLEObject Type="Embed" ProgID="Excel.Sheet.8" ShapeID="_x0000_i1027" DrawAspect="Content" ObjectID="_1837696324" r:id="rId38"/>
        </w:object>
      </w:r>
    </w:p>
    <w:p w:rsidR="005118AF" w:rsidRDefault="005118AF">
      <w:pPr>
        <w:spacing w:after="0" w:line="240" w:lineRule="auto"/>
        <w:jc w:val="center"/>
        <w:rPr>
          <w:rFonts w:ascii="Times New Roman" w:eastAsia="DengXian" w:hAnsi="Times New Roman" w:cs="Times New Roman"/>
          <w:sz w:val="16"/>
          <w:szCs w:val="16"/>
          <w:lang w:val="kk-KZ" w:eastAsia="zh-CN"/>
        </w:rPr>
      </w:pPr>
    </w:p>
    <w:p w:rsidR="005118AF" w:rsidRDefault="00EF60C3">
      <w:pPr>
        <w:spacing w:after="0" w:line="240" w:lineRule="auto"/>
        <w:jc w:val="cente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Сурет 19 ‒ Сауалнама жүргізілген кәсіпорындар </w:t>
      </w:r>
      <w:r>
        <w:rPr>
          <w:rFonts w:ascii="Times New Roman" w:eastAsia="DengXian" w:hAnsi="Times New Roman" w:cs="Times New Roman"/>
          <w:sz w:val="28"/>
          <w:szCs w:val="28"/>
          <w:lang w:val="kk-KZ" w:eastAsia="zh-CN"/>
        </w:rPr>
        <w:t>арасында ашық инновациялық тәсілдерді қабылдау ықтималдығы</w:t>
      </w:r>
    </w:p>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19-суреттен көрініп тұрғандай, сауалнамаға қатысқан кәсіпорындардың көпшілігі (63,6%) олардың бизнесі үшін ең қолайлы тәсіл үлгісі аралас тәсіл болатынын көрсетеді. Сонымен қатар, кәсіпорындардың </w:t>
      </w:r>
      <w:r>
        <w:rPr>
          <w:rFonts w:ascii="Times New Roman" w:eastAsia="DengXian" w:hAnsi="Times New Roman" w:cs="Times New Roman"/>
          <w:sz w:val="28"/>
          <w:szCs w:val="28"/>
          <w:lang w:val="kk-KZ" w:eastAsia="zh-CN"/>
        </w:rPr>
        <w:t xml:space="preserve">6,1%-ы «іштен-сыртқа» тәсілден пайда алатынына сенетінін көрсетті.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Ашық инновациялар кәсіпорындардың инновацияларды басқарудың берік құрылымын және әдетте шағын және орта бизнеске бөтен болып табылатын көптеген технологияларды кеңінен біріктіруді талап ет</w:t>
      </w:r>
      <w:r>
        <w:rPr>
          <w:rFonts w:ascii="Times New Roman" w:eastAsia="DengXian" w:hAnsi="Times New Roman" w:cs="Times New Roman"/>
          <w:sz w:val="28"/>
          <w:szCs w:val="28"/>
          <w:lang w:val="kk-KZ" w:eastAsia="zh-CN"/>
        </w:rPr>
        <w:t>еді. Сондықтан, ашық инновациялардың сырттан-ішке кәсіпорындарда ең көп қабылданған және зерттеушілер де ең көп зерттейтін тәсіл болып табылады [45, р. 161-1-161-26].</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сәйкессіздікті сауалнамаға қатысқан кәсіпорындардың көпшілігінің ашық инновация тұжыр</w:t>
      </w:r>
      <w:r>
        <w:rPr>
          <w:rFonts w:ascii="Times New Roman" w:eastAsia="DengXian" w:hAnsi="Times New Roman" w:cs="Times New Roman"/>
          <w:sz w:val="28"/>
          <w:szCs w:val="28"/>
          <w:lang w:val="kk-KZ" w:eastAsia="zh-CN"/>
        </w:rPr>
        <w:t>ымдамасы және оның әртүрлі тәсілдері туралы алдын ала білімінің жоқ болуымен түсіндіруге болады, іс жүзінде респонденттердің 20%-ға жуығы бұл сұраққа жауап бермеді. Дегенмен, іріктеу негізінен жас микрокәсіпорындар мен кәсіпорындардан тұратынын ескере отыр</w:t>
      </w:r>
      <w:r>
        <w:rPr>
          <w:rFonts w:ascii="Times New Roman" w:eastAsia="DengXian" w:hAnsi="Times New Roman" w:cs="Times New Roman"/>
          <w:sz w:val="28"/>
          <w:szCs w:val="28"/>
          <w:lang w:val="kk-KZ" w:eastAsia="zh-CN"/>
        </w:rPr>
        <w:t>ып, жүйелі түрде инновациялар енгізуге қаржылық ресурстары жоқ болуы мүмкін, олар әртүрлі проблемалары мен қиындықтарына сыртқы шешімдерді таба отырып, сыртқы модельдерден үлкен пайда таба алады.</w:t>
      </w:r>
    </w:p>
    <w:p w:rsidR="005118AF" w:rsidRDefault="00EF60C3">
      <w:pPr>
        <w:spacing w:after="0" w:line="240" w:lineRule="auto"/>
        <w:ind w:firstLineChars="253" w:firstLine="708"/>
        <w:jc w:val="both"/>
        <w:rPr>
          <w:rFonts w:ascii="Times New Roman" w:eastAsia="DengXian" w:hAnsi="Times New Roman" w:cs="Times New Roman"/>
          <w:i/>
          <w:iCs/>
          <w:sz w:val="28"/>
          <w:szCs w:val="28"/>
          <w:lang w:val="kk-KZ" w:eastAsia="zh-CN"/>
        </w:rPr>
      </w:pPr>
      <w:r>
        <w:rPr>
          <w:rFonts w:ascii="Times New Roman" w:eastAsia="DengXian" w:hAnsi="Times New Roman" w:cs="Times New Roman"/>
          <w:i/>
          <w:iCs/>
          <w:sz w:val="28"/>
          <w:szCs w:val="28"/>
          <w:lang w:val="kk-KZ" w:eastAsia="zh-CN"/>
        </w:rPr>
        <w:t>Инновациялық үдерістегі сыртқы серіктестермен ынтымақтастық</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Сауалнама барысында респонденттерге олардың кәсіпорындарының инновациялық үдерісіне қатысатын бес негізгі сыртқы қатысушымен: жеткізушілермен, тұтынушылармен, университеттермен және ғылыми-зерттеу орталықтарымен, бәсекелестермен, сондай-ақ тәуелсіз сарапшы</w:t>
      </w:r>
      <w:r>
        <w:rPr>
          <w:rFonts w:ascii="Times New Roman" w:eastAsia="DengXian" w:hAnsi="Times New Roman" w:cs="Times New Roman"/>
          <w:sz w:val="28"/>
          <w:szCs w:val="28"/>
          <w:lang w:val="kk-KZ" w:eastAsia="zh-CN"/>
        </w:rPr>
        <w:t>лармен өзара әрекеттесу деңгейін бағалау ұсынылды. Әрбір ынтымақтастық бағыты жеке бөлім ретінде қарастырылып, бірнеше сұрақтан тұрды. Жауаптар 1-ден 5-ке дейінгі Лайкерт шкаласы бойынша тіркелді. Көп тармақты шкалалардың ішкі үйлесімділігі мен сенімділігі</w:t>
      </w:r>
      <w:r>
        <w:rPr>
          <w:rFonts w:ascii="Times New Roman" w:eastAsia="DengXian" w:hAnsi="Times New Roman" w:cs="Times New Roman"/>
          <w:sz w:val="28"/>
          <w:szCs w:val="28"/>
          <w:lang w:val="kk-KZ" w:eastAsia="zh-CN"/>
        </w:rPr>
        <w:t>н тексеру үшін Кронбах альфа коэффициенті есептелді. Осы айнымалылар бойынша статистикалық қорытындылар 31-кестеде ұсынылған, онда сонымен қатар кәсіпорындардың инновациялық белсенділік деңгейі мен жаңалықтарды енгізуге бейімділігін көрсететін мәндер де ке</w:t>
      </w:r>
      <w:r>
        <w:rPr>
          <w:rFonts w:ascii="Times New Roman" w:eastAsia="DengXian" w:hAnsi="Times New Roman" w:cs="Times New Roman"/>
          <w:sz w:val="28"/>
          <w:szCs w:val="28"/>
          <w:lang w:val="kk-KZ" w:eastAsia="zh-CN"/>
        </w:rPr>
        <w:t>лтірілген [239].</w:t>
      </w:r>
    </w:p>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31 ‒ Лайкерт шкаласы арқылы бағаланатын айнымалылардың негізділігінің статистикалық қорытындысы</w:t>
      </w:r>
    </w:p>
    <w:p w:rsidR="005118AF" w:rsidRDefault="005118AF">
      <w:pPr>
        <w:spacing w:after="0" w:line="240" w:lineRule="auto"/>
        <w:jc w:val="both"/>
        <w:rPr>
          <w:rFonts w:ascii="Times New Roman" w:eastAsia="DengXi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553"/>
        <w:gridCol w:w="1533"/>
        <w:gridCol w:w="1533"/>
        <w:gridCol w:w="1533"/>
      </w:tblGrid>
      <w:tr w:rsidR="005118AF">
        <w:trPr>
          <w:jc w:val="center"/>
        </w:trPr>
        <w:tc>
          <w:tcPr>
            <w:tcW w:w="3374"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Айнымалы</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Сұрақтар</w:t>
            </w:r>
          </w:p>
        </w:tc>
        <w:tc>
          <w:tcPr>
            <w:tcW w:w="1533" w:type="dxa"/>
            <w:vAlign w:val="center"/>
          </w:tcPr>
          <w:p w:rsidR="005118AF" w:rsidRDefault="00EF60C3">
            <w:pPr>
              <w:spacing w:after="0" w:line="240" w:lineRule="auto"/>
              <w:ind w:left="-121"/>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Кронбах</w:t>
            </w:r>
            <w:r>
              <w:rPr>
                <w:rFonts w:ascii="Times New Roman" w:eastAsia="DengXian" w:hAnsi="Times New Roman" w:cs="Times New Roman"/>
                <w:sz w:val="24"/>
                <w:szCs w:val="24"/>
                <w:lang w:eastAsia="zh-CN"/>
              </w:rPr>
              <w:t>ты</w:t>
            </w:r>
            <w:r>
              <w:rPr>
                <w:rFonts w:ascii="Times New Roman" w:eastAsia="DengXian" w:hAnsi="Times New Roman" w:cs="Times New Roman"/>
                <w:sz w:val="24"/>
                <w:szCs w:val="24"/>
                <w:lang w:val="kk-KZ" w:eastAsia="zh-CN"/>
              </w:rPr>
              <w:t>ң</w:t>
            </w:r>
            <w:r>
              <w:rPr>
                <w:rFonts w:ascii="Times New Roman" w:eastAsia="DengXian" w:hAnsi="Times New Roman" w:cs="Times New Roman"/>
                <w:sz w:val="24"/>
                <w:szCs w:val="24"/>
                <w:lang w:val="kk-KZ" w:eastAsia="zh-CN"/>
              </w:rPr>
              <w:t xml:space="preserve"> α</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Іріктемелі орта</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Стандартты ауытқу</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Клиенттермен ынтымақтастық</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w:t>
            </w:r>
            <w:r>
              <w:rPr>
                <w:rFonts w:ascii="Times New Roman" w:eastAsia="DengXian" w:hAnsi="Times New Roman" w:cs="Times New Roman"/>
                <w:sz w:val="24"/>
                <w:szCs w:val="24"/>
                <w:lang w:val="en-US" w:eastAsia="zh-CN"/>
              </w:rPr>
              <w:t>77</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2,</w:t>
            </w:r>
            <w:r>
              <w:rPr>
                <w:rFonts w:ascii="Times New Roman" w:eastAsia="DengXian" w:hAnsi="Times New Roman" w:cs="Times New Roman"/>
                <w:sz w:val="24"/>
                <w:szCs w:val="24"/>
                <w:lang w:val="en-US" w:eastAsia="zh-CN"/>
              </w:rPr>
              <w:t>75</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1,00</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Жабдықтаушылармен </w:t>
            </w:r>
            <w:r>
              <w:rPr>
                <w:rFonts w:ascii="Times New Roman" w:eastAsia="DengXian" w:hAnsi="Times New Roman" w:cs="Times New Roman"/>
                <w:sz w:val="24"/>
                <w:szCs w:val="24"/>
                <w:lang w:val="kk-KZ" w:eastAsia="zh-CN"/>
              </w:rPr>
              <w:t>ынтымақтастық</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w:t>
            </w:r>
            <w:r>
              <w:rPr>
                <w:rFonts w:ascii="Times New Roman" w:eastAsia="DengXian" w:hAnsi="Times New Roman" w:cs="Times New Roman"/>
                <w:sz w:val="24"/>
                <w:szCs w:val="24"/>
                <w:lang w:val="en-US" w:eastAsia="zh-CN"/>
              </w:rPr>
              <w:t>82</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2</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en-US" w:eastAsia="zh-CN"/>
              </w:rPr>
              <w:t>95</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r>
              <w:rPr>
                <w:rFonts w:ascii="Times New Roman" w:eastAsia="DengXian" w:hAnsi="Times New Roman" w:cs="Times New Roman"/>
                <w:sz w:val="24"/>
                <w:szCs w:val="24"/>
                <w:lang w:val="en-US" w:eastAsia="zh-CN"/>
              </w:rPr>
              <w:t>22</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Бәсекелестермен ынтымақтастық</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w:t>
            </w:r>
            <w:r>
              <w:rPr>
                <w:rFonts w:ascii="Times New Roman" w:eastAsia="DengXian" w:hAnsi="Times New Roman" w:cs="Times New Roman"/>
                <w:sz w:val="24"/>
                <w:szCs w:val="24"/>
                <w:lang w:val="en-US" w:eastAsia="zh-CN"/>
              </w:rPr>
              <w:t>79</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1</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en-US" w:eastAsia="zh-CN"/>
              </w:rPr>
              <w:t>98</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1,</w:t>
            </w:r>
            <w:r>
              <w:rPr>
                <w:rFonts w:ascii="Times New Roman" w:eastAsia="DengXian" w:hAnsi="Times New Roman" w:cs="Times New Roman"/>
                <w:sz w:val="24"/>
                <w:szCs w:val="24"/>
                <w:lang w:val="en-US" w:eastAsia="zh-CN"/>
              </w:rPr>
              <w:t>18</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Университеттермен ынтымақтастық</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0,9</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2,</w:t>
            </w:r>
            <w:r>
              <w:rPr>
                <w:rFonts w:ascii="Times New Roman" w:eastAsia="DengXian" w:hAnsi="Times New Roman" w:cs="Times New Roman"/>
                <w:sz w:val="24"/>
                <w:szCs w:val="24"/>
                <w:lang w:val="en-US" w:eastAsia="zh-CN"/>
              </w:rPr>
              <w:t>25</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1,</w:t>
            </w:r>
            <w:r>
              <w:rPr>
                <w:rFonts w:ascii="Times New Roman" w:eastAsia="DengXian" w:hAnsi="Times New Roman" w:cs="Times New Roman"/>
                <w:sz w:val="24"/>
                <w:szCs w:val="24"/>
                <w:lang w:val="en-US" w:eastAsia="zh-CN"/>
              </w:rPr>
              <w:t>09</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Тәуелсіз сарапшылармен ынтымақтастық</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0,8</w:t>
            </w:r>
            <w:r>
              <w:rPr>
                <w:rFonts w:ascii="Times New Roman" w:eastAsia="DengXian" w:hAnsi="Times New Roman" w:cs="Times New Roman"/>
                <w:sz w:val="24"/>
                <w:szCs w:val="24"/>
                <w:lang w:val="en-US" w:eastAsia="zh-CN"/>
              </w:rPr>
              <w:t>3</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2,</w:t>
            </w:r>
            <w:r>
              <w:rPr>
                <w:rFonts w:ascii="Times New Roman" w:eastAsia="DengXian" w:hAnsi="Times New Roman" w:cs="Times New Roman"/>
                <w:sz w:val="24"/>
                <w:szCs w:val="24"/>
                <w:lang w:val="en-US" w:eastAsia="zh-CN"/>
              </w:rPr>
              <w:t>38</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1,2</w:t>
            </w:r>
            <w:r>
              <w:rPr>
                <w:rFonts w:ascii="Times New Roman" w:eastAsia="DengXian" w:hAnsi="Times New Roman" w:cs="Times New Roman"/>
                <w:sz w:val="24"/>
                <w:szCs w:val="24"/>
                <w:lang w:val="en-US" w:eastAsia="zh-CN"/>
              </w:rPr>
              <w:t>1</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Инновацияның өнімділігі</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6</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0,9</w:t>
            </w:r>
            <w:r>
              <w:rPr>
                <w:rFonts w:ascii="Times New Roman" w:eastAsia="DengXian" w:hAnsi="Times New Roman" w:cs="Times New Roman"/>
                <w:sz w:val="24"/>
                <w:szCs w:val="24"/>
                <w:lang w:val="en-US" w:eastAsia="zh-CN"/>
              </w:rPr>
              <w:t>2</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2,</w:t>
            </w:r>
            <w:r>
              <w:rPr>
                <w:rFonts w:ascii="Times New Roman" w:eastAsia="DengXian" w:hAnsi="Times New Roman" w:cs="Times New Roman"/>
                <w:sz w:val="24"/>
                <w:szCs w:val="24"/>
                <w:lang w:val="en-US" w:eastAsia="zh-CN"/>
              </w:rPr>
              <w:t>77</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1,</w:t>
            </w:r>
            <w:r>
              <w:rPr>
                <w:rFonts w:ascii="Times New Roman" w:eastAsia="DengXian" w:hAnsi="Times New Roman" w:cs="Times New Roman"/>
                <w:sz w:val="24"/>
                <w:szCs w:val="24"/>
                <w:lang w:val="en-US" w:eastAsia="zh-CN"/>
              </w:rPr>
              <w:t>14</w:t>
            </w:r>
          </w:p>
        </w:tc>
      </w:tr>
      <w:tr w:rsidR="005118AF">
        <w:trPr>
          <w:jc w:val="center"/>
        </w:trPr>
        <w:tc>
          <w:tcPr>
            <w:tcW w:w="3374" w:type="dxa"/>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Инновацияға бейімділік</w:t>
            </w:r>
          </w:p>
        </w:tc>
        <w:tc>
          <w:tcPr>
            <w:tcW w:w="155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0,9</w:t>
            </w:r>
            <w:r>
              <w:rPr>
                <w:rFonts w:ascii="Times New Roman" w:eastAsia="DengXian" w:hAnsi="Times New Roman" w:cs="Times New Roman"/>
                <w:sz w:val="24"/>
                <w:szCs w:val="24"/>
                <w:lang w:val="en-US" w:eastAsia="zh-CN"/>
              </w:rPr>
              <w:t>3</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3,</w:t>
            </w:r>
            <w:r>
              <w:rPr>
                <w:rFonts w:ascii="Times New Roman" w:eastAsia="DengXian" w:hAnsi="Times New Roman" w:cs="Times New Roman"/>
                <w:sz w:val="24"/>
                <w:szCs w:val="24"/>
                <w:lang w:val="en-US" w:eastAsia="zh-CN"/>
              </w:rPr>
              <w:t>62</w:t>
            </w:r>
          </w:p>
        </w:tc>
        <w:tc>
          <w:tcPr>
            <w:tcW w:w="153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r>
              <w:rPr>
                <w:rFonts w:ascii="Times New Roman" w:eastAsia="DengXian" w:hAnsi="Times New Roman" w:cs="Times New Roman"/>
                <w:sz w:val="24"/>
                <w:szCs w:val="24"/>
                <w:lang w:val="en-US" w:eastAsia="zh-CN"/>
              </w:rPr>
              <w:t>3</w:t>
            </w:r>
          </w:p>
        </w:tc>
      </w:tr>
    </w:tbl>
    <w:p w:rsidR="005118AF" w:rsidRDefault="005118AF">
      <w:pPr>
        <w:spacing w:after="0" w:line="240" w:lineRule="auto"/>
        <w:ind w:firstLineChars="214" w:firstLine="599"/>
        <w:jc w:val="both"/>
        <w:rPr>
          <w:rFonts w:ascii="Times New Roman" w:eastAsia="DengXian" w:hAnsi="Times New Roman" w:cs="Times New Roman"/>
          <w:sz w:val="28"/>
          <w:szCs w:val="28"/>
          <w:lang w:eastAsia="zh-CN"/>
        </w:rPr>
      </w:pP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Лайкерт шкаласы бойынша бағаланған айнымалылардың валидтілігін статистикалық қорытындысы зерттеудің өлшем құралдарының сенімділігі мен дәлдігін қамтамасыз ету мақсатында жүзеге асырылады. Бірнеше сұрақ белгілі бір сипаттаманы (мысалы, </w:t>
      </w:r>
      <w:r>
        <w:rPr>
          <w:rFonts w:ascii="Times New Roman" w:eastAsia="DengXian" w:hAnsi="Times New Roman" w:cs="Times New Roman"/>
          <w:sz w:val="28"/>
          <w:szCs w:val="28"/>
          <w:lang w:val="kk-KZ" w:eastAsia="zh-CN"/>
        </w:rPr>
        <w:t>инновациялық ашықтық деңгейін немесе серіктестікке бейімділікті) өлшеуге бағытталған жағдайда, олардың өзара сәйкестігі мен ішкі келісімділігін тексеру қажет. Бұл үшін көбінесе Кронбах альфа коэффициенті қолданылады, ол шкаланың ішкі сенімділігін анықтауға</w:t>
      </w:r>
      <w:r>
        <w:rPr>
          <w:rFonts w:ascii="Times New Roman" w:eastAsia="DengXian" w:hAnsi="Times New Roman" w:cs="Times New Roman"/>
          <w:sz w:val="28"/>
          <w:szCs w:val="28"/>
          <w:lang w:val="kk-KZ" w:eastAsia="zh-CN"/>
        </w:rPr>
        <w:t xml:space="preserve"> мүмкіндік береді. Валидтілік пен сенімділікті бағалау нәтижесінде алынған мәліметтерді кейіннен агрегатталған индекстер түрінде қолдануға болады, бұл инновациялық әлеует, серіктестермен ынтымақтастық деңгейі сияқты күрделі көрсеткіштерді неғұрлым толық си</w:t>
      </w:r>
      <w:r>
        <w:rPr>
          <w:rFonts w:ascii="Times New Roman" w:eastAsia="DengXian" w:hAnsi="Times New Roman" w:cs="Times New Roman"/>
          <w:sz w:val="28"/>
          <w:szCs w:val="28"/>
          <w:lang w:val="kk-KZ" w:eastAsia="zh-CN"/>
        </w:rPr>
        <w:t>паттауға мүмкіндік береді. Сонымен қатар, мұндай статистикалық талдау жүргізу эмпирикалық базаның ғылыми негізділігін арттырып, алынған нәтижелердің сапасын қамтамасыз етеді.</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Кронбах альфасы көрсеткіші шкала элементтерінің ішкі сәйкестігін сипаттайды: оның</w:t>
      </w:r>
      <w:r>
        <w:rPr>
          <w:rFonts w:ascii="Times New Roman" w:eastAsia="DengXian" w:hAnsi="Times New Roman" w:cs="Times New Roman"/>
          <w:sz w:val="28"/>
          <w:szCs w:val="28"/>
          <w:lang w:val="kk-KZ" w:eastAsia="zh-CN"/>
        </w:rPr>
        <w:t xml:space="preserve"> мәні 1-ге неғұрлым жақын болса, алынған деректердің сенімділігі соғұрлым жоғары болады. Зерттеуімізде талданған айнымалылар бойынша коэффициенттің мәні 0,77-тен 0,93-ге дейін өзгерді. Әдетте 0,7-тен жоғары мәндер қанағаттанарлық деп, ал 0,8-ден жоғары мән</w:t>
      </w:r>
      <w:r>
        <w:rPr>
          <w:rFonts w:ascii="Times New Roman" w:eastAsia="DengXian" w:hAnsi="Times New Roman" w:cs="Times New Roman"/>
          <w:sz w:val="28"/>
          <w:szCs w:val="28"/>
          <w:lang w:val="kk-KZ" w:eastAsia="zh-CN"/>
        </w:rPr>
        <w:t>дер қолайлы деп есептеледі. Сонымен қатар, бірқатар зерттеушілер 0,60–0,92 аралығындағы мәндерді де эмпирикалық зерттеулер үшін қолайлы деп қарастырады [46, р. 161-1-161-26].</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Жүргізілген сауалнама нәтижелері кәсіпорындардың инновациялық үдерісте сыртқы </w:t>
      </w:r>
      <w:r>
        <w:rPr>
          <w:rFonts w:ascii="Times New Roman" w:eastAsia="DengXian" w:hAnsi="Times New Roman" w:cs="Times New Roman"/>
          <w:sz w:val="28"/>
          <w:szCs w:val="28"/>
          <w:lang w:val="kk-KZ" w:eastAsia="zh-CN"/>
        </w:rPr>
        <w:t>әріптестермен</w:t>
      </w:r>
      <w:r>
        <w:rPr>
          <w:rFonts w:ascii="Times New Roman" w:eastAsia="DengXian" w:hAnsi="Times New Roman" w:cs="Times New Roman"/>
          <w:sz w:val="28"/>
          <w:szCs w:val="28"/>
          <w:lang w:val="kk-KZ" w:eastAsia="zh-CN"/>
        </w:rPr>
        <w:t xml:space="preserve"> ынтымақтастық деңгейінің төмендігін көрсетті. Барлық талданған бағыттар бойынша орташа көрсеткіштер 1-ден 5-ке дейінгі бағалау шкаласында негізінен 2-3 деңгейінде болды. Бұл кәсіпорындардың сыртқы байланыстарды жеткілікті дәрежеде дамытпағаны</w:t>
      </w:r>
      <w:r>
        <w:rPr>
          <w:rFonts w:ascii="Times New Roman" w:eastAsia="DengXian" w:hAnsi="Times New Roman" w:cs="Times New Roman"/>
          <w:sz w:val="28"/>
          <w:szCs w:val="28"/>
          <w:lang w:val="kk-KZ" w:eastAsia="zh-CN"/>
        </w:rPr>
        <w:t>н аңғартады. Сонымен қатар, талдау нәтижелері бойынша ең жоғары көрсеткіш жеткізушілермен орнаған ынтымақтастыққа тән екені анықталды.</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Бір жағынан, кәсіпорындардың ең әлсіз байланыстары университеттермен және бәсекелестермен орнатылған қатынастарға сәйкес </w:t>
      </w:r>
      <w:r>
        <w:rPr>
          <w:rFonts w:ascii="Times New Roman" w:eastAsia="DengXian" w:hAnsi="Times New Roman" w:cs="Times New Roman"/>
          <w:sz w:val="28"/>
          <w:szCs w:val="28"/>
          <w:lang w:val="kk-KZ" w:eastAsia="zh-CN"/>
        </w:rPr>
        <w:t>келеді. Бәсекелестермен өзара әрекеттесу көрсеткіші ең төмен бағаланған айнымалылардың бірі болып шықты. Осындай қорытындылар Австриядағы әртүрлі кәсіпорындар үлгісінде жүргізілген зерттеулерде де байқалған [94, р. 226-232]. Аталған бөлімде олардың әдістем</w:t>
      </w:r>
      <w:r>
        <w:rPr>
          <w:rFonts w:ascii="Times New Roman" w:eastAsia="DengXian" w:hAnsi="Times New Roman" w:cs="Times New Roman"/>
          <w:sz w:val="28"/>
          <w:szCs w:val="28"/>
          <w:lang w:val="kk-KZ" w:eastAsia="zh-CN"/>
        </w:rPr>
        <w:t>елік негізі қолданылып, қосымша төрт сыртқы қатысушы түрі (делдалдар, қауымдастықтар, үкіметтік емес ұйымдар және мемлекеттік мекемелер) қарастырылды. Тікелей бәсекелестермен бірлесе жұмыс істеуде туындайтын сенімсіздік пен белгісіздікті ескерсек, мұндай н</w:t>
      </w:r>
      <w:r>
        <w:rPr>
          <w:rFonts w:ascii="Times New Roman" w:eastAsia="DengXian" w:hAnsi="Times New Roman" w:cs="Times New Roman"/>
          <w:sz w:val="28"/>
          <w:szCs w:val="28"/>
          <w:lang w:val="kk-KZ" w:eastAsia="zh-CN"/>
        </w:rPr>
        <w:t>әтиженің</w:t>
      </w:r>
      <w:r>
        <w:rPr>
          <w:rFonts w:ascii="Times New Roman" w:eastAsia="DengXian" w:hAnsi="Times New Roman" w:cs="Times New Roman"/>
          <w:sz w:val="28"/>
          <w:szCs w:val="28"/>
          <w:lang w:val="kk-KZ" w:eastAsia="zh-CN"/>
        </w:rPr>
        <w:t xml:space="preserve"> табиғи екендігі түсінікті. Сонымен қатар, дәл осындай жүргізілген зерттеу нәтижелері бойынша зерттеушілердің пайымдауынша, университеттермен ынтымақтастық ең жоғары бағаланған бағыттардың бірі болып табылады (орташа көрсеткіші – 3,71), ол тек тұты</w:t>
      </w:r>
      <w:r>
        <w:rPr>
          <w:rFonts w:ascii="Times New Roman" w:eastAsia="DengXian" w:hAnsi="Times New Roman" w:cs="Times New Roman"/>
          <w:sz w:val="28"/>
          <w:szCs w:val="28"/>
          <w:lang w:val="kk-KZ" w:eastAsia="zh-CN"/>
        </w:rPr>
        <w:t xml:space="preserve">нушылармен қатынастардан кейінгі деңгейде орналасқан. Алайда бұл сауалнама нәтижесі бойынша өзгеше қарқын анықталып отыр. </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«Инновациялар өнімділігі» (6 сұрақ) және «Инновацияға бейімділік» (4 сұрақ) айнымалылары бойынша орташа балл тиісінше 5-тен 2,82 және</w:t>
      </w:r>
      <w:r>
        <w:rPr>
          <w:rFonts w:ascii="Times New Roman" w:eastAsia="DengXian" w:hAnsi="Times New Roman" w:cs="Times New Roman"/>
          <w:sz w:val="28"/>
          <w:szCs w:val="28"/>
          <w:lang w:val="kk-KZ" w:eastAsia="zh-CN"/>
        </w:rPr>
        <w:t xml:space="preserve"> 5-тен 3,56 болды.</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Кәсіпорындардың жалпы инновациялық мүмкіндіктері де айтарлықтай жетіспейді (7 сұрақ), ал инновациялар үшін бюджет минималды. Дегенмен, жауаптар сонымен қатар кейбір кәсіпорындардың кейбір сыртқы серіктестерімен (негізінен жеткізушілермен</w:t>
      </w:r>
      <w:r>
        <w:rPr>
          <w:rFonts w:ascii="Times New Roman" w:eastAsia="DengXian" w:hAnsi="Times New Roman" w:cs="Times New Roman"/>
          <w:sz w:val="28"/>
          <w:szCs w:val="28"/>
          <w:lang w:val="kk-KZ" w:eastAsia="zh-CN"/>
        </w:rPr>
        <w:t>) жақсы қарым-қатынастарды сақтауға алаңдайтынын және бірлескен жобаларға қатысатынын көрсетеді.</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Жалпы алғанда, кәсіпорындардың инновациялық әлеуеті жеткілікті деңгейде дамымаған, ал инновацияларға арналған бюджет көлемі өте шектеулі. Соған қарамастан, алы</w:t>
      </w:r>
      <w:r>
        <w:rPr>
          <w:rFonts w:ascii="Times New Roman" w:eastAsia="DengXian" w:hAnsi="Times New Roman" w:cs="Times New Roman"/>
          <w:sz w:val="28"/>
          <w:szCs w:val="28"/>
          <w:lang w:val="kk-KZ" w:eastAsia="zh-CN"/>
        </w:rPr>
        <w:t>нған жауаптар кейбір кәсіпорындардың өздерінің жекелеген сыртқы серіктестерімен (көбіне жеткізушілермен) тиімді қарым-қатынасты сақтауға ұмтылатынын аңғартады. Тіпті ашық инновацияның теориялық негіздерімен таныс болмаса да, олар бірлескен инновациялық үде</w:t>
      </w:r>
      <w:r>
        <w:rPr>
          <w:rFonts w:ascii="Times New Roman" w:eastAsia="DengXian" w:hAnsi="Times New Roman" w:cs="Times New Roman"/>
          <w:sz w:val="28"/>
          <w:szCs w:val="28"/>
          <w:lang w:val="kk-KZ" w:eastAsia="zh-CN"/>
        </w:rPr>
        <w:t>рістерге белсенді түрде қатысып отырғанын көруге болады.</w:t>
      </w:r>
    </w:p>
    <w:p w:rsidR="005118AF" w:rsidRDefault="00EF60C3">
      <w:pPr>
        <w:spacing w:after="0" w:line="240" w:lineRule="auto"/>
        <w:ind w:firstLineChars="252" w:firstLine="706"/>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Зерттеу барысында қарастырылған келесі сұрақ: «Тамақ өнеркәсібі кәсіпорындардың ашық инновациялар тәжірибесі мен олардың инновациялық тиімділігі арасында оң корреляция бар ма?» болды. Осы сұраққа жау</w:t>
      </w:r>
      <w:r>
        <w:rPr>
          <w:rFonts w:ascii="Times New Roman" w:eastAsia="DengXian" w:hAnsi="Times New Roman" w:cs="Times New Roman"/>
          <w:sz w:val="28"/>
          <w:szCs w:val="28"/>
          <w:lang w:val="kk-KZ" w:eastAsia="zh-CN"/>
        </w:rPr>
        <w:t>ап беру үшін сауалнама нәтижелеріне негізделген статистикалық талдау жүргізілді. Талдау барысында Пирсон корреляция коэффициенті мен бенчмаркинг әдісі қолданылды. Нәтижесінде кәсіпорындардың орташа инновациялық тиімділігі мен олардың бес түрлі сыртқы субъе</w:t>
      </w:r>
      <w:r>
        <w:rPr>
          <w:rFonts w:ascii="Times New Roman" w:eastAsia="DengXian" w:hAnsi="Times New Roman" w:cs="Times New Roman"/>
          <w:sz w:val="28"/>
          <w:szCs w:val="28"/>
          <w:lang w:val="kk-KZ" w:eastAsia="zh-CN"/>
        </w:rPr>
        <w:t>ктілермен (жеткізушілер, тұтынушылар, университеттер, бәсекелестер және тәуелсіз сарапшылар) ынтымақтастық деңгейі арасында статистикалық тұрғыдан мәнді оң байланыс анықталды (Пирсон корреляция коэффициенті &gt; 0,7).</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32-кестедегі нәтижелерді талдай отырып, к</w:t>
      </w:r>
      <w:r>
        <w:rPr>
          <w:rFonts w:ascii="Times New Roman" w:eastAsia="DengXian" w:hAnsi="Times New Roman" w:cs="Times New Roman"/>
          <w:sz w:val="28"/>
          <w:szCs w:val="28"/>
          <w:lang w:val="kk-KZ" w:eastAsia="zh-CN"/>
        </w:rPr>
        <w:t>әсіпорындардың</w:t>
      </w:r>
      <w:r>
        <w:rPr>
          <w:rFonts w:ascii="Times New Roman" w:eastAsia="DengXian" w:hAnsi="Times New Roman" w:cs="Times New Roman"/>
          <w:sz w:val="28"/>
          <w:szCs w:val="28"/>
          <w:lang w:val="kk-KZ" w:eastAsia="zh-CN"/>
        </w:rPr>
        <w:t xml:space="preserve"> инновациялық өнімділігі мен олардың әртүрлі сыртқы серіктестермен ынтымақтастығы арасында белгілі бір айырмашылықтар бар екендігі байқалады. Ең жоғары корреляциялық байланыс клиенттермен орнатылған серіктестікте анықталды (r=0,756, p=0,0000)</w:t>
      </w:r>
      <w:r>
        <w:rPr>
          <w:rFonts w:ascii="Times New Roman" w:eastAsia="DengXian" w:hAnsi="Times New Roman" w:cs="Times New Roman"/>
          <w:sz w:val="28"/>
          <w:szCs w:val="28"/>
          <w:lang w:val="kk-KZ" w:eastAsia="zh-CN"/>
        </w:rPr>
        <w:t>. Бұл нәтиже клиенттердің қажеттіліктерін ескеріп, оларды инновациялық үдерістерге белсенді тарту кәсіпорындар үшін инновациялық тиімділікті арттырудың ең маңызды факторларының бірі екенін көрсетеді.</w:t>
      </w: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32 ‒ Инновациялық өнімділік пен әртүрлі сыртқы сер</w:t>
      </w:r>
      <w:r>
        <w:rPr>
          <w:rFonts w:ascii="Times New Roman" w:eastAsia="DengXian" w:hAnsi="Times New Roman" w:cs="Times New Roman"/>
          <w:sz w:val="28"/>
          <w:szCs w:val="28"/>
          <w:lang w:val="kk-KZ" w:eastAsia="zh-CN"/>
        </w:rPr>
        <w:t>іктестермен ынтымақтастық арасындағы Пирсон корреляциясы</w:t>
      </w:r>
    </w:p>
    <w:p w:rsidR="005118AF" w:rsidRDefault="005118AF">
      <w:pPr>
        <w:spacing w:after="0" w:line="240" w:lineRule="auto"/>
        <w:ind w:firstLineChars="214" w:firstLine="342"/>
        <w:jc w:val="both"/>
        <w:rPr>
          <w:rFonts w:ascii="Times New Roman" w:eastAsia="DengXian" w:hAnsi="Times New Roman" w:cs="Times New Roman"/>
          <w:sz w:val="16"/>
          <w:szCs w:val="16"/>
          <w:lang w:val="kk-KZ" w:eastAsia="zh-CN"/>
        </w:rPr>
      </w:pPr>
    </w:p>
    <w:tbl>
      <w:tblPr>
        <w:tblStyle w:val="ae"/>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9"/>
        <w:gridCol w:w="1307"/>
        <w:gridCol w:w="1080"/>
        <w:gridCol w:w="1400"/>
        <w:gridCol w:w="1067"/>
        <w:gridCol w:w="1293"/>
        <w:gridCol w:w="1241"/>
      </w:tblGrid>
      <w:tr w:rsidR="005118AF">
        <w:trPr>
          <w:jc w:val="center"/>
        </w:trPr>
        <w:tc>
          <w:tcPr>
            <w:tcW w:w="2159"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Атау </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Инновациялық өнімділік</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Клиен</w:t>
            </w:r>
            <w:r>
              <w:rPr>
                <w:rFonts w:ascii="Times New Roman" w:eastAsia="DengXian" w:hAnsi="Times New Roman" w:cs="Times New Roman"/>
                <w:sz w:val="24"/>
                <w:szCs w:val="24"/>
                <w:lang w:eastAsia="zh-CN"/>
              </w:rPr>
              <w:t>т</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тер</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kk-KZ" w:eastAsia="zh-CN"/>
              </w:rPr>
              <w:t>Жабдық</w:t>
            </w:r>
          </w:p>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таушылар</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Бәсеке</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лестер</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Универ с</w:t>
            </w:r>
            <w:r>
              <w:rPr>
                <w:rFonts w:ascii="Times New Roman" w:eastAsia="DengXian" w:hAnsi="Times New Roman" w:cs="Times New Roman"/>
                <w:sz w:val="24"/>
                <w:szCs w:val="24"/>
                <w:lang w:eastAsia="zh-CN"/>
              </w:rPr>
              <w:t>и</w:t>
            </w:r>
            <w:r>
              <w:rPr>
                <w:rFonts w:ascii="Times New Roman" w:eastAsia="DengXian" w:hAnsi="Times New Roman" w:cs="Times New Roman"/>
                <w:sz w:val="24"/>
                <w:szCs w:val="24"/>
                <w:lang w:val="kk-KZ" w:eastAsia="zh-CN"/>
              </w:rPr>
              <w:t>теттер</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Тәуелсіз сарапшылар</w:t>
            </w:r>
          </w:p>
        </w:tc>
      </w:tr>
      <w:tr w:rsidR="005118AF">
        <w:trPr>
          <w:jc w:val="center"/>
        </w:trPr>
        <w:tc>
          <w:tcPr>
            <w:tcW w:w="2159" w:type="dxa"/>
            <w:vMerge w:val="restart"/>
            <w:vAlign w:val="center"/>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Инновациялық өнімділік</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Корреля</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 xml:space="preserve">ция </w:t>
            </w:r>
            <w:r>
              <w:rPr>
                <w:rFonts w:ascii="Times New Roman" w:eastAsia="DengXian" w:hAnsi="Times New Roman" w:cs="Times New Roman"/>
                <w:sz w:val="24"/>
                <w:szCs w:val="24"/>
                <w:lang w:val="en-US" w:eastAsia="zh-CN"/>
              </w:rPr>
              <w:t>(r)</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0,756</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0,621</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0</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en-US" w:eastAsia="zh-CN"/>
              </w:rPr>
              <w:t>4</w:t>
            </w:r>
            <w:r>
              <w:rPr>
                <w:rFonts w:ascii="Times New Roman" w:eastAsia="DengXian" w:hAnsi="Times New Roman" w:cs="Times New Roman"/>
                <w:sz w:val="24"/>
                <w:szCs w:val="24"/>
                <w:lang w:eastAsia="zh-CN"/>
              </w:rPr>
              <w:t>834</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0</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en-US" w:eastAsia="zh-CN"/>
              </w:rPr>
              <w:t>5</w:t>
            </w:r>
            <w:r>
              <w:rPr>
                <w:rFonts w:ascii="Times New Roman" w:eastAsia="DengXian" w:hAnsi="Times New Roman" w:cs="Times New Roman"/>
                <w:sz w:val="24"/>
                <w:szCs w:val="24"/>
                <w:lang w:eastAsia="zh-CN"/>
              </w:rPr>
              <w:t>847</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0,6531</w:t>
            </w:r>
          </w:p>
        </w:tc>
      </w:tr>
      <w:tr w:rsidR="005118AF">
        <w:trPr>
          <w:jc w:val="center"/>
        </w:trPr>
        <w:tc>
          <w:tcPr>
            <w:tcW w:w="2159" w:type="dxa"/>
            <w:vMerge/>
            <w:vAlign w:val="center"/>
          </w:tcPr>
          <w:p w:rsidR="005118AF" w:rsidRDefault="005118AF">
            <w:pPr>
              <w:spacing w:after="0" w:line="240" w:lineRule="auto"/>
              <w:rPr>
                <w:rFonts w:ascii="Times New Roman" w:eastAsia="DengXian" w:hAnsi="Times New Roman" w:cs="Times New Roman"/>
                <w:sz w:val="24"/>
                <w:szCs w:val="24"/>
                <w:lang w:val="kk-KZ" w:eastAsia="zh-CN"/>
              </w:rPr>
            </w:pP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en-US" w:eastAsia="zh-CN"/>
              </w:rPr>
              <w:t>P-</w:t>
            </w:r>
            <w:r>
              <w:rPr>
                <w:rFonts w:ascii="Times New Roman" w:eastAsia="DengXian" w:hAnsi="Times New Roman" w:cs="Times New Roman"/>
                <w:sz w:val="24"/>
                <w:szCs w:val="24"/>
                <w:lang w:val="kk-KZ" w:eastAsia="zh-CN"/>
              </w:rPr>
              <w:t>мән</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0,000</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val="en-US" w:eastAsia="zh-CN"/>
              </w:rPr>
              <w:t>0,00000</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0,0064</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r>
      <w:tr w:rsidR="005118AF">
        <w:trPr>
          <w:jc w:val="center"/>
        </w:trPr>
        <w:tc>
          <w:tcPr>
            <w:tcW w:w="2159" w:type="dxa"/>
            <w:vMerge w:val="restart"/>
            <w:vAlign w:val="center"/>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Клиенттер</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0,756</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Корреляция </w:t>
            </w:r>
            <w:r>
              <w:rPr>
                <w:rFonts w:ascii="Times New Roman" w:eastAsia="DengXian" w:hAnsi="Times New Roman" w:cs="Times New Roman"/>
                <w:sz w:val="24"/>
                <w:szCs w:val="24"/>
                <w:lang w:val="en-US" w:eastAsia="zh-CN"/>
              </w:rPr>
              <w:t>(r)</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0,7351</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0,5759</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0,602</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0,771</w:t>
            </w:r>
          </w:p>
        </w:tc>
      </w:tr>
      <w:tr w:rsidR="005118AF">
        <w:trPr>
          <w:jc w:val="center"/>
        </w:trPr>
        <w:tc>
          <w:tcPr>
            <w:tcW w:w="2159" w:type="dxa"/>
            <w:vMerge/>
            <w:vAlign w:val="center"/>
          </w:tcPr>
          <w:p w:rsidR="005118AF" w:rsidRDefault="005118AF">
            <w:pPr>
              <w:spacing w:after="0" w:line="240" w:lineRule="auto"/>
              <w:rPr>
                <w:rFonts w:ascii="Times New Roman" w:eastAsia="DengXian" w:hAnsi="Times New Roman" w:cs="Times New Roman"/>
                <w:sz w:val="24"/>
                <w:szCs w:val="24"/>
                <w:lang w:val="kk-KZ" w:eastAsia="zh-CN"/>
              </w:rPr>
            </w:pP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P-</w:t>
            </w:r>
            <w:r>
              <w:rPr>
                <w:rFonts w:ascii="Times New Roman" w:eastAsia="DengXian" w:hAnsi="Times New Roman" w:cs="Times New Roman"/>
                <w:sz w:val="24"/>
                <w:szCs w:val="24"/>
                <w:lang w:val="kk-KZ" w:eastAsia="zh-CN"/>
              </w:rPr>
              <w:t>мән</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0,0001</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0,0001</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r>
      <w:tr w:rsidR="005118AF">
        <w:trPr>
          <w:jc w:val="center"/>
        </w:trPr>
        <w:tc>
          <w:tcPr>
            <w:tcW w:w="2159" w:type="dxa"/>
            <w:vMerge w:val="restart"/>
            <w:vAlign w:val="center"/>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Жабдықтаушылар</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0,621</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0,7351</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Корреля</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 xml:space="preserve">ция </w:t>
            </w:r>
            <w:r>
              <w:rPr>
                <w:rFonts w:ascii="Times New Roman" w:eastAsia="DengXian" w:hAnsi="Times New Roman" w:cs="Times New Roman"/>
                <w:sz w:val="24"/>
                <w:szCs w:val="24"/>
                <w:lang w:val="en-US" w:eastAsia="zh-CN"/>
              </w:rPr>
              <w:t>(r)</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0,4746</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0,4987</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val="en-US" w:eastAsia="zh-CN"/>
              </w:rPr>
            </w:pPr>
            <w:r>
              <w:rPr>
                <w:rFonts w:ascii="Times New Roman" w:eastAsia="DengXian" w:hAnsi="Times New Roman" w:cs="Times New Roman"/>
                <w:sz w:val="24"/>
                <w:szCs w:val="24"/>
                <w:lang w:eastAsia="zh-CN"/>
              </w:rPr>
              <w:t>0,</w:t>
            </w:r>
            <w:r>
              <w:rPr>
                <w:rFonts w:ascii="Times New Roman" w:eastAsia="DengXian" w:hAnsi="Times New Roman" w:cs="Times New Roman"/>
                <w:sz w:val="24"/>
                <w:szCs w:val="24"/>
                <w:lang w:val="en-US" w:eastAsia="zh-CN"/>
              </w:rPr>
              <w:t>7</w:t>
            </w:r>
            <w:r>
              <w:rPr>
                <w:rFonts w:ascii="Times New Roman" w:eastAsia="DengXian" w:hAnsi="Times New Roman" w:cs="Times New Roman"/>
                <w:sz w:val="24"/>
                <w:szCs w:val="24"/>
                <w:lang w:eastAsia="zh-CN"/>
              </w:rPr>
              <w:t>275</w:t>
            </w:r>
          </w:p>
        </w:tc>
      </w:tr>
      <w:tr w:rsidR="005118AF">
        <w:trPr>
          <w:trHeight w:val="212"/>
          <w:jc w:val="center"/>
        </w:trPr>
        <w:tc>
          <w:tcPr>
            <w:tcW w:w="2159" w:type="dxa"/>
            <w:vMerge/>
            <w:vAlign w:val="center"/>
          </w:tcPr>
          <w:p w:rsidR="005118AF" w:rsidRDefault="005118AF">
            <w:pPr>
              <w:spacing w:after="0" w:line="240" w:lineRule="auto"/>
              <w:rPr>
                <w:rFonts w:ascii="Times New Roman" w:eastAsia="DengXian" w:hAnsi="Times New Roman" w:cs="Times New Roman"/>
                <w:sz w:val="24"/>
                <w:szCs w:val="24"/>
                <w:lang w:val="kk-KZ" w:eastAsia="zh-CN"/>
              </w:rPr>
            </w:pP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P-</w:t>
            </w:r>
            <w:r>
              <w:rPr>
                <w:rFonts w:ascii="Times New Roman" w:eastAsia="DengXian" w:hAnsi="Times New Roman" w:cs="Times New Roman"/>
                <w:sz w:val="24"/>
                <w:szCs w:val="24"/>
                <w:lang w:val="kk-KZ" w:eastAsia="zh-CN"/>
              </w:rPr>
              <w:t>мән</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0,0005</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r>
      <w:tr w:rsidR="005118AF">
        <w:trPr>
          <w:jc w:val="center"/>
        </w:trPr>
        <w:tc>
          <w:tcPr>
            <w:tcW w:w="2159" w:type="dxa"/>
            <w:vMerge w:val="restart"/>
            <w:vAlign w:val="center"/>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Бәсекелестер</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0</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en-US" w:eastAsia="zh-CN"/>
              </w:rPr>
              <w:t>4</w:t>
            </w:r>
            <w:r>
              <w:rPr>
                <w:rFonts w:ascii="Times New Roman" w:eastAsia="DengXian" w:hAnsi="Times New Roman" w:cs="Times New Roman"/>
                <w:sz w:val="24"/>
                <w:szCs w:val="24"/>
                <w:lang w:eastAsia="zh-CN"/>
              </w:rPr>
              <w:t>834</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0,5759</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0,4746</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Корреляция </w:t>
            </w:r>
            <w:r>
              <w:rPr>
                <w:rFonts w:ascii="Times New Roman" w:eastAsia="DengXian" w:hAnsi="Times New Roman" w:cs="Times New Roman"/>
                <w:sz w:val="24"/>
                <w:szCs w:val="24"/>
                <w:lang w:val="en-US" w:eastAsia="zh-CN"/>
              </w:rPr>
              <w:t>(r)</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0,58</w:t>
            </w:r>
            <w:r>
              <w:rPr>
                <w:rFonts w:ascii="Times New Roman" w:eastAsia="DengXian" w:hAnsi="Times New Roman" w:cs="Times New Roman"/>
                <w:sz w:val="24"/>
                <w:szCs w:val="24"/>
                <w:lang w:val="en-US" w:eastAsia="zh-CN"/>
              </w:rPr>
              <w:t>6</w:t>
            </w:r>
            <w:r>
              <w:rPr>
                <w:rFonts w:ascii="Times New Roman" w:eastAsia="DengXian" w:hAnsi="Times New Roman" w:cs="Times New Roman"/>
                <w:sz w:val="24"/>
                <w:szCs w:val="24"/>
                <w:lang w:eastAsia="zh-CN"/>
              </w:rPr>
              <w:t>2</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0,603</w:t>
            </w:r>
          </w:p>
        </w:tc>
      </w:tr>
      <w:tr w:rsidR="005118AF">
        <w:trPr>
          <w:jc w:val="center"/>
        </w:trPr>
        <w:tc>
          <w:tcPr>
            <w:tcW w:w="2159" w:type="dxa"/>
            <w:vMerge/>
            <w:vAlign w:val="center"/>
          </w:tcPr>
          <w:p w:rsidR="005118AF" w:rsidRDefault="005118AF">
            <w:pPr>
              <w:spacing w:after="0" w:line="240" w:lineRule="auto"/>
              <w:rPr>
                <w:rFonts w:ascii="Times New Roman" w:eastAsia="DengXian" w:hAnsi="Times New Roman" w:cs="Times New Roman"/>
                <w:sz w:val="24"/>
                <w:szCs w:val="24"/>
                <w:lang w:val="kk-KZ" w:eastAsia="zh-CN"/>
              </w:rPr>
            </w:pP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0,0064</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0,0001</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0,0005</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P-</w:t>
            </w:r>
            <w:r>
              <w:rPr>
                <w:rFonts w:ascii="Times New Roman" w:eastAsia="DengXian" w:hAnsi="Times New Roman" w:cs="Times New Roman"/>
                <w:sz w:val="24"/>
                <w:szCs w:val="24"/>
                <w:lang w:val="kk-KZ" w:eastAsia="zh-CN"/>
              </w:rPr>
              <w:t>мән</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r>
      <w:tr w:rsidR="005118AF">
        <w:trPr>
          <w:jc w:val="center"/>
        </w:trPr>
        <w:tc>
          <w:tcPr>
            <w:tcW w:w="2159" w:type="dxa"/>
            <w:vMerge w:val="restart"/>
            <w:vAlign w:val="center"/>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Универси</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теттер</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0</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en-US" w:eastAsia="zh-CN"/>
              </w:rPr>
              <w:t>5</w:t>
            </w:r>
            <w:r>
              <w:rPr>
                <w:rFonts w:ascii="Times New Roman" w:eastAsia="DengXian" w:hAnsi="Times New Roman" w:cs="Times New Roman"/>
                <w:sz w:val="24"/>
                <w:szCs w:val="24"/>
                <w:lang w:eastAsia="zh-CN"/>
              </w:rPr>
              <w:t>847</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0,602</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0,4987</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0,58</w:t>
            </w:r>
            <w:r>
              <w:rPr>
                <w:rFonts w:ascii="Times New Roman" w:eastAsia="DengXian" w:hAnsi="Times New Roman" w:cs="Times New Roman"/>
                <w:sz w:val="24"/>
                <w:szCs w:val="24"/>
                <w:lang w:val="en-US" w:eastAsia="zh-CN"/>
              </w:rPr>
              <w:t>6</w:t>
            </w:r>
            <w:r>
              <w:rPr>
                <w:rFonts w:ascii="Times New Roman" w:eastAsia="DengXian" w:hAnsi="Times New Roman" w:cs="Times New Roman"/>
                <w:sz w:val="24"/>
                <w:szCs w:val="24"/>
                <w:lang w:eastAsia="zh-CN"/>
              </w:rPr>
              <w:t>2</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Корреля</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 xml:space="preserve">ция </w:t>
            </w:r>
            <w:r>
              <w:rPr>
                <w:rFonts w:ascii="Times New Roman" w:eastAsia="DengXian" w:hAnsi="Times New Roman" w:cs="Times New Roman"/>
                <w:sz w:val="24"/>
                <w:szCs w:val="24"/>
                <w:lang w:val="en-US" w:eastAsia="zh-CN"/>
              </w:rPr>
              <w:t>(r)</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0,7445</w:t>
            </w:r>
          </w:p>
        </w:tc>
      </w:tr>
      <w:tr w:rsidR="005118AF">
        <w:trPr>
          <w:jc w:val="center"/>
        </w:trPr>
        <w:tc>
          <w:tcPr>
            <w:tcW w:w="2159" w:type="dxa"/>
            <w:vMerge/>
            <w:vAlign w:val="center"/>
          </w:tcPr>
          <w:p w:rsidR="005118AF" w:rsidRDefault="005118AF">
            <w:pPr>
              <w:spacing w:after="0" w:line="240" w:lineRule="auto"/>
              <w:rPr>
                <w:rFonts w:ascii="Times New Roman" w:eastAsia="DengXian" w:hAnsi="Times New Roman" w:cs="Times New Roman"/>
                <w:sz w:val="24"/>
                <w:szCs w:val="24"/>
                <w:lang w:val="kk-KZ" w:eastAsia="zh-CN"/>
              </w:rPr>
            </w:pP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0,0001</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P-</w:t>
            </w:r>
            <w:r>
              <w:rPr>
                <w:rFonts w:ascii="Times New Roman" w:eastAsia="DengXian" w:hAnsi="Times New Roman" w:cs="Times New Roman"/>
                <w:sz w:val="24"/>
                <w:szCs w:val="24"/>
                <w:lang w:val="kk-KZ" w:eastAsia="zh-CN"/>
              </w:rPr>
              <w:t>мән</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r>
      <w:tr w:rsidR="005118AF">
        <w:trPr>
          <w:jc w:val="center"/>
        </w:trPr>
        <w:tc>
          <w:tcPr>
            <w:tcW w:w="2159" w:type="dxa"/>
            <w:vMerge w:val="restart"/>
            <w:vAlign w:val="center"/>
          </w:tcPr>
          <w:p w:rsidR="005118AF" w:rsidRDefault="00EF60C3">
            <w:pPr>
              <w:spacing w:after="0" w:line="240" w:lineRule="auto"/>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Тәуелсіз сарапшылар</w:t>
            </w: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0,6531</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0,6771</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w:t>
            </w:r>
            <w:r>
              <w:rPr>
                <w:rFonts w:ascii="Times New Roman" w:eastAsia="DengXian" w:hAnsi="Times New Roman" w:cs="Times New Roman"/>
                <w:sz w:val="24"/>
                <w:szCs w:val="24"/>
                <w:lang w:val="en-US" w:eastAsia="zh-CN"/>
              </w:rPr>
              <w:t>7</w:t>
            </w:r>
            <w:r>
              <w:rPr>
                <w:rFonts w:ascii="Times New Roman" w:eastAsia="DengXian" w:hAnsi="Times New Roman" w:cs="Times New Roman"/>
                <w:sz w:val="24"/>
                <w:szCs w:val="24"/>
                <w:lang w:eastAsia="zh-CN"/>
              </w:rPr>
              <w:t>275</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0,603</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0,7445</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Корреля</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eastAsia="zh-CN"/>
              </w:rPr>
              <w:t xml:space="preserve">ция </w:t>
            </w:r>
            <w:r>
              <w:rPr>
                <w:rFonts w:ascii="Times New Roman" w:eastAsia="DengXian" w:hAnsi="Times New Roman" w:cs="Times New Roman"/>
                <w:sz w:val="24"/>
                <w:szCs w:val="24"/>
                <w:lang w:val="en-US" w:eastAsia="zh-CN"/>
              </w:rPr>
              <w:t>(r)</w:t>
            </w:r>
          </w:p>
        </w:tc>
      </w:tr>
      <w:tr w:rsidR="005118AF">
        <w:trPr>
          <w:jc w:val="center"/>
        </w:trPr>
        <w:tc>
          <w:tcPr>
            <w:tcW w:w="2159" w:type="dxa"/>
            <w:vMerge/>
          </w:tcPr>
          <w:p w:rsidR="005118AF" w:rsidRDefault="005118AF">
            <w:pPr>
              <w:spacing w:after="0" w:line="240" w:lineRule="auto"/>
              <w:jc w:val="center"/>
              <w:rPr>
                <w:rFonts w:ascii="Times New Roman" w:eastAsia="DengXian" w:hAnsi="Times New Roman" w:cs="Times New Roman"/>
                <w:sz w:val="24"/>
                <w:szCs w:val="24"/>
                <w:lang w:val="kk-KZ" w:eastAsia="zh-CN"/>
              </w:rPr>
            </w:pPr>
          </w:p>
        </w:tc>
        <w:tc>
          <w:tcPr>
            <w:tcW w:w="130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8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400"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067"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293"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0,0000</w:t>
            </w:r>
          </w:p>
        </w:tc>
        <w:tc>
          <w:tcPr>
            <w:tcW w:w="1241" w:type="dxa"/>
            <w:vAlign w:val="center"/>
          </w:tcPr>
          <w:p w:rsidR="005118AF" w:rsidRDefault="00EF60C3">
            <w:pPr>
              <w:spacing w:after="0" w:line="240" w:lineRule="auto"/>
              <w:jc w:val="center"/>
              <w:rPr>
                <w:rFonts w:ascii="Times New Roman" w:eastAsia="DengXian" w:hAnsi="Times New Roman" w:cs="Times New Roman"/>
                <w:sz w:val="24"/>
                <w:szCs w:val="24"/>
                <w:lang w:eastAsia="zh-CN"/>
              </w:rPr>
            </w:pPr>
            <w:r>
              <w:rPr>
                <w:rFonts w:ascii="Times New Roman" w:eastAsia="DengXian" w:hAnsi="Times New Roman" w:cs="Times New Roman"/>
                <w:sz w:val="24"/>
                <w:szCs w:val="24"/>
                <w:lang w:val="en-US" w:eastAsia="zh-CN"/>
              </w:rPr>
              <w:t>P-</w:t>
            </w:r>
            <w:r>
              <w:rPr>
                <w:rFonts w:ascii="Times New Roman" w:eastAsia="DengXian" w:hAnsi="Times New Roman" w:cs="Times New Roman"/>
                <w:sz w:val="24"/>
                <w:szCs w:val="24"/>
                <w:lang w:val="kk-KZ" w:eastAsia="zh-CN"/>
              </w:rPr>
              <w:t>мән</w:t>
            </w:r>
          </w:p>
        </w:tc>
      </w:tr>
      <w:tr w:rsidR="005118AF">
        <w:trPr>
          <w:jc w:val="center"/>
        </w:trPr>
        <w:tc>
          <w:tcPr>
            <w:tcW w:w="9547" w:type="dxa"/>
            <w:gridSpan w:val="7"/>
          </w:tcPr>
          <w:p w:rsidR="005118AF" w:rsidRDefault="00EF60C3">
            <w:pPr>
              <w:spacing w:after="0" w:line="240" w:lineRule="auto"/>
              <w:ind w:firstLineChars="214" w:firstLine="514"/>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eastAsia="zh-CN"/>
              </w:rPr>
              <w:t>Ескерт</w:t>
            </w:r>
            <w:r>
              <w:rPr>
                <w:rFonts w:ascii="Times New Roman" w:eastAsia="DengXian" w:hAnsi="Times New Roman" w:cs="Times New Roman"/>
                <w:sz w:val="24"/>
                <w:szCs w:val="24"/>
                <w:lang w:val="kk-KZ" w:eastAsia="zh-CN"/>
              </w:rPr>
              <w:t xml:space="preserve">у: </w:t>
            </w:r>
            <w:r>
              <w:rPr>
                <w:rFonts w:ascii="Times New Roman" w:eastAsia="DengXian" w:hAnsi="Times New Roman" w:cs="Times New Roman"/>
                <w:sz w:val="24"/>
                <w:szCs w:val="24"/>
                <w:lang w:val="en-US" w:eastAsia="zh-CN"/>
              </w:rPr>
              <w:t>r</w:t>
            </w:r>
            <w:r>
              <w:rPr>
                <w:rFonts w:ascii="Times New Roman" w:eastAsia="DengXian" w:hAnsi="Times New Roman" w:cs="Times New Roman"/>
                <w:sz w:val="24"/>
                <w:szCs w:val="24"/>
                <w:lang w:eastAsia="zh-CN"/>
              </w:rPr>
              <w:t>=</w:t>
            </w:r>
            <w:r>
              <w:rPr>
                <w:rFonts w:ascii="Times New Roman" w:eastAsia="DengXian" w:hAnsi="Times New Roman" w:cs="Times New Roman"/>
                <w:sz w:val="24"/>
                <w:szCs w:val="24"/>
                <w:lang w:val="kk-KZ" w:eastAsia="zh-CN"/>
              </w:rPr>
              <w:t>Пирсон корреляция коэффиценті. Егер r&gt;0 болса, оң корреляцияны көрсетеді. P&lt;0,01мәндері корреляцияның статистикалық маңызды екенін көрсетеді. Сенімділік деңгейі 99%</w:t>
            </w:r>
          </w:p>
        </w:tc>
      </w:tr>
    </w:tbl>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Ал ең төменгі </w:t>
      </w:r>
      <w:r>
        <w:rPr>
          <w:rFonts w:ascii="Times New Roman" w:eastAsia="DengXian" w:hAnsi="Times New Roman" w:cs="Times New Roman"/>
          <w:sz w:val="28"/>
          <w:szCs w:val="28"/>
          <w:lang w:val="kk-KZ" w:eastAsia="zh-CN"/>
        </w:rPr>
        <w:t xml:space="preserve">корреляция бәсекелестермен серіктестік барысында байқалды (r = 0,4834, p = 0,0064). Мұндай жағдайдың орын алуы кәсіпорындар арасындағы сенім мәселелері мен өзара ақпарат алмасуға қатысты сақтықпен түсіндіріледі. Сондықтан бәсекелестер арасындағы бірлескен </w:t>
      </w:r>
      <w:r>
        <w:rPr>
          <w:rFonts w:ascii="Times New Roman" w:eastAsia="DengXian" w:hAnsi="Times New Roman" w:cs="Times New Roman"/>
          <w:sz w:val="28"/>
          <w:szCs w:val="28"/>
          <w:lang w:val="kk-KZ" w:eastAsia="zh-CN"/>
        </w:rPr>
        <w:t>инновациялар әлі де сирек құбылыс болып отыр.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Жалпы алғанда, нәтижелер клиенттермен тиімді қарым-қатынастың инновациялық дамуға қосатын үлесі бәсекелестермен салыстырғанда әлдеқайда жоғары екенін айқындайды. Бұл кәсіпорындарға инновациялық стратегияларын қ</w:t>
      </w:r>
      <w:r>
        <w:rPr>
          <w:rFonts w:ascii="Times New Roman" w:eastAsia="DengXian" w:hAnsi="Times New Roman" w:cs="Times New Roman"/>
          <w:sz w:val="28"/>
          <w:szCs w:val="28"/>
          <w:lang w:val="kk-KZ" w:eastAsia="zh-CN"/>
        </w:rPr>
        <w:t>алыптастыруда клиенттермен серіктестікті басты назарда ұстаудың маңыздылығын дәлелдейді.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Алынған нәтиже тамақ өнеркәсіп кәсіпорындары үшін ашық инновация тәжірибесін дамытудың маңыздылығын көрсетеді. Яғни, сыртқы серіктестермен жүйелі және белсенді ынтымақ</w:t>
      </w:r>
      <w:r>
        <w:rPr>
          <w:rFonts w:ascii="Times New Roman" w:eastAsia="DengXian" w:hAnsi="Times New Roman" w:cs="Times New Roman"/>
          <w:sz w:val="28"/>
          <w:szCs w:val="28"/>
          <w:lang w:val="kk-KZ" w:eastAsia="zh-CN"/>
        </w:rPr>
        <w:t>тастық орнатқан кәсіпорындар жаңа технологияларды енгізуде, өнім түрлерін кеңейтуде және ұйымдастырушылық тиімділікті арттыруда анағұрлым жоғары нәтижелерге қол жеткізеді. Басқаша айтқанда, серіктестікке негізделген инновациялық модель дәстүрлі жабық иннов</w:t>
      </w:r>
      <w:r>
        <w:rPr>
          <w:rFonts w:ascii="Times New Roman" w:eastAsia="DengXian" w:hAnsi="Times New Roman" w:cs="Times New Roman"/>
          <w:sz w:val="28"/>
          <w:szCs w:val="28"/>
          <w:lang w:val="kk-KZ" w:eastAsia="zh-CN"/>
        </w:rPr>
        <w:t>ацияға қарағанда тиімдірек болып табылады. Осыған байланысты зерттеу нәтижелері Қазақстандағы агроазық-түлік секторы үшін де практикалық құндылыққа ие, себебі олар кәсіпорындардың инновациялық әлеуетін арттыру үшін сыртқы әріптестік тетіктерін дамытудың қа</w:t>
      </w:r>
      <w:r>
        <w:rPr>
          <w:rFonts w:ascii="Times New Roman" w:eastAsia="DengXian" w:hAnsi="Times New Roman" w:cs="Times New Roman"/>
          <w:sz w:val="28"/>
          <w:szCs w:val="28"/>
          <w:lang w:val="kk-KZ" w:eastAsia="zh-CN"/>
        </w:rPr>
        <w:t>жет екенін дәлелдейді.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 зерттеу аясында анықталған корреляциялар бенчмаркинг әдісін қолдану арқылы толықтырылды. Бенчмаркинг – табысқа жетудің негізгі факторларын айқындауға мүмкіндік беретін кеңінен қолданылатын тәсіл. Сол себепті ол табысты кәсіпорынд</w:t>
      </w:r>
      <w:r>
        <w:rPr>
          <w:rFonts w:ascii="Times New Roman" w:eastAsia="DengXian" w:hAnsi="Times New Roman" w:cs="Times New Roman"/>
          <w:sz w:val="28"/>
          <w:szCs w:val="28"/>
          <w:lang w:val="kk-KZ" w:eastAsia="zh-CN"/>
        </w:rPr>
        <w:t>ардың аз табысқа қол жеткізген әріптестерінен қандай ерекшеліктерімен айырмашылығы бар екенін зерттеуде аса қолайлы құрал ретінде қарастырылады. Нәтижесінде, бенчмаркинг кәсіпорындардың жоғары нәтижелерге қол жеткізуіне ықпал етуі мүмкін факторларды (мысал</w:t>
      </w:r>
      <w:r>
        <w:rPr>
          <w:rFonts w:ascii="Times New Roman" w:eastAsia="DengXian" w:hAnsi="Times New Roman" w:cs="Times New Roman"/>
          <w:sz w:val="28"/>
          <w:szCs w:val="28"/>
          <w:lang w:val="kk-KZ" w:eastAsia="zh-CN"/>
        </w:rPr>
        <w:t>ы, ашық инновацияларды басқару әдістерін) анықтауға мүмкіндік береді.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зерттеуде бенчмаркинг әдісі тек қана салыстырмалы талдау құралы ретінде емес, сонымен қатар ашық инновацияларды басқарудағы тиімді тәжірибелерді айқындау тетігі ретінде пайдаланылды.</w:t>
      </w:r>
      <w:r>
        <w:rPr>
          <w:rFonts w:ascii="Times New Roman" w:eastAsia="DengXian" w:hAnsi="Times New Roman" w:cs="Times New Roman"/>
          <w:sz w:val="28"/>
          <w:szCs w:val="28"/>
          <w:lang w:val="kk-KZ" w:eastAsia="zh-CN"/>
        </w:rPr>
        <w:t xml:space="preserve"> Бенчмаркинг арқылы инновациялық тұрғыдан табысты кәсіпорындардың тәжірибелері анықталып, оларды аз табысты кәсіпорындармен салыстыру нәтижесінде инновациялық тиімділікке әсер ететін негізгі факторлар бөлініп көрсетілді. Мұндай тәсіл инновациялық дамуды ба</w:t>
      </w:r>
      <w:r>
        <w:rPr>
          <w:rFonts w:ascii="Times New Roman" w:eastAsia="DengXian" w:hAnsi="Times New Roman" w:cs="Times New Roman"/>
          <w:sz w:val="28"/>
          <w:szCs w:val="28"/>
          <w:lang w:val="kk-KZ" w:eastAsia="zh-CN"/>
        </w:rPr>
        <w:t>сқаруда практикалық ұсынымдар әзірлеуге және тамақ өнеркәсібі кәсіпорындарының бәсекеге қабілеттілігін арттыруға мүмкіндік береді.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20-суретте сауалнама өткен 56 кәсіпорындар бойынша анықталған жоғарғы эталондық топ «Инновациялық өнімділік» атты құрамдас ай</w:t>
      </w:r>
      <w:r>
        <w:rPr>
          <w:rFonts w:ascii="Times New Roman" w:eastAsia="DengXian" w:hAnsi="Times New Roman" w:cs="Times New Roman"/>
          <w:sz w:val="28"/>
          <w:szCs w:val="28"/>
          <w:lang w:val="kk-KZ" w:eastAsia="zh-CN"/>
        </w:rPr>
        <w:t>нымалының орташа көрсеткіштері бойынша жоғарғы квартильдің 20%-ын (11 кәсіпорын) қамтыды.</w:t>
      </w:r>
    </w:p>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jc w:val="center"/>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object w:dxaOrig="8361" w:dyaOrig="5644">
          <v:shape id="_x0000_i1028" type="#_x0000_t75" style="width:417.75pt;height:282pt" o:ole="">
            <v:imagedata r:id="rId39" o:title=""/>
          </v:shape>
          <o:OLEObject Type="Embed" ProgID="Excel.Sheet.8" ShapeID="_x0000_i1028" DrawAspect="Content" ObjectID="_1837696325" r:id="rId40"/>
        </w:object>
      </w:r>
    </w:p>
    <w:p w:rsidR="005118AF" w:rsidRDefault="005118AF">
      <w:pPr>
        <w:spacing w:after="0" w:line="240" w:lineRule="auto"/>
        <w:jc w:val="center"/>
        <w:rPr>
          <w:rFonts w:ascii="Times New Roman" w:eastAsia="DengXian" w:hAnsi="Times New Roman" w:cs="Times New Roman"/>
          <w:sz w:val="16"/>
          <w:szCs w:val="16"/>
          <w:lang w:val="kk-KZ" w:eastAsia="zh-CN"/>
        </w:rPr>
      </w:pPr>
    </w:p>
    <w:p w:rsidR="005118AF" w:rsidRDefault="00EF60C3">
      <w:pPr>
        <w:spacing w:after="0" w:line="240" w:lineRule="auto"/>
        <w:jc w:val="cente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Сурет 20 ‒ Ең үздік және ең төменгі нәтиже көрсекен кәсіпорындарды салыстырмалы талдау</w:t>
      </w:r>
    </w:p>
    <w:p w:rsidR="005118AF" w:rsidRDefault="005118AF">
      <w:pPr>
        <w:spacing w:after="0" w:line="240" w:lineRule="auto"/>
        <w:jc w:val="both"/>
        <w:rPr>
          <w:rFonts w:ascii="Times New Roman" w:eastAsia="DengXian" w:hAnsi="Times New Roman" w:cs="Times New Roman"/>
          <w:sz w:val="28"/>
          <w:szCs w:val="28"/>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Жүргізілген зерттеу нәтижелері көрсеткендей, </w:t>
      </w:r>
      <w:r>
        <w:rPr>
          <w:rFonts w:ascii="Times New Roman" w:eastAsia="DengXian" w:hAnsi="Times New Roman" w:cs="Times New Roman"/>
          <w:sz w:val="28"/>
          <w:szCs w:val="28"/>
          <w:lang w:val="kk-KZ" w:eastAsia="zh-CN"/>
        </w:rPr>
        <w:t>инновациялық белсенділігі жоғары кәсіпорындар барлық сыртқы серіктестермен неғұрлым жемісті байланыстар орнатып отырғаны айқындалды. Бұл нәтиже Пирсон корреляциялық талдауымен де расталды, яғни тиімді кәсіпорындар үшін серіктестік қарым-қатынастардың маңыз</w:t>
      </w:r>
      <w:r>
        <w:rPr>
          <w:rFonts w:ascii="Times New Roman" w:eastAsia="DengXian" w:hAnsi="Times New Roman" w:cs="Times New Roman"/>
          <w:sz w:val="28"/>
          <w:szCs w:val="28"/>
          <w:lang w:val="kk-KZ" w:eastAsia="zh-CN"/>
        </w:rPr>
        <w:t>ы зор екендігін дәлелдейді. Әсіресе, университеттермен ынтымақтастық айнымалысында ең үлкен айырмашылық байқалды (∆=2,34), бұл ғылыми-зерттеу орталарымен байланыс орнатудың инновациялық тиімділікті арттыруда шешуші рөл атқаратынын көрсетеді. Керісінше, бәс</w:t>
      </w:r>
      <w:r>
        <w:rPr>
          <w:rFonts w:ascii="Times New Roman" w:eastAsia="DengXian" w:hAnsi="Times New Roman" w:cs="Times New Roman"/>
          <w:sz w:val="28"/>
          <w:szCs w:val="28"/>
          <w:lang w:val="kk-KZ" w:eastAsia="zh-CN"/>
        </w:rPr>
        <w:t>екелестермен ынтымақтастықта айырмашылық ең төмен деңгейде тіркелгенімен (∆=1,28), инновациялық тұрғыдан табысты кәсіпорындардың бұл бағытта да белсендірек әрекет еткені байқалды.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қорытындыдан зерттеушілер университеттер мен ғылыми қауымдастықтармен өз</w:t>
      </w:r>
      <w:r>
        <w:rPr>
          <w:rFonts w:ascii="Times New Roman" w:eastAsia="DengXian" w:hAnsi="Times New Roman" w:cs="Times New Roman"/>
          <w:sz w:val="28"/>
          <w:szCs w:val="28"/>
          <w:lang w:val="kk-KZ" w:eastAsia="zh-CN"/>
        </w:rPr>
        <w:t>ара әрекеттесу инновациялық экожүйе үшін маңызды артықшылықтар туындатады деген тұжырым жасауға болады. Мұндай байланыстар жаңа білім, әдіснамалық тәсілдер, технологиялық шешімдер, оқыту модульдері және тәжірибелік желілердің пайда болуына ықпал етеді. Сон</w:t>
      </w:r>
      <w:r>
        <w:rPr>
          <w:rFonts w:ascii="Times New Roman" w:eastAsia="DengXian" w:hAnsi="Times New Roman" w:cs="Times New Roman"/>
          <w:sz w:val="28"/>
          <w:szCs w:val="28"/>
          <w:lang w:val="kk-KZ" w:eastAsia="zh-CN"/>
        </w:rPr>
        <w:t>ымен қатар, академиялық орта мен бизнес өкілдері арасындағы құрылымдық серіктестік зерттеу жобаларының нәтижелерін күшейтетін негізгі фактор ретінде қарастырылады.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Осыған сәйкес, зерттеу нәтижелерінен туындайтын маңызды қорытынды – агроазық-түлік кәсіпорын</w:t>
      </w:r>
      <w:r>
        <w:rPr>
          <w:rFonts w:ascii="Times New Roman" w:eastAsia="DengXian" w:hAnsi="Times New Roman" w:cs="Times New Roman"/>
          <w:sz w:val="28"/>
          <w:szCs w:val="28"/>
          <w:lang w:val="kk-KZ" w:eastAsia="zh-CN"/>
        </w:rPr>
        <w:t>дары үшін университеттермен тұрақты және жүйелі байланыстар орнату, сондай-ақ инновациялық жобаларды бірлесіп жүзеге асыру инновациялық тиімділікті едәуір арттыра алады. Мұндай серіктестік тек қысқа мерзімді пайда әкеліп қана қоймай, сонымен бірге ұзақ мер</w:t>
      </w:r>
      <w:r>
        <w:rPr>
          <w:rFonts w:ascii="Times New Roman" w:eastAsia="DengXian" w:hAnsi="Times New Roman" w:cs="Times New Roman"/>
          <w:sz w:val="28"/>
          <w:szCs w:val="28"/>
          <w:lang w:val="kk-KZ" w:eastAsia="zh-CN"/>
        </w:rPr>
        <w:t>зімді даму стратегиясының да берік іргетасына айналады.</w:t>
      </w:r>
    </w:p>
    <w:p w:rsidR="005118AF" w:rsidRDefault="00EF60C3">
      <w:pPr>
        <w:spacing w:after="0" w:line="240" w:lineRule="auto"/>
        <w:ind w:firstLineChars="253" w:firstLine="708"/>
        <w:jc w:val="both"/>
        <w:rPr>
          <w:rFonts w:ascii="Times New Roman" w:eastAsia="DengXian" w:hAnsi="Times New Roman" w:cs="Times New Roman"/>
          <w:b/>
          <w:bCs/>
          <w:sz w:val="28"/>
          <w:szCs w:val="28"/>
          <w:lang w:val="kk-KZ" w:eastAsia="zh-CN"/>
        </w:rPr>
      </w:pPr>
      <w:r>
        <w:rPr>
          <w:rFonts w:ascii="Times New Roman" w:eastAsia="DengXian" w:hAnsi="Times New Roman" w:cs="Times New Roman"/>
          <w:i/>
          <w:iCs/>
          <w:sz w:val="28"/>
          <w:szCs w:val="28"/>
          <w:lang w:val="kk-KZ" w:eastAsia="zh-CN"/>
        </w:rPr>
        <w:t>Кәсіпорынның Тұрақты даму (ESG) бағытындағы инновациялық басымдылықтары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 бөлімде жүргізілген тамақ өнеркәсібі кәсіпорындарының инновациялық әлеуеті мен инновациялық үрдістеріндегі сыртқы серіктесте</w:t>
      </w:r>
      <w:r>
        <w:rPr>
          <w:rFonts w:ascii="Times New Roman" w:eastAsia="DengXian" w:hAnsi="Times New Roman" w:cs="Times New Roman"/>
          <w:sz w:val="28"/>
          <w:szCs w:val="28"/>
          <w:lang w:val="kk-KZ" w:eastAsia="zh-CN"/>
        </w:rPr>
        <w:t>рмен ынтымақтастықтық дәрежесін бағалаумен қатар, инновациялық қызметтің негізгі стратегиялық бағытын анықтау қажеттілігі бар. Теориялық бөлімде сипатталғандай, ашық инновациялар парадигмасы қазіргі уақытта тұрақты даму мақсаттарына жету үшін жаңа стратеги</w:t>
      </w:r>
      <w:r>
        <w:rPr>
          <w:rFonts w:ascii="Times New Roman" w:eastAsia="DengXian" w:hAnsi="Times New Roman" w:cs="Times New Roman"/>
          <w:sz w:val="28"/>
          <w:szCs w:val="28"/>
          <w:lang w:val="kk-KZ" w:eastAsia="zh-CN"/>
        </w:rPr>
        <w:t>ялық бағытқа ауысуда. Бұл жаңа бағыт тамақ өнеркәсібіндегі ресурстық тиімділік пен экологиялық жауапкершілікті талап етеді. Сондықтан, құрылымдық сауалнамаға “Тұрақты даму бағытындағы инновациялық басымдылықтары” деп аталатын блок қостық.</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блоктың мақса</w:t>
      </w:r>
      <w:r>
        <w:rPr>
          <w:rFonts w:ascii="Times New Roman" w:eastAsia="DengXian" w:hAnsi="Times New Roman" w:cs="Times New Roman"/>
          <w:sz w:val="28"/>
          <w:szCs w:val="28"/>
          <w:lang w:val="kk-KZ" w:eastAsia="zh-CN"/>
        </w:rPr>
        <w:t>ты - компанияның ҒЗТКЖ қызметінің және ашық инновациялық ынтымақтастығының нақты нәтижелерінің ресурстарды үнемдеуге, энергия тиімділігіне немесе қалдықтарды кәдеге жаратуға қатысты процестік инновацияларды қалай және қаншалықты іске асыратынын эмпирикалық</w:t>
      </w:r>
      <w:r>
        <w:rPr>
          <w:rFonts w:ascii="Times New Roman" w:eastAsia="DengXian" w:hAnsi="Times New Roman" w:cs="Times New Roman"/>
          <w:sz w:val="28"/>
          <w:szCs w:val="28"/>
          <w:lang w:val="kk-KZ" w:eastAsia="zh-CN"/>
        </w:rPr>
        <w:t xml:space="preserve"> тұрғыдан растау болып табылды.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блокқа енгізілген өлшемдер ашық инновация аясында сыртқы серіктестермен ынтымақтастықты бағалау бөлігінде қолданылған Лайкерт шкаласымен (1-ден 5-ке дейін) бағаланды және олар тұрақты дамудың үш тірегін - экологиялық, ә</w:t>
      </w:r>
      <w:r>
        <w:rPr>
          <w:rFonts w:ascii="Times New Roman" w:eastAsia="DengXian" w:hAnsi="Times New Roman" w:cs="Times New Roman"/>
          <w:sz w:val="28"/>
          <w:szCs w:val="28"/>
          <w:lang w:val="kk-KZ" w:eastAsia="zh-CN"/>
        </w:rPr>
        <w:t xml:space="preserve">леуметтік және басқарушылық негіздерін ескере отырып құрылған.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Сауалнамаға қатысқан 56 кәсіпорынның инновациялық стратегиялық басымдылықтарын талдау нәтижелері көрсеткендей, кәсіпорындардың тұрақты дамуға бағытталған белсенділігі ресурстық шектеулілік жән</w:t>
      </w:r>
      <w:r>
        <w:rPr>
          <w:rFonts w:ascii="Times New Roman" w:eastAsia="DengXian" w:hAnsi="Times New Roman" w:cs="Times New Roman"/>
          <w:sz w:val="28"/>
          <w:szCs w:val="28"/>
          <w:lang w:val="kk-KZ" w:eastAsia="zh-CN"/>
        </w:rPr>
        <w:t xml:space="preserve">е қаржылық тиімділікке деген басым фокуспен анықталады. Инновациялық іс-әрекеттер, ең алдымен, тікелей экономкалық пайда мен операциялық қажеттіліктерді қанағаттандыруға бағытталған. </w:t>
      </w:r>
    </w:p>
    <w:p w:rsidR="005118AF" w:rsidRDefault="005118AF">
      <w:pPr>
        <w:spacing w:after="0" w:line="240" w:lineRule="auto"/>
        <w:ind w:firstLineChars="253" w:firstLine="708"/>
        <w:jc w:val="both"/>
        <w:rPr>
          <w:rFonts w:ascii="Times New Roman" w:eastAsia="DengXian" w:hAnsi="Times New Roman" w:cs="Times New Roman"/>
          <w:sz w:val="28"/>
          <w:szCs w:val="28"/>
          <w:lang w:val="kk-KZ" w:eastAsia="zh-CN"/>
        </w:rPr>
      </w:pPr>
    </w:p>
    <w:p w:rsidR="005118AF" w:rsidRDefault="00EF60C3">
      <w:pPr>
        <w:spacing w:after="0" w:line="240" w:lineRule="auto"/>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Кесте 33 ‒ Сауалнамаға қатысқан тамақ өнеркәсібі кәсіпрындарының ESG ба</w:t>
      </w:r>
      <w:r>
        <w:rPr>
          <w:rFonts w:ascii="Times New Roman" w:eastAsia="DengXian" w:hAnsi="Times New Roman" w:cs="Times New Roman"/>
          <w:sz w:val="28"/>
          <w:szCs w:val="28"/>
          <w:lang w:val="kk-KZ" w:eastAsia="zh-CN"/>
        </w:rPr>
        <w:t>ғытындағы</w:t>
      </w:r>
      <w:r>
        <w:rPr>
          <w:rFonts w:ascii="Times New Roman" w:eastAsia="DengXian" w:hAnsi="Times New Roman" w:cs="Times New Roman"/>
          <w:sz w:val="28"/>
          <w:szCs w:val="28"/>
          <w:lang w:val="kk-KZ" w:eastAsia="zh-CN"/>
        </w:rPr>
        <w:t xml:space="preserve"> инновациялық басымдылықтарын бағалау блогы бойынша сауалнаманың қорытынды көрсеткіштері</w:t>
      </w:r>
    </w:p>
    <w:p w:rsidR="005118AF" w:rsidRDefault="005118AF">
      <w:pPr>
        <w:spacing w:after="0" w:line="240" w:lineRule="auto"/>
        <w:ind w:firstLineChars="214" w:firstLine="342"/>
        <w:jc w:val="both"/>
        <w:rPr>
          <w:rFonts w:ascii="Times New Roman" w:eastAsia="DengXian" w:hAnsi="Times New Roman" w:cs="Times New Roman"/>
          <w:sz w:val="16"/>
          <w:szCs w:val="16"/>
          <w:lang w:val="kk-KZ" w:eastAsia="zh-CN"/>
        </w:rPr>
      </w:pPr>
    </w:p>
    <w:tbl>
      <w:tblPr>
        <w:tblStyle w:val="ae"/>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8068"/>
        <w:gridCol w:w="918"/>
      </w:tblGrid>
      <w:tr w:rsidR="005118AF">
        <w:trPr>
          <w:jc w:val="center"/>
        </w:trPr>
        <w:tc>
          <w:tcPr>
            <w:tcW w:w="9492" w:type="dxa"/>
            <w:gridSpan w:val="3"/>
          </w:tcPr>
          <w:p w:rsidR="005118AF" w:rsidRDefault="00EF60C3">
            <w:pPr>
              <w:spacing w:after="0" w:line="20" w:lineRule="atLeast"/>
              <w:jc w:val="both"/>
              <w:rPr>
                <w:rFonts w:ascii="Times New Roman" w:eastAsia="DengXian" w:hAnsi="Times New Roman" w:cs="Times New Roman"/>
                <w:bCs/>
                <w:i/>
                <w:sz w:val="24"/>
                <w:szCs w:val="24"/>
                <w:lang w:eastAsia="zh-CN"/>
              </w:rPr>
            </w:pPr>
            <w:r>
              <w:rPr>
                <w:rFonts w:ascii="Times New Roman" w:eastAsia="DengXian" w:hAnsi="Times New Roman" w:cs="Times New Roman"/>
                <w:bCs/>
                <w:i/>
                <w:sz w:val="24"/>
                <w:szCs w:val="24"/>
                <w:lang w:eastAsia="zh-CN"/>
              </w:rPr>
              <w:t>Экологиялы</w:t>
            </w:r>
            <w:r>
              <w:rPr>
                <w:rFonts w:ascii="Times New Roman" w:eastAsia="DengXian" w:hAnsi="Times New Roman" w:cs="Times New Roman"/>
                <w:bCs/>
                <w:i/>
                <w:sz w:val="24"/>
                <w:szCs w:val="24"/>
                <w:lang w:val="kk-KZ" w:eastAsia="zh-CN"/>
              </w:rPr>
              <w:t>қ</w:t>
            </w:r>
            <w:r>
              <w:rPr>
                <w:rFonts w:ascii="Times New Roman" w:eastAsia="DengXian" w:hAnsi="Times New Roman" w:cs="Times New Roman"/>
                <w:bCs/>
                <w:i/>
                <w:sz w:val="24"/>
                <w:szCs w:val="24"/>
                <w:lang w:val="kk-KZ" w:eastAsia="zh-CN"/>
              </w:rPr>
              <w:t xml:space="preserve"> міндеттер</w:t>
            </w:r>
          </w:p>
        </w:tc>
      </w:tr>
      <w:tr w:rsidR="005118AF">
        <w:trPr>
          <w:jc w:val="center"/>
        </w:trPr>
        <w:tc>
          <w:tcPr>
            <w:tcW w:w="9492" w:type="dxa"/>
            <w:gridSpan w:val="3"/>
          </w:tcPr>
          <w:p w:rsidR="005118AF" w:rsidRDefault="00EF60C3">
            <w:pPr>
              <w:spacing w:after="0" w:line="20" w:lineRule="atLeast"/>
              <w:jc w:val="both"/>
              <w:rPr>
                <w:rFonts w:ascii="Times New Roman" w:eastAsia="DengXian" w:hAnsi="Times New Roman" w:cs="Times New Roman"/>
                <w:b/>
                <w:bCs/>
                <w:sz w:val="24"/>
                <w:szCs w:val="24"/>
                <w:lang w:eastAsia="zh-CN"/>
              </w:rPr>
            </w:pPr>
            <w:r>
              <w:rPr>
                <w:rFonts w:ascii="Times New Roman" w:eastAsia="DengXian" w:hAnsi="Times New Roman"/>
                <w:sz w:val="24"/>
                <w:szCs w:val="24"/>
              </w:rPr>
              <w:t>С</w:t>
            </w:r>
            <w:r>
              <w:rPr>
                <w:rFonts w:ascii="Times New Roman" w:eastAsia="DengXian" w:hAnsi="Times New Roman"/>
                <w:sz w:val="24"/>
                <w:szCs w:val="24"/>
                <w:lang w:val="kk-KZ"/>
              </w:rPr>
              <w:t>іздің кәсіпорныңыз келесі экологиялық міндеттерді шешуге бағытталған инновациялық жобаларға қаншалықты басымдық береді?</w:t>
            </w:r>
          </w:p>
        </w:tc>
      </w:tr>
      <w:tr w:rsidR="005118AF">
        <w:trPr>
          <w:jc w:val="center"/>
        </w:trPr>
        <w:tc>
          <w:tcPr>
            <w:tcW w:w="506"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8068" w:type="dxa"/>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Өндіріс</w:t>
            </w:r>
            <w:r>
              <w:rPr>
                <w:rFonts w:ascii="Times New Roman" w:eastAsia="DengXian" w:hAnsi="Times New Roman" w:cs="Times New Roman"/>
                <w:sz w:val="24"/>
                <w:szCs w:val="24"/>
                <w:lang w:val="kk-KZ" w:eastAsia="zh-CN"/>
              </w:rPr>
              <w:t xml:space="preserve"> </w:t>
            </w:r>
            <w:r>
              <w:rPr>
                <w:rFonts w:ascii="Times New Roman" w:eastAsia="DengXian" w:hAnsi="Times New Roman" w:cs="Times New Roman"/>
                <w:sz w:val="24"/>
                <w:szCs w:val="24"/>
                <w:lang w:val="kk-KZ" w:eastAsia="zh-CN"/>
              </w:rPr>
              <w:t>қалдықтарын</w:t>
            </w:r>
            <w:r>
              <w:rPr>
                <w:rFonts w:ascii="Times New Roman" w:eastAsia="DengXian" w:hAnsi="Times New Roman" w:cs="Times New Roman"/>
                <w:sz w:val="24"/>
                <w:szCs w:val="24"/>
                <w:lang w:val="kk-KZ" w:eastAsia="zh-CN"/>
              </w:rPr>
              <w:t>/қосалқы өнімдерін (мысалы, қауыздар, сарысу) қайта өңдеу немесе азайту бойынша инновациялар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3,92</w:t>
            </w:r>
          </w:p>
        </w:tc>
      </w:tr>
      <w:tr w:rsidR="005118AF">
        <w:trPr>
          <w:jc w:val="center"/>
        </w:trPr>
        <w:tc>
          <w:tcPr>
            <w:tcW w:w="506"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8068" w:type="dxa"/>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Су тұтынуды оңтайландыруға және қысқартуға бағытталған технологиялық шешімдер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2,67</w:t>
            </w:r>
          </w:p>
        </w:tc>
      </w:tr>
      <w:tr w:rsidR="005118AF">
        <w:trPr>
          <w:jc w:val="center"/>
        </w:trPr>
        <w:tc>
          <w:tcPr>
            <w:tcW w:w="506"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8068" w:type="dxa"/>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Энергия тұтынуды төмендету немесе жаңартылатын энергия </w:t>
            </w:r>
            <w:r>
              <w:rPr>
                <w:rFonts w:ascii="Times New Roman" w:eastAsia="DengXian" w:hAnsi="Times New Roman" w:cs="Times New Roman"/>
                <w:sz w:val="24"/>
                <w:szCs w:val="24"/>
                <w:lang w:val="kk-KZ" w:eastAsia="zh-CN"/>
              </w:rPr>
              <w:t>көздеріне  көшу бойынша инновациялық жобалар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4,4</w:t>
            </w:r>
          </w:p>
        </w:tc>
      </w:tr>
      <w:tr w:rsidR="005118AF">
        <w:trPr>
          <w:jc w:val="center"/>
        </w:trPr>
        <w:tc>
          <w:tcPr>
            <w:tcW w:w="506"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4</w:t>
            </w:r>
          </w:p>
        </w:tc>
        <w:tc>
          <w:tcPr>
            <w:tcW w:w="8068" w:type="dxa"/>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Экологиялық таза (мысалы, биоыдырайтын) қаптамаға көшуді қамтамасыз ететін инновациялар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3,2</w:t>
            </w:r>
          </w:p>
        </w:tc>
      </w:tr>
      <w:tr w:rsidR="005118AF">
        <w:trPr>
          <w:jc w:val="center"/>
        </w:trPr>
        <w:tc>
          <w:tcPr>
            <w:tcW w:w="9492" w:type="dxa"/>
            <w:gridSpan w:val="3"/>
            <w:shd w:val="clear" w:color="auto" w:fill="auto"/>
          </w:tcPr>
          <w:p w:rsidR="005118AF" w:rsidRDefault="00EF60C3">
            <w:pPr>
              <w:spacing w:after="0" w:line="20" w:lineRule="atLeast"/>
              <w:jc w:val="both"/>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val="kk-KZ" w:eastAsia="zh-CN"/>
              </w:rPr>
              <w:t>Әлеуметтік</w:t>
            </w:r>
            <w:r>
              <w:rPr>
                <w:rFonts w:ascii="Times New Roman" w:eastAsia="DengXian" w:hAnsi="Times New Roman" w:cs="Times New Roman"/>
                <w:bCs/>
                <w:i/>
                <w:sz w:val="24"/>
                <w:szCs w:val="24"/>
                <w:lang w:val="kk-KZ" w:eastAsia="zh-CN"/>
              </w:rPr>
              <w:t xml:space="preserve"> міндеттер</w:t>
            </w:r>
          </w:p>
        </w:tc>
      </w:tr>
      <w:tr w:rsidR="005118AF">
        <w:trPr>
          <w:jc w:val="center"/>
        </w:trPr>
        <w:tc>
          <w:tcPr>
            <w:tcW w:w="9492" w:type="dxa"/>
            <w:gridSpan w:val="3"/>
            <w:shd w:val="clear" w:color="auto" w:fill="auto"/>
          </w:tcPr>
          <w:p w:rsidR="005118AF" w:rsidRDefault="00EF60C3">
            <w:pPr>
              <w:spacing w:after="0" w:line="20" w:lineRule="atLeast"/>
              <w:jc w:val="both"/>
              <w:rPr>
                <w:rFonts w:ascii="Times New Roman" w:eastAsia="DengXian" w:hAnsi="Times New Roman" w:cs="Times New Roman"/>
                <w:b/>
                <w:bCs/>
                <w:sz w:val="24"/>
                <w:szCs w:val="24"/>
                <w:lang w:val="kk-KZ" w:eastAsia="zh-CN"/>
              </w:rPr>
            </w:pPr>
            <w:r>
              <w:rPr>
                <w:rFonts w:ascii="Times New Roman" w:eastAsia="DengXian" w:hAnsi="Times New Roman"/>
                <w:sz w:val="24"/>
                <w:szCs w:val="24"/>
              </w:rPr>
              <w:t>С</w:t>
            </w:r>
            <w:r>
              <w:rPr>
                <w:rFonts w:ascii="Times New Roman" w:eastAsia="DengXian" w:hAnsi="Times New Roman"/>
                <w:sz w:val="24"/>
                <w:szCs w:val="24"/>
                <w:lang w:val="kk-KZ"/>
              </w:rPr>
              <w:t xml:space="preserve">іздің кәсіпорныңыз келесі әлеуметтік міндеттерді шешу үшін  инновацияларды қаншалықты </w:t>
            </w:r>
            <w:r>
              <w:rPr>
                <w:rFonts w:ascii="Times New Roman" w:eastAsia="DengXian" w:hAnsi="Times New Roman"/>
                <w:sz w:val="24"/>
                <w:szCs w:val="24"/>
                <w:lang w:val="kk-KZ"/>
              </w:rPr>
              <w:t>жоғары басымдылықпен қолданады?</w:t>
            </w:r>
          </w:p>
        </w:tc>
      </w:tr>
      <w:tr w:rsidR="005118AF">
        <w:trPr>
          <w:jc w:val="center"/>
        </w:trPr>
        <w:tc>
          <w:tcPr>
            <w:tcW w:w="506" w:type="dxa"/>
            <w:shd w:val="clear" w:color="auto" w:fill="auto"/>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8068" w:type="dxa"/>
            <w:shd w:val="clear" w:color="auto" w:fill="auto"/>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Еңбек қауіпсіздігін және жұмыс сапасын арттыруға бағытталған инновациялық жобалар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3,5</w:t>
            </w:r>
          </w:p>
        </w:tc>
      </w:tr>
      <w:tr w:rsidR="005118AF">
        <w:trPr>
          <w:jc w:val="center"/>
        </w:trPr>
        <w:tc>
          <w:tcPr>
            <w:tcW w:w="506" w:type="dxa"/>
            <w:shd w:val="clear" w:color="auto" w:fill="auto"/>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w:t>
            </w:r>
          </w:p>
        </w:tc>
        <w:tc>
          <w:tcPr>
            <w:tcW w:w="8068" w:type="dxa"/>
            <w:shd w:val="clear" w:color="auto" w:fill="auto"/>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Жергілікті қауымдастықтың дамуына үлес қосатын инновациялық серіктестіктер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1,9</w:t>
            </w:r>
          </w:p>
        </w:tc>
      </w:tr>
      <w:tr w:rsidR="005118AF">
        <w:trPr>
          <w:jc w:val="center"/>
        </w:trPr>
        <w:tc>
          <w:tcPr>
            <w:tcW w:w="506" w:type="dxa"/>
            <w:shd w:val="clear" w:color="auto" w:fill="auto"/>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3</w:t>
            </w:r>
          </w:p>
        </w:tc>
        <w:tc>
          <w:tcPr>
            <w:tcW w:w="8068" w:type="dxa"/>
            <w:shd w:val="clear" w:color="auto" w:fill="auto"/>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 xml:space="preserve">Шикізат пен дайын өнімнің шығу тегінің және </w:t>
            </w:r>
            <w:r>
              <w:rPr>
                <w:rFonts w:ascii="Times New Roman" w:eastAsia="DengXian" w:hAnsi="Times New Roman" w:cs="Times New Roman"/>
                <w:sz w:val="24"/>
                <w:szCs w:val="24"/>
                <w:lang w:val="kk-KZ" w:eastAsia="zh-CN"/>
              </w:rPr>
              <w:t>өңделуінің</w:t>
            </w:r>
            <w:r>
              <w:rPr>
                <w:rFonts w:ascii="Times New Roman" w:eastAsia="DengXian" w:hAnsi="Times New Roman" w:cs="Times New Roman"/>
                <w:sz w:val="24"/>
                <w:szCs w:val="24"/>
                <w:lang w:val="kk-KZ" w:eastAsia="zh-CN"/>
              </w:rPr>
              <w:t xml:space="preserve"> ашықтығын арттыратын технологиялық шешімдер</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2,23</w:t>
            </w:r>
          </w:p>
        </w:tc>
      </w:tr>
      <w:tr w:rsidR="005118AF">
        <w:trPr>
          <w:jc w:val="center"/>
        </w:trPr>
        <w:tc>
          <w:tcPr>
            <w:tcW w:w="9492" w:type="dxa"/>
            <w:gridSpan w:val="3"/>
            <w:shd w:val="clear" w:color="auto" w:fill="auto"/>
          </w:tcPr>
          <w:p w:rsidR="005118AF" w:rsidRDefault="00EF60C3">
            <w:pPr>
              <w:spacing w:after="0" w:line="20" w:lineRule="atLeast"/>
              <w:jc w:val="both"/>
              <w:rPr>
                <w:rFonts w:ascii="Times New Roman" w:eastAsia="DengXian" w:hAnsi="Times New Roman" w:cs="Times New Roman"/>
                <w:bCs/>
                <w:i/>
                <w:sz w:val="24"/>
                <w:szCs w:val="24"/>
                <w:lang w:val="kk-KZ" w:eastAsia="zh-CN"/>
              </w:rPr>
            </w:pPr>
            <w:r>
              <w:rPr>
                <w:rFonts w:ascii="Times New Roman" w:eastAsia="DengXian" w:hAnsi="Times New Roman" w:cs="Times New Roman"/>
                <w:bCs/>
                <w:i/>
                <w:sz w:val="24"/>
                <w:szCs w:val="24"/>
                <w:lang w:val="kk-KZ" w:eastAsia="zh-CN"/>
              </w:rPr>
              <w:t>Басқарушылық  міндеттер</w:t>
            </w:r>
          </w:p>
        </w:tc>
      </w:tr>
      <w:tr w:rsidR="005118AF">
        <w:trPr>
          <w:jc w:val="center"/>
        </w:trPr>
        <w:tc>
          <w:tcPr>
            <w:tcW w:w="506" w:type="dxa"/>
            <w:shd w:val="clear" w:color="auto" w:fill="auto"/>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1</w:t>
            </w:r>
          </w:p>
        </w:tc>
        <w:tc>
          <w:tcPr>
            <w:tcW w:w="8068" w:type="dxa"/>
            <w:shd w:val="clear" w:color="auto" w:fill="auto"/>
          </w:tcPr>
          <w:p w:rsidR="005118AF" w:rsidRDefault="00EF60C3">
            <w:pPr>
              <w:spacing w:after="0" w:line="20" w:lineRule="atLeast"/>
              <w:jc w:val="both"/>
              <w:rPr>
                <w:rFonts w:ascii="Times New Roman" w:eastAsia="DengXian" w:hAnsi="Times New Roman" w:cs="Times New Roman"/>
                <w:sz w:val="24"/>
                <w:szCs w:val="24"/>
                <w:lang w:val="kk-KZ" w:eastAsia="zh-CN"/>
              </w:rPr>
            </w:pPr>
            <w:r>
              <w:rPr>
                <w:rFonts w:ascii="Times New Roman" w:eastAsia="DengXian" w:hAnsi="Times New Roman" w:cs="Times New Roman"/>
                <w:sz w:val="24"/>
                <w:szCs w:val="24"/>
                <w:lang w:val="kk-KZ" w:eastAsia="zh-CN"/>
              </w:rPr>
              <w:t>Кәсіпорын басшылығы тұрақты технологияларға сыртқы серіктестермен (стартаптар, ҒЗИ) бірлескен инвестиция салуға қаншалықты дайын?</w:t>
            </w:r>
          </w:p>
        </w:tc>
        <w:tc>
          <w:tcPr>
            <w:tcW w:w="918" w:type="dxa"/>
          </w:tcPr>
          <w:p w:rsidR="005118AF" w:rsidRDefault="00EF60C3">
            <w:pPr>
              <w:spacing w:after="0" w:line="20" w:lineRule="atLeast"/>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2,46</w:t>
            </w:r>
          </w:p>
        </w:tc>
      </w:tr>
    </w:tbl>
    <w:p w:rsidR="005118AF" w:rsidRDefault="005118AF">
      <w:pPr>
        <w:spacing w:after="0" w:line="240" w:lineRule="auto"/>
        <w:ind w:firstLineChars="214" w:firstLine="599"/>
        <w:jc w:val="both"/>
        <w:rPr>
          <w:rFonts w:ascii="Times New Roman" w:eastAsia="DengXian" w:hAnsi="Times New Roman" w:cs="Times New Roman"/>
          <w:sz w:val="28"/>
          <w:szCs w:val="28"/>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33-кестеде, экологиялық </w:t>
      </w:r>
      <w:r>
        <w:rPr>
          <w:rFonts w:ascii="Times New Roman" w:eastAsia="DengXian" w:hAnsi="Times New Roman" w:cs="Times New Roman"/>
          <w:sz w:val="28"/>
          <w:szCs w:val="28"/>
          <w:lang w:val="kk-KZ" w:eastAsia="zh-CN"/>
        </w:rPr>
        <w:t>тұрақтылық (Е) блогындағы инновациялар кәсіпорындардың шығындарды қысқартуға деген жоғары басымдылығын айқын көрсетеді. Энергия тиімділігін арттыруға бағытталған инновацияларды енгізу (4,4 балл) ең жоғары экологиялық басымдылыққа ие. Бұл іс-әрекеттер нақты</w:t>
      </w:r>
      <w:r>
        <w:rPr>
          <w:rFonts w:ascii="Times New Roman" w:eastAsia="DengXian" w:hAnsi="Times New Roman" w:cs="Times New Roman"/>
          <w:sz w:val="28"/>
          <w:szCs w:val="28"/>
          <w:lang w:val="kk-KZ" w:eastAsia="zh-CN"/>
        </w:rPr>
        <w:t xml:space="preserve"> әрі жылдам экономикалық қайтарым беретіндіктер, кәсіпорындар бұл жобаларға белсенді түрде ресурстар бөлетіндігін көрсетеді. Сол сияқты, өндіріс қалдықтарын азайтуға бағытталған жобаларға инвестиция салу (3.92 балл) да жоғары бағаланды. Себебі бұл шикізетт</w:t>
      </w:r>
      <w:r>
        <w:rPr>
          <w:rFonts w:ascii="Times New Roman" w:eastAsia="DengXian" w:hAnsi="Times New Roman" w:cs="Times New Roman"/>
          <w:sz w:val="28"/>
          <w:szCs w:val="28"/>
          <w:lang w:val="kk-KZ" w:eastAsia="zh-CN"/>
        </w:rPr>
        <w:t>ы үнемдеуге және кәдеге жарату шығындарын төмендетуге тікелей әсер етеді. Алайда, су тұтынауды оңтайландыруға бағытталған техникалық шешімдерге басымдық беру төмен деңгейде (2,67 балл) қалып отыр. Бұл су ресурстарының бағасының салыстырмалы түрде төмен бол</w:t>
      </w:r>
      <w:r>
        <w:rPr>
          <w:rFonts w:ascii="Times New Roman" w:eastAsia="DengXian" w:hAnsi="Times New Roman" w:cs="Times New Roman"/>
          <w:sz w:val="28"/>
          <w:szCs w:val="28"/>
          <w:lang w:val="kk-KZ" w:eastAsia="zh-CN"/>
        </w:rPr>
        <w:t>уына байланысты бұл мәселе әлі де күнделікті операциялық басымдық болып табылмайтынын көрсетті. Қоршаған ортаны қорғау үшін сыртқы инновациялық шешімдерді іздеу бағдарламаларының болуы өте сирек кездеседі, бұл экологиялық міндеттерді негізінен ішкі күштерм</w:t>
      </w:r>
      <w:r>
        <w:rPr>
          <w:rFonts w:ascii="Times New Roman" w:eastAsia="DengXian" w:hAnsi="Times New Roman" w:cs="Times New Roman"/>
          <w:sz w:val="28"/>
          <w:szCs w:val="28"/>
          <w:lang w:val="kk-KZ" w:eastAsia="zh-CN"/>
        </w:rPr>
        <w:t>ен шешуге тырысатындығын білдіреді.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Әлеуметтік</w:t>
      </w:r>
      <w:r>
        <w:rPr>
          <w:rFonts w:ascii="Times New Roman" w:eastAsia="DengXian" w:hAnsi="Times New Roman" w:cs="Times New Roman"/>
          <w:sz w:val="28"/>
          <w:szCs w:val="28"/>
          <w:lang w:val="kk-KZ" w:eastAsia="zh-CN"/>
        </w:rPr>
        <w:t xml:space="preserve"> жауапкершілік тарапынан инновациялық басымдылықты ескеру салыстырмалы түрде төмен бағаланған. Бұның басты себебі, кәсіпорындар әлеуметтік жауапкершілікті көбінесе формальды емес қарым-қатынас ретінде қабылдайд</w:t>
      </w:r>
      <w:r>
        <w:rPr>
          <w:rFonts w:ascii="Times New Roman" w:eastAsia="DengXian" w:hAnsi="Times New Roman" w:cs="Times New Roman"/>
          <w:sz w:val="28"/>
          <w:szCs w:val="28"/>
          <w:lang w:val="kk-KZ" w:eastAsia="zh-CN"/>
        </w:rPr>
        <w:t>ы және оны инновациялық жобалардың бөлігі ретінде қарастырмауында. Еңбек қауіпсіздігін және жұмыс сапасын арттыруға бағытталған инновациялық жобаларға жоғары басымдылық берілген (3,5 балл), ал жергілікті қауымдастықты дамыту бойынша ғылыми-зерттеу инститта</w:t>
      </w:r>
      <w:r>
        <w:rPr>
          <w:rFonts w:ascii="Times New Roman" w:eastAsia="DengXian" w:hAnsi="Times New Roman" w:cs="Times New Roman"/>
          <w:sz w:val="28"/>
          <w:szCs w:val="28"/>
          <w:lang w:val="kk-KZ" w:eastAsia="zh-CN"/>
        </w:rPr>
        <w:t xml:space="preserve">рымен  немесе жеткізішулермен жүйелі ынтымақтастыө арқылы ашық инновацияларды жүзеге асыру (1,9 балл) ең төменгі көрсеткіштердің біріне ие болды. Бұл іс-әркет қаржылық тәуекелі жоғары және басқарушылық күрделілікпен байланысты деп бағаланады.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Басқарушылық</w:t>
      </w:r>
      <w:r>
        <w:rPr>
          <w:rFonts w:ascii="Times New Roman" w:eastAsia="DengXian" w:hAnsi="Times New Roman" w:cs="Times New Roman"/>
          <w:sz w:val="28"/>
          <w:szCs w:val="28"/>
          <w:lang w:val="kk-KZ" w:eastAsia="zh-CN"/>
        </w:rPr>
        <w:t xml:space="preserve"> (G) аспектісінде, ESG-есептілікті жақын арала енгізуді жоспарлау төмен деңгейде көрсетілген, бұл формальды басқарушылық ашықтыққа деген төмен қызығушылықты білдіреді. Сол сияқты, тұрақты технологияларға бірлескен инвестиция салуға дайындық көрсеткіші де т</w:t>
      </w:r>
      <w:r>
        <w:rPr>
          <w:rFonts w:ascii="Times New Roman" w:eastAsia="DengXian" w:hAnsi="Times New Roman" w:cs="Times New Roman"/>
          <w:sz w:val="28"/>
          <w:szCs w:val="28"/>
          <w:lang w:val="kk-KZ" w:eastAsia="zh-CN"/>
        </w:rPr>
        <w:t>өмен</w:t>
      </w:r>
      <w:r>
        <w:rPr>
          <w:rFonts w:ascii="Times New Roman" w:eastAsia="DengXian" w:hAnsi="Times New Roman" w:cs="Times New Roman"/>
          <w:sz w:val="28"/>
          <w:szCs w:val="28"/>
          <w:lang w:val="kk-KZ" w:eastAsia="zh-CN"/>
        </w:rPr>
        <w:t xml:space="preserve"> (2.46 балл) деңгейінде бағаланған.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Осылайша, құрылымданған сауалнама барысында Қазақстанның тамақ өнеркәсібіне жататын 56 кәсіпорыннан іріктеме жасалды. Сауалнамаға қатысқан кәсіпорындар орта есеппен төмен инновациялық әлеуетке ие екендігін және бұл </w:t>
      </w:r>
      <w:r>
        <w:rPr>
          <w:rFonts w:ascii="Times New Roman" w:eastAsia="DengXian" w:hAnsi="Times New Roman" w:cs="Times New Roman"/>
          <w:sz w:val="28"/>
          <w:szCs w:val="28"/>
          <w:lang w:val="kk-KZ" w:eastAsia="zh-CN"/>
        </w:rPr>
        <w:t>салаға инвестиция деңгейінің жеткіліксіз екенін көрсетті. Дегенмен, олардың басым бөлігі инновацияны бизнестегі табыстың негізгі факторы деп санайтынын және ашық инновациялық үдерістерге қатысуға қызығушылық білдіретінін атап өтті.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Жоғарыда айтылғандар нег</w:t>
      </w:r>
      <w:r>
        <w:rPr>
          <w:rFonts w:ascii="Times New Roman" w:eastAsia="DengXian" w:hAnsi="Times New Roman" w:cs="Times New Roman"/>
          <w:sz w:val="28"/>
          <w:szCs w:val="28"/>
          <w:lang w:val="kk-KZ" w:eastAsia="zh-CN"/>
        </w:rPr>
        <w:t>ізінде, іріктеменің шектеулі инновациялық әлеуеті, ең алдымен, қызығушылықтың немесе ниеттің жоқтығынан емес, экономикалық кедергілердің әсерінен туындайды деген қорытынды жасауға болады. Осы тұрғыдан алғанда, елдің агроазық-түлік секторы инновациялық мінд</w:t>
      </w:r>
      <w:r>
        <w:rPr>
          <w:rFonts w:ascii="Times New Roman" w:eastAsia="DengXian" w:hAnsi="Times New Roman" w:cs="Times New Roman"/>
          <w:sz w:val="28"/>
          <w:szCs w:val="28"/>
          <w:lang w:val="kk-KZ" w:eastAsia="zh-CN"/>
        </w:rPr>
        <w:t>еттерді шешу үшін сыртқы ресурстарға қол жеткізуге мүмкіндік беретін ашық инновациялар модельдерін енгізуден айтарлықтай пайда көруі ықтимал.</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Ашық инновациялардың «сырттан ішке» моделі мұндай кәсіпорындар үшін ең әлеуетті бағыт ретінде қарастырылады. Әсіре</w:t>
      </w:r>
      <w:r>
        <w:rPr>
          <w:rFonts w:ascii="Times New Roman" w:eastAsia="DengXian" w:hAnsi="Times New Roman" w:cs="Times New Roman"/>
          <w:sz w:val="28"/>
          <w:szCs w:val="28"/>
          <w:lang w:val="kk-KZ" w:eastAsia="zh-CN"/>
        </w:rPr>
        <w:t xml:space="preserve">се, университеттер мен бизнес секторы арасындағы өзара қолдау арналарының кеңейтілуі маңызды болып табылады, себебі сауалнама нәтижелері бойынша осы институттармен байланыстар ең әлсіз деңгейде екендігі анықталды.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Ашық инновациялар бәсекеге қабілеттілікті</w:t>
      </w:r>
      <w:r>
        <w:rPr>
          <w:rFonts w:ascii="Times New Roman" w:eastAsia="DengXian" w:hAnsi="Times New Roman" w:cs="Times New Roman"/>
          <w:sz w:val="28"/>
          <w:szCs w:val="28"/>
          <w:lang w:val="kk-KZ" w:eastAsia="zh-CN"/>
        </w:rPr>
        <w:t xml:space="preserve"> арттыру стратегиясы ретінде қарастырылып, агроазық-түлік компаниялары арасында қарқынды таралуда. Бұл үдерістің жаңа парадигмаларын айқындау үшін әртүрлі аймақтар мен қосалқы секторлардағы эмпирикалық мәліметтер мен зерттеу нәтижелерін қорытып көрсететін </w:t>
      </w:r>
      <w:r>
        <w:rPr>
          <w:rFonts w:ascii="Times New Roman" w:eastAsia="DengXian" w:hAnsi="Times New Roman" w:cs="Times New Roman"/>
          <w:sz w:val="28"/>
          <w:szCs w:val="28"/>
          <w:lang w:val="kk-KZ" w:eastAsia="zh-CN"/>
        </w:rPr>
        <w:t>кешенді әдеби шолулардың жүргізілуі аса маңызды.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Қазақстандағы</w:t>
      </w:r>
      <w:r>
        <w:rPr>
          <w:rFonts w:ascii="Times New Roman" w:eastAsia="DengXian" w:hAnsi="Times New Roman" w:cs="Times New Roman"/>
          <w:sz w:val="28"/>
          <w:szCs w:val="28"/>
          <w:lang w:val="kk-KZ" w:eastAsia="zh-CN"/>
        </w:rPr>
        <w:t xml:space="preserve"> негізінен шағын және орта агроазық-түлік компанияларын қамтыған 56 кәсіпорынға жүргізілген құрылымданған сауалнама нәтижелері әртүрлі сыртқы субъектілермен ынтымақтастық пен компаниялардың инно</w:t>
      </w:r>
      <w:r>
        <w:rPr>
          <w:rFonts w:ascii="Times New Roman" w:eastAsia="DengXian" w:hAnsi="Times New Roman" w:cs="Times New Roman"/>
          <w:sz w:val="28"/>
          <w:szCs w:val="28"/>
          <w:lang w:val="kk-KZ" w:eastAsia="zh-CN"/>
        </w:rPr>
        <w:t>вациялық белсенділігі арасында айқын оң корреляцияның (Пирсон коэффициенті бойынша) бар екенін көрсетті.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Сонымен қатар, құрылымдық сауалнаманың соңғы тұрақты даму саласындағы инновациялық басымдылықтарын бағалауға бағытталған жүргізілген сауалнама нәтижеле</w:t>
      </w:r>
      <w:r>
        <w:rPr>
          <w:rFonts w:ascii="Times New Roman" w:eastAsia="DengXian" w:hAnsi="Times New Roman" w:cs="Times New Roman"/>
          <w:sz w:val="28"/>
          <w:szCs w:val="28"/>
          <w:lang w:val="kk-KZ" w:eastAsia="zh-CN"/>
        </w:rPr>
        <w:t>рі Қазақстанның тамақ өнеркәсібі кәсіпорындарының инновациялық басымдықтары айқын қос стандартқа негізделгенін көрсетеді: экономикалық тиімділік пен заңдылықты сақтау ең жоғары орында тұрса, әлеуметтік және тұрақты дамуға қатысты міндеттемелерге белсенді т</w:t>
      </w:r>
      <w:r>
        <w:rPr>
          <w:rFonts w:ascii="Times New Roman" w:eastAsia="DengXian" w:hAnsi="Times New Roman" w:cs="Times New Roman"/>
          <w:sz w:val="28"/>
          <w:szCs w:val="28"/>
          <w:lang w:val="kk-KZ" w:eastAsia="zh-CN"/>
        </w:rPr>
        <w:t>үрде</w:t>
      </w:r>
      <w:r>
        <w:rPr>
          <w:rFonts w:ascii="Times New Roman" w:eastAsia="DengXian" w:hAnsi="Times New Roman" w:cs="Times New Roman"/>
          <w:sz w:val="28"/>
          <w:szCs w:val="28"/>
          <w:lang w:val="kk-KZ" w:eastAsia="zh-CN"/>
        </w:rPr>
        <w:t xml:space="preserve"> басымдық берілмейтіндігін көрсетті. Бұл аталған кәсіпорындардың ұзақ мерзімді тұрақты дамуға өтуі үшін сыртқы ынталандырушы тетіктерді және қаржылық қолдауды қажет ететінін дәлелдейді.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Осылайша диссертациялық жұмыстың екінші тарауында қойылған Қазақст</w:t>
      </w:r>
      <w:r>
        <w:rPr>
          <w:rFonts w:ascii="Times New Roman" w:eastAsia="DengXian" w:hAnsi="Times New Roman" w:cs="Times New Roman"/>
          <w:sz w:val="28"/>
          <w:szCs w:val="28"/>
          <w:lang w:val="kk-KZ" w:eastAsia="zh-CN"/>
        </w:rPr>
        <w:t>анның азық-түлік өнеркәсібінің инновациялық әлеуеті мен дайындық деңгейіне кешенді талдау және бағалау міндеті толығымен орындалды.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Біріншіден, саланың ағымдағы жағдайына жүргізілген кешенді талдау инновациялық белсенділіктің төмендігіне әкелетін негізгі </w:t>
      </w:r>
      <w:r>
        <w:rPr>
          <w:rFonts w:ascii="Times New Roman" w:eastAsia="DengXian" w:hAnsi="Times New Roman" w:cs="Times New Roman"/>
          <w:sz w:val="28"/>
          <w:szCs w:val="28"/>
          <w:lang w:val="kk-KZ" w:eastAsia="zh-CN"/>
        </w:rPr>
        <w:t>тосқауылдарды (әлсіз интеграция, ресурстық шектеулер, дайын кадрлардың тапшылығы) нақты айқындады. Екіншіден, Ғаламдық инновациялар индексі атты авторлық құралды қолдану Қазақстанның әлемдік нарықтағы бәсекеге қабілеттілік деңгейі төмен екенін көрсетті, бұ</w:t>
      </w:r>
      <w:r>
        <w:rPr>
          <w:rFonts w:ascii="Times New Roman" w:eastAsia="DengXian" w:hAnsi="Times New Roman" w:cs="Times New Roman"/>
          <w:sz w:val="28"/>
          <w:szCs w:val="28"/>
          <w:lang w:val="kk-KZ" w:eastAsia="zh-CN"/>
        </w:rPr>
        <w:t>л жаңа стратегиялық шаралар қабылдау қажеттілігін дәлелдейді. Үшіншіден, 56 кәсіпорыннан іріктеме жасалған құрылымданған сауалнама және авторлық әдістеме негізінде, олардың инновациялық әлеуеті мен сыртқы серіктестермен инновация саласындағы ынтымақтастыққ</w:t>
      </w:r>
      <w:r>
        <w:rPr>
          <w:rFonts w:ascii="Times New Roman" w:eastAsia="DengXian" w:hAnsi="Times New Roman" w:cs="Times New Roman"/>
          <w:sz w:val="28"/>
          <w:szCs w:val="28"/>
          <w:lang w:val="kk-KZ" w:eastAsia="zh-CN"/>
        </w:rPr>
        <w:t>а ашықтық дәрежесі бағаланды. Талдау кәсіпорындардың төмен инновациялық әлеуетке ие болғанын, бірақ ашық инновациялық үдерістерге қатысуға жоғары қызығушылық білдіретінін көрсетті. Сонымен қатар, «Тұрақты даму (ESG) бағытындағы инновациялық басымдылықтары»</w:t>
      </w:r>
      <w:r>
        <w:rPr>
          <w:rFonts w:ascii="Times New Roman" w:eastAsia="DengXian" w:hAnsi="Times New Roman" w:cs="Times New Roman"/>
          <w:sz w:val="28"/>
          <w:szCs w:val="28"/>
          <w:lang w:val="kk-KZ" w:eastAsia="zh-CN"/>
        </w:rPr>
        <w:t xml:space="preserve"> блогының нәтижелері ең маңызды алшақтықты көрсетті - ол кәсіпорындардың инновациялық әрекеті ресурстарды үнемдеуге, энергия тиімділігіне немесе қалдықтарды кәдеге жаратуға тікелей және стратегиялық тұрғыда төмен бағытталған.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эмпирикалық нәтижелер тама</w:t>
      </w:r>
      <w:r>
        <w:rPr>
          <w:rFonts w:ascii="Times New Roman" w:eastAsia="DengXian" w:hAnsi="Times New Roman" w:cs="Times New Roman"/>
          <w:sz w:val="28"/>
          <w:szCs w:val="28"/>
          <w:lang w:val="kk-KZ" w:eastAsia="zh-CN"/>
        </w:rPr>
        <w:t>қ</w:t>
      </w:r>
      <w:r>
        <w:rPr>
          <w:rFonts w:ascii="Times New Roman" w:eastAsia="DengXian" w:hAnsi="Times New Roman" w:cs="Times New Roman"/>
          <w:sz w:val="28"/>
          <w:szCs w:val="28"/>
          <w:lang w:val="kk-KZ" w:eastAsia="zh-CN"/>
        </w:rPr>
        <w:t xml:space="preserve"> өнеркәсібінде тұрақты ашық инновациялардың толыққанды іс жүзіндегі жетіспеушілігін дәлелдейді.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Сондықтан, диссертацияның теориялық бөлімінде негізделгендей, дәстүрлі ашық инновациялық парадигманы тұрақты даму мақсаттарымен интеграциялайтын жаңа стратегия</w:t>
      </w:r>
      <w:r>
        <w:rPr>
          <w:rFonts w:ascii="Times New Roman" w:eastAsia="DengXian" w:hAnsi="Times New Roman" w:cs="Times New Roman"/>
          <w:sz w:val="28"/>
          <w:szCs w:val="28"/>
          <w:lang w:val="kk-KZ" w:eastAsia="zh-CN"/>
        </w:rPr>
        <w:t>лық бағытты қалыптастыру қажет.</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алшақтықты жою және инновациялық әлеуетті жаһандық тұрақтылық трендтеріне бағыттау үшін Тамақ өнеркәсібіндегі Тұрақты Ашық Инновациялардың тұжырымдамалық Моделін әзірлеудің қажеттілігі бар. Бұл модель компанияларға өздер</w:t>
      </w:r>
      <w:r>
        <w:rPr>
          <w:rFonts w:ascii="Times New Roman" w:eastAsia="DengXian" w:hAnsi="Times New Roman" w:cs="Times New Roman"/>
          <w:sz w:val="28"/>
          <w:szCs w:val="28"/>
          <w:lang w:val="kk-KZ" w:eastAsia="zh-CN"/>
        </w:rPr>
        <w:t xml:space="preserve">інің бар ҒЗТКЖ қызметін және сыртқы ынтымақтастығын (ашық инновацияны) экологиялық және әлеуметтік жауапкершілік мақсаттарына жүйелі түрде бағыттауға мүмкіндік береді.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Осылайша, диссертациялық жұмыстың талдау және бағалау тарауында анықталған мәселелер </w:t>
      </w:r>
      <w:r>
        <w:rPr>
          <w:rFonts w:ascii="Times New Roman" w:eastAsia="DengXian" w:hAnsi="Times New Roman" w:cs="Times New Roman"/>
          <w:sz w:val="28"/>
          <w:szCs w:val="28"/>
          <w:lang w:val="kk-KZ" w:eastAsia="zh-CN"/>
        </w:rPr>
        <w:t>мен дифференциацияланған қажеттіліктер келесі үшінші тарауда ұсынылатын интеграциялық механизмдер мен Тұрақты ашық инновация үлгілерін әзірлеуге негіз болып табылады.</w:t>
      </w:r>
    </w:p>
    <w:p w:rsidR="005118AF" w:rsidRDefault="005118AF">
      <w:pPr>
        <w:autoSpaceDE w:val="0"/>
        <w:autoSpaceDN w:val="0"/>
        <w:adjustRightInd w:val="0"/>
        <w:spacing w:after="0" w:line="240" w:lineRule="auto"/>
        <w:ind w:firstLine="567"/>
        <w:jc w:val="both"/>
        <w:rPr>
          <w:rFonts w:ascii="Times New Roman" w:eastAsia="DengXi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eastAsia="DengXian" w:hAnsi="Times New Roman" w:cs="Times New Roman"/>
          <w:sz w:val="28"/>
          <w:szCs w:val="28"/>
          <w:lang w:val="kk-KZ" w:eastAsia="zh-CN"/>
        </w:rPr>
      </w:pPr>
    </w:p>
    <w:p w:rsidR="005118AF" w:rsidRDefault="00EF60C3">
      <w:pPr>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br w:type="page"/>
      </w:r>
    </w:p>
    <w:p w:rsidR="005118AF" w:rsidRDefault="00EF60C3">
      <w:pPr>
        <w:spacing w:after="0" w:line="240" w:lineRule="auto"/>
        <w:ind w:firstLine="709"/>
        <w:jc w:val="both"/>
        <w:rPr>
          <w:rFonts w:ascii="Times New Roman" w:eastAsia="DengXian" w:hAnsi="Times New Roman" w:cs="Times New Roman"/>
          <w:b/>
          <w:sz w:val="28"/>
          <w:szCs w:val="28"/>
          <w:lang w:val="kk-KZ"/>
        </w:rPr>
      </w:pPr>
      <w:r>
        <w:rPr>
          <w:rFonts w:ascii="Times New Roman" w:eastAsia="DengXian" w:hAnsi="Times New Roman" w:cs="Times New Roman"/>
          <w:b/>
          <w:sz w:val="28"/>
          <w:szCs w:val="28"/>
          <w:lang w:val="kk-KZ"/>
        </w:rPr>
        <w:t>3 ТАМАҚ ӨНЕРКӘСІБІ ҚӘСІПОРЫНДАРЫНЫҢ ИННОВАЦИЯЛЫҚ ДАМУЫН БАСҚАРУДЫ ЖЕТІЛДІРУ БОЙЫНША Ұ</w:t>
      </w:r>
      <w:r>
        <w:rPr>
          <w:rFonts w:ascii="Times New Roman" w:eastAsia="DengXian" w:hAnsi="Times New Roman" w:cs="Times New Roman"/>
          <w:b/>
          <w:sz w:val="28"/>
          <w:szCs w:val="28"/>
          <w:lang w:val="kk-KZ"/>
        </w:rPr>
        <w:t>СЫНЫСТАР</w:t>
      </w:r>
    </w:p>
    <w:p w:rsidR="005118AF" w:rsidRDefault="005118AF">
      <w:pPr>
        <w:spacing w:after="0" w:line="240" w:lineRule="auto"/>
        <w:ind w:firstLine="709"/>
        <w:jc w:val="both"/>
        <w:rPr>
          <w:rFonts w:ascii="Times New Roman" w:eastAsia="DengXian" w:hAnsi="Times New Roman" w:cs="Times New Roman"/>
          <w:b/>
          <w:sz w:val="28"/>
          <w:szCs w:val="28"/>
          <w:lang w:val="kk-KZ"/>
        </w:rPr>
      </w:pPr>
    </w:p>
    <w:p w:rsidR="005118AF" w:rsidRDefault="00EF60C3">
      <w:pPr>
        <w:spacing w:after="0" w:line="240" w:lineRule="auto"/>
        <w:ind w:firstLine="709"/>
        <w:jc w:val="both"/>
        <w:rPr>
          <w:rFonts w:ascii="Times New Roman" w:eastAsia="DengXian" w:hAnsi="Times New Roman" w:cs="Times New Roman"/>
          <w:b/>
          <w:sz w:val="28"/>
          <w:szCs w:val="28"/>
          <w:lang w:val="kk-KZ"/>
        </w:rPr>
      </w:pPr>
      <w:r>
        <w:rPr>
          <w:rFonts w:ascii="Times New Roman" w:eastAsia="DengXian" w:hAnsi="Times New Roman" w:cs="Times New Roman"/>
          <w:b/>
          <w:sz w:val="28"/>
          <w:szCs w:val="28"/>
          <w:lang w:val="kk-KZ"/>
        </w:rPr>
        <w:t xml:space="preserve">3.1 </w:t>
      </w:r>
      <w:r>
        <w:rPr>
          <w:rFonts w:ascii="Times New Roman" w:hAnsi="Times New Roman"/>
          <w:b/>
          <w:sz w:val="28"/>
          <w:szCs w:val="28"/>
          <w:lang w:val="kk-KZ"/>
        </w:rPr>
        <w:t>ҚР</w:t>
      </w:r>
      <w:r>
        <w:rPr>
          <w:rFonts w:ascii="Times New Roman" w:hAnsi="Times New Roman"/>
          <w:b/>
          <w:sz w:val="28"/>
          <w:szCs w:val="28"/>
          <w:lang w:val="kk-KZ"/>
        </w:rPr>
        <w:t xml:space="preserve"> тамақ өнеркәсібінің инновациялық дамуының интеграциялық құрылымын қалыптастыру тетігі</w:t>
      </w:r>
    </w:p>
    <w:p w:rsidR="005118AF" w:rsidRDefault="00EF60C3">
      <w:pPr>
        <w:tabs>
          <w:tab w:val="left" w:pos="1134"/>
        </w:tabs>
        <w:spacing w:after="0" w:line="240" w:lineRule="auto"/>
        <w:ind w:firstLine="709"/>
        <w:jc w:val="both"/>
        <w:rPr>
          <w:rFonts w:ascii="Times New Roman" w:eastAsia="DengXian" w:hAnsi="Times New Roman" w:cs="Times New Roman"/>
          <w:sz w:val="28"/>
          <w:szCs w:val="28"/>
          <w:lang w:val="kk-KZ"/>
        </w:rPr>
      </w:pPr>
      <w:bookmarkStart w:id="13" w:name="_Hlk115951913"/>
      <w:r>
        <w:rPr>
          <w:rFonts w:ascii="Times New Roman" w:eastAsia="DengXian" w:hAnsi="Times New Roman" w:cs="Times New Roman"/>
          <w:sz w:val="28"/>
          <w:szCs w:val="28"/>
          <w:lang w:val="kk-KZ"/>
        </w:rPr>
        <w:t>Еліміздің тамақ өнекәсібі саласында қазіргі уақытта іске асырылып жатқан қолданыстағы бастамалар мен іс-шаралардың шашыраңқы, реттелмеген және әсерінің ш</w:t>
      </w:r>
      <w:r>
        <w:rPr>
          <w:rFonts w:ascii="Times New Roman" w:eastAsia="DengXian" w:hAnsi="Times New Roman" w:cs="Times New Roman"/>
          <w:sz w:val="28"/>
          <w:szCs w:val="28"/>
          <w:lang w:val="kk-KZ"/>
        </w:rPr>
        <w:t>ектеулі болуы сияқты инновацияларды дамытуға ықпал ететін институционалдық және саяси деңгейлерде бірқатар кедергілердің орын алуы тамақ өнеркәсібінде жүйелік өзгерістерді жүзеге асыру қажеттілігін негіздейді. Себебі, еліміздегі</w:t>
      </w:r>
      <w:r>
        <w:rPr>
          <w:rFonts w:ascii="Times New Roman" w:eastAsia="DengXian" w:hAnsi="Times New Roman" w:cs="Times New Roman"/>
          <w:color w:val="000000"/>
          <w:sz w:val="28"/>
          <w:szCs w:val="28"/>
          <w:lang w:val="kk-KZ"/>
        </w:rPr>
        <w:t xml:space="preserve"> тамақ өнеркәсібінде қолданы</w:t>
      </w:r>
      <w:r>
        <w:rPr>
          <w:rFonts w:ascii="Times New Roman" w:eastAsia="DengXian" w:hAnsi="Times New Roman" w:cs="Times New Roman"/>
          <w:color w:val="000000"/>
          <w:sz w:val="28"/>
          <w:szCs w:val="28"/>
          <w:lang w:val="kk-KZ"/>
        </w:rPr>
        <w:t>латын инновациялардың үлгілері негізінен ұсынысқа негізделе қалыптасқан: әртүрлі ғылыми-зерттеу ұйымдары мен университеттер жаңа технологиялар, инновацияларды әзірлейді, одан кейін олар сала кәсіпорындарына енгізу мақсатында ұсынылады.</w:t>
      </w:r>
      <w:r>
        <w:rPr>
          <w:rFonts w:ascii="Times New Roman" w:eastAsia="DengXian" w:hAnsi="Times New Roman" w:cs="Times New Roman"/>
          <w:sz w:val="28"/>
          <w:szCs w:val="28"/>
          <w:lang w:val="kk-KZ"/>
        </w:rPr>
        <w:t xml:space="preserve"> </w:t>
      </w:r>
    </w:p>
    <w:p w:rsidR="005118AF" w:rsidRDefault="00EF60C3">
      <w:pPr>
        <w:tabs>
          <w:tab w:val="left" w:pos="1134"/>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Бұл жүйелік өзгеріс</w:t>
      </w:r>
      <w:r>
        <w:rPr>
          <w:rFonts w:ascii="Times New Roman" w:eastAsia="DengXian" w:hAnsi="Times New Roman" w:cs="Times New Roman"/>
          <w:sz w:val="28"/>
          <w:szCs w:val="28"/>
          <w:lang w:val="kk-KZ"/>
        </w:rPr>
        <w:t>тер азық-түлік өнімдері өндірісі процесінің барлық қатысушыларының (зерттеушілерден бастап, кәсіпорын мен тұтынушылардың) бірлескен инновациялық қызметке қатысуларына қолайлы жағдай қалыптастыруды талап етеді. Сонымен қатар, тамақ өнеркәсібіндегі инновация</w:t>
      </w:r>
      <w:r>
        <w:rPr>
          <w:rFonts w:ascii="Times New Roman" w:eastAsia="DengXian" w:hAnsi="Times New Roman" w:cs="Times New Roman"/>
          <w:sz w:val="28"/>
          <w:szCs w:val="28"/>
          <w:lang w:val="kk-KZ"/>
        </w:rPr>
        <w:t>лар көбінесе басқа салаларда әзірленген жаңа технологияларға тәуелді болып отыр (мысалы генетики, сандық технологиялар және т.б.). Сондықтан, инновациялық даму арқылы мүмкін болатын жүйелік өзгерістерді жүзеге асыруда мультипәнділік шешішу фактор болып таб</w:t>
      </w:r>
      <w:r>
        <w:rPr>
          <w:rFonts w:ascii="Times New Roman" w:eastAsia="DengXian" w:hAnsi="Times New Roman" w:cs="Times New Roman"/>
          <w:sz w:val="28"/>
          <w:szCs w:val="28"/>
          <w:lang w:val="kk-KZ"/>
        </w:rPr>
        <w:t>ылады. Қазақстанның тамақ өндіріс жүйесінде инновацияларды шығару үшін бірінші кезекте ғылыми-зерттеу жүргізу мүмкіндігін кеңейтуге ықпал ететін технологиялық және жаратылыстану ғылымдарының, гуманитарлық және әлеуметтік ғылымдармен үйлесімділігін қамтамас</w:t>
      </w:r>
      <w:r>
        <w:rPr>
          <w:rFonts w:ascii="Times New Roman" w:eastAsia="DengXian" w:hAnsi="Times New Roman" w:cs="Times New Roman"/>
          <w:sz w:val="28"/>
          <w:szCs w:val="28"/>
          <w:lang w:val="kk-KZ"/>
        </w:rPr>
        <w:t xml:space="preserve">ыз ету керек. .  </w:t>
      </w:r>
    </w:p>
    <w:p w:rsidR="005118AF" w:rsidRDefault="00EF60C3">
      <w:pPr>
        <w:tabs>
          <w:tab w:val="left" w:pos="1134"/>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Бұл ретте тамақ өнеркәсібі саласында ғылыми-зерттеу қауымдастығының қызмет етуін күшейту маңызды. Инновациялық қоғамдастықтар инновациялық процесс кезеңіне, оған қатысушы субъектілердің мүмкіндігіне және инновациялық жағдайдың күрделілігі</w:t>
      </w:r>
      <w:r>
        <w:rPr>
          <w:rFonts w:ascii="Times New Roman" w:eastAsia="DengXian" w:hAnsi="Times New Roman" w:cs="Times New Roman"/>
          <w:sz w:val="28"/>
          <w:szCs w:val="28"/>
          <w:lang w:val="kk-KZ"/>
        </w:rPr>
        <w:t>не байланысты ерекше қолдауды қажет етеді. Сондықтан елімізде олардың дамуына ықпал ету үшін мемлекеттік қолдау шараларын дамыту қажет. Мұндай жүйе азық-түлік өнімдерінің жеткізу тізбегінде жаңа коммерциялық өнімдерді жылдам шығаруға және салалар арасындағ</w:t>
      </w:r>
      <w:r>
        <w:rPr>
          <w:rFonts w:ascii="Times New Roman" w:eastAsia="DengXian" w:hAnsi="Times New Roman" w:cs="Times New Roman"/>
          <w:sz w:val="28"/>
          <w:szCs w:val="28"/>
          <w:lang w:val="kk-KZ"/>
        </w:rPr>
        <w:t xml:space="preserve">ы сенімді серіктестік есебінен бизнесті жүзеге асыруға мүмкіндік береді. </w:t>
      </w:r>
    </w:p>
    <w:p w:rsidR="005118AF" w:rsidRDefault="00EF60C3">
      <w:pPr>
        <w:tabs>
          <w:tab w:val="left" w:pos="1134"/>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Инновациялық қоғамдастықтарды мемлекеттік қолдау механизмдерін қолдау стиліне және инновациялық процестің кезеңдеріндегі инновациялық қоғамдастықтардың қажеттіліктеріне байланысты ат</w:t>
      </w:r>
      <w:r>
        <w:rPr>
          <w:rFonts w:ascii="Times New Roman" w:eastAsia="DengXian" w:hAnsi="Times New Roman" w:cs="Times New Roman"/>
          <w:sz w:val="28"/>
          <w:szCs w:val="28"/>
          <w:lang w:val="kk-KZ"/>
        </w:rPr>
        <w:t>қаратын</w:t>
      </w:r>
      <w:r>
        <w:rPr>
          <w:rFonts w:ascii="Times New Roman" w:eastAsia="DengXian" w:hAnsi="Times New Roman" w:cs="Times New Roman"/>
          <w:sz w:val="28"/>
          <w:szCs w:val="28"/>
          <w:lang w:val="kk-KZ"/>
        </w:rPr>
        <w:t xml:space="preserve"> функцияларына негіздей отырып жіктеу қажет (33-кесте). </w:t>
      </w:r>
    </w:p>
    <w:bookmarkEnd w:id="13"/>
    <w:p w:rsidR="005118AF" w:rsidRDefault="005118AF">
      <w:pPr>
        <w:numPr>
          <w:ilvl w:val="0"/>
          <w:numId w:val="19"/>
        </w:numPr>
        <w:tabs>
          <w:tab w:val="left" w:pos="993"/>
        </w:tabs>
        <w:spacing w:after="0" w:line="240" w:lineRule="auto"/>
        <w:ind w:left="0" w:firstLine="709"/>
        <w:jc w:val="both"/>
        <w:rPr>
          <w:rFonts w:ascii="Times New Roman" w:hAnsi="Times New Roman"/>
          <w:color w:val="000000"/>
          <w:sz w:val="28"/>
          <w:szCs w:val="28"/>
          <w:lang w:val="kk-KZ"/>
        </w:rPr>
        <w:sectPr w:rsidR="005118AF">
          <w:pgSz w:w="11906" w:h="16838"/>
          <w:pgMar w:top="1134" w:right="567" w:bottom="1134" w:left="1701" w:header="709" w:footer="709" w:gutter="0"/>
          <w:cols w:space="720"/>
          <w:docGrid w:linePitch="360"/>
        </w:sectPr>
      </w:pPr>
    </w:p>
    <w:p w:rsidR="005118AF" w:rsidRDefault="00EF60C3">
      <w:pPr>
        <w:spacing w:after="0" w:line="240" w:lineRule="auto"/>
        <w:jc w:val="both"/>
        <w:rPr>
          <w:rFonts w:ascii="Times New Roman" w:eastAsia="DengXian" w:hAnsi="Times New Roman" w:cs="Times New Roman"/>
          <w:bCs/>
          <w:sz w:val="28"/>
          <w:szCs w:val="28"/>
          <w:lang w:val="kk-KZ"/>
        </w:rPr>
      </w:pPr>
      <w:r>
        <w:rPr>
          <w:rFonts w:ascii="Times New Roman" w:eastAsia="DengXian" w:hAnsi="Times New Roman" w:cs="Times New Roman"/>
          <w:bCs/>
          <w:sz w:val="28"/>
          <w:szCs w:val="28"/>
          <w:lang w:val="kk-KZ"/>
        </w:rPr>
        <w:t>Кесте 33 ‒ Тамақ өнеркәсібі кәсіпорындарының ұжымдық инновациялық іс-әрекетін мемлекеттік қолдау механизмі</w:t>
      </w:r>
    </w:p>
    <w:p w:rsidR="005118AF" w:rsidRDefault="005118AF">
      <w:pPr>
        <w:spacing w:after="0" w:line="240" w:lineRule="auto"/>
        <w:ind w:firstLine="567"/>
        <w:jc w:val="center"/>
        <w:rPr>
          <w:rFonts w:ascii="Times New Roman" w:eastAsia="DengXian" w:hAnsi="Times New Roman" w:cs="Times New Roman"/>
          <w:sz w:val="16"/>
          <w:szCs w:val="16"/>
          <w:lang w:val="kk-KZ"/>
        </w:rPr>
      </w:pPr>
    </w:p>
    <w:tbl>
      <w:tblPr>
        <w:tblW w:w="14519"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4303"/>
        <w:gridCol w:w="3827"/>
        <w:gridCol w:w="3940"/>
      </w:tblGrid>
      <w:tr w:rsidR="005118AF">
        <w:tc>
          <w:tcPr>
            <w:tcW w:w="6752" w:type="dxa"/>
            <w:gridSpan w:val="2"/>
            <w:vMerge w:val="restart"/>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Қолдау</w:t>
            </w:r>
            <w:r>
              <w:rPr>
                <w:rFonts w:ascii="Times New Roman" w:eastAsia="DengXian" w:hAnsi="Times New Roman" w:cs="Times New Roman"/>
                <w:sz w:val="24"/>
                <w:szCs w:val="24"/>
                <w:lang w:val="kk-KZ"/>
              </w:rPr>
              <w:t xml:space="preserve"> механизмдерінің функциялары мен мысалдар</w:t>
            </w:r>
          </w:p>
        </w:tc>
        <w:tc>
          <w:tcPr>
            <w:tcW w:w="7767" w:type="dxa"/>
            <w:gridSpan w:val="2"/>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Қолдау</w:t>
            </w:r>
            <w:r>
              <w:rPr>
                <w:rFonts w:ascii="Times New Roman" w:eastAsia="DengXian" w:hAnsi="Times New Roman" w:cs="Times New Roman"/>
                <w:sz w:val="24"/>
                <w:szCs w:val="24"/>
                <w:lang w:val="kk-KZ"/>
              </w:rPr>
              <w:t xml:space="preserve"> стильдері</w:t>
            </w:r>
          </w:p>
        </w:tc>
      </w:tr>
      <w:tr w:rsidR="005118AF">
        <w:tc>
          <w:tcPr>
            <w:tcW w:w="6752" w:type="dxa"/>
            <w:gridSpan w:val="2"/>
            <w:vMerge/>
            <w:vAlign w:val="center"/>
          </w:tcPr>
          <w:p w:rsidR="005118AF" w:rsidRDefault="005118AF">
            <w:pPr>
              <w:spacing w:after="0" w:line="240" w:lineRule="auto"/>
              <w:jc w:val="center"/>
              <w:rPr>
                <w:rFonts w:ascii="Times New Roman" w:eastAsia="DengXian" w:hAnsi="Times New Roman" w:cs="Times New Roman"/>
                <w:sz w:val="24"/>
                <w:szCs w:val="24"/>
                <w:lang w:val="kk-KZ"/>
              </w:rPr>
            </w:pPr>
          </w:p>
        </w:tc>
        <w:tc>
          <w:tcPr>
            <w:tcW w:w="3827"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қолайлы</w:t>
            </w:r>
            <w:r>
              <w:rPr>
                <w:rFonts w:ascii="Times New Roman" w:eastAsia="DengXian" w:hAnsi="Times New Roman" w:cs="Times New Roman"/>
                <w:sz w:val="24"/>
                <w:szCs w:val="24"/>
                <w:lang w:val="kk-KZ"/>
              </w:rPr>
              <w:t xml:space="preserve"> жағдай жасау</w:t>
            </w:r>
          </w:p>
        </w:tc>
        <w:tc>
          <w:tcPr>
            <w:tcW w:w="3940"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тікелей қадағалау</w:t>
            </w:r>
          </w:p>
        </w:tc>
      </w:tr>
      <w:tr w:rsidR="005118AF">
        <w:tc>
          <w:tcPr>
            <w:tcW w:w="6752" w:type="dxa"/>
            <w:gridSpan w:val="2"/>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1</w:t>
            </w:r>
          </w:p>
        </w:tc>
        <w:tc>
          <w:tcPr>
            <w:tcW w:w="3827"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2</w:t>
            </w:r>
          </w:p>
        </w:tc>
        <w:tc>
          <w:tcPr>
            <w:tcW w:w="3940"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3</w:t>
            </w:r>
          </w:p>
        </w:tc>
      </w:tr>
      <w:tr w:rsidR="005118AF">
        <w:tc>
          <w:tcPr>
            <w:tcW w:w="2449"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Инновациялық қоғамдастықтардың пайда болуына және дамуына көмектесу</w:t>
            </w:r>
          </w:p>
        </w:tc>
        <w:tc>
          <w:tcPr>
            <w:tcW w:w="4303" w:type="dxa"/>
          </w:tcPr>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өнертабыстар</w:t>
            </w:r>
            <w:r>
              <w:rPr>
                <w:rFonts w:ascii="Times New Roman" w:eastAsia="DengXian" w:hAnsi="Times New Roman" w:cs="Times New Roman"/>
                <w:sz w:val="24"/>
                <w:szCs w:val="24"/>
                <w:lang w:val="kk-KZ"/>
              </w:rPr>
              <w:t xml:space="preserve"> (шешімдер) немесе әлеуметтік мәселелер (проблемалар) туралы байланыс орнату және ақпараттандыруды арттыру</w:t>
            </w:r>
          </w:p>
          <w:p w:rsidR="005118AF" w:rsidRDefault="00EF60C3">
            <w:p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Жобалау үшін кеңістік </w:t>
            </w:r>
            <w:r>
              <w:rPr>
                <w:rFonts w:ascii="Times New Roman" w:eastAsia="DengXian" w:hAnsi="Times New Roman" w:cs="Times New Roman"/>
                <w:sz w:val="24"/>
                <w:szCs w:val="24"/>
                <w:lang w:val="kk-KZ"/>
              </w:rPr>
              <w:t>құру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жаңа идеялардың ұжымдық өндірісін ынталандыру: жаңа біліммен танысу, парадокстармен бетпе -бет келу, құрдастар арасындағы алмасу;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рефлексия мен пікір алмасуды ұйымдастыру</w:t>
            </w:r>
          </w:p>
        </w:tc>
        <w:tc>
          <w:tcPr>
            <w:tcW w:w="3827"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Ғылым</w:t>
            </w:r>
            <w:r>
              <w:rPr>
                <w:rFonts w:ascii="Times New Roman" w:eastAsia="DengXian" w:hAnsi="Times New Roman" w:cs="Times New Roman"/>
                <w:sz w:val="24"/>
                <w:szCs w:val="24"/>
                <w:lang w:val="kk-KZ"/>
              </w:rPr>
              <w:t xml:space="preserve"> және қоғам форумы (онлайн платформа);</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Эксперименттер мен кездесулерге </w:t>
            </w:r>
            <w:r>
              <w:rPr>
                <w:rFonts w:ascii="Times New Roman" w:eastAsia="DengXian" w:hAnsi="Times New Roman" w:cs="Times New Roman"/>
                <w:sz w:val="24"/>
                <w:szCs w:val="24"/>
                <w:lang w:val="kk-KZ"/>
              </w:rPr>
              <w:t>арналған үшінші тарап аймақтары: коворкингке арналған кеңістіктер;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rPr>
              <w:t>И</w:t>
            </w:r>
            <w:r>
              <w:rPr>
                <w:rFonts w:ascii="Times New Roman" w:eastAsia="DengXian" w:hAnsi="Times New Roman" w:cs="Times New Roman"/>
                <w:sz w:val="24"/>
                <w:szCs w:val="24"/>
                <w:lang w:val="kk-KZ"/>
              </w:rPr>
              <w:t>нновациялық жобалар бойынша конкурстар мен сыйлықтар</w:t>
            </w:r>
          </w:p>
        </w:tc>
        <w:tc>
          <w:tcPr>
            <w:tcW w:w="3940"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Серіктестіктегі іс -әрекетті зерттеу немесе инновацияларды зерттеу топтарымен ұйымдастыру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Ғылыми</w:t>
            </w:r>
            <w:r>
              <w:rPr>
                <w:rFonts w:ascii="Times New Roman" w:eastAsia="DengXian" w:hAnsi="Times New Roman" w:cs="Times New Roman"/>
                <w:sz w:val="24"/>
                <w:szCs w:val="24"/>
                <w:lang w:val="kk-KZ"/>
              </w:rPr>
              <w:t xml:space="preserve"> -техникалық оқу орындарында немесе инн</w:t>
            </w:r>
            <w:r>
              <w:rPr>
                <w:rFonts w:ascii="Times New Roman" w:eastAsia="DengXian" w:hAnsi="Times New Roman" w:cs="Times New Roman"/>
                <w:sz w:val="24"/>
                <w:szCs w:val="24"/>
                <w:lang w:val="kk-KZ"/>
              </w:rPr>
              <w:t>овациялық орталықтарда жоба жетекшілеріне қолдау көрсету жолдары</w:t>
            </w:r>
          </w:p>
        </w:tc>
      </w:tr>
      <w:tr w:rsidR="005118AF">
        <w:tc>
          <w:tcPr>
            <w:tcW w:w="2449"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Инновациялық қоғамдастықтарды құру</w:t>
            </w:r>
          </w:p>
        </w:tc>
        <w:tc>
          <w:tcPr>
            <w:tcW w:w="4303" w:type="dxa"/>
          </w:tcPr>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бірлескен көшбасшылықты ынталандыру;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жоспарлауға көмек;</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ұйымдарды</w:t>
            </w:r>
            <w:r>
              <w:rPr>
                <w:rFonts w:ascii="Times New Roman" w:eastAsia="DengXian" w:hAnsi="Times New Roman" w:cs="Times New Roman"/>
                <w:sz w:val="24"/>
                <w:szCs w:val="24"/>
                <w:lang w:val="kk-KZ"/>
              </w:rPr>
              <w:t xml:space="preserve"> сырттан қарауға ынталандыру және бірлескен оқуды ынталандыру;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барлау немесе пайдалану әді</w:t>
            </w:r>
            <w:r>
              <w:rPr>
                <w:rFonts w:ascii="Times New Roman" w:eastAsia="DengXian" w:hAnsi="Times New Roman" w:cs="Times New Roman"/>
                <w:sz w:val="24"/>
                <w:szCs w:val="24"/>
                <w:lang w:val="kk-KZ"/>
              </w:rPr>
              <w:t>стері мен құралдарын ұсыну</w:t>
            </w:r>
          </w:p>
        </w:tc>
        <w:tc>
          <w:tcPr>
            <w:tcW w:w="3827"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Субъектілердің инновациялық әлеуетін арттыруға бағытталған жобалар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Инновацияларды ұжымдық дамытуға негізделген жобалар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Жеке құралдар шығаратын дамыту бойынша коммуникативтік агенттіктер</w:t>
            </w:r>
          </w:p>
        </w:tc>
        <w:tc>
          <w:tcPr>
            <w:tcW w:w="3940"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Инновациялық процеске қатысушы </w:t>
            </w:r>
            <w:r>
              <w:rPr>
                <w:rFonts w:ascii="Times New Roman" w:eastAsia="DengXian" w:hAnsi="Times New Roman" w:cs="Times New Roman"/>
                <w:sz w:val="24"/>
                <w:szCs w:val="24"/>
                <w:lang w:val="kk-KZ"/>
              </w:rPr>
              <w:t>субъектілердің инновациялық әлеуе тін арттыру бойынша жобалар;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Инновацияларды ұжымдық дамытуға негізделген жобалар;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Арнайы құралдарды құруға бағытталған дамыту бойынша байланыс агенттіктері</w:t>
            </w:r>
          </w:p>
        </w:tc>
      </w:tr>
      <w:tr w:rsidR="005118AF">
        <w:tc>
          <w:tcPr>
            <w:tcW w:w="2449"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Эксперименттер мен әзірлемелер үшін инновациялық қолдау </w:t>
            </w:r>
            <w:r>
              <w:rPr>
                <w:rFonts w:ascii="Times New Roman" w:eastAsia="DengXian" w:hAnsi="Times New Roman" w:cs="Times New Roman"/>
                <w:sz w:val="24"/>
                <w:szCs w:val="24"/>
                <w:lang w:val="kk-KZ"/>
              </w:rPr>
              <w:t>қызметтерін</w:t>
            </w:r>
            <w:r>
              <w:rPr>
                <w:rFonts w:ascii="Times New Roman" w:eastAsia="DengXian" w:hAnsi="Times New Roman" w:cs="Times New Roman"/>
                <w:sz w:val="24"/>
                <w:szCs w:val="24"/>
                <w:lang w:val="kk-KZ"/>
              </w:rPr>
              <w:t xml:space="preserve"> көрсететін ұйымдармен серіктестік құру</w:t>
            </w:r>
          </w:p>
        </w:tc>
        <w:tc>
          <w:tcPr>
            <w:tcW w:w="4303" w:type="dxa"/>
            <w:tcBorders>
              <w:bottom w:val="nil"/>
            </w:tcBorders>
          </w:tcPr>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қолдау</w:t>
            </w:r>
            <w:r>
              <w:rPr>
                <w:rFonts w:ascii="Times New Roman" w:eastAsia="DengXian" w:hAnsi="Times New Roman" w:cs="Times New Roman"/>
                <w:sz w:val="24"/>
                <w:szCs w:val="24"/>
                <w:lang w:val="kk-KZ"/>
              </w:rPr>
              <w:t xml:space="preserve"> мен қаржыландыру қажеттіліктерін анықтауға көмектесу;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донорларды анықтауға және қызмет көрсетушілерге қолдау көрсету;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сұраныс пен ұсыныс арасындағы кездесулерді ұйымдастыру;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өзара</w:t>
            </w:r>
            <w:r>
              <w:rPr>
                <w:rFonts w:ascii="Times New Roman" w:eastAsia="DengXian" w:hAnsi="Times New Roman" w:cs="Times New Roman"/>
                <w:sz w:val="24"/>
                <w:szCs w:val="24"/>
                <w:lang w:val="kk-KZ"/>
              </w:rPr>
              <w:t xml:space="preserve"> сенімділікті қалып</w:t>
            </w:r>
            <w:r>
              <w:rPr>
                <w:rFonts w:ascii="Times New Roman" w:eastAsia="DengXian" w:hAnsi="Times New Roman" w:cs="Times New Roman"/>
                <w:sz w:val="24"/>
                <w:szCs w:val="24"/>
                <w:lang w:val="kk-KZ"/>
              </w:rPr>
              <w:t>тастыру;</w:t>
            </w:r>
          </w:p>
          <w:p w:rsidR="005118AF" w:rsidRDefault="00EF60C3">
            <w:pPr>
              <w:numPr>
                <w:ilvl w:val="0"/>
                <w:numId w:val="19"/>
              </w:numPr>
              <w:tabs>
                <w:tab w:val="left" w:pos="503"/>
              </w:tabs>
              <w:spacing w:after="0" w:line="240" w:lineRule="auto"/>
              <w:ind w:left="-61" w:firstLine="283"/>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серіктестіктің келісім-шартқа отыруына және ресімделуіне көмектесу</w:t>
            </w:r>
          </w:p>
        </w:tc>
        <w:tc>
          <w:tcPr>
            <w:tcW w:w="3827"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Технополистер, интеграцияланған даму хабтары</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Инновациялық жәрмеңкелер, B2B, инновациялық нарық</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Ғылым</w:t>
            </w:r>
            <w:r>
              <w:rPr>
                <w:rFonts w:ascii="Times New Roman" w:eastAsia="DengXian" w:hAnsi="Times New Roman" w:cs="Times New Roman"/>
                <w:sz w:val="24"/>
                <w:szCs w:val="24"/>
                <w:lang w:val="kk-KZ"/>
              </w:rPr>
              <w:t xml:space="preserve"> мен қоғам форумы</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Краудфандинг жүйесі</w:t>
            </w:r>
          </w:p>
        </w:tc>
        <w:tc>
          <w:tcPr>
            <w:tcW w:w="3940" w:type="dxa"/>
            <w:tcBorders>
              <w:bottom w:val="nil"/>
            </w:tcBorders>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Аймақтағы бизнес -кластерлер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Инкубаторларда бизнесті / жаңадан бастаған кәсіпкерлерді қолдау процесі</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Инновацияны зерттеуге және бірлесіп жобалауға бағытталған көп мүдделі субъектілерді біріктіретін  инновациялық платформалар;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Инновациялық жобалар үшін жеке </w:t>
            </w:r>
          </w:p>
        </w:tc>
      </w:tr>
      <w:tr w:rsidR="005118AF">
        <w:tc>
          <w:tcPr>
            <w:tcW w:w="14519" w:type="dxa"/>
            <w:gridSpan w:val="4"/>
            <w:tcBorders>
              <w:top w:val="nil"/>
              <w:left w:val="nil"/>
              <w:right w:val="nil"/>
            </w:tcBorders>
          </w:tcPr>
          <w:p w:rsidR="005118AF" w:rsidRDefault="00EF60C3">
            <w:pPr>
              <w:spacing w:after="0" w:line="240" w:lineRule="auto"/>
              <w:ind w:hanging="108"/>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33-кестенің жалғасы</w:t>
            </w:r>
          </w:p>
          <w:p w:rsidR="005118AF" w:rsidRDefault="005118AF">
            <w:pPr>
              <w:spacing w:after="0" w:line="240" w:lineRule="auto"/>
              <w:ind w:hanging="108"/>
              <w:jc w:val="both"/>
              <w:rPr>
                <w:rFonts w:ascii="Times New Roman" w:eastAsia="DengXian" w:hAnsi="Times New Roman" w:cs="Times New Roman"/>
                <w:sz w:val="16"/>
                <w:szCs w:val="16"/>
                <w:lang w:val="kk-KZ"/>
              </w:rPr>
            </w:pPr>
          </w:p>
        </w:tc>
      </w:tr>
      <w:tr w:rsidR="005118AF">
        <w:tc>
          <w:tcPr>
            <w:tcW w:w="6752" w:type="dxa"/>
            <w:gridSpan w:val="2"/>
          </w:tcPr>
          <w:p w:rsidR="005118AF" w:rsidRDefault="00EF60C3">
            <w:pPr>
              <w:tabs>
                <w:tab w:val="left" w:pos="476"/>
              </w:tabs>
              <w:spacing w:after="0" w:line="240" w:lineRule="auto"/>
              <w:ind w:left="222"/>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1</w:t>
            </w:r>
          </w:p>
        </w:tc>
        <w:tc>
          <w:tcPr>
            <w:tcW w:w="3827" w:type="dxa"/>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2</w:t>
            </w:r>
          </w:p>
        </w:tc>
        <w:tc>
          <w:tcPr>
            <w:tcW w:w="3940" w:type="dxa"/>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3</w:t>
            </w:r>
          </w:p>
        </w:tc>
      </w:tr>
      <w:tr w:rsidR="005118AF">
        <w:tc>
          <w:tcPr>
            <w:tcW w:w="2449" w:type="dxa"/>
          </w:tcPr>
          <w:p w:rsidR="005118AF" w:rsidRDefault="005118AF">
            <w:pPr>
              <w:spacing w:after="0" w:line="240" w:lineRule="auto"/>
              <w:jc w:val="both"/>
              <w:rPr>
                <w:rFonts w:ascii="Times New Roman" w:eastAsia="DengXian" w:hAnsi="Times New Roman" w:cs="Times New Roman"/>
                <w:sz w:val="24"/>
                <w:szCs w:val="24"/>
                <w:lang w:val="kk-KZ"/>
              </w:rPr>
            </w:pPr>
          </w:p>
        </w:tc>
        <w:tc>
          <w:tcPr>
            <w:tcW w:w="4303" w:type="dxa"/>
          </w:tcPr>
          <w:p w:rsidR="005118AF" w:rsidRDefault="005118AF">
            <w:pPr>
              <w:tabs>
                <w:tab w:val="left" w:pos="476"/>
              </w:tabs>
              <w:spacing w:after="0" w:line="240" w:lineRule="auto"/>
              <w:ind w:left="222"/>
              <w:jc w:val="both"/>
              <w:rPr>
                <w:rFonts w:ascii="Times New Roman" w:eastAsia="DengXian" w:hAnsi="Times New Roman" w:cs="Times New Roman"/>
                <w:sz w:val="24"/>
                <w:szCs w:val="24"/>
                <w:lang w:val="kk-KZ"/>
              </w:rPr>
            </w:pPr>
          </w:p>
        </w:tc>
        <w:tc>
          <w:tcPr>
            <w:tcW w:w="3827" w:type="dxa"/>
          </w:tcPr>
          <w:p w:rsidR="005118AF" w:rsidRDefault="005118AF">
            <w:pPr>
              <w:spacing w:after="0" w:line="240" w:lineRule="auto"/>
              <w:jc w:val="both"/>
              <w:rPr>
                <w:rFonts w:ascii="Times New Roman" w:eastAsia="DengXian" w:hAnsi="Times New Roman" w:cs="Times New Roman"/>
                <w:sz w:val="24"/>
                <w:szCs w:val="24"/>
                <w:lang w:val="kk-KZ"/>
              </w:rPr>
            </w:pPr>
          </w:p>
        </w:tc>
        <w:tc>
          <w:tcPr>
            <w:tcW w:w="3940"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қолдау</w:t>
            </w:r>
            <w:r>
              <w:rPr>
                <w:rFonts w:ascii="Times New Roman" w:eastAsia="DengXian" w:hAnsi="Times New Roman" w:cs="Times New Roman"/>
                <w:sz w:val="24"/>
                <w:szCs w:val="24"/>
                <w:lang w:val="kk-KZ"/>
              </w:rPr>
              <w:t>: жеке агенттіктер немесе қоғамдастықтар көрсететін қызметтер</w:t>
            </w:r>
          </w:p>
        </w:tc>
      </w:tr>
      <w:tr w:rsidR="005118AF">
        <w:tc>
          <w:tcPr>
            <w:tcW w:w="2449"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Масштабтау мақсатында алмасу мен үйлестіру механизмдерін құру</w:t>
            </w:r>
          </w:p>
        </w:tc>
        <w:tc>
          <w:tcPr>
            <w:tcW w:w="4303" w:type="dxa"/>
          </w:tcPr>
          <w:p w:rsidR="005118AF" w:rsidRDefault="00EF60C3">
            <w:pPr>
              <w:numPr>
                <w:ilvl w:val="0"/>
                <w:numId w:val="19"/>
              </w:numPr>
              <w:tabs>
                <w:tab w:val="left" w:pos="476"/>
              </w:tabs>
              <w:spacing w:after="0" w:line="240" w:lineRule="auto"/>
              <w:ind w:left="0" w:firstLine="222"/>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өзгерістердің</w:t>
            </w:r>
            <w:r>
              <w:rPr>
                <w:rFonts w:ascii="Times New Roman" w:eastAsia="DengXian" w:hAnsi="Times New Roman" w:cs="Times New Roman"/>
                <w:sz w:val="24"/>
                <w:szCs w:val="24"/>
                <w:lang w:val="kk-KZ"/>
              </w:rPr>
              <w:t xml:space="preserve"> негізгі субъектілерін анықтау</w:t>
            </w:r>
          </w:p>
          <w:p w:rsidR="005118AF" w:rsidRDefault="00EF60C3">
            <w:pPr>
              <w:numPr>
                <w:ilvl w:val="0"/>
                <w:numId w:val="19"/>
              </w:numPr>
              <w:tabs>
                <w:tab w:val="left" w:pos="476"/>
              </w:tabs>
              <w:spacing w:after="0" w:line="240" w:lineRule="auto"/>
              <w:ind w:left="0" w:firstLine="222"/>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оларды инновац;ияның пайдасы туралы хабардар ету;</w:t>
            </w:r>
          </w:p>
          <w:p w:rsidR="005118AF" w:rsidRDefault="00EF60C3">
            <w:pPr>
              <w:numPr>
                <w:ilvl w:val="0"/>
                <w:numId w:val="19"/>
              </w:numPr>
              <w:tabs>
                <w:tab w:val="left" w:pos="476"/>
              </w:tabs>
              <w:spacing w:after="0" w:line="240" w:lineRule="auto"/>
              <w:ind w:left="0" w:firstLine="222"/>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инновацияның </w:t>
            </w:r>
            <w:r>
              <w:rPr>
                <w:rFonts w:ascii="Times New Roman" w:eastAsia="DengXian" w:hAnsi="Times New Roman" w:cs="Times New Roman"/>
                <w:sz w:val="24"/>
                <w:szCs w:val="24"/>
                <w:lang w:val="kk-KZ"/>
              </w:rPr>
              <w:t>жақтаушыларымен пікірталастар мен кездесулер өткізу мүмкіндігін ұйымдастыру</w:t>
            </w:r>
          </w:p>
        </w:tc>
        <w:tc>
          <w:tcPr>
            <w:tcW w:w="3827"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Инновацияны ынталандыру сая саты мен стандарттарының пайда болуына ықпал ететін саясатқа арналған дөңгелек үстелдер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Инновациялық тәжірибені жариялау үшін жалпыға ортақ форумдар </w:t>
            </w:r>
            <w:r>
              <w:rPr>
                <w:rFonts w:ascii="Times New Roman" w:eastAsia="DengXian" w:hAnsi="Times New Roman" w:cs="Times New Roman"/>
                <w:sz w:val="24"/>
                <w:szCs w:val="24"/>
                <w:lang w:val="kk-KZ"/>
              </w:rPr>
              <w:t>өткізу</w:t>
            </w:r>
          </w:p>
        </w:tc>
        <w:tc>
          <w:tcPr>
            <w:tcW w:w="3940"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Актерлер арасындағы үйлестіруді жеңілдететін тізбекті арнайы инновациялық платформа</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Инновациялық тәжірибені оқыту мен жариялау бойынша ауылшаруашылық кеңес беру қызметтерін ұйымдастыру </w:t>
            </w:r>
          </w:p>
        </w:tc>
      </w:tr>
      <w:tr w:rsidR="005118AF">
        <w:tc>
          <w:tcPr>
            <w:tcW w:w="14519" w:type="dxa"/>
            <w:gridSpan w:val="4"/>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spacing w:after="0" w:line="240" w:lineRule="auto"/>
        <w:ind w:firstLine="709"/>
        <w:jc w:val="both"/>
        <w:rPr>
          <w:rFonts w:ascii="Times New Roman" w:eastAsia="DengXian" w:hAnsi="Times New Roman" w:cs="Times New Roman"/>
          <w:sz w:val="28"/>
          <w:szCs w:val="28"/>
          <w:lang w:val="kk-KZ"/>
        </w:rPr>
      </w:pPr>
    </w:p>
    <w:p w:rsidR="005118AF" w:rsidRDefault="00EF60C3">
      <w:pPr>
        <w:tabs>
          <w:tab w:val="left" w:pos="1134"/>
        </w:tabs>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  </w:t>
      </w:r>
    </w:p>
    <w:p w:rsidR="005118AF" w:rsidRDefault="005118AF">
      <w:pPr>
        <w:tabs>
          <w:tab w:val="left" w:pos="1134"/>
        </w:tabs>
        <w:spacing w:after="0" w:line="240" w:lineRule="auto"/>
        <w:ind w:firstLine="567"/>
        <w:jc w:val="both"/>
        <w:rPr>
          <w:rFonts w:ascii="Times New Roman" w:hAnsi="Times New Roman"/>
          <w:sz w:val="28"/>
          <w:szCs w:val="28"/>
          <w:lang w:val="kk-KZ"/>
        </w:rPr>
        <w:sectPr w:rsidR="005118AF">
          <w:pgSz w:w="16838" w:h="11906" w:orient="landscape"/>
          <w:pgMar w:top="1701" w:right="1134" w:bottom="567" w:left="1134" w:header="709" w:footer="709" w:gutter="0"/>
          <w:cols w:space="720"/>
          <w:docGrid w:linePitch="360"/>
        </w:sectPr>
      </w:pPr>
    </w:p>
    <w:p w:rsidR="005118AF" w:rsidRDefault="00EF60C3">
      <w:pPr>
        <w:tabs>
          <w:tab w:val="left" w:pos="1134"/>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Қолдау</w:t>
      </w:r>
      <w:r>
        <w:rPr>
          <w:rFonts w:ascii="Times New Roman" w:eastAsia="DengXian" w:hAnsi="Times New Roman" w:cs="Times New Roman"/>
          <w:sz w:val="28"/>
          <w:szCs w:val="28"/>
          <w:lang w:val="kk-KZ"/>
        </w:rPr>
        <w:t xml:space="preserve"> стильдерінің екі түрін жіктеуге болады:</w:t>
      </w:r>
    </w:p>
    <w:p w:rsidR="005118AF" w:rsidRDefault="00EF60C3">
      <w:pPr>
        <w:numPr>
          <w:ilvl w:val="0"/>
          <w:numId w:val="19"/>
        </w:numPr>
        <w:tabs>
          <w:tab w:val="left" w:pos="851"/>
          <w:tab w:val="left" w:pos="993"/>
        </w:tabs>
        <w:spacing w:after="0" w:line="240" w:lineRule="auto"/>
        <w:ind w:left="0"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 xml:space="preserve"> қатаң қадағалаумен жүргізілетін қолдау – практик-мамандар оқытуға қажеттілікті анықтау мақсатында стратегиялық басқару қағидаларына сәйкес инновациялық процестің бір немесе бірнеше кезеңдерін өздері басқарады</w:t>
      </w:r>
      <w:r>
        <w:rPr>
          <w:rFonts w:ascii="Times New Roman" w:eastAsia="DengXian" w:hAnsi="Times New Roman" w:cs="Times New Roman"/>
          <w:color w:val="000000"/>
          <w:sz w:val="28"/>
          <w:szCs w:val="28"/>
          <w:lang w:val="kk-KZ"/>
        </w:rPr>
        <w:t>;</w:t>
      </w:r>
    </w:p>
    <w:p w:rsidR="005118AF" w:rsidRDefault="00EF60C3">
      <w:pPr>
        <w:numPr>
          <w:ilvl w:val="0"/>
          <w:numId w:val="19"/>
        </w:numPr>
        <w:tabs>
          <w:tab w:val="left" w:pos="851"/>
          <w:tab w:val="left" w:pos="993"/>
        </w:tabs>
        <w:spacing w:after="0" w:line="240" w:lineRule="auto"/>
        <w:ind w:left="0"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 xml:space="preserve"> тікелей араласпайды, тек инновациялық процеске қатысушылар арасында байланыстарды реттеуге көмектесу, инновацияларды қолдау бойынша әртүрлі қызметтерге қол жеткізуге және қаржыландыруды алу мақсатында қолайлы орта қалыптастыруға бағытталған қолдау.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Ұсынылған</w:t>
      </w:r>
      <w:r>
        <w:rPr>
          <w:rFonts w:ascii="Times New Roman" w:eastAsia="DengXian" w:hAnsi="Times New Roman" w:cs="Times New Roman"/>
          <w:color w:val="000000"/>
          <w:sz w:val="28"/>
          <w:szCs w:val="28"/>
          <w:lang w:val="kk-KZ"/>
        </w:rPr>
        <w:t xml:space="preserve"> қолдау механизмдері төрт негізгі функцияларды атқарады:</w:t>
      </w:r>
    </w:p>
    <w:p w:rsidR="005118AF" w:rsidRDefault="00EF60C3">
      <w:pPr>
        <w:numPr>
          <w:ilvl w:val="0"/>
          <w:numId w:val="19"/>
        </w:numPr>
        <w:tabs>
          <w:tab w:val="left" w:pos="993"/>
        </w:tabs>
        <w:spacing w:after="0" w:line="240" w:lineRule="auto"/>
        <w:ind w:left="0"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ұжымдық</w:t>
      </w:r>
      <w:r>
        <w:rPr>
          <w:rFonts w:ascii="Times New Roman" w:eastAsia="DengXian" w:hAnsi="Times New Roman" w:cs="Times New Roman"/>
          <w:color w:val="000000"/>
          <w:sz w:val="28"/>
          <w:szCs w:val="28"/>
          <w:lang w:val="kk-KZ"/>
        </w:rPr>
        <w:t xml:space="preserve"> идеяларды генерациялау және қатысушыларды әріптестікке шықыру есебінде инновациялық қоғамдастықтардың пайда болуы;</w:t>
      </w:r>
    </w:p>
    <w:p w:rsidR="005118AF" w:rsidRDefault="00EF60C3">
      <w:pPr>
        <w:numPr>
          <w:ilvl w:val="0"/>
          <w:numId w:val="19"/>
        </w:numPr>
        <w:tabs>
          <w:tab w:val="left" w:pos="993"/>
        </w:tabs>
        <w:spacing w:after="0" w:line="240" w:lineRule="auto"/>
        <w:ind w:left="0"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 xml:space="preserve">ортақ жоба және ортақ көзқарас төңірегінде бірлескен жұмыстарды </w:t>
      </w:r>
      <w:r>
        <w:rPr>
          <w:rFonts w:ascii="Times New Roman" w:eastAsia="DengXian" w:hAnsi="Times New Roman" w:cs="Times New Roman"/>
          <w:color w:val="000000"/>
          <w:sz w:val="28"/>
          <w:szCs w:val="28"/>
          <w:lang w:val="kk-KZ"/>
        </w:rPr>
        <w:t>ұйымдастыру</w:t>
      </w:r>
      <w:r>
        <w:rPr>
          <w:rFonts w:ascii="Times New Roman" w:eastAsia="DengXian" w:hAnsi="Times New Roman" w:cs="Times New Roman"/>
          <w:color w:val="000000"/>
          <w:sz w:val="28"/>
          <w:szCs w:val="28"/>
          <w:lang w:val="kk-KZ"/>
        </w:rPr>
        <w:t xml:space="preserve"> арқылы осы қоғамдастықтарды құрылымдау;</w:t>
      </w:r>
    </w:p>
    <w:p w:rsidR="005118AF" w:rsidRDefault="00EF60C3">
      <w:pPr>
        <w:numPr>
          <w:ilvl w:val="0"/>
          <w:numId w:val="19"/>
        </w:numPr>
        <w:tabs>
          <w:tab w:val="left" w:pos="993"/>
        </w:tabs>
        <w:spacing w:after="0" w:line="240" w:lineRule="auto"/>
        <w:ind w:left="0"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инновацияларды қолдау үшін әртүрлі қызметтермен техникалық әріптестікті құру. Осылайша инновацияларды сынау мен дамытуға ынталандыруға болады;</w:t>
      </w:r>
    </w:p>
    <w:p w:rsidR="005118AF" w:rsidRDefault="00EF60C3">
      <w:pPr>
        <w:numPr>
          <w:ilvl w:val="0"/>
          <w:numId w:val="19"/>
        </w:numPr>
        <w:tabs>
          <w:tab w:val="left" w:pos="993"/>
        </w:tabs>
        <w:spacing w:after="0" w:line="240" w:lineRule="auto"/>
        <w:ind w:left="0"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инновацияларды ұлғайтуға және таратуға мүмкіндік беретін баст</w:t>
      </w:r>
      <w:r>
        <w:rPr>
          <w:rFonts w:ascii="Times New Roman" w:eastAsia="DengXian" w:hAnsi="Times New Roman" w:cs="Times New Roman"/>
          <w:color w:val="000000"/>
          <w:sz w:val="28"/>
          <w:szCs w:val="28"/>
          <w:lang w:val="kk-KZ"/>
        </w:rPr>
        <w:t>ы қатысушылармен қарым-қатынас орнату арқылы стратегиялық әріптестікті құру.</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Инновациялық қоғамдастықтардың қалыптасуы мен дамуына көмектесу кейбір күрделі мәселелерге тап болған кәсіпорындар мен керісінше шешімдері бар кәсіпорындардың идея алмасу, ортақ т</w:t>
      </w:r>
      <w:r>
        <w:rPr>
          <w:rFonts w:ascii="Times New Roman" w:eastAsia="DengXian" w:hAnsi="Times New Roman" w:cs="Times New Roman"/>
          <w:color w:val="000000"/>
          <w:sz w:val="28"/>
          <w:szCs w:val="28"/>
          <w:lang w:val="kk-KZ"/>
        </w:rPr>
        <w:t>алқылау, ұжымдық идеяларды генерациялау үшін әртүрлі құрал мен әдістерді ұсыну арқылы бірігуіне ықпал етеді. Бұл шаралар жеке немесе мемлекеттік мекемелердің (техникалық және зерттеу институттары) басқаруымен белгілі бір инновациялық платформалар немесе ор</w:t>
      </w:r>
      <w:r>
        <w:rPr>
          <w:rFonts w:ascii="Times New Roman" w:eastAsia="DengXian" w:hAnsi="Times New Roman" w:cs="Times New Roman"/>
          <w:color w:val="000000"/>
          <w:sz w:val="28"/>
          <w:szCs w:val="28"/>
          <w:lang w:val="kk-KZ"/>
        </w:rPr>
        <w:t>талықтардың көмегімен әріптестік құру арқылы  практикалық зерттеу жобалары аясында жүзеге асырылуы мүмкін. Бұндай платформаларға мысал ретінде азаматтық қоғам немесе кәсіпкерлік сектордың бастамасымен құрылатын коворкинг-кеңістіктер мен FabLabs-тарды жатқы</w:t>
      </w:r>
      <w:r>
        <w:rPr>
          <w:rFonts w:ascii="Times New Roman" w:eastAsia="DengXian" w:hAnsi="Times New Roman" w:cs="Times New Roman"/>
          <w:color w:val="000000"/>
          <w:sz w:val="28"/>
          <w:szCs w:val="28"/>
          <w:lang w:val="kk-KZ"/>
        </w:rPr>
        <w:t xml:space="preserve">зуға болады.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Инновациялық қауымдастықтарды құрылымдау жаңа идеялардың жаңа жобаларға айналуына әсерін тигізеді. Қолдау шараларына қатысушылар арасында өздерінің стратегияларын келісу үшін басқарушылық рөльдердің қалыптастыру, ұйымдарды ашуды жоспарлау жә</w:t>
      </w:r>
      <w:r>
        <w:rPr>
          <w:rFonts w:ascii="Times New Roman" w:eastAsia="DengXian" w:hAnsi="Times New Roman" w:cs="Times New Roman"/>
          <w:color w:val="000000"/>
          <w:sz w:val="28"/>
          <w:szCs w:val="28"/>
          <w:lang w:val="kk-KZ"/>
        </w:rPr>
        <w:t xml:space="preserve">не ұйымдастыруды жатқызуға болады.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Инновациялар бойынша техникалық қызмет көрсететін ұйымдармен әріптестіктер құру инновациялардың сынау және әзірлемелік кезеңдерін жеңілдетеді, яғни қолдау мен қаржыландыруға деген қажеттілікті анықтауға, сонымен қатар ин</w:t>
      </w:r>
      <w:r>
        <w:rPr>
          <w:rFonts w:ascii="Times New Roman" w:eastAsia="DengXian" w:hAnsi="Times New Roman" w:cs="Times New Roman"/>
          <w:color w:val="000000"/>
          <w:sz w:val="28"/>
          <w:szCs w:val="28"/>
          <w:lang w:val="kk-KZ"/>
        </w:rPr>
        <w:t>новацияларды әзірлеу үшін қажетті техникалық қабілеттіліктерге ие кәсіпорындармен байланыс орнатуға ықпал етеді.   Технополистер, бизнес-кластерлер, сондай-ақ инновациялық жәрмеңкелер мен базарлар немесе краудфандинг сияқты виртуалды деңгейдегі ұйымдастыры</w:t>
      </w:r>
      <w:r>
        <w:rPr>
          <w:rFonts w:ascii="Times New Roman" w:eastAsia="DengXian" w:hAnsi="Times New Roman" w:cs="Times New Roman"/>
          <w:color w:val="000000"/>
          <w:sz w:val="28"/>
          <w:szCs w:val="28"/>
          <w:lang w:val="kk-KZ"/>
        </w:rPr>
        <w:t xml:space="preserve">латын іс-шаралар бұндай байланыстарды жеңілдетеді. Жеке тұлғалар құрған инкубаторлар тұтынушылардың қажеттілігіне бейімделген жеке қолдау қызметтерін ұсынады.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Ал стратегиялық әріптестіктерді құру саяси және экономикалық салалардағы өзгерістерді жасайтын ш</w:t>
      </w:r>
      <w:r>
        <w:rPr>
          <w:rFonts w:ascii="Times New Roman" w:eastAsia="DengXian" w:hAnsi="Times New Roman" w:cs="Times New Roman"/>
          <w:color w:val="000000"/>
          <w:sz w:val="28"/>
          <w:szCs w:val="28"/>
          <w:lang w:val="kk-KZ"/>
        </w:rPr>
        <w:t>ешуші қатысушыларды айқындауды және оларды біріктіру арқылы инновациялық қауымдастықтарға инновацияларды тарату бойынша барлық мүмкін дәстүрлі механизмдерге қол жетімділікті қамтамасыз етуді көздейді. Бұндай механизмдерге формальді білім беру аясында оқыту</w:t>
      </w:r>
      <w:r>
        <w:rPr>
          <w:rFonts w:ascii="Times New Roman" w:eastAsia="DengXian" w:hAnsi="Times New Roman" w:cs="Times New Roman"/>
          <w:color w:val="000000"/>
          <w:sz w:val="28"/>
          <w:szCs w:val="28"/>
          <w:lang w:val="kk-KZ"/>
        </w:rPr>
        <w:t xml:space="preserve">, байланыстар жүйесін құру және қосымша қызмет көрсетуді жатқызуға болады. Сонымен қатар, бұл барлық субъектілерді инновациялық әзірлемелерге қатысуға ынталандыратын нормативтік базаны қалыптастыруды да қарастырады.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Кейбір механизмдер басқа типтегі механ</w:t>
      </w:r>
      <w:r>
        <w:rPr>
          <w:rFonts w:ascii="Times New Roman" w:eastAsia="DengXian" w:hAnsi="Times New Roman" w:cs="Times New Roman"/>
          <w:color w:val="000000"/>
          <w:sz w:val="28"/>
          <w:szCs w:val="28"/>
          <w:lang w:val="kk-KZ"/>
        </w:rPr>
        <w:t xml:space="preserve">измдермен қатар бірнеше функцияларды атқаруы мүмкін. Мысалы, инновациялық платформалар жоғарыда аталған барлық қолдаушы функцияларды атқаруы мүмкін.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bookmarkStart w:id="14" w:name="_Hlk115952027"/>
      <w:r>
        <w:rPr>
          <w:rFonts w:ascii="Times New Roman" w:eastAsia="DengXian" w:hAnsi="Times New Roman" w:cs="Times New Roman"/>
          <w:color w:val="000000"/>
          <w:sz w:val="28"/>
          <w:szCs w:val="28"/>
          <w:lang w:val="kk-KZ"/>
        </w:rPr>
        <w:t>Тамақ өнеркәсібі саласында сызықтық модель өзінің тиімсіздігін дәлелдеп отыр, яғни инновациялар зерттеуші</w:t>
      </w:r>
      <w:r>
        <w:rPr>
          <w:rFonts w:ascii="Times New Roman" w:eastAsia="DengXian" w:hAnsi="Times New Roman" w:cs="Times New Roman"/>
          <w:color w:val="000000"/>
          <w:sz w:val="28"/>
          <w:szCs w:val="28"/>
          <w:lang w:val="kk-KZ"/>
        </w:rPr>
        <w:t xml:space="preserve">ден кеңес берушіге, одан өндірушіге қарай жылжиды, ал фермерлер мен өндірушілер зерттеушілердің білімдерін кеңес беру орталықтары арқылы қабылдайтын пассивті қатысушы ғана болып қалады. </w:t>
      </w:r>
      <w:r>
        <w:rPr>
          <w:rFonts w:ascii="Times New Roman" w:eastAsia="DengXian" w:hAnsi="Times New Roman" w:cs="Times New Roman"/>
          <w:sz w:val="28"/>
          <w:szCs w:val="28"/>
          <w:lang w:val="kk-KZ"/>
        </w:rPr>
        <w:t>Алайда б</w:t>
      </w:r>
      <w:r>
        <w:rPr>
          <w:rFonts w:ascii="Times New Roman" w:eastAsia="DengXian" w:hAnsi="Times New Roman" w:cs="Times New Roman"/>
          <w:color w:val="000000"/>
          <w:sz w:val="28"/>
          <w:szCs w:val="28"/>
          <w:lang w:val="kk-KZ"/>
        </w:rPr>
        <w:t>үгінгі</w:t>
      </w:r>
      <w:r>
        <w:rPr>
          <w:rFonts w:ascii="Times New Roman" w:eastAsia="DengXian" w:hAnsi="Times New Roman" w:cs="Times New Roman"/>
          <w:color w:val="000000"/>
          <w:sz w:val="28"/>
          <w:szCs w:val="28"/>
          <w:lang w:val="kk-KZ"/>
        </w:rPr>
        <w:t xml:space="preserve"> таңда ауылшаруашылығы мен тамақ өнеркәсібінде инновация</w:t>
      </w:r>
      <w:r>
        <w:rPr>
          <w:rFonts w:ascii="Times New Roman" w:eastAsia="DengXian" w:hAnsi="Times New Roman" w:cs="Times New Roman"/>
          <w:color w:val="000000"/>
          <w:sz w:val="28"/>
          <w:szCs w:val="28"/>
          <w:lang w:val="kk-KZ"/>
        </w:rPr>
        <w:t>ларды басқару жүйесі тұтынушылардың қажеттілігін терең түсінуге және тиімді шешімдер ойлап табу үшін үлкен трансформациялануға бағдар ұстану қажеттілігі айқындалып отыр. Бұл елімізде тамақ өнеркәсібінің барлық қатысушыларын қамтитын ортақ зерттеушілік форм</w:t>
      </w:r>
      <w:r>
        <w:rPr>
          <w:rFonts w:ascii="Times New Roman" w:eastAsia="DengXian" w:hAnsi="Times New Roman" w:cs="Times New Roman"/>
          <w:color w:val="000000"/>
          <w:sz w:val="28"/>
          <w:szCs w:val="28"/>
          <w:lang w:val="kk-KZ"/>
        </w:rPr>
        <w:t xml:space="preserve">аларын дамытуды негіздейді.  </w:t>
      </w:r>
    </w:p>
    <w:p w:rsidR="005118AF" w:rsidRDefault="00EF60C3">
      <w:pPr>
        <w:spacing w:after="0" w:line="240" w:lineRule="auto"/>
        <w:ind w:firstLine="709"/>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Тамақ өнеркәсібінде барлық қатысушылар кең және күрделі құрылымды құрайды. Егер олар бәсекеге қабілеттіліктің, тұрақтылықтың және әлеуметтік жауапкершіліктің жоғарғы стандартына сәйкес келуді көздесе жеткізу тізбегінің қатысуш</w:t>
      </w:r>
      <w:r>
        <w:rPr>
          <w:rFonts w:ascii="Times New Roman" w:eastAsia="DengXian" w:hAnsi="Times New Roman" w:cs="Times New Roman"/>
          <w:color w:val="000000"/>
          <w:sz w:val="28"/>
          <w:szCs w:val="28"/>
          <w:lang w:val="kk-KZ"/>
        </w:rPr>
        <w:t xml:space="preserve">ыларымен әріптестік құруы қажет. </w:t>
      </w:r>
      <w:bookmarkEnd w:id="14"/>
      <w:r>
        <w:rPr>
          <w:rFonts w:ascii="Times New Roman" w:eastAsia="DengXian" w:hAnsi="Times New Roman" w:cs="Times New Roman"/>
          <w:color w:val="000000"/>
          <w:sz w:val="28"/>
          <w:szCs w:val="28"/>
          <w:lang w:val="kk-KZ"/>
        </w:rPr>
        <w:t>Тамақ өнеркәсібіндегі жеткізу тізбегінде негізді интеграциялық құрылымдарды қалыптастыру саланы инновациялық дамытудағы қалыптасқан бірқатар маңызды мәселелердің орын алуымен негізделеді (34-кесте).</w:t>
      </w:r>
    </w:p>
    <w:p w:rsidR="005118AF" w:rsidRDefault="005118AF">
      <w:pPr>
        <w:spacing w:after="0" w:line="240" w:lineRule="auto"/>
        <w:ind w:firstLine="567"/>
        <w:jc w:val="both"/>
        <w:rPr>
          <w:rFonts w:ascii="Times New Roman" w:eastAsia="DengXian" w:hAnsi="Times New Roman" w:cs="Times New Roman"/>
          <w:color w:val="000000"/>
          <w:sz w:val="28"/>
          <w:szCs w:val="28"/>
          <w:lang w:val="kk-KZ"/>
        </w:rPr>
      </w:pPr>
    </w:p>
    <w:p w:rsidR="005118AF" w:rsidRDefault="00EF60C3">
      <w:pPr>
        <w:spacing w:after="0" w:line="240" w:lineRule="auto"/>
        <w:jc w:val="both"/>
        <w:rPr>
          <w:rFonts w:ascii="Times New Roman" w:eastAsia="DengXian" w:hAnsi="Times New Roman" w:cs="Times New Roman"/>
          <w:bCs/>
          <w:color w:val="000000"/>
          <w:sz w:val="28"/>
          <w:szCs w:val="28"/>
          <w:lang w:val="kk-KZ"/>
        </w:rPr>
      </w:pPr>
      <w:r>
        <w:rPr>
          <w:rFonts w:ascii="Times New Roman" w:eastAsia="DengXian" w:hAnsi="Times New Roman" w:cs="Times New Roman"/>
          <w:bCs/>
          <w:color w:val="000000"/>
          <w:sz w:val="28"/>
          <w:szCs w:val="28"/>
          <w:lang w:val="kk-KZ"/>
        </w:rPr>
        <w:t xml:space="preserve">Кесте 34 ‒ Тамақ өнеркәсібі секторының жеткізу тізбегінде интеграциялық құрылымды қалыптастыру негіздері </w:t>
      </w:r>
    </w:p>
    <w:p w:rsidR="005118AF" w:rsidRDefault="005118AF">
      <w:pPr>
        <w:spacing w:after="0" w:line="240" w:lineRule="auto"/>
        <w:jc w:val="both"/>
        <w:rPr>
          <w:rFonts w:ascii="Times New Roman" w:eastAsia="DengXian" w:hAnsi="Times New Roman" w:cs="Times New Roman"/>
          <w:bCs/>
          <w:color w:val="000000"/>
          <w:sz w:val="16"/>
          <w:szCs w:val="16"/>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9"/>
        <w:gridCol w:w="7249"/>
      </w:tblGrid>
      <w:tr w:rsidR="005118AF">
        <w:trPr>
          <w:trHeight w:val="90"/>
          <w:jc w:val="center"/>
        </w:trPr>
        <w:tc>
          <w:tcPr>
            <w:tcW w:w="2249" w:type="dxa"/>
          </w:tcPr>
          <w:p w:rsidR="005118AF" w:rsidRDefault="00EF60C3">
            <w:pPr>
              <w:spacing w:after="0" w:line="240" w:lineRule="auto"/>
              <w:jc w:val="center"/>
              <w:rPr>
                <w:rFonts w:ascii="Times New Roman" w:eastAsia="DengXian" w:hAnsi="Times New Roman" w:cs="Times New Roman"/>
                <w:bCs/>
                <w:color w:val="000000"/>
                <w:sz w:val="24"/>
                <w:szCs w:val="24"/>
                <w:lang w:val="kk-KZ"/>
              </w:rPr>
            </w:pPr>
            <w:r>
              <w:rPr>
                <w:rFonts w:ascii="Times New Roman" w:eastAsia="DengXian" w:hAnsi="Times New Roman" w:cs="Times New Roman"/>
                <w:bCs/>
                <w:color w:val="000000"/>
                <w:sz w:val="24"/>
                <w:szCs w:val="24"/>
                <w:lang w:val="kk-KZ"/>
              </w:rPr>
              <w:t>Мәселе</w:t>
            </w:r>
          </w:p>
        </w:tc>
        <w:tc>
          <w:tcPr>
            <w:tcW w:w="7249" w:type="dxa"/>
          </w:tcPr>
          <w:p w:rsidR="005118AF" w:rsidRDefault="00EF60C3">
            <w:pPr>
              <w:spacing w:after="0" w:line="240" w:lineRule="auto"/>
              <w:jc w:val="center"/>
              <w:rPr>
                <w:rFonts w:ascii="Times New Roman" w:eastAsia="DengXian" w:hAnsi="Times New Roman" w:cs="Times New Roman"/>
                <w:bCs/>
                <w:color w:val="000000"/>
                <w:sz w:val="24"/>
                <w:szCs w:val="24"/>
                <w:lang w:val="kk-KZ"/>
              </w:rPr>
            </w:pPr>
            <w:r>
              <w:rPr>
                <w:rFonts w:ascii="Times New Roman" w:eastAsia="DengXian" w:hAnsi="Times New Roman" w:cs="Times New Roman"/>
                <w:bCs/>
                <w:color w:val="000000"/>
                <w:sz w:val="24"/>
                <w:szCs w:val="24"/>
                <w:lang w:val="kk-KZ"/>
              </w:rPr>
              <w:t>Сипаттамасы</w:t>
            </w:r>
          </w:p>
        </w:tc>
      </w:tr>
      <w:tr w:rsidR="005118AF">
        <w:trPr>
          <w:trHeight w:val="90"/>
          <w:jc w:val="center"/>
        </w:trPr>
        <w:tc>
          <w:tcPr>
            <w:tcW w:w="2249" w:type="dxa"/>
          </w:tcPr>
          <w:p w:rsidR="005118AF" w:rsidRDefault="00EF60C3">
            <w:pPr>
              <w:spacing w:after="0" w:line="240" w:lineRule="auto"/>
              <w:jc w:val="center"/>
              <w:rPr>
                <w:rFonts w:ascii="Times New Roman" w:eastAsia="DengXian" w:hAnsi="Times New Roman" w:cs="Times New Roman"/>
                <w:bCs/>
                <w:color w:val="000000"/>
                <w:sz w:val="24"/>
                <w:szCs w:val="24"/>
                <w:lang w:val="kk-KZ"/>
              </w:rPr>
            </w:pPr>
            <w:r>
              <w:rPr>
                <w:rFonts w:ascii="Times New Roman" w:eastAsia="DengXian" w:hAnsi="Times New Roman" w:cs="Times New Roman"/>
                <w:bCs/>
                <w:color w:val="000000"/>
                <w:sz w:val="24"/>
                <w:szCs w:val="24"/>
                <w:lang w:val="kk-KZ"/>
              </w:rPr>
              <w:t>1</w:t>
            </w:r>
          </w:p>
        </w:tc>
        <w:tc>
          <w:tcPr>
            <w:tcW w:w="7249" w:type="dxa"/>
          </w:tcPr>
          <w:p w:rsidR="005118AF" w:rsidRDefault="00EF60C3">
            <w:pPr>
              <w:spacing w:after="0" w:line="240" w:lineRule="auto"/>
              <w:jc w:val="center"/>
              <w:rPr>
                <w:rFonts w:ascii="Times New Roman" w:eastAsia="DengXian" w:hAnsi="Times New Roman" w:cs="Times New Roman"/>
                <w:bCs/>
                <w:color w:val="000000"/>
                <w:sz w:val="24"/>
                <w:szCs w:val="24"/>
                <w:lang w:val="kk-KZ"/>
              </w:rPr>
            </w:pPr>
            <w:r>
              <w:rPr>
                <w:rFonts w:ascii="Times New Roman" w:eastAsia="DengXian" w:hAnsi="Times New Roman" w:cs="Times New Roman"/>
                <w:bCs/>
                <w:color w:val="000000"/>
                <w:sz w:val="24"/>
                <w:szCs w:val="24"/>
                <w:lang w:val="kk-KZ"/>
              </w:rPr>
              <w:t>2</w:t>
            </w:r>
          </w:p>
        </w:tc>
      </w:tr>
      <w:tr w:rsidR="005118AF">
        <w:trPr>
          <w:jc w:val="center"/>
        </w:trPr>
        <w:tc>
          <w:tcPr>
            <w:tcW w:w="2249" w:type="dxa"/>
          </w:tcPr>
          <w:p w:rsidR="005118AF" w:rsidRDefault="00EF60C3">
            <w:pPr>
              <w:spacing w:after="0" w:line="240" w:lineRule="auto"/>
              <w:jc w:val="both"/>
              <w:rPr>
                <w:rFonts w:ascii="Times New Roman" w:eastAsia="DengXian" w:hAnsi="Times New Roman" w:cs="Times New Roman"/>
                <w:bCs/>
                <w:color w:val="000000"/>
                <w:sz w:val="24"/>
                <w:szCs w:val="24"/>
                <w:lang w:val="kk-KZ"/>
              </w:rPr>
            </w:pPr>
            <w:r>
              <w:rPr>
                <w:rFonts w:ascii="Times New Roman" w:eastAsia="DengXian" w:hAnsi="Times New Roman" w:cs="Times New Roman"/>
                <w:bCs/>
                <w:color w:val="000000"/>
                <w:sz w:val="24"/>
                <w:szCs w:val="24"/>
                <w:lang w:val="kk-KZ"/>
              </w:rPr>
              <w:t>Әр</w:t>
            </w:r>
            <w:r>
              <w:rPr>
                <w:rFonts w:ascii="Times New Roman" w:eastAsia="DengXian" w:hAnsi="Times New Roman" w:cs="Times New Roman"/>
                <w:bCs/>
                <w:color w:val="000000"/>
                <w:sz w:val="24"/>
                <w:szCs w:val="24"/>
                <w:lang w:val="kk-KZ"/>
              </w:rPr>
              <w:t xml:space="preserve"> түрлі сценарийлерге тез бейімделу</w:t>
            </w:r>
          </w:p>
        </w:tc>
        <w:tc>
          <w:tcPr>
            <w:tcW w:w="7249" w:type="dxa"/>
          </w:tcPr>
          <w:p w:rsidR="005118AF" w:rsidRDefault="00EF60C3">
            <w:pPr>
              <w:spacing w:after="0" w:line="240" w:lineRule="auto"/>
              <w:jc w:val="both"/>
              <w:rPr>
                <w:rFonts w:ascii="Times New Roman" w:eastAsia="DengXian" w:hAnsi="Times New Roman" w:cs="Times New Roman"/>
                <w:bCs/>
                <w:color w:val="000000"/>
                <w:sz w:val="24"/>
                <w:szCs w:val="24"/>
                <w:lang w:val="kk-KZ"/>
              </w:rPr>
            </w:pPr>
            <w:r>
              <w:rPr>
                <w:rFonts w:ascii="Times New Roman" w:eastAsia="DengXian" w:hAnsi="Times New Roman" w:cs="Times New Roman"/>
                <w:bCs/>
                <w:color w:val="000000"/>
                <w:sz w:val="24"/>
                <w:szCs w:val="24"/>
                <w:lang w:val="kk-KZ"/>
              </w:rPr>
              <w:t>Құбылмалы</w:t>
            </w:r>
            <w:r>
              <w:rPr>
                <w:rFonts w:ascii="Times New Roman" w:eastAsia="DengXian" w:hAnsi="Times New Roman" w:cs="Times New Roman"/>
                <w:bCs/>
                <w:color w:val="000000"/>
                <w:sz w:val="24"/>
                <w:szCs w:val="24"/>
                <w:lang w:val="kk-KZ"/>
              </w:rPr>
              <w:t xml:space="preserve"> нарықта орын алатын жаңа күрделі мәселелерге жауап қайтаруға мүмкіндік беретіндей азық-түлік секторының қатысушыларының арасындағы үйлесімділік пен коммуникациялық процесстерді көздейтін жаңа сценарийлерге жылдам бейімделуді қажет етеді. </w:t>
            </w:r>
          </w:p>
        </w:tc>
      </w:tr>
      <w:tr w:rsidR="005118AF">
        <w:trPr>
          <w:jc w:val="center"/>
        </w:trPr>
        <w:tc>
          <w:tcPr>
            <w:tcW w:w="2249" w:type="dxa"/>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Инновациялық мәселелерді шешу</w:t>
            </w:r>
          </w:p>
        </w:tc>
        <w:tc>
          <w:tcPr>
            <w:tcW w:w="7249" w:type="dxa"/>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sz w:val="24"/>
                <w:szCs w:val="24"/>
                <w:lang w:val="kk-KZ"/>
              </w:rPr>
              <w:t>Азық-түлік секторындағы көптеген ШОБ кездесетін құрылымдық мәселелерді шешу қажет. Бұл үшін сол компаниялар бір-бірімен ынтымақтастық құрып, мүмкін болатын сыртқы қолдауды іздеуі керек.</w:t>
            </w:r>
          </w:p>
        </w:tc>
      </w:tr>
      <w:tr w:rsidR="005118AF">
        <w:trPr>
          <w:jc w:val="center"/>
        </w:trPr>
        <w:tc>
          <w:tcPr>
            <w:tcW w:w="2249" w:type="dxa"/>
            <w:tcBorders>
              <w:bottom w:val="nil"/>
            </w:tcBorders>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Тұтынушының қажеттіліктеріне назар ауда</w:t>
            </w:r>
            <w:r>
              <w:rPr>
                <w:rFonts w:ascii="Times New Roman" w:eastAsia="DengXian" w:hAnsi="Times New Roman" w:cs="Times New Roman"/>
                <w:color w:val="000000"/>
                <w:sz w:val="24"/>
                <w:szCs w:val="24"/>
                <w:lang w:val="kk-KZ"/>
              </w:rPr>
              <w:t>ру</w:t>
            </w:r>
          </w:p>
        </w:tc>
        <w:tc>
          <w:tcPr>
            <w:tcW w:w="7249" w:type="dxa"/>
            <w:tcBorders>
              <w:bottom w:val="nil"/>
            </w:tcBorders>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 xml:space="preserve">Тұтынушылардың қажеттілігіне ерекше назар аудару. Бұл сектордағы кәсіпорындардың тұтынушыларға қарай жылжуға және олардың талаптарын қажетті деңгейде ескеруге дайын болуы </w:t>
            </w:r>
          </w:p>
        </w:tc>
      </w:tr>
      <w:tr w:rsidR="005118AF">
        <w:trPr>
          <w:jc w:val="center"/>
        </w:trPr>
        <w:tc>
          <w:tcPr>
            <w:tcW w:w="9498" w:type="dxa"/>
            <w:gridSpan w:val="2"/>
            <w:tcBorders>
              <w:top w:val="nil"/>
              <w:left w:val="nil"/>
              <w:right w:val="nil"/>
            </w:tcBorders>
          </w:tcPr>
          <w:p w:rsidR="005118AF" w:rsidRDefault="00EF60C3">
            <w:pPr>
              <w:spacing w:after="0" w:line="240" w:lineRule="auto"/>
              <w:ind w:hanging="108"/>
              <w:jc w:val="both"/>
              <w:rPr>
                <w:rFonts w:ascii="Times New Roman" w:eastAsia="DengXian" w:hAnsi="Times New Roman" w:cs="Times New Roman"/>
                <w:color w:val="000000"/>
                <w:sz w:val="28"/>
                <w:szCs w:val="28"/>
                <w:lang w:val="kk-KZ"/>
              </w:rPr>
            </w:pPr>
            <w:r>
              <w:rPr>
                <w:rFonts w:ascii="Times New Roman" w:eastAsia="DengXian" w:hAnsi="Times New Roman" w:cs="Times New Roman"/>
                <w:color w:val="000000"/>
                <w:sz w:val="28"/>
                <w:szCs w:val="28"/>
                <w:lang w:val="kk-KZ"/>
              </w:rPr>
              <w:t>34-кестенің жалғасы</w:t>
            </w:r>
          </w:p>
          <w:p w:rsidR="005118AF" w:rsidRDefault="005118AF">
            <w:pPr>
              <w:spacing w:after="0" w:line="240" w:lineRule="auto"/>
              <w:ind w:hanging="108"/>
              <w:jc w:val="both"/>
              <w:rPr>
                <w:rFonts w:ascii="Times New Roman" w:eastAsia="DengXian" w:hAnsi="Times New Roman" w:cs="Times New Roman"/>
                <w:color w:val="000000"/>
                <w:sz w:val="16"/>
                <w:szCs w:val="16"/>
                <w:lang w:val="kk-KZ"/>
              </w:rPr>
            </w:pPr>
          </w:p>
        </w:tc>
      </w:tr>
      <w:tr w:rsidR="005118AF">
        <w:trPr>
          <w:jc w:val="center"/>
        </w:trPr>
        <w:tc>
          <w:tcPr>
            <w:tcW w:w="2249" w:type="dxa"/>
          </w:tcPr>
          <w:p w:rsidR="005118AF" w:rsidRDefault="00EF60C3">
            <w:pPr>
              <w:spacing w:after="0" w:line="240" w:lineRule="auto"/>
              <w:jc w:val="center"/>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1</w:t>
            </w:r>
          </w:p>
        </w:tc>
        <w:tc>
          <w:tcPr>
            <w:tcW w:w="7249" w:type="dxa"/>
          </w:tcPr>
          <w:p w:rsidR="005118AF" w:rsidRDefault="00EF60C3">
            <w:pPr>
              <w:spacing w:after="0" w:line="240" w:lineRule="auto"/>
              <w:jc w:val="center"/>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2</w:t>
            </w:r>
          </w:p>
        </w:tc>
      </w:tr>
      <w:tr w:rsidR="005118AF">
        <w:trPr>
          <w:jc w:val="center"/>
        </w:trPr>
        <w:tc>
          <w:tcPr>
            <w:tcW w:w="2249" w:type="dxa"/>
          </w:tcPr>
          <w:p w:rsidR="005118AF" w:rsidRDefault="005118AF">
            <w:pPr>
              <w:spacing w:after="0" w:line="240" w:lineRule="auto"/>
              <w:jc w:val="both"/>
              <w:rPr>
                <w:rFonts w:ascii="Times New Roman" w:eastAsia="DengXian" w:hAnsi="Times New Roman" w:cs="Times New Roman"/>
                <w:color w:val="000000"/>
                <w:sz w:val="24"/>
                <w:szCs w:val="24"/>
                <w:lang w:val="kk-KZ"/>
              </w:rPr>
            </w:pPr>
          </w:p>
        </w:tc>
        <w:tc>
          <w:tcPr>
            <w:tcW w:w="7249" w:type="dxa"/>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қажеттігін</w:t>
            </w:r>
            <w:r>
              <w:rPr>
                <w:rFonts w:ascii="Times New Roman" w:eastAsia="DengXian" w:hAnsi="Times New Roman" w:cs="Times New Roman"/>
                <w:color w:val="000000"/>
                <w:sz w:val="24"/>
                <w:szCs w:val="24"/>
                <w:lang w:val="kk-KZ"/>
              </w:rPr>
              <w:t xml:space="preserve"> білдіреді. Осылайша, кәсіпорындар сенімді</w:t>
            </w:r>
            <w:r>
              <w:rPr>
                <w:rFonts w:ascii="Times New Roman" w:eastAsia="DengXian" w:hAnsi="Times New Roman" w:cs="Times New Roman"/>
                <w:color w:val="000000"/>
                <w:sz w:val="24"/>
                <w:szCs w:val="24"/>
                <w:lang w:val="kk-KZ"/>
              </w:rPr>
              <w:t xml:space="preserve"> қарым-қатынастарды қалыптастыру мақсатында басқа кәсіпорындар және де тұтынушылармен бірігіп технологияларды, басқару стратегияларын және коммуникациялар әзірлей алады.</w:t>
            </w:r>
          </w:p>
        </w:tc>
      </w:tr>
      <w:tr w:rsidR="005118AF">
        <w:trPr>
          <w:jc w:val="center"/>
        </w:trPr>
        <w:tc>
          <w:tcPr>
            <w:tcW w:w="2249" w:type="dxa"/>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Шикізаттың қажет ті көлемінің жеткі ліксіздігі мен сапа сының төмендігі</w:t>
            </w:r>
          </w:p>
        </w:tc>
        <w:tc>
          <w:tcPr>
            <w:tcW w:w="7249" w:type="dxa"/>
          </w:tcPr>
          <w:p w:rsidR="005118AF" w:rsidRDefault="00EF60C3">
            <w:pPr>
              <w:spacing w:after="0" w:line="240" w:lineRule="auto"/>
              <w:jc w:val="both"/>
              <w:rPr>
                <w:rFonts w:ascii="Times New Roman" w:eastAsia="DengXian" w:hAnsi="Times New Roman" w:cs="Times New Roman"/>
                <w:color w:val="000000"/>
                <w:sz w:val="24"/>
                <w:szCs w:val="24"/>
                <w:lang w:val="kk-KZ"/>
              </w:rPr>
            </w:pPr>
            <w:r>
              <w:rPr>
                <w:rFonts w:ascii="Times New Roman" w:eastAsia="DengXian" w:hAnsi="Times New Roman" w:cs="Times New Roman"/>
                <w:color w:val="000000"/>
                <w:sz w:val="24"/>
                <w:szCs w:val="24"/>
                <w:lang w:val="kk-KZ"/>
              </w:rPr>
              <w:t xml:space="preserve">Тамақ өнеркәсібі кәсіпорындарының негізгі кезедесетін қиындықтары шикізат көлемінің жеткіліксіздігі. Себебі, отандық ауыл шаруашылық өнімдерін өндіретін кәсіпорындарға шикізатты қымбат бағада экспортқа жіберу тиімді болып отыр. </w:t>
            </w:r>
          </w:p>
        </w:tc>
      </w:tr>
      <w:tr w:rsidR="005118AF">
        <w:trPr>
          <w:jc w:val="center"/>
        </w:trPr>
        <w:tc>
          <w:tcPr>
            <w:tcW w:w="9498" w:type="dxa"/>
            <w:gridSpan w:val="2"/>
          </w:tcPr>
          <w:p w:rsidR="005118AF" w:rsidRDefault="00EF60C3">
            <w:pPr>
              <w:spacing w:after="0" w:line="240" w:lineRule="auto"/>
              <w:jc w:val="both"/>
              <w:rPr>
                <w:rFonts w:ascii="Times New Roman" w:eastAsia="DengXian" w:hAnsi="Times New Roman" w:cs="Times New Roman"/>
                <w:color w:val="000000"/>
                <w:sz w:val="24"/>
                <w:szCs w:val="24"/>
                <w:lang w:val="kk-KZ"/>
              </w:rPr>
            </w:pPr>
            <w:bookmarkStart w:id="15" w:name="_Hlk115952058"/>
            <w:r>
              <w:rPr>
                <w:rFonts w:ascii="Times New Roman" w:eastAsia="DengXian" w:hAnsi="Times New Roman" w:cs="Times New Roman"/>
                <w:color w:val="000000"/>
                <w:sz w:val="24"/>
                <w:szCs w:val="24"/>
                <w:lang w:val="kk-KZ"/>
              </w:rPr>
              <w:t>Ескерту</w:t>
            </w:r>
            <w:r>
              <w:rPr>
                <w:rFonts w:ascii="Times New Roman" w:eastAsia="DengXian" w:hAnsi="Times New Roman" w:cs="Times New Roman"/>
                <w:color w:val="000000"/>
                <w:sz w:val="24"/>
                <w:szCs w:val="24"/>
                <w:lang w:val="kk-KZ"/>
              </w:rPr>
              <w:t xml:space="preserve"> </w:t>
            </w:r>
            <w:r>
              <w:rPr>
                <w:rFonts w:ascii="Times New Roman" w:eastAsia="DengXian" w:hAnsi="Times New Roman" w:cs="Times New Roman"/>
                <w:color w:val="000000"/>
                <w:sz w:val="24"/>
                <w:szCs w:val="24"/>
              </w:rPr>
              <w:t xml:space="preserve">- </w:t>
            </w:r>
            <w:r>
              <w:rPr>
                <w:rFonts w:ascii="Times New Roman" w:eastAsia="DengXian" w:hAnsi="Times New Roman" w:cs="Times New Roman"/>
                <w:color w:val="000000"/>
                <w:sz w:val="24"/>
                <w:szCs w:val="24"/>
                <w:lang w:val="kk-KZ"/>
              </w:rPr>
              <w:t>автормен құрасты</w:t>
            </w:r>
            <w:r>
              <w:rPr>
                <w:rFonts w:ascii="Times New Roman" w:eastAsia="DengXian" w:hAnsi="Times New Roman" w:cs="Times New Roman"/>
                <w:color w:val="000000"/>
                <w:sz w:val="24"/>
                <w:szCs w:val="24"/>
                <w:lang w:val="kk-KZ"/>
              </w:rPr>
              <w:t>рылған</w:t>
            </w:r>
          </w:p>
        </w:tc>
      </w:tr>
    </w:tbl>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709"/>
        <w:jc w:val="both"/>
        <w:rPr>
          <w:rFonts w:ascii="Times New Roman" w:eastAsia="DengXian" w:hAnsi="Times New Roman" w:cs="Times New Roman"/>
          <w:sz w:val="32"/>
          <w:szCs w:val="32"/>
          <w:lang w:val="kk-KZ"/>
        </w:rPr>
      </w:pPr>
      <w:r>
        <w:rPr>
          <w:rFonts w:ascii="Times New Roman" w:eastAsia="DengXian" w:hAnsi="Times New Roman" w:cs="Times New Roman"/>
          <w:sz w:val="28"/>
          <w:szCs w:val="28"/>
          <w:lang w:val="kk-KZ"/>
        </w:rPr>
        <w:t xml:space="preserve">Жоғарыда келтірілген интеграциялық құрылымды қалыптастыру негіздемесіне сүйене отырып қоғамдық игілікті қалыптастыруға үлес қосу есебінде тамақ өнеркәсібі секторының өсуіне жағдай жасау үшін мемлекет, өнеркәсіп пен академиялық орта арасында ортақ </w:t>
      </w:r>
      <w:r>
        <w:rPr>
          <w:rFonts w:ascii="Times New Roman" w:eastAsia="DengXian" w:hAnsi="Times New Roman" w:cs="Times New Roman"/>
          <w:sz w:val="28"/>
          <w:szCs w:val="28"/>
          <w:lang w:val="kk-KZ"/>
        </w:rPr>
        <w:t>зерттеулерді жүзеге асырудың жаңа жүйесін қалыптастыру қажет. Жаңа жүйе инновациялық нәтижелерді коммерциализациялауға және индустриализациялауға қол жеткізуге мүмкіндік береді. Нидерланды тәжірибесінің ауыл шаруашылығын мемлекеттік қолдауда ұстанатын «алт</w:t>
      </w:r>
      <w:r>
        <w:rPr>
          <w:rFonts w:ascii="Times New Roman" w:eastAsia="DengXian" w:hAnsi="Times New Roman" w:cs="Times New Roman"/>
          <w:sz w:val="28"/>
          <w:szCs w:val="28"/>
          <w:lang w:val="kk-KZ"/>
        </w:rPr>
        <w:t>ын үшбұрыш» қағидасына сәйкес (мемлекет - ғылыми-зерттеушілік және білім беру орталықтары – жеке сектордың ортақ зерттеулер жүргізуі) біздің елімізде де тамақ өнеркәсібі құндылықтар тізбегі бойында саланы инновациялық дамыту платформасын құру керек. Себебі</w:t>
      </w:r>
      <w:r>
        <w:rPr>
          <w:rFonts w:ascii="Times New Roman" w:eastAsia="DengXian" w:hAnsi="Times New Roman" w:cs="Times New Roman"/>
          <w:sz w:val="28"/>
          <w:szCs w:val="28"/>
          <w:lang w:val="kk-KZ"/>
        </w:rPr>
        <w:t xml:space="preserve"> мұндай байланыс өзінің тиімділігін және тамақ өнеркәсібіндегі инновациялардың дамуына жағдай жасағандығын көптеген шетелдік тәжірибелерде дәлелдеді (21-сурет).</w:t>
      </w:r>
    </w:p>
    <w:bookmarkEnd w:id="15"/>
    <w:p w:rsidR="005118AF" w:rsidRDefault="005118AF">
      <w:pPr>
        <w:spacing w:after="0" w:line="240" w:lineRule="auto"/>
        <w:ind w:firstLine="567"/>
        <w:jc w:val="both"/>
        <w:rPr>
          <w:rFonts w:ascii="Times New Roman" w:eastAsia="DengXian" w:hAnsi="Times New Roman" w:cs="Times New Roman"/>
          <w:sz w:val="32"/>
          <w:szCs w:val="32"/>
          <w:lang w:val="kk-KZ"/>
        </w:rPr>
      </w:pPr>
    </w:p>
    <w:p w:rsidR="005118AF" w:rsidRDefault="00EF60C3">
      <w:pPr>
        <w:spacing w:after="0" w:line="240" w:lineRule="auto"/>
        <w:ind w:firstLine="567"/>
        <w:jc w:val="both"/>
        <w:rPr>
          <w:rFonts w:ascii="Times New Roman" w:eastAsia="DengXian" w:hAnsi="Times New Roman" w:cs="Times New Roman"/>
          <w:sz w:val="32"/>
          <w:szCs w:val="32"/>
          <w:lang w:val="kk-KZ"/>
        </w:rPr>
      </w:pPr>
      <w:r>
        <w:rPr>
          <w:rFonts w:ascii="Times New Roman" w:eastAsia="DengXian" w:hAnsi="Times New Roman" w:cs="Times New Roman"/>
          <w:noProof/>
          <w:sz w:val="32"/>
          <w:szCs w:val="32"/>
        </w:rPr>
        <w:drawing>
          <wp:inline distT="0" distB="0" distL="114300" distR="114300">
            <wp:extent cx="5105400" cy="2768600"/>
            <wp:effectExtent l="0" t="19050" r="0" b="12700"/>
            <wp:docPr id="80" name="Diagram 8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5118AF" w:rsidRDefault="005118AF">
      <w:pPr>
        <w:spacing w:after="0" w:line="240" w:lineRule="auto"/>
        <w:ind w:firstLine="567"/>
        <w:jc w:val="both"/>
        <w:rPr>
          <w:rFonts w:ascii="Times New Roman" w:eastAsia="DengXian" w:hAnsi="Times New Roman" w:cs="Times New Roman"/>
          <w:sz w:val="16"/>
          <w:szCs w:val="16"/>
          <w:lang w:val="kk-KZ"/>
        </w:rPr>
      </w:pPr>
    </w:p>
    <w:p w:rsidR="005118AF" w:rsidRDefault="00EF60C3">
      <w:pPr>
        <w:spacing w:after="0" w:line="240" w:lineRule="auto"/>
        <w:jc w:val="center"/>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Сурет 21 ‒ «Өнеркәсіп – Академиялық орта – Мемлекеттің» ынтымақтастығы</w:t>
      </w:r>
    </w:p>
    <w:p w:rsidR="005118AF" w:rsidRDefault="005118AF">
      <w:pPr>
        <w:spacing w:after="0" w:line="240" w:lineRule="auto"/>
        <w:ind w:firstLine="567"/>
        <w:jc w:val="both"/>
        <w:rPr>
          <w:rFonts w:ascii="&amp;quot" w:eastAsia="DengXian" w:hAnsi="&amp;quot" w:cs="Times New Roman"/>
          <w:sz w:val="30"/>
          <w:szCs w:val="30"/>
          <w:lang w:val="kk-KZ"/>
        </w:rPr>
      </w:pP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Мемлекеттің, өнеркәсіп мен ғылыми-зерттеушілік ортаның ортақ инновациялық дамыту платформасына бірігуі арқылы барлық қатысушы тараптар бергілі-бір қызметтер атқарады және әртүрлі күтілетін нәтижелерді көздейді. (35-кесте) </w: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Кесте 35 ‒ Қатысушы тараптардың </w:t>
      </w:r>
      <w:r>
        <w:rPr>
          <w:rFonts w:ascii="Times New Roman" w:eastAsia="DengXian" w:hAnsi="Times New Roman" w:cs="Times New Roman"/>
          <w:sz w:val="28"/>
          <w:szCs w:val="28"/>
          <w:lang w:val="kk-KZ"/>
        </w:rPr>
        <w:t xml:space="preserve">инновациялық зерттеу платформасында атқаратын қызметтері </w:t>
      </w:r>
    </w:p>
    <w:p w:rsidR="005118AF" w:rsidRDefault="005118AF">
      <w:pPr>
        <w:spacing w:after="0" w:line="240" w:lineRule="auto"/>
        <w:jc w:val="both"/>
        <w:rPr>
          <w:rFonts w:ascii="Times New Roman" w:eastAsia="DengXian" w:hAnsi="Times New Roman" w:cs="Times New Roman"/>
          <w:sz w:val="16"/>
          <w:szCs w:val="16"/>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4253"/>
        <w:gridCol w:w="3915"/>
      </w:tblGrid>
      <w:tr w:rsidR="005118AF">
        <w:trPr>
          <w:jc w:val="center"/>
        </w:trPr>
        <w:tc>
          <w:tcPr>
            <w:tcW w:w="1384"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Кезең</w:t>
            </w:r>
          </w:p>
        </w:tc>
        <w:tc>
          <w:tcPr>
            <w:tcW w:w="4253"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Тамақ өнеркәсібі саласының қатысушылары атқаратын қызметтер (фермерлар, техникалық мамандар және т.б.)</w:t>
            </w:r>
          </w:p>
        </w:tc>
        <w:tc>
          <w:tcPr>
            <w:tcW w:w="3915" w:type="dxa"/>
            <w:vAlign w:val="center"/>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Ғылыми</w:t>
            </w:r>
            <w:r>
              <w:rPr>
                <w:rFonts w:ascii="Times New Roman" w:eastAsia="DengXian" w:hAnsi="Times New Roman" w:cs="Times New Roman"/>
                <w:sz w:val="24"/>
                <w:szCs w:val="24"/>
                <w:lang w:val="kk-KZ"/>
              </w:rPr>
              <w:t>-зерттеушілердің атқаратын қызметтері</w:t>
            </w:r>
          </w:p>
        </w:tc>
      </w:tr>
      <w:tr w:rsidR="005118AF">
        <w:trPr>
          <w:jc w:val="center"/>
        </w:trPr>
        <w:tc>
          <w:tcPr>
            <w:tcW w:w="1384"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Талдау</w:t>
            </w:r>
          </w:p>
        </w:tc>
        <w:tc>
          <w:tcPr>
            <w:tcW w:w="4253"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Мәселелерді рәсімдеу және талдау мен</w:t>
            </w:r>
            <w:r>
              <w:rPr>
                <w:rFonts w:ascii="Times New Roman" w:eastAsia="DengXian" w:hAnsi="Times New Roman" w:cs="Times New Roman"/>
                <w:sz w:val="24"/>
                <w:szCs w:val="24"/>
                <w:lang w:val="kk-KZ"/>
              </w:rPr>
              <w:t xml:space="preserve"> зерттеу деңгейлерін ортақ таңдау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Мүмкін болатын траекторияны зерттеу </w:t>
            </w:r>
          </w:p>
          <w:p w:rsidR="005118AF" w:rsidRDefault="005118AF">
            <w:pPr>
              <w:spacing w:after="0" w:line="240" w:lineRule="auto"/>
              <w:jc w:val="both"/>
              <w:rPr>
                <w:rFonts w:ascii="Times New Roman" w:eastAsia="DengXian" w:hAnsi="Times New Roman" w:cs="Times New Roman"/>
                <w:sz w:val="24"/>
                <w:szCs w:val="24"/>
                <w:lang w:val="kk-KZ"/>
              </w:rPr>
            </w:pPr>
          </w:p>
        </w:tc>
        <w:tc>
          <w:tcPr>
            <w:tcW w:w="3915"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Жағдайдың күрделілігін түсіну (техникалық, экономикалық, әлеуметтік, саяси, ғылыми, мәдени, құқықтық аспектілер)</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Тамақ өнеркәсібі қатысушыла рының тәжирибесі мен ноу-хау анықтау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rPr>
              <w:t>О</w:t>
            </w:r>
            <w:r>
              <w:rPr>
                <w:rFonts w:ascii="Times New Roman" w:eastAsia="DengXian" w:hAnsi="Times New Roman" w:cs="Times New Roman"/>
                <w:sz w:val="24"/>
                <w:szCs w:val="24"/>
                <w:lang w:val="kk-KZ"/>
              </w:rPr>
              <w:t>дақта</w:t>
            </w:r>
            <w:r>
              <w:rPr>
                <w:rFonts w:ascii="Times New Roman" w:eastAsia="DengXian" w:hAnsi="Times New Roman" w:cs="Times New Roman"/>
                <w:sz w:val="24"/>
                <w:szCs w:val="24"/>
                <w:lang w:val="kk-KZ"/>
              </w:rPr>
              <w:t>рдың балансын анықтау</w:t>
            </w:r>
          </w:p>
        </w:tc>
      </w:tr>
      <w:tr w:rsidR="005118AF">
        <w:trPr>
          <w:jc w:val="center"/>
        </w:trPr>
        <w:tc>
          <w:tcPr>
            <w:tcW w:w="1384"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Зерттеу</w:t>
            </w:r>
          </w:p>
        </w:tc>
        <w:tc>
          <w:tcPr>
            <w:tcW w:w="4253"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Ортақ зерттеулерді басқару механизмдерін құру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Ғылыми</w:t>
            </w:r>
            <w:r>
              <w:rPr>
                <w:rFonts w:ascii="Times New Roman" w:eastAsia="DengXian" w:hAnsi="Times New Roman" w:cs="Times New Roman"/>
                <w:sz w:val="24"/>
                <w:szCs w:val="24"/>
                <w:lang w:val="kk-KZ"/>
              </w:rPr>
              <w:t xml:space="preserve"> зерттеушілер мен әзірлемелар арсында синергияның қалыптасуына ықпал ету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Тәжірибелерді түзетіп отыру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Тәжірибелік білімді жинақтау және ноу-хауды бекіту</w:t>
            </w:r>
          </w:p>
        </w:tc>
        <w:tc>
          <w:tcPr>
            <w:tcW w:w="3915"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Зерттеу топтарын құру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Қатысушылар</w:t>
            </w:r>
            <w:r>
              <w:rPr>
                <w:rFonts w:ascii="Times New Roman" w:eastAsia="DengXian" w:hAnsi="Times New Roman" w:cs="Times New Roman"/>
                <w:sz w:val="24"/>
                <w:szCs w:val="24"/>
                <w:lang w:val="kk-KZ"/>
              </w:rPr>
              <w:t xml:space="preserve"> анықтаған мәселені проблемаға айналдыру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Қашықтық</w:t>
            </w:r>
            <w:r>
              <w:rPr>
                <w:rFonts w:ascii="Times New Roman" w:eastAsia="DengXian" w:hAnsi="Times New Roman" w:cs="Times New Roman"/>
                <w:sz w:val="24"/>
                <w:szCs w:val="24"/>
                <w:lang w:val="kk-KZ"/>
              </w:rPr>
              <w:t xml:space="preserve"> механизмдерін құру (бақылау комитеті және т.б.)</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Құжаттар</w:t>
            </w:r>
            <w:r>
              <w:rPr>
                <w:rFonts w:ascii="Times New Roman" w:eastAsia="DengXian" w:hAnsi="Times New Roman" w:cs="Times New Roman"/>
                <w:sz w:val="24"/>
                <w:szCs w:val="24"/>
                <w:lang w:val="kk-KZ"/>
              </w:rPr>
              <w:t>, мақалалар арқылы бай ланыс; инновацияларды жылжыту және т.б.</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Қатысу</w:t>
            </w:r>
            <w:r>
              <w:rPr>
                <w:rFonts w:ascii="Times New Roman" w:eastAsia="DengXian" w:hAnsi="Times New Roman" w:cs="Times New Roman"/>
                <w:sz w:val="24"/>
                <w:szCs w:val="24"/>
                <w:lang w:val="kk-KZ"/>
              </w:rPr>
              <w:t xml:space="preserve"> мен қабылдану стратегиясын әзірлеу</w:t>
            </w:r>
          </w:p>
        </w:tc>
      </w:tr>
      <w:tr w:rsidR="005118AF">
        <w:trPr>
          <w:jc w:val="center"/>
        </w:trPr>
        <w:tc>
          <w:tcPr>
            <w:tcW w:w="1384"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Күтілетін нәтижелер</w:t>
            </w:r>
          </w:p>
        </w:tc>
        <w:tc>
          <w:tcPr>
            <w:tcW w:w="4253"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 xml:space="preserve">Мәселені </w:t>
            </w:r>
            <w:r>
              <w:rPr>
                <w:rFonts w:ascii="Times New Roman" w:eastAsia="DengXian" w:hAnsi="Times New Roman" w:cs="Times New Roman"/>
                <w:sz w:val="24"/>
                <w:szCs w:val="24"/>
                <w:lang w:val="kk-KZ"/>
              </w:rPr>
              <w:t>шешу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Білім</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Қиын</w:t>
            </w:r>
            <w:r>
              <w:rPr>
                <w:rFonts w:ascii="Times New Roman" w:eastAsia="DengXian" w:hAnsi="Times New Roman" w:cs="Times New Roman"/>
                <w:sz w:val="24"/>
                <w:szCs w:val="24"/>
                <w:lang w:val="kk-KZ"/>
              </w:rPr>
              <w:t xml:space="preserve"> жағдайларды басқару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Тәжірибе жинау мүмкіндігі</w:t>
            </w:r>
          </w:p>
        </w:tc>
        <w:tc>
          <w:tcPr>
            <w:tcW w:w="3915"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Практикалық білім мен қолдану аясы</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Интервенция әдістері</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Әр</w:t>
            </w:r>
            <w:r>
              <w:rPr>
                <w:rFonts w:ascii="Times New Roman" w:eastAsia="DengXian" w:hAnsi="Times New Roman" w:cs="Times New Roman"/>
                <w:sz w:val="24"/>
                <w:szCs w:val="24"/>
                <w:lang w:val="kk-KZ"/>
              </w:rPr>
              <w:t xml:space="preserve"> түрлі деңгейдегі инновация</w:t>
            </w:r>
          </w:p>
        </w:tc>
      </w:tr>
      <w:tr w:rsidR="005118AF">
        <w:trPr>
          <w:jc w:val="center"/>
        </w:trPr>
        <w:tc>
          <w:tcPr>
            <w:tcW w:w="9552" w:type="dxa"/>
            <w:gridSpan w:val="3"/>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Интеграциялық құрылымға бірігудің арқасында қатысушылар мен зерттеушілер</w:t>
      </w:r>
      <w:r>
        <w:rPr>
          <w:rFonts w:ascii="Times New Roman" w:eastAsia="DengXian" w:hAnsi="Times New Roman" w:cs="Times New Roman"/>
          <w:sz w:val="28"/>
          <w:szCs w:val="28"/>
          <w:lang w:val="kk-KZ"/>
        </w:rPr>
        <w:t xml:space="preserve"> ортақ мәселелерді және оны шешудің жолдарын анықтауға, баламаларды енгізуге және нәтижелерін бағалауға, содан кейін ол нәтижелерді жеке немесе ұжымдық пайдалуға мүмкіндік алады. Интеграциялық құрылымда әріптестік жасау барысында келесідей ұстанымдарды бас</w:t>
      </w:r>
      <w:r>
        <w:rPr>
          <w:rFonts w:ascii="Times New Roman" w:eastAsia="DengXian" w:hAnsi="Times New Roman" w:cs="Times New Roman"/>
          <w:sz w:val="28"/>
          <w:szCs w:val="28"/>
          <w:lang w:val="kk-KZ"/>
        </w:rPr>
        <w:t>шылыққа алу қажет:</w:t>
      </w:r>
    </w:p>
    <w:p w:rsidR="005118AF" w:rsidRDefault="00EF60C3">
      <w:pPr>
        <w:numPr>
          <w:ilvl w:val="0"/>
          <w:numId w:val="20"/>
        </w:numPr>
        <w:tabs>
          <w:tab w:val="left" w:pos="993"/>
          <w:tab w:val="left" w:pos="1100"/>
        </w:tabs>
        <w:spacing w:after="0" w:line="240" w:lineRule="auto"/>
        <w:ind w:left="0"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ғылыми</w:t>
      </w:r>
      <w:r>
        <w:rPr>
          <w:rFonts w:ascii="Times New Roman" w:eastAsia="DengXian" w:hAnsi="Times New Roman" w:cs="Times New Roman"/>
          <w:sz w:val="28"/>
          <w:szCs w:val="28"/>
          <w:lang w:val="kk-KZ"/>
        </w:rPr>
        <w:t xml:space="preserve"> білім жетістіктері осы салаға тән басқа барлық қатысушылардың білімдерінен басымдыққа ие емес, жергілікті ерекшеліктерді тиімді қолдана білу қажет;</w:t>
      </w:r>
    </w:p>
    <w:p w:rsidR="005118AF" w:rsidRDefault="00EF60C3">
      <w:pPr>
        <w:numPr>
          <w:ilvl w:val="0"/>
          <w:numId w:val="20"/>
        </w:numPr>
        <w:tabs>
          <w:tab w:val="left" w:pos="993"/>
          <w:tab w:val="left" w:pos="1100"/>
        </w:tabs>
        <w:spacing w:after="0" w:line="240" w:lineRule="auto"/>
        <w:ind w:left="0"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зерттеулер нәтижесі іс-әрекетке алып келуі керек, яғни нақты мәселелерді шешуге ба</w:t>
      </w:r>
      <w:r>
        <w:rPr>
          <w:rFonts w:ascii="Times New Roman" w:eastAsia="DengXian" w:hAnsi="Times New Roman" w:cs="Times New Roman"/>
          <w:sz w:val="28"/>
          <w:szCs w:val="28"/>
          <w:lang w:val="kk-KZ"/>
        </w:rPr>
        <w:t>ғытталуы</w:t>
      </w:r>
      <w:r>
        <w:rPr>
          <w:rFonts w:ascii="Times New Roman" w:eastAsia="DengXian" w:hAnsi="Times New Roman" w:cs="Times New Roman"/>
          <w:sz w:val="28"/>
          <w:szCs w:val="28"/>
          <w:lang w:val="kk-KZ"/>
        </w:rPr>
        <w:t xml:space="preserve"> керек;</w:t>
      </w:r>
    </w:p>
    <w:p w:rsidR="005118AF" w:rsidRDefault="00EF60C3">
      <w:pPr>
        <w:numPr>
          <w:ilvl w:val="0"/>
          <w:numId w:val="20"/>
        </w:numPr>
        <w:tabs>
          <w:tab w:val="left" w:pos="993"/>
          <w:tab w:val="left" w:pos="1100"/>
        </w:tabs>
        <w:spacing w:after="0" w:line="240" w:lineRule="auto"/>
        <w:ind w:left="0"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зерттеулер барлық қатысушылар арқылы жоба аясында жүргізіледі (соның ішінде мәселелер мен мақсаттарды анықтау, нақты іс-әрекет және нәтижелерді бағалау);</w:t>
      </w:r>
    </w:p>
    <w:p w:rsidR="005118AF" w:rsidRDefault="00EF60C3">
      <w:pPr>
        <w:spacing w:after="0" w:line="240" w:lineRule="auto"/>
        <w:ind w:firstLine="709"/>
        <w:jc w:val="both"/>
        <w:rPr>
          <w:rFonts w:ascii="&amp;quot" w:eastAsia="DengXian" w:hAnsi="&amp;quot" w:cs="Times New Roman"/>
          <w:sz w:val="30"/>
          <w:szCs w:val="30"/>
          <w:lang w:val="kk-KZ"/>
        </w:rPr>
      </w:pPr>
      <w:r>
        <w:rPr>
          <w:rFonts w:ascii="Times New Roman" w:eastAsia="DengXian" w:hAnsi="Times New Roman" w:cs="Times New Roman"/>
          <w:sz w:val="28"/>
          <w:szCs w:val="28"/>
          <w:lang w:val="kk-KZ"/>
        </w:rPr>
        <w:t>Әріптестік</w:t>
      </w:r>
      <w:r>
        <w:rPr>
          <w:rFonts w:ascii="Times New Roman" w:eastAsia="DengXian" w:hAnsi="Times New Roman" w:cs="Times New Roman"/>
          <w:sz w:val="28"/>
          <w:szCs w:val="28"/>
          <w:lang w:val="kk-KZ"/>
        </w:rPr>
        <w:t xml:space="preserve"> тиімді болуы тиіс және жауапкершіліктер әртүрлі қатысушылар арасында келісі</w:t>
      </w:r>
      <w:r>
        <w:rPr>
          <w:rFonts w:ascii="Times New Roman" w:eastAsia="DengXian" w:hAnsi="Times New Roman" w:cs="Times New Roman"/>
          <w:sz w:val="28"/>
          <w:szCs w:val="28"/>
          <w:lang w:val="kk-KZ"/>
        </w:rPr>
        <w:t>луі және бөлінуі қажет.</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Білім мен Инновацияларды интеграциялау мәселелері бойынша «Өнеркәсіп – Академиялық орта – Мемлекеттің» ынтымақтастық кеңесі (ары қарай Кеңес) ретінде құрылған тамақ өнеркәсібінде ашық инновацияларды дамытуға ықпал ететін платформа б</w:t>
      </w:r>
      <w:r>
        <w:rPr>
          <w:rFonts w:ascii="Times New Roman" w:eastAsia="DengXian" w:hAnsi="Times New Roman" w:cs="Times New Roman"/>
          <w:sz w:val="28"/>
          <w:szCs w:val="28"/>
          <w:lang w:val="kk-KZ"/>
        </w:rPr>
        <w:t xml:space="preserve">олады. Кеңестің мақсаты - ауыл шаруашылығы мен тамақ өнеркәсібінде зерттеулер жүргізу үшін адамдардың, ақпараттың және қорлардың салааралық платформасы ретінде қалыптасу болып табылады.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Білім мен инновацияларды интеграциялау Кеңесі негізгі 3 ресурсты «Тал</w:t>
      </w:r>
      <w:r>
        <w:rPr>
          <w:rFonts w:ascii="Times New Roman" w:eastAsia="DengXian" w:hAnsi="Times New Roman" w:cs="Times New Roman"/>
          <w:sz w:val="28"/>
          <w:szCs w:val="28"/>
          <w:lang w:val="kk-KZ"/>
        </w:rPr>
        <w:t xml:space="preserve">ант», «Ақпарат» және «Қор» біріктіру арқылы тамақ өнеркәсібі саласында ашық инновациялар платформасын қалыптастыруды көздейді (22-сурет).  </w:t>
      </w:r>
    </w:p>
    <w:p w:rsidR="005118AF" w:rsidRDefault="005118AF">
      <w:pPr>
        <w:spacing w:after="0" w:line="240" w:lineRule="auto"/>
        <w:ind w:firstLine="709"/>
        <w:jc w:val="both"/>
        <w:rPr>
          <w:rFonts w:ascii="Times New Roman" w:eastAsia="DengXian" w:hAnsi="Times New Roman" w:cs="Times New Roman"/>
          <w:sz w:val="28"/>
          <w:szCs w:val="28"/>
          <w:lang w:val="kk-KZ"/>
        </w:rPr>
      </w:pPr>
    </w:p>
    <w:p w:rsidR="005118AF" w:rsidRDefault="00EF60C3">
      <w:pPr>
        <w:spacing w:after="0" w:line="240" w:lineRule="auto"/>
        <w:jc w:val="both"/>
        <w:rPr>
          <w:rFonts w:ascii="Times New Roman" w:eastAsia="DengXian" w:hAnsi="Times New Roman" w:cs="Times New Roman"/>
          <w:sz w:val="28"/>
          <w:szCs w:val="28"/>
          <w:lang w:val="kk-KZ"/>
        </w:rPr>
      </w:pPr>
      <w:r>
        <w:rPr>
          <w:rFonts w:ascii="Times New Roman" w:eastAsia="DengXian" w:hAnsi="Times New Roman" w:cs="Times New Roman"/>
          <w:b/>
          <w:i/>
          <w:noProof/>
          <w:sz w:val="28"/>
          <w:szCs w:val="28"/>
        </w:rPr>
        <w:drawing>
          <wp:inline distT="0" distB="0" distL="114300" distR="114300">
            <wp:extent cx="5486400" cy="3200400"/>
            <wp:effectExtent l="0" t="0" r="0" b="0"/>
            <wp:docPr id="81" name="Diagram 8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5118AF" w:rsidRDefault="005118AF">
      <w:pPr>
        <w:tabs>
          <w:tab w:val="left" w:pos="3550"/>
        </w:tabs>
        <w:spacing w:after="0" w:line="240" w:lineRule="auto"/>
        <w:jc w:val="center"/>
        <w:rPr>
          <w:rFonts w:ascii="Times New Roman" w:eastAsia="DengXian" w:hAnsi="Times New Roman" w:cs="Times New Roman"/>
          <w:sz w:val="16"/>
          <w:szCs w:val="16"/>
          <w:lang w:val="kk-KZ"/>
        </w:rPr>
      </w:pPr>
    </w:p>
    <w:p w:rsidR="005118AF" w:rsidRDefault="00EF60C3">
      <w:pPr>
        <w:tabs>
          <w:tab w:val="left" w:pos="3550"/>
        </w:tabs>
        <w:spacing w:after="0" w:line="240" w:lineRule="auto"/>
        <w:jc w:val="center"/>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Сурет 22 ‒ Білім мен инновацияларды интеграциялау Кеңесі біріктіретін элементтер</w:t>
      </w:r>
    </w:p>
    <w:p w:rsidR="005118AF" w:rsidRDefault="00EF60C3">
      <w:pPr>
        <w:tabs>
          <w:tab w:val="left" w:pos="3550"/>
        </w:tabs>
        <w:spacing w:after="0" w:line="240" w:lineRule="auto"/>
        <w:ind w:firstLineChars="300" w:firstLine="720"/>
        <w:jc w:val="both"/>
        <w:rPr>
          <w:rFonts w:ascii="Times New Roman" w:eastAsia="DengXian" w:hAnsi="Times New Roman" w:cs="Times New Roman"/>
          <w:sz w:val="28"/>
          <w:szCs w:val="28"/>
          <w:lang w:val="kk-KZ"/>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 xml:space="preserve">автормен </w:t>
      </w:r>
      <w:r>
        <w:rPr>
          <w:rFonts w:ascii="Times New Roman" w:eastAsia="DengXian" w:hAnsi="Times New Roman" w:cs="Times New Roman"/>
          <w:sz w:val="24"/>
          <w:szCs w:val="24"/>
          <w:lang w:val="kk-KZ"/>
        </w:rPr>
        <w:t>құрастырылған</w:t>
      </w:r>
      <w:r>
        <w:rPr>
          <w:rFonts w:ascii="Times New Roman" w:eastAsia="DengXian" w:hAnsi="Times New Roman" w:cs="Times New Roman"/>
          <w:sz w:val="28"/>
          <w:szCs w:val="28"/>
          <w:lang w:val="kk-KZ"/>
        </w:rPr>
        <w:t xml:space="preserve"> </w:t>
      </w:r>
    </w:p>
    <w:p w:rsidR="005118AF" w:rsidRDefault="005118AF">
      <w:pPr>
        <w:tabs>
          <w:tab w:val="left" w:pos="3550"/>
        </w:tabs>
        <w:spacing w:after="0" w:line="240" w:lineRule="auto"/>
        <w:ind w:firstLineChars="300" w:firstLine="840"/>
        <w:jc w:val="both"/>
        <w:rPr>
          <w:rFonts w:ascii="Times New Roman" w:eastAsia="DengXian" w:hAnsi="Times New Roman" w:cs="Times New Roman"/>
          <w:sz w:val="28"/>
          <w:szCs w:val="28"/>
          <w:lang w:val="kk-KZ"/>
        </w:rPr>
      </w:pP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Кеңес салааралық ынтымақтастық жаңа технологияларды коммерциализациялауды жеңілдуге мүмкіндік береді және ауылшаруашылық ҒЗТКЖ-ға жеке инвестицияларды тартуды ынталандырады. Жеке ғылыми-зерттеу компанияларының көпшілігі тек өз өнімдерін </w:t>
      </w:r>
      <w:r>
        <w:rPr>
          <w:rFonts w:ascii="Times New Roman" w:eastAsia="DengXian" w:hAnsi="Times New Roman" w:cs="Times New Roman"/>
          <w:sz w:val="28"/>
          <w:szCs w:val="28"/>
          <w:lang w:val="kk-KZ"/>
        </w:rPr>
        <w:t>немесе қызметтерін маркетингке немесе коммерцияландыруға мүдделі. Университеттер мен мемлекеттік ғылыми ұйымдар іргелі және қолданбалы зерттеулерде басты рөл атқарды, бұл нәтижелер коммерциаланғанға дейін ұзақ мерзімді көкжиекті қажет етеді.</w:t>
      </w: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Кеңесті құруды</w:t>
      </w:r>
      <w:r>
        <w:rPr>
          <w:rFonts w:ascii="Times New Roman" w:eastAsia="DengXian" w:hAnsi="Times New Roman" w:cs="Times New Roman"/>
          <w:sz w:val="28"/>
          <w:szCs w:val="28"/>
          <w:lang w:val="kk-KZ"/>
        </w:rPr>
        <w:t>ң</w:t>
      </w:r>
      <w:r>
        <w:rPr>
          <w:rFonts w:ascii="Times New Roman" w:eastAsia="DengXian" w:hAnsi="Times New Roman" w:cs="Times New Roman"/>
          <w:sz w:val="28"/>
          <w:szCs w:val="28"/>
          <w:lang w:val="kk-KZ"/>
        </w:rPr>
        <w:t xml:space="preserve"> негізгі тұжырымдамасы: </w:t>
      </w: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1. Ауыл, орман, балық шаруашылығы және тамақ өнеркәсібіндегі ашық инновацияларды дамыту үшін қолданыстағы мүмкіндіктерді пайдалану арқылы «Ашықтық», «Ынтымақтастық» және «Үлес» сияқты үш функциядан тұратын жаңа ғылыми-зерттеу жүйе</w:t>
      </w:r>
      <w:r>
        <w:rPr>
          <w:rFonts w:ascii="Times New Roman" w:eastAsia="DengXian" w:hAnsi="Times New Roman" w:cs="Times New Roman"/>
          <w:sz w:val="28"/>
          <w:szCs w:val="28"/>
          <w:lang w:val="kk-KZ"/>
        </w:rPr>
        <w:t xml:space="preserve">сі құрылуы керек. </w:t>
      </w: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2. Мұндай жүйені жүзеге асыру үшін «Өріс» пен «Мүмкіндік» құрудың алғашқы қадамы ретінде Білім және инновациялар интеграциялау Кеңесін жатқызуға болады.</w:t>
      </w: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Кеңес қатысушылары және олардың рөлі:</w:t>
      </w: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Әлеуетті</w:t>
      </w:r>
      <w:r>
        <w:rPr>
          <w:rFonts w:ascii="Times New Roman" w:eastAsia="DengXian" w:hAnsi="Times New Roman" w:cs="Times New Roman"/>
          <w:sz w:val="28"/>
          <w:szCs w:val="28"/>
          <w:lang w:val="kk-KZ"/>
        </w:rPr>
        <w:t xml:space="preserve"> қатысушылар - фермерлер, жеке компани</w:t>
      </w:r>
      <w:r>
        <w:rPr>
          <w:rFonts w:ascii="Times New Roman" w:eastAsia="DengXian" w:hAnsi="Times New Roman" w:cs="Times New Roman"/>
          <w:sz w:val="28"/>
          <w:szCs w:val="28"/>
          <w:lang w:val="kk-KZ"/>
        </w:rPr>
        <w:t>ялар, университеттер, ғылыми-зерттеу мекемелері, қаржы институттары, жергілікті өзін-өзі басқару органдары, үкіметтік емес / коммерциялық емес ұйымдар және тұтынушылар. Барлық қатысушылар өздерінің мәселелері, технологиялары мен идеялары туралы ақпаратты б</w:t>
      </w:r>
      <w:r>
        <w:rPr>
          <w:rFonts w:ascii="Times New Roman" w:eastAsia="DengXian" w:hAnsi="Times New Roman" w:cs="Times New Roman"/>
          <w:sz w:val="28"/>
          <w:szCs w:val="28"/>
          <w:lang w:val="kk-KZ"/>
        </w:rPr>
        <w:t xml:space="preserve">асқа қатысушылармен бөліседі деп күтілуде. </w:t>
      </w:r>
    </w:p>
    <w:p w:rsidR="005118AF" w:rsidRDefault="00EF60C3">
      <w:pPr>
        <w:tabs>
          <w:tab w:val="left" w:pos="993"/>
        </w:tabs>
        <w:spacing w:after="0" w:line="240" w:lineRule="auto"/>
        <w:ind w:firstLine="709"/>
        <w:jc w:val="both"/>
        <w:rPr>
          <w:rFonts w:ascii="Times New Roman" w:eastAsia="DengXian" w:hAnsi="Times New Roman" w:cs="Times New Roman"/>
          <w:sz w:val="28"/>
          <w:szCs w:val="28"/>
          <w:lang w:val="kk-KZ"/>
        </w:rPr>
      </w:pPr>
      <w:bookmarkStart w:id="16" w:name="_Hlk115952324"/>
      <w:r>
        <w:rPr>
          <w:rFonts w:ascii="Times New Roman" w:eastAsia="DengXian" w:hAnsi="Times New Roman" w:cs="Times New Roman"/>
          <w:sz w:val="28"/>
          <w:szCs w:val="28"/>
          <w:lang w:val="kk-KZ"/>
        </w:rPr>
        <w:t>«Өнеркәсіп кеңесі-Академия-Мемлекет ынтымақтастығы» (Кеңес), «ҒЗТКЖ платформасы» (Платформа) және «Ғылыми-зерттеу консорциумы» (Консорциум) тұратын ФКИ-дегі үш қабатты құрылым (23-сурет):</w:t>
      </w:r>
    </w:p>
    <w:p w:rsidR="005118AF" w:rsidRDefault="00EF60C3">
      <w:pPr>
        <w:numPr>
          <w:ilvl w:val="0"/>
          <w:numId w:val="21"/>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«Өнеркәсіп-зерттеу ұйымд</w:t>
      </w:r>
      <w:r>
        <w:rPr>
          <w:rFonts w:ascii="Times New Roman" w:eastAsia="Calibri" w:hAnsi="Times New Roman" w:cs="Times New Roman"/>
          <w:sz w:val="28"/>
          <w:szCs w:val="28"/>
          <w:lang w:val="kk-KZ" w:eastAsia="en-US"/>
        </w:rPr>
        <w:t>ары-мемлекеттің ынтымақтық кеңесі - өндіріс, жеке компаниялар, университеттер мен зерттеу ұйымдары сияқты қатысушылар арасында ақпарат алмасуға мүмкіндік беретін платформа.</w:t>
      </w:r>
    </w:p>
    <w:p w:rsidR="005118AF" w:rsidRDefault="00EF60C3">
      <w:pPr>
        <w:numPr>
          <w:ilvl w:val="0"/>
          <w:numId w:val="21"/>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ҒЗТКЖ</w:t>
      </w:r>
      <w:r>
        <w:rPr>
          <w:rFonts w:ascii="Times New Roman" w:eastAsia="Calibri" w:hAnsi="Times New Roman" w:cs="Times New Roman"/>
          <w:sz w:val="28"/>
          <w:szCs w:val="28"/>
          <w:lang w:val="kk-KZ" w:eastAsia="en-US"/>
        </w:rPr>
        <w:t xml:space="preserve"> платформасы – зерттеулер бойынша тағайындалған директордың жетешілігімен  </w:t>
      </w:r>
      <w:r>
        <w:rPr>
          <w:rFonts w:ascii="Times New Roman" w:eastAsia="Calibri" w:hAnsi="Times New Roman" w:cs="Times New Roman"/>
          <w:sz w:val="28"/>
          <w:szCs w:val="28"/>
          <w:lang w:val="kk-KZ" w:eastAsia="en-US"/>
        </w:rPr>
        <w:t>ортақ зерттеулер жүргізуге қатысады.</w:t>
      </w:r>
    </w:p>
    <w:p w:rsidR="005118AF" w:rsidRDefault="00EF60C3">
      <w:pPr>
        <w:numPr>
          <w:ilvl w:val="0"/>
          <w:numId w:val="21"/>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Зерттеу консорциумы – ортақ зерттеулерді жүзеге асырады.</w:t>
      </w:r>
      <w:bookmarkEnd w:id="16"/>
    </w:p>
    <w:p w:rsidR="005118AF" w:rsidRDefault="005118AF">
      <w:pPr>
        <w:tabs>
          <w:tab w:val="left" w:pos="993"/>
        </w:tabs>
        <w:spacing w:after="0" w:line="240" w:lineRule="auto"/>
        <w:ind w:left="709"/>
        <w:contextualSpacing/>
        <w:jc w:val="both"/>
        <w:rPr>
          <w:rFonts w:ascii="Times New Roman" w:eastAsia="Calibri" w:hAnsi="Times New Roman" w:cs="Times New Roman"/>
          <w:sz w:val="28"/>
          <w:szCs w:val="28"/>
          <w:lang w:val="kk-KZ" w:eastAsia="en-US"/>
        </w:rPr>
      </w:pPr>
    </w:p>
    <w:p w:rsidR="005118AF" w:rsidRDefault="00EF60C3">
      <w:pPr>
        <w:ind w:firstLine="708"/>
        <w:rPr>
          <w:rFonts w:ascii="Calibri" w:eastAsia="DengXian" w:hAnsi="Calibri" w:cs="Times New Roman"/>
          <w:lang w:val="kk-KZ"/>
        </w:rPr>
      </w:pPr>
      <w:r>
        <w:rPr>
          <w:rFonts w:ascii="Calibri" w:eastAsia="DengXian" w:hAnsi="Calibri" w:cs="Times New Roman"/>
          <w:noProof/>
        </w:rPr>
        <mc:AlternateContent>
          <mc:Choice Requires="wpg">
            <w:drawing>
              <wp:anchor distT="0" distB="0" distL="114300" distR="114300" simplePos="0" relativeHeight="251672576" behindDoc="0" locked="0" layoutInCell="1" allowOverlap="1">
                <wp:simplePos x="0" y="0"/>
                <wp:positionH relativeFrom="column">
                  <wp:posOffset>-123825</wp:posOffset>
                </wp:positionH>
                <wp:positionV relativeFrom="paragraph">
                  <wp:posOffset>3810</wp:posOffset>
                </wp:positionV>
                <wp:extent cx="6070600" cy="3569970"/>
                <wp:effectExtent l="0" t="0" r="6350" b="0"/>
                <wp:wrapNone/>
                <wp:docPr id="79" name="Group 79"/>
                <wp:cNvGraphicFramePr/>
                <a:graphic xmlns:a="http://schemas.openxmlformats.org/drawingml/2006/main">
                  <a:graphicData uri="http://schemas.microsoft.com/office/word/2010/wordprocessingGroup">
                    <wpg:wgp>
                      <wpg:cNvGrpSpPr/>
                      <wpg:grpSpPr>
                        <a:xfrm>
                          <a:off x="0" y="0"/>
                          <a:ext cx="6070600" cy="3569970"/>
                          <a:chOff x="782" y="1134"/>
                          <a:chExt cx="10274" cy="4925"/>
                        </a:xfrm>
                        <a:effectLst/>
                      </wpg:grpSpPr>
                      <pic:pic xmlns:pic="http://schemas.openxmlformats.org/drawingml/2006/picture">
                        <pic:nvPicPr>
                          <pic:cNvPr id="1575999460" name="Схема 1"/>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5018" y="1134"/>
                            <a:ext cx="6038" cy="4925"/>
                          </a:xfrm>
                          <a:prstGeom prst="rect">
                            <a:avLst/>
                          </a:prstGeom>
                          <a:noFill/>
                          <a:ln>
                            <a:noFill/>
                          </a:ln>
                          <a:effectLst/>
                        </pic:spPr>
                      </pic:pic>
                      <wps:wsp>
                        <wps:cNvPr id="1263470221" name="Rectangle 260"/>
                        <wps:cNvSpPr>
                          <a:spLocks noChangeArrowheads="1"/>
                        </wps:cNvSpPr>
                        <wps:spPr bwMode="auto">
                          <a:xfrm>
                            <a:off x="782" y="4507"/>
                            <a:ext cx="3584" cy="1203"/>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5118AF" w:rsidRDefault="00EF60C3">
                              <w:pPr>
                                <w:spacing w:after="0" w:line="240" w:lineRule="auto"/>
                                <w:rPr>
                                  <w:rFonts w:ascii="Times New Roman" w:eastAsia="DengXian" w:hAnsi="Times New Roman" w:cs="Times New Roman"/>
                                  <w:sz w:val="20"/>
                                  <w:szCs w:val="20"/>
                                  <w:lang w:val="kk-KZ"/>
                                </w:rPr>
                              </w:pPr>
                              <w:r>
                                <w:rPr>
                                  <w:rFonts w:ascii="Times New Roman" w:eastAsia="DengXian" w:hAnsi="Times New Roman" w:cs="Times New Roman"/>
                                  <w:bCs/>
                                  <w:sz w:val="20"/>
                                  <w:szCs w:val="20"/>
                                  <w:lang w:val="kk-KZ"/>
                                </w:rPr>
                                <w:t>Өзара</w:t>
                              </w:r>
                              <w:r>
                                <w:rPr>
                                  <w:rFonts w:ascii="Times New Roman" w:eastAsia="DengXian" w:hAnsi="Times New Roman" w:cs="Times New Roman"/>
                                  <w:bCs/>
                                  <w:sz w:val="20"/>
                                  <w:szCs w:val="20"/>
                                  <w:lang w:val="kk-KZ"/>
                                </w:rPr>
                                <w:t xml:space="preserve"> байланыс негізінде әртүрі тараптарды тарту арқылы  ҒЗТКЖ платформасын құруға ықпал етеді</w:t>
                              </w:r>
                              <w:r>
                                <w:rPr>
                                  <w:rFonts w:ascii="Times New Roman" w:eastAsia="DengXian" w:hAnsi="Times New Roman" w:cs="Times New Roman"/>
                                  <w:sz w:val="20"/>
                                  <w:szCs w:val="20"/>
                                  <w:lang w:val="kk-KZ"/>
                                </w:rPr>
                                <w:t xml:space="preserve"> </w:t>
                              </w:r>
                            </w:p>
                            <w:p w:rsidR="005118AF" w:rsidRDefault="00EF60C3">
                              <w:pPr>
                                <w:spacing w:after="0" w:line="240" w:lineRule="auto"/>
                                <w:jc w:val="center"/>
                                <w:rPr>
                                  <w:rFonts w:ascii="Times New Roman" w:eastAsia="DengXian" w:hAnsi="Times New Roman" w:cs="Times New Roman"/>
                                  <w:sz w:val="20"/>
                                  <w:szCs w:val="20"/>
                                  <w:lang w:val="kk-KZ"/>
                                </w:rPr>
                              </w:pPr>
                              <w:r>
                                <w:rPr>
                                  <w:rFonts w:ascii="Times New Roman" w:eastAsia="DengXian" w:hAnsi="Times New Roman" w:cs="Times New Roman"/>
                                  <w:i/>
                                  <w:sz w:val="20"/>
                                  <w:szCs w:val="20"/>
                                  <w:lang w:val="kk-KZ"/>
                                </w:rPr>
                                <w:t xml:space="preserve"> меншік/Білім Менеджменті, HR-Менеджмент және т.б</w:t>
                              </w:r>
                              <w:r>
                                <w:rPr>
                                  <w:rFonts w:ascii="Times New Roman" w:eastAsia="DengXian" w:hAnsi="Times New Roman" w:cs="Times New Roman"/>
                                  <w:sz w:val="20"/>
                                  <w:szCs w:val="20"/>
                                  <w:lang w:val="kk-KZ"/>
                                </w:rPr>
                                <w:t>.)</w:t>
                              </w:r>
                            </w:p>
                          </w:txbxContent>
                        </wps:txbx>
                        <wps:bodyPr rot="0" vert="horz" wrap="square" lIns="91440" tIns="45720" rIns="91440" bIns="45720" anchor="t" anchorCtr="0" upright="1">
                          <a:noAutofit/>
                        </wps:bodyPr>
                      </wps:wsp>
                      <wps:wsp>
                        <wps:cNvPr id="1620735363" name="Rectangle 261"/>
                        <wps:cNvSpPr>
                          <a:spLocks noChangeArrowheads="1"/>
                        </wps:cNvSpPr>
                        <wps:spPr bwMode="auto">
                          <a:xfrm>
                            <a:off x="782" y="2786"/>
                            <a:ext cx="3584" cy="1176"/>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5118AF" w:rsidRDefault="00EF60C3">
                              <w:pPr>
                                <w:spacing w:after="0" w:line="240" w:lineRule="auto"/>
                                <w:rPr>
                                  <w:rFonts w:ascii="Times New Roman" w:eastAsia="DengXian" w:hAnsi="Times New Roman" w:cs="Times New Roman"/>
                                  <w:sz w:val="20"/>
                                  <w:szCs w:val="20"/>
                                  <w:lang w:val="kk-KZ"/>
                                </w:rPr>
                              </w:pPr>
                              <w:r>
                                <w:rPr>
                                  <w:rFonts w:ascii="Times New Roman" w:eastAsia="DengXian" w:hAnsi="Times New Roman" w:cs="Times New Roman"/>
                                  <w:bCs/>
                                  <w:sz w:val="20"/>
                                  <w:szCs w:val="20"/>
                                  <w:lang w:val="kk-KZ"/>
                                </w:rPr>
                                <w:t>Жаңа өні</w:t>
                              </w:r>
                              <w:r>
                                <w:rPr>
                                  <w:rFonts w:ascii="Times New Roman" w:eastAsia="DengXian" w:hAnsi="Times New Roman" w:cs="Times New Roman"/>
                                  <w:bCs/>
                                  <w:sz w:val="20"/>
                                  <w:szCs w:val="20"/>
                                  <w:lang w:val="kk-KZ"/>
                                </w:rPr>
                                <w:t xml:space="preserve">м шығару мен коммерциализациялау үшін стратегияны қалыптастыру бойынша ҒЗТКЖ қызметі </w:t>
                              </w:r>
                            </w:p>
                            <w:p w:rsidR="005118AF" w:rsidRDefault="00EF60C3">
                              <w:pPr>
                                <w:spacing w:after="0" w:line="240" w:lineRule="auto"/>
                                <w:jc w:val="center"/>
                                <w:rPr>
                                  <w:rFonts w:ascii="Times New Roman" w:eastAsia="DengXian" w:hAnsi="Times New Roman" w:cs="Times New Roman"/>
                                  <w:sz w:val="20"/>
                                  <w:szCs w:val="20"/>
                                  <w:lang w:val="kk-KZ"/>
                                </w:rPr>
                              </w:pPr>
                              <w:r>
                                <w:rPr>
                                  <w:rFonts w:ascii="Times New Roman" w:eastAsia="DengXian" w:hAnsi="Times New Roman" w:cs="Times New Roman"/>
                                  <w:i/>
                                  <w:sz w:val="20"/>
                                  <w:szCs w:val="20"/>
                                  <w:lang w:val="kk-KZ"/>
                                </w:rPr>
                                <w:t xml:space="preserve"> Менеджмент және т.б</w:t>
                              </w:r>
                              <w:r>
                                <w:rPr>
                                  <w:rFonts w:ascii="Times New Roman" w:eastAsia="DengXian" w:hAnsi="Times New Roman" w:cs="Times New Roman"/>
                                  <w:sz w:val="20"/>
                                  <w:szCs w:val="20"/>
                                  <w:lang w:val="kk-KZ"/>
                                </w:rPr>
                                <w:t>.)</w:t>
                              </w:r>
                            </w:p>
                          </w:txbxContent>
                        </wps:txbx>
                        <wps:bodyPr rot="0" vert="horz" wrap="square" lIns="91440" tIns="45720" rIns="91440" bIns="45720" anchor="t" anchorCtr="0" upright="1">
                          <a:noAutofit/>
                        </wps:bodyPr>
                      </wps:wsp>
                      <wps:wsp>
                        <wps:cNvPr id="1856826364" name="Rectangle 262"/>
                        <wps:cNvSpPr>
                          <a:spLocks noChangeArrowheads="1"/>
                        </wps:cNvSpPr>
                        <wps:spPr bwMode="auto">
                          <a:xfrm>
                            <a:off x="782" y="1346"/>
                            <a:ext cx="3584" cy="105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5118AF" w:rsidRDefault="00EF60C3">
                              <w:pPr>
                                <w:spacing w:after="0" w:line="240" w:lineRule="auto"/>
                                <w:rPr>
                                  <w:rFonts w:ascii="Times New Roman" w:eastAsia="DengXian" w:hAnsi="Times New Roman" w:cs="Times New Roman"/>
                                  <w:sz w:val="20"/>
                                  <w:szCs w:val="20"/>
                                  <w:lang w:val="kk-KZ"/>
                                </w:rPr>
                              </w:pPr>
                              <w:r>
                                <w:rPr>
                                  <w:rFonts w:ascii="Times New Roman" w:eastAsia="DengXian" w:hAnsi="Times New Roman" w:cs="Times New Roman"/>
                                  <w:bCs/>
                                  <w:sz w:val="20"/>
                                  <w:szCs w:val="20"/>
                                  <w:lang w:val="kk-KZ"/>
                                </w:rPr>
                                <w:t>Инновациялар мен қолданбалы ҒЗТКЖ қызметі</w:t>
                              </w:r>
                            </w:p>
                            <w:p w:rsidR="005118AF" w:rsidRDefault="00EF60C3">
                              <w:pPr>
                                <w:spacing w:after="0" w:line="240" w:lineRule="auto"/>
                                <w:jc w:val="center"/>
                                <w:rPr>
                                  <w:rFonts w:ascii="Times New Roman" w:eastAsia="DengXian" w:hAnsi="Times New Roman" w:cs="Times New Roman"/>
                                  <w:sz w:val="20"/>
                                  <w:szCs w:val="20"/>
                                  <w:lang w:val="kk-KZ"/>
                                </w:rPr>
                              </w:pPr>
                              <w:r>
                                <w:rPr>
                                  <w:rFonts w:ascii="Times New Roman" w:eastAsia="DengXian" w:hAnsi="Times New Roman" w:cs="Times New Roman"/>
                                  <w:i/>
                                  <w:sz w:val="20"/>
                                  <w:szCs w:val="20"/>
                                  <w:lang w:val="kk-KZ"/>
                                </w:rPr>
                                <w:t>Менеджмент және т.б</w:t>
                              </w:r>
                              <w:r>
                                <w:rPr>
                                  <w:rFonts w:ascii="Times New Roman" w:eastAsia="DengXian" w:hAnsi="Times New Roman" w:cs="Times New Roman"/>
                                  <w:sz w:val="20"/>
                                  <w:szCs w:val="20"/>
                                  <w:lang w:val="kk-KZ"/>
                                </w:rPr>
                                <w:t>.)</w:t>
                              </w:r>
                            </w:p>
                          </w:txbxContent>
                        </wps:txbx>
                        <wps:bodyPr rot="0" vert="horz" wrap="square" lIns="91440" tIns="45720" rIns="91440" bIns="45720" anchor="t" anchorCtr="0" upright="1">
                          <a:noAutofit/>
                        </wps:bodyPr>
                      </wps:wsp>
                      <wps:wsp>
                        <wps:cNvPr id="1546705906" name="AutoShape 263"/>
                        <wps:cNvSpPr>
                          <a:spLocks noChangeArrowheads="1"/>
                        </wps:cNvSpPr>
                        <wps:spPr bwMode="auto">
                          <a:xfrm rot="5400000">
                            <a:off x="4465" y="4413"/>
                            <a:ext cx="1045" cy="1244"/>
                          </a:xfrm>
                          <a:prstGeom prst="triangle">
                            <a:avLst>
                              <a:gd name="adj" fmla="val 50000"/>
                            </a:avLst>
                          </a:prstGeom>
                          <a:gradFill rotWithShape="0">
                            <a:gsLst>
                              <a:gs pos="0">
                                <a:srgbClr val="FFFFFF"/>
                              </a:gs>
                              <a:gs pos="100000">
                                <a:srgbClr val="B6DDE8"/>
                              </a:gs>
                            </a:gsLst>
                            <a:lin ang="5400000" scaled="1"/>
                          </a:gradFill>
                          <a:ln w="12700">
                            <a:solidFill>
                              <a:srgbClr val="92CDDC"/>
                            </a:solidFill>
                            <a:miter lim="800000"/>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785949197" name="AutoShape 264"/>
                        <wps:cNvSpPr>
                          <a:spLocks noChangeArrowheads="1"/>
                        </wps:cNvSpPr>
                        <wps:spPr bwMode="auto">
                          <a:xfrm rot="5400000">
                            <a:off x="4849" y="2303"/>
                            <a:ext cx="1176" cy="2142"/>
                          </a:xfrm>
                          <a:prstGeom prst="triangle">
                            <a:avLst>
                              <a:gd name="adj" fmla="val 50000"/>
                            </a:avLst>
                          </a:prstGeom>
                          <a:gradFill rotWithShape="0">
                            <a:gsLst>
                              <a:gs pos="0">
                                <a:srgbClr val="FFFFFF"/>
                              </a:gs>
                              <a:gs pos="100000">
                                <a:srgbClr val="B6DDE8"/>
                              </a:gs>
                            </a:gsLst>
                            <a:lin ang="5400000" scaled="1"/>
                          </a:gradFill>
                          <a:ln w="12700">
                            <a:solidFill>
                              <a:srgbClr val="92CDDC"/>
                            </a:solidFill>
                            <a:miter lim="800000"/>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118229216" name="AutoShape 265"/>
                        <wps:cNvSpPr>
                          <a:spLocks noChangeArrowheads="1"/>
                        </wps:cNvSpPr>
                        <wps:spPr bwMode="auto">
                          <a:xfrm rot="5400000">
                            <a:off x="5438" y="279"/>
                            <a:ext cx="1045" cy="3189"/>
                          </a:xfrm>
                          <a:prstGeom prst="triangle">
                            <a:avLst>
                              <a:gd name="adj" fmla="val 50000"/>
                            </a:avLst>
                          </a:prstGeom>
                          <a:gradFill rotWithShape="0">
                            <a:gsLst>
                              <a:gs pos="0">
                                <a:srgbClr val="FFFFFF"/>
                              </a:gs>
                              <a:gs pos="100000">
                                <a:srgbClr val="B6DDE8"/>
                              </a:gs>
                            </a:gsLst>
                            <a:lin ang="5400000" scaled="1"/>
                          </a:gradFill>
                          <a:ln w="12700">
                            <a:solidFill>
                              <a:srgbClr val="92CDDC"/>
                            </a:solidFill>
                            <a:miter lim="800000"/>
                          </a:ln>
                          <a:effectLst>
                            <a:outerShdw dist="28398" dir="3806097" algn="ctr" rotWithShape="0">
                              <a:srgbClr val="205867">
                                <a:alpha val="50000"/>
                              </a:srgbClr>
                            </a:outerShdw>
                          </a:effectLst>
                        </wps:spPr>
                        <wps:bodyPr rot="0" vert="horz" wrap="square" lIns="91440" tIns="45720" rIns="91440" bIns="45720" anchor="t" anchorCtr="0" upright="1">
                          <a:noAutofit/>
                        </wps:bodyPr>
                      </wps:wsp>
                    </wpg:wgp>
                  </a:graphicData>
                </a:graphic>
              </wp:anchor>
            </w:drawing>
          </mc:Choice>
          <mc:Fallback>
            <w:pict>
              <v:group id="Group 79" o:spid="_x0000_s1159" style="position:absolute;left:0;text-align:left;margin-left:-9.75pt;margin-top:.3pt;width:478pt;height:281.1pt;z-index:251672576" coordorigin="782,1134" coordsize="10274,4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">
                <v:shape id="Схема 1" o:spid="_x0000_s1160" type="#_x0000_t75" style="position:absolute;left:5018;top:1134;width:6038;height:49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M+TF9HNAAAA4wAAAA8AAAAA&#10;AAAAAAAAAAAAnwIAAGRycy9kb3ducmV2LnhtbFBLBQYAAAAABAAEAPcAAACZAwAAAAA=&#10;">
                  <v:imagedata r:id="rId52" o:title=""/>
                  <o:lock v:ext="edit" aspectratio="f"/>
                </v:shape>
                <v:rect id="Rectangle 260" o:spid="_x0000_s1161" style="position:absolute;left:782;top:4507;width:3584;height:1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afj8gA&#10;AADjAAAADwAAAGRycy9kb3ducmV2LnhtbERPS2vCQBC+F/wPywje6iZR1KauEqWCh1580FyH7DSJ&#10;ZmdDdqvpv+8KBY/zvWe57k0jbtS52rKCeByBIC6srrlUcD7tXhcgnEfW2FgmBb/kYL0avCwx1fbO&#10;B7odfSlCCLsUFVTet6mUrqjIoBvbljhw37Yz6MPZlVJ3eA/hppFJFM2kwZpDQ4UtbSsqrscfo6B9&#10;23yczpf4M7f515TyXZkt4kyp0bDP3kF46v1T/O/e6zA/mU2m8yhJYnj8FAC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dp+PyAAAAOMAAAAPAAAAAAAAAAAAAAAAAJgCAABk&#10;cnMvZG93bnJldi54bWxQSwUGAAAAAAQABAD1AAAAjQMAAAAA&#10;" fillcolor="#92cddc" strokecolor="#92cddc" strokeweight="1pt">
                  <v:fill color2="#daeef3" angle="135" focus="50%" type="gradient"/>
                  <v:shadow on="t" color="#205867" opacity=".5" offset="1pt"/>
                  <v:textbox>
                    <w:txbxContent>
                      <w:p w:rsidR="005118AF" w:rsidRDefault="00EF60C3">
                        <w:pPr>
                          <w:spacing w:after="0" w:line="240" w:lineRule="auto"/>
                          <w:rPr>
                            <w:rFonts w:ascii="Times New Roman" w:eastAsia="DengXian" w:hAnsi="Times New Roman" w:cs="Times New Roman"/>
                            <w:sz w:val="20"/>
                            <w:szCs w:val="20"/>
                            <w:lang w:val="kk-KZ"/>
                          </w:rPr>
                        </w:pPr>
                        <w:r>
                          <w:rPr>
                            <w:rFonts w:ascii="Times New Roman" w:eastAsia="DengXian" w:hAnsi="Times New Roman" w:cs="Times New Roman"/>
                            <w:bCs/>
                            <w:sz w:val="20"/>
                            <w:szCs w:val="20"/>
                            <w:lang w:val="kk-KZ"/>
                          </w:rPr>
                          <w:t>Өзара</w:t>
                        </w:r>
                        <w:r>
                          <w:rPr>
                            <w:rFonts w:ascii="Times New Roman" w:eastAsia="DengXian" w:hAnsi="Times New Roman" w:cs="Times New Roman"/>
                            <w:bCs/>
                            <w:sz w:val="20"/>
                            <w:szCs w:val="20"/>
                            <w:lang w:val="kk-KZ"/>
                          </w:rPr>
                          <w:t xml:space="preserve"> байланыс негізінде әртүрі тараптарды тарту арқылы  ҒЗТКЖ платформасын құруға ықпал етеді</w:t>
                        </w:r>
                        <w:r>
                          <w:rPr>
                            <w:rFonts w:ascii="Times New Roman" w:eastAsia="DengXian" w:hAnsi="Times New Roman" w:cs="Times New Roman"/>
                            <w:sz w:val="20"/>
                            <w:szCs w:val="20"/>
                            <w:lang w:val="kk-KZ"/>
                          </w:rPr>
                          <w:t xml:space="preserve"> </w:t>
                        </w:r>
                      </w:p>
                      <w:p w:rsidR="005118AF" w:rsidRDefault="00EF60C3">
                        <w:pPr>
                          <w:spacing w:after="0" w:line="240" w:lineRule="auto"/>
                          <w:jc w:val="center"/>
                          <w:rPr>
                            <w:rFonts w:ascii="Times New Roman" w:eastAsia="DengXian" w:hAnsi="Times New Roman" w:cs="Times New Roman"/>
                            <w:sz w:val="20"/>
                            <w:szCs w:val="20"/>
                            <w:lang w:val="kk-KZ"/>
                          </w:rPr>
                        </w:pPr>
                        <w:r>
                          <w:rPr>
                            <w:rFonts w:ascii="Times New Roman" w:eastAsia="DengXian" w:hAnsi="Times New Roman" w:cs="Times New Roman"/>
                            <w:i/>
                            <w:sz w:val="20"/>
                            <w:szCs w:val="20"/>
                            <w:lang w:val="kk-KZ"/>
                          </w:rPr>
                          <w:t xml:space="preserve"> меншік/Білім Менеджменті, HR-Менеджмент және т.б</w:t>
                        </w:r>
                        <w:r>
                          <w:rPr>
                            <w:rFonts w:ascii="Times New Roman" w:eastAsia="DengXian" w:hAnsi="Times New Roman" w:cs="Times New Roman"/>
                            <w:sz w:val="20"/>
                            <w:szCs w:val="20"/>
                            <w:lang w:val="kk-KZ"/>
                          </w:rPr>
                          <w:t>.)</w:t>
                        </w:r>
                      </w:p>
                    </w:txbxContent>
                  </v:textbox>
                </v:rect>
                <v:rect id="Rectangle 261" o:spid="_x0000_s1162" style="position:absolute;left:782;top:2786;width:3584;height:1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9x8gA&#10;AADjAAAADwAAAGRycy9kb3ducmV2LnhtbERPzU7CQBC+k/gOmzHxBttSqFhYSDWQePAiEHuddIe2&#10;2p1tuiuUt2dNSDzO9z+rzWBacabeNZYVxJMIBHFpdcOVguNhN16AcB5ZY2uZFFzJwWb9MFphpu2F&#10;P+m895UIIewyVFB732VSurImg25iO+LAnWxv0Iezr6Tu8RLCTSunUZRKgw2Hhho7equp/Nn/GgXd&#10;y+v2cPyOPwpbfM2o2FX5Is6Venoc8iUIT4P/F9/d7zrMT6fRczJP0gT+fgoAyP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8T3HyAAAAOMAAAAPAAAAAAAAAAAAAAAAAJgCAABk&#10;cnMvZG93bnJldi54bWxQSwUGAAAAAAQABAD1AAAAjQMAAAAA&#10;" fillcolor="#92cddc" strokecolor="#92cddc" strokeweight="1pt">
                  <v:fill color2="#daeef3" angle="135" focus="50%" type="gradient"/>
                  <v:shadow on="t" color="#205867" opacity=".5" offset="1pt"/>
                  <v:textbox>
                    <w:txbxContent>
                      <w:p w:rsidR="005118AF" w:rsidRDefault="00EF60C3">
                        <w:pPr>
                          <w:spacing w:after="0" w:line="240" w:lineRule="auto"/>
                          <w:rPr>
                            <w:rFonts w:ascii="Times New Roman" w:eastAsia="DengXian" w:hAnsi="Times New Roman" w:cs="Times New Roman"/>
                            <w:sz w:val="20"/>
                            <w:szCs w:val="20"/>
                            <w:lang w:val="kk-KZ"/>
                          </w:rPr>
                        </w:pPr>
                        <w:r>
                          <w:rPr>
                            <w:rFonts w:ascii="Times New Roman" w:eastAsia="DengXian" w:hAnsi="Times New Roman" w:cs="Times New Roman"/>
                            <w:bCs/>
                            <w:sz w:val="20"/>
                            <w:szCs w:val="20"/>
                            <w:lang w:val="kk-KZ"/>
                          </w:rPr>
                          <w:t>Жаңа өні</w:t>
                        </w:r>
                        <w:r>
                          <w:rPr>
                            <w:rFonts w:ascii="Times New Roman" w:eastAsia="DengXian" w:hAnsi="Times New Roman" w:cs="Times New Roman"/>
                            <w:bCs/>
                            <w:sz w:val="20"/>
                            <w:szCs w:val="20"/>
                            <w:lang w:val="kk-KZ"/>
                          </w:rPr>
                          <w:t xml:space="preserve">м шығару мен коммерциализациялау үшін стратегияны қалыптастыру бойынша ҒЗТКЖ қызметі </w:t>
                        </w:r>
                      </w:p>
                      <w:p w:rsidR="005118AF" w:rsidRDefault="00EF60C3">
                        <w:pPr>
                          <w:spacing w:after="0" w:line="240" w:lineRule="auto"/>
                          <w:jc w:val="center"/>
                          <w:rPr>
                            <w:rFonts w:ascii="Times New Roman" w:eastAsia="DengXian" w:hAnsi="Times New Roman" w:cs="Times New Roman"/>
                            <w:sz w:val="20"/>
                            <w:szCs w:val="20"/>
                            <w:lang w:val="kk-KZ"/>
                          </w:rPr>
                        </w:pPr>
                        <w:r>
                          <w:rPr>
                            <w:rFonts w:ascii="Times New Roman" w:eastAsia="DengXian" w:hAnsi="Times New Roman" w:cs="Times New Roman"/>
                            <w:i/>
                            <w:sz w:val="20"/>
                            <w:szCs w:val="20"/>
                            <w:lang w:val="kk-KZ"/>
                          </w:rPr>
                          <w:t xml:space="preserve"> Менеджмент және т.б</w:t>
                        </w:r>
                        <w:r>
                          <w:rPr>
                            <w:rFonts w:ascii="Times New Roman" w:eastAsia="DengXian" w:hAnsi="Times New Roman" w:cs="Times New Roman"/>
                            <w:sz w:val="20"/>
                            <w:szCs w:val="20"/>
                            <w:lang w:val="kk-KZ"/>
                          </w:rPr>
                          <w:t>.)</w:t>
                        </w:r>
                      </w:p>
                    </w:txbxContent>
                  </v:textbox>
                </v:rect>
                <v:rect id="Rectangle 262" o:spid="_x0000_s1163" style="position:absolute;left:782;top:1346;width:3584;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yIl8gA&#10;AADjAAAADwAAAGRycy9kb3ducmV2LnhtbERPzWrCQBC+F/oOyxS81U3UhjS6ShSFHnqpSnMdsmMS&#10;zc6G7Krp23cLQo/z/c9iNZhW3Kh3jWUF8TgCQVxa3XCl4HjYvaYgnEfW2FomBT/kYLV8flpgpu2d&#10;v+i295UIIewyVFB732VSurImg25sO+LAnWxv0Iezr6Tu8R7CTSsnUZRIgw2Hhho72tRUXvZXo6B7&#10;X28Px3P8Wdjie0bFrsrTOFdq9DLkcxCeBv8vfrg/dJifviXpJJkmM/j7KQA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rIiXyAAAAOMAAAAPAAAAAAAAAAAAAAAAAJgCAABk&#10;cnMvZG93bnJldi54bWxQSwUGAAAAAAQABAD1AAAAjQMAAAAA&#10;" fillcolor="#92cddc" strokecolor="#92cddc" strokeweight="1pt">
                  <v:fill color2="#daeef3" angle="135" focus="50%" type="gradient"/>
                  <v:shadow on="t" color="#205867" opacity=".5" offset="1pt"/>
                  <v:textbox>
                    <w:txbxContent>
                      <w:p w:rsidR="005118AF" w:rsidRDefault="00EF60C3">
                        <w:pPr>
                          <w:spacing w:after="0" w:line="240" w:lineRule="auto"/>
                          <w:rPr>
                            <w:rFonts w:ascii="Times New Roman" w:eastAsia="DengXian" w:hAnsi="Times New Roman" w:cs="Times New Roman"/>
                            <w:sz w:val="20"/>
                            <w:szCs w:val="20"/>
                            <w:lang w:val="kk-KZ"/>
                          </w:rPr>
                        </w:pPr>
                        <w:r>
                          <w:rPr>
                            <w:rFonts w:ascii="Times New Roman" w:eastAsia="DengXian" w:hAnsi="Times New Roman" w:cs="Times New Roman"/>
                            <w:bCs/>
                            <w:sz w:val="20"/>
                            <w:szCs w:val="20"/>
                            <w:lang w:val="kk-KZ"/>
                          </w:rPr>
                          <w:t>Инновациялар мен қолданбалы ҒЗТКЖ қызметі</w:t>
                        </w:r>
                      </w:p>
                      <w:p w:rsidR="005118AF" w:rsidRDefault="00EF60C3">
                        <w:pPr>
                          <w:spacing w:after="0" w:line="240" w:lineRule="auto"/>
                          <w:jc w:val="center"/>
                          <w:rPr>
                            <w:rFonts w:ascii="Times New Roman" w:eastAsia="DengXian" w:hAnsi="Times New Roman" w:cs="Times New Roman"/>
                            <w:sz w:val="20"/>
                            <w:szCs w:val="20"/>
                            <w:lang w:val="kk-KZ"/>
                          </w:rPr>
                        </w:pPr>
                        <w:r>
                          <w:rPr>
                            <w:rFonts w:ascii="Times New Roman" w:eastAsia="DengXian" w:hAnsi="Times New Roman" w:cs="Times New Roman"/>
                            <w:i/>
                            <w:sz w:val="20"/>
                            <w:szCs w:val="20"/>
                            <w:lang w:val="kk-KZ"/>
                          </w:rPr>
                          <w:t>Менеджмент және т.б</w:t>
                        </w:r>
                        <w:r>
                          <w:rPr>
                            <w:rFonts w:ascii="Times New Roman" w:eastAsia="DengXian" w:hAnsi="Times New Roman" w:cs="Times New Roman"/>
                            <w:sz w:val="20"/>
                            <w:szCs w:val="20"/>
                            <w:lang w:val="kk-KZ"/>
                          </w:rPr>
                          <w:t>.)</w:t>
                        </w:r>
                      </w:p>
                    </w:txbxContent>
                  </v:textbox>
                </v:rect>
                <v:shape id="AutoShape 263" o:spid="_x0000_s1164" type="#_x0000_t5" style="position:absolute;left:4465;top:4413;width:1045;height:124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z6MYA&#10;AADjAAAADwAAAGRycy9kb3ducmV2LnhtbERPX0vDMBB/F/Ydwg18c4nDVa3LxhDHFB/EOt+P5myL&#10;zaUk2Zp+eyMIPt7v/623yfbiTD50jjVcLxQI4tqZjhsNx4/91R2IEJEN9o5Jw0QBtpvZxRpL40Z+&#10;p3MVG5FDOJSooY1xKKUMdUsWw8INxJn7ct5izKdvpPE45nDby6VShbTYcW5ocaDHlurv6mQ1+MPb&#10;hLQfTwd6oZSmT3WsXp+0vpyn3QOISCn+i//czybPX90Ut2p1rwr4/SkD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Az6MYAAADjAAAADwAAAAAAAAAAAAAAAACYAgAAZHJz&#10;L2Rvd25yZXYueG1sUEsFBgAAAAAEAAQA9QAAAIsDAAAAAA==&#10;" strokecolor="#92cddc" strokeweight="1pt">
                  <v:fill color2="#b6dde8" focus="100%" type="gradient"/>
                  <v:shadow on="t" color="#205867" opacity=".5" offset="1pt"/>
                </v:shape>
                <v:shape id="AutoShape 264" o:spid="_x0000_s1165" type="#_x0000_t5" style="position:absolute;left:4849;top:2303;width:1176;height:21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L+MkA&#10;AADiAAAADwAAAGRycy9kb3ducmV2LnhtbESPQUvDQBSE70L/w/IK3uymorZJuy0illY8iLG9P7LP&#10;JJh9G3a3zebfuwXB4zAz3zDrbTSduJDzrWUF81kGgriyuuVawfFrd7cE4QOyxs4yKRjJw3YzuVlj&#10;oe3An3QpQy0ShH2BCpoQ+kJKXzVk0M9sT5y8b+sMhiRdLbXDIcFNJ++z7EkabDktNNjTS0PVT3k2&#10;Ctz+Y0TaDec9vVGM4yk7lu+vSt1O4/MKRKAY/sN/7YNWsFg+5g/5PF/A9VK6A3Lz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RbL+MkAAADiAAAADwAAAAAAAAAAAAAAAACYAgAA&#10;ZHJzL2Rvd25yZXYueG1sUEsFBgAAAAAEAAQA9QAAAI4DAAAAAA==&#10;" strokecolor="#92cddc" strokeweight="1pt">
                  <v:fill color2="#b6dde8" focus="100%" type="gradient"/>
                  <v:shadow on="t" color="#205867" opacity=".5" offset="1pt"/>
                </v:shape>
                <v:shape id="AutoShape 265" o:spid="_x0000_s1166" type="#_x0000_t5" style="position:absolute;left:5438;top:279;width:1045;height:318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7cCsUA&#10;AADiAAAADwAAAGRycy9kb3ducmV2LnhtbERPz2vCMBS+D/wfwhO8zbQ9iOuMMsbEyQ5j1d0fzbMt&#10;Ni8liTb975fBYMeP7/dmF00v7uR8Z1lBvsxAENdWd9woOJ/2j2sQPiBr7C2Tgok87Lazhw2W2o78&#10;RfcqNCKFsC9RQRvCUErp65YM+qUdiBN3sc5gSNA1UjscU7jpZZFlK2mw49TQ4kCvLdXX6mYUuMPn&#10;hLQfbwc6UozTd3auPt6UWszjyzOIQDH8i//c7zrNz9dF8VTkK/i9lDD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twKxQAAAOIAAAAPAAAAAAAAAAAAAAAAAJgCAABkcnMv&#10;ZG93bnJldi54bWxQSwUGAAAAAAQABAD1AAAAigMAAAAA&#10;" strokecolor="#92cddc" strokeweight="1pt">
                  <v:fill color2="#b6dde8" focus="100%" type="gradient"/>
                  <v:shadow on="t" color="#205867" opacity=".5" offset="1pt"/>
                </v:shape>
              </v:group>
            </w:pict>
          </mc:Fallback>
        </mc:AlternateContent>
      </w:r>
    </w:p>
    <w:p w:rsidR="005118AF" w:rsidRDefault="005118AF">
      <w:pPr>
        <w:ind w:firstLine="708"/>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rPr>
          <w:rFonts w:ascii="Calibri" w:eastAsia="DengXian" w:hAnsi="Calibri" w:cs="Times New Roman"/>
          <w:lang w:val="kk-KZ"/>
        </w:rPr>
      </w:pPr>
    </w:p>
    <w:p w:rsidR="005118AF" w:rsidRDefault="005118AF">
      <w:pPr>
        <w:tabs>
          <w:tab w:val="left" w:pos="1047"/>
        </w:tabs>
        <w:rPr>
          <w:rFonts w:ascii="Calibri" w:eastAsia="DengXian" w:hAnsi="Calibri" w:cs="Times New Roman"/>
          <w:lang w:val="kk-KZ"/>
        </w:rPr>
      </w:pP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5118AF">
      <w:pPr>
        <w:spacing w:after="0" w:line="240" w:lineRule="auto"/>
        <w:ind w:firstLine="567"/>
        <w:jc w:val="both"/>
        <w:rPr>
          <w:rFonts w:ascii="Times New Roman" w:eastAsia="DengXian" w:hAnsi="Times New Roman" w:cs="Times New Roman"/>
          <w:b/>
          <w:sz w:val="28"/>
          <w:szCs w:val="28"/>
          <w:lang w:val="kk-KZ"/>
        </w:rPr>
      </w:pPr>
    </w:p>
    <w:p w:rsidR="005118AF" w:rsidRDefault="005118AF">
      <w:pPr>
        <w:spacing w:after="0" w:line="240" w:lineRule="auto"/>
        <w:ind w:firstLine="567"/>
        <w:jc w:val="both"/>
        <w:rPr>
          <w:rFonts w:ascii="Times New Roman" w:eastAsia="DengXian" w:hAnsi="Times New Roman" w:cs="Times New Roman"/>
          <w:bCs/>
          <w:sz w:val="16"/>
          <w:szCs w:val="16"/>
          <w:lang w:val="kk-KZ"/>
        </w:rPr>
      </w:pPr>
    </w:p>
    <w:p w:rsidR="005118AF" w:rsidRDefault="00EF60C3">
      <w:pPr>
        <w:spacing w:after="0" w:line="240" w:lineRule="auto"/>
        <w:jc w:val="center"/>
        <w:rPr>
          <w:rFonts w:ascii="Times New Roman" w:eastAsia="DengXian" w:hAnsi="Times New Roman" w:cs="Times New Roman"/>
          <w:b/>
          <w:sz w:val="28"/>
          <w:szCs w:val="28"/>
          <w:lang w:val="kk-KZ"/>
        </w:rPr>
      </w:pPr>
      <w:r>
        <w:rPr>
          <w:rFonts w:ascii="Times New Roman" w:eastAsia="DengXian" w:hAnsi="Times New Roman" w:cs="Times New Roman"/>
          <w:bCs/>
          <w:sz w:val="28"/>
          <w:szCs w:val="28"/>
          <w:lang w:val="kk-KZ"/>
        </w:rPr>
        <w:t>Сурет 23 ‒</w:t>
      </w:r>
      <w:r>
        <w:rPr>
          <w:rFonts w:ascii="Times New Roman" w:eastAsia="DengXian" w:hAnsi="Times New Roman" w:cs="Times New Roman"/>
          <w:b/>
          <w:sz w:val="28"/>
          <w:szCs w:val="28"/>
          <w:lang w:val="kk-KZ"/>
        </w:rPr>
        <w:t xml:space="preserve"> </w:t>
      </w:r>
      <w:r>
        <w:rPr>
          <w:rFonts w:ascii="Times New Roman" w:eastAsia="DengXian" w:hAnsi="Times New Roman" w:cs="Times New Roman"/>
          <w:sz w:val="28"/>
          <w:szCs w:val="28"/>
          <w:lang w:val="kk-KZ"/>
        </w:rPr>
        <w:t xml:space="preserve">«Өнеркәсіп кеңесі-Академия-Мемлекет ынтымақтастығы» </w:t>
      </w:r>
      <w:r>
        <w:rPr>
          <w:rFonts w:ascii="Times New Roman" w:eastAsia="DengXian" w:hAnsi="Times New Roman" w:cs="Times New Roman"/>
          <w:sz w:val="28"/>
          <w:szCs w:val="28"/>
          <w:lang w:val="kk-KZ"/>
        </w:rPr>
        <w:t>платформасы</w:t>
      </w:r>
    </w:p>
    <w:p w:rsidR="005118AF" w:rsidRDefault="00EF60C3">
      <w:pPr>
        <w:spacing w:after="0" w:line="240" w:lineRule="auto"/>
        <w:ind w:firstLine="567"/>
        <w:jc w:val="both"/>
        <w:rPr>
          <w:rFonts w:ascii="Times New Roman" w:eastAsia="DengXian" w:hAnsi="Times New Roman" w:cs="Times New Roman"/>
          <w:b/>
          <w:sz w:val="28"/>
          <w:szCs w:val="28"/>
          <w:lang w:val="kk-KZ"/>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p w:rsidR="005118AF" w:rsidRDefault="005118AF">
      <w:pPr>
        <w:spacing w:after="0" w:line="240" w:lineRule="auto"/>
        <w:ind w:firstLine="709"/>
        <w:jc w:val="both"/>
        <w:rPr>
          <w:rFonts w:ascii="Times New Roman" w:eastAsia="DengXian" w:hAnsi="Times New Roman" w:cs="Times New Roman"/>
          <w:bCs/>
          <w:sz w:val="28"/>
          <w:szCs w:val="28"/>
          <w:lang w:val="kk-KZ"/>
        </w:rPr>
      </w:pP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bCs/>
          <w:sz w:val="28"/>
          <w:szCs w:val="28"/>
          <w:lang w:val="kk-KZ"/>
        </w:rPr>
        <w:t>Кеңес</w:t>
      </w:r>
      <w:r>
        <w:rPr>
          <w:rFonts w:ascii="Times New Roman" w:eastAsia="DengXian" w:hAnsi="Times New Roman" w:cs="Times New Roman"/>
          <w:sz w:val="28"/>
          <w:szCs w:val="28"/>
          <w:lang w:val="kk-KZ"/>
        </w:rPr>
        <w:t xml:space="preserve"> ‒ бұл ауыл, орман, балық шаруашылығы, тамақ өнеркәсібі және басқа салалардан көптеген ұйымдар мен жеке адамдар қатысатын ұйым. Ол қатысушылардың өзара әрекеттесуі және тұтыну арқылы өндіріс туралы әр түрл</w:t>
      </w:r>
      <w:r>
        <w:rPr>
          <w:rFonts w:ascii="Times New Roman" w:eastAsia="DengXian" w:hAnsi="Times New Roman" w:cs="Times New Roman"/>
          <w:sz w:val="28"/>
          <w:szCs w:val="28"/>
          <w:lang w:val="kk-KZ"/>
        </w:rPr>
        <w:t>і ақпарат алмасу арқылы ауылшаруашылық, орман, балық шаруашылығы және тамақ секторларындағы жаңалықтарды қозғау үшін жаңа ҒЗТКЖ платформаларын құруға ықпал етеді.</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Көрсетілген ҒЗТКЖ саласындағы ұқсас мәселелер туралы өзара білім мен тәжірибе алмасу нәтижесі</w:t>
      </w:r>
      <w:r>
        <w:rPr>
          <w:rFonts w:ascii="Times New Roman" w:eastAsia="DengXian" w:hAnsi="Times New Roman" w:cs="Times New Roman"/>
          <w:sz w:val="28"/>
          <w:szCs w:val="28"/>
          <w:lang w:val="kk-KZ"/>
        </w:rPr>
        <w:t>нде кеңес мүшелері Платформа қалыптастырады. Олар қолданыстағы ҒЗТКЖ шеңберінде жаңа ҒЗТКЖ стратегиясын әзірлейді.</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Кеңес қатысушылардың, Ғылими-зерттеу платформасы мен Консорциумның қызметін қадағалап отырады және Кеңестің қызметін бесендендіру үшін қоғаммен тиімді байланыстар орнатуды қолдайды. Сондай-ақ, Кеңес саланы дамытуға қажетті «білімдерді» біріктіру және қолда</w:t>
      </w:r>
      <w:r>
        <w:rPr>
          <w:rFonts w:ascii="Times New Roman" w:eastAsia="DengXian" w:hAnsi="Times New Roman" w:cs="Times New Roman"/>
          <w:sz w:val="28"/>
          <w:szCs w:val="28"/>
          <w:lang w:val="kk-KZ"/>
        </w:rPr>
        <w:t xml:space="preserve">ну мақсатында елдің барлық аймақтарында семинарлар, тренингтер сияқты шаралар жүргізуі қажет.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Сонымен қатар, интеграциялық құрылымның бірінші деңгейінде тамақ өнеркәсібі кәсіпорындарының инновациялық белсенділігін арттыруға жағдай жасайтын бизнес стратегияларды жаңғырту мен басқарушылық шешімдер іздеу бағытында да қызмет атқаралуы тиіс. Біл ретте, </w:t>
      </w:r>
      <w:r>
        <w:rPr>
          <w:rFonts w:ascii="Times New Roman" w:eastAsia="DengXian" w:hAnsi="Times New Roman" w:cs="Times New Roman"/>
          <w:sz w:val="28"/>
          <w:szCs w:val="28"/>
          <w:lang w:val="kk-KZ"/>
        </w:rPr>
        <w:t xml:space="preserve">Кеңестің міндеті - тамақ өнеркәсібінің құндылықтар қалыптастыру тізбегінің барлық буындарында инновациялық белсенділікті арттыруға жағдай жасау болып табылады (24-сурет). </w:t>
      </w: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-39370</wp:posOffset>
                </wp:positionH>
                <wp:positionV relativeFrom="paragraph">
                  <wp:posOffset>171450</wp:posOffset>
                </wp:positionV>
                <wp:extent cx="6006465" cy="391795"/>
                <wp:effectExtent l="0" t="0" r="13335" b="27305"/>
                <wp:wrapNone/>
                <wp:docPr id="249249216" name="Rounded Rectangle 249249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6465" cy="391795"/>
                        </a:xfrm>
                        <a:prstGeom prst="roundRect">
                          <a:avLst>
                            <a:gd name="adj" fmla="val 16667"/>
                          </a:avLst>
                        </a:prstGeom>
                        <a:solidFill>
                          <a:srgbClr val="FFFFFF"/>
                        </a:solidFill>
                        <a:ln w="9525">
                          <a:solidFill>
                            <a:srgbClr val="000000"/>
                          </a:solidFill>
                          <a:round/>
                        </a:ln>
                        <a:effectLst/>
                      </wps:spPr>
                      <wps:txbx>
                        <w:txbxContent>
                          <w:p w:rsidR="005118AF" w:rsidRDefault="00EF60C3">
                            <w:pPr>
                              <w:rPr>
                                <w:rFonts w:ascii="Calibri" w:eastAsia="DengXian" w:hAnsi="Calibri" w:cs="Times New Roman"/>
                                <w:sz w:val="24"/>
                                <w:szCs w:val="24"/>
                              </w:rPr>
                            </w:pPr>
                            <w:r>
                              <w:rPr>
                                <w:rFonts w:ascii="Times New Roman" w:eastAsia="DengXian" w:hAnsi="Times New Roman" w:cs="Times New Roman"/>
                                <w:sz w:val="24"/>
                                <w:szCs w:val="24"/>
                                <w:lang w:val="kk-KZ"/>
                              </w:rPr>
                              <w:t>«Өнеркәсіп-Академиялық орта – Мемлекет» ынтымақтастығының Кеңесі</w:t>
                            </w:r>
                          </w:p>
                        </w:txbxContent>
                      </wps:txbx>
                      <wps:bodyPr rot="0" vert="horz" wrap="square" lIns="91440" tIns="45720" rIns="91440" bIns="45720" anchor="t" anchorCtr="0" upright="1">
                        <a:noAutofit/>
                      </wps:bodyPr>
                    </wps:wsp>
                  </a:graphicData>
                </a:graphic>
              </wp:anchor>
            </w:drawing>
          </mc:Choice>
          <mc:Fallback>
            <w:pict>
              <v:roundrect id="Rounded Rectangle 249249216" o:spid="_x0000_s1167" style="position:absolute;left:0;text-align:left;margin-left:-3.1pt;margin-top:13.5pt;width:472.95pt;height:30.85pt;z-index:25167360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">
                <v:textbox>
                  <w:txbxContent>
                    <w:p w:rsidR="005118AF" w:rsidRDefault="00EF60C3">
                      <w:pPr>
                        <w:rPr>
                          <w:rFonts w:ascii="Calibri" w:eastAsia="DengXian" w:hAnsi="Calibri" w:cs="Times New Roman"/>
                          <w:sz w:val="24"/>
                          <w:szCs w:val="24"/>
                        </w:rPr>
                      </w:pPr>
                      <w:r>
                        <w:rPr>
                          <w:rFonts w:ascii="Times New Roman" w:eastAsia="DengXian" w:hAnsi="Times New Roman" w:cs="Times New Roman"/>
                          <w:sz w:val="24"/>
                          <w:szCs w:val="24"/>
                          <w:lang w:val="kk-KZ"/>
                        </w:rPr>
                        <w:t>«Өнеркәсіп-Академиялық орта – Мемлекет» ынтымақтастығының Кеңесі</w:t>
                      </w:r>
                    </w:p>
                  </w:txbxContent>
                </v:textbox>
              </v:roundrect>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-257175</wp:posOffset>
                </wp:positionH>
                <wp:positionV relativeFrom="paragraph">
                  <wp:posOffset>198755</wp:posOffset>
                </wp:positionV>
                <wp:extent cx="6321425" cy="2859405"/>
                <wp:effectExtent l="0" t="0" r="22225" b="17145"/>
                <wp:wrapNone/>
                <wp:docPr id="385350717" name="Rounded Rectangle 385350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1447" cy="2859578"/>
                        </a:xfrm>
                        <a:prstGeom prst="roundRect">
                          <a:avLst>
                            <a:gd name="adj" fmla="val 16667"/>
                          </a:avLst>
                        </a:prstGeom>
                        <a:solidFill>
                          <a:srgbClr val="FFFFFF"/>
                        </a:solidFill>
                        <a:ln w="9525">
                          <a:solidFill>
                            <a:srgbClr val="000000"/>
                          </a:solidFill>
                          <a:round/>
                        </a:ln>
                        <a:effectLst/>
                      </wps:spPr>
                      <wps:bodyPr rot="0" vert="horz" wrap="square" lIns="91440" tIns="45720" rIns="91440" bIns="45720" anchor="t" anchorCtr="0" upright="1">
                        <a:noAutofit/>
                      </wps:bodyPr>
                    </wps:wsp>
                  </a:graphicData>
                </a:graphic>
              </wp:anchor>
            </w:drawing>
          </mc:Choice>
          <mc:Fallback>
            <w:pict>
              <v:roundrect w14:anchorId="7CFF2264" id="Rounded Rectangle 385350717" o:spid="_x0000_s1026" style="position:absolute;margin-left:-20.25pt;margin-top:15.65pt;width:497.75pt;height:225.15pt;z-index:2516695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"/>
            </w:pict>
          </mc:Fallback>
        </mc:AlternateContent>
      </w: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85888" behindDoc="0" locked="0" layoutInCell="1" allowOverlap="1">
                <wp:simplePos x="0" y="0"/>
                <wp:positionH relativeFrom="column">
                  <wp:posOffset>332740</wp:posOffset>
                </wp:positionH>
                <wp:positionV relativeFrom="paragraph">
                  <wp:posOffset>94615</wp:posOffset>
                </wp:positionV>
                <wp:extent cx="5285105" cy="273050"/>
                <wp:effectExtent l="4445" t="4445" r="6350" b="14605"/>
                <wp:wrapNone/>
                <wp:docPr id="1801221926" name="Rounded Rectangle 180122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5105" cy="273050"/>
                        </a:xfrm>
                        <a:prstGeom prst="roundRect">
                          <a:avLst>
                            <a:gd name="adj" fmla="val 16667"/>
                          </a:avLst>
                        </a:prstGeom>
                        <a:solidFill>
                          <a:srgbClr val="FFFFFF"/>
                        </a:solidFill>
                        <a:ln w="9525">
                          <a:solidFill>
                            <a:srgbClr val="000000"/>
                          </a:solidFill>
                          <a:round/>
                        </a:ln>
                        <a:effectLst/>
                      </wps:spPr>
                      <wps:txbx>
                        <w:txbxContent>
                          <w:p w:rsidR="005118AF" w:rsidRDefault="00EF60C3">
                            <w:pPr>
                              <w:spacing w:after="0" w:line="240" w:lineRule="auto"/>
                              <w:rPr>
                                <w:rFonts w:ascii="Calibri" w:eastAsia="DengXian" w:hAnsi="Calibri" w:cs="Times New Roman"/>
                              </w:rPr>
                            </w:pPr>
                            <w:r>
                              <w:rPr>
                                <w:rFonts w:ascii="Times New Roman" w:eastAsia="DengXian" w:hAnsi="Times New Roman" w:cs="Times New Roman"/>
                                <w:lang w:val="en-US"/>
                              </w:rPr>
                              <w:t xml:space="preserve">R&amp;D </w:t>
                            </w:r>
                            <w:r>
                              <w:rPr>
                                <w:rFonts w:ascii="Times New Roman" w:eastAsia="DengXian" w:hAnsi="Times New Roman" w:cs="Times New Roman"/>
                                <w:lang w:val="kk-KZ"/>
                              </w:rPr>
                              <w:t>жұмыс</w:t>
                            </w:r>
                            <w:r>
                              <w:rPr>
                                <w:rFonts w:ascii="Times New Roman" w:eastAsia="DengXian" w:hAnsi="Times New Roman" w:cs="Times New Roman"/>
                                <w:lang w:val="kk-KZ"/>
                              </w:rPr>
                              <w:t xml:space="preserve">тарына қатысу; Қатысушылардың өзара байланысы нәтижесінде  </w:t>
                            </w:r>
                          </w:p>
                          <w:p w:rsidR="005118AF" w:rsidRDefault="005118AF">
                            <w:pPr>
                              <w:rPr>
                                <w:rFonts w:ascii="Calibri" w:eastAsia="DengXian" w:hAnsi="Calibri" w:cs="Times New Roman"/>
                              </w:rPr>
                            </w:pPr>
                          </w:p>
                        </w:txbxContent>
                      </wps:txbx>
                      <wps:bodyPr rot="0" vert="horz" wrap="square" lIns="91440" tIns="45720" rIns="91440" bIns="45720" anchor="t" anchorCtr="0" upright="1">
                        <a:noAutofit/>
                      </wps:bodyPr>
                    </wps:wsp>
                  </a:graphicData>
                </a:graphic>
              </wp:anchor>
            </w:drawing>
          </mc:Choice>
          <mc:Fallback>
            <w:pict>
              <v:roundrect id="Rounded Rectangle 1801221926" o:spid="_x0000_s1168" style="position:absolute;left:0;text-align:left;margin-left:26.2pt;margin-top:7.45pt;width:416.15pt;height:21.5pt;z-index:2516858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">
                <v:textbox>
                  <w:txbxContent>
                    <w:p w:rsidR="005118AF" w:rsidRDefault="00EF60C3">
                      <w:pPr>
                        <w:spacing w:after="0" w:line="240" w:lineRule="auto"/>
                        <w:rPr>
                          <w:rFonts w:ascii="Calibri" w:eastAsia="DengXian" w:hAnsi="Calibri" w:cs="Times New Roman"/>
                        </w:rPr>
                      </w:pPr>
                      <w:r>
                        <w:rPr>
                          <w:rFonts w:ascii="Times New Roman" w:eastAsia="DengXian" w:hAnsi="Times New Roman" w:cs="Times New Roman"/>
                          <w:lang w:val="en-US"/>
                        </w:rPr>
                        <w:t xml:space="preserve">R&amp;D </w:t>
                      </w:r>
                      <w:r>
                        <w:rPr>
                          <w:rFonts w:ascii="Times New Roman" w:eastAsia="DengXian" w:hAnsi="Times New Roman" w:cs="Times New Roman"/>
                          <w:lang w:val="kk-KZ"/>
                        </w:rPr>
                        <w:t>жұмыс</w:t>
                      </w:r>
                      <w:r>
                        <w:rPr>
                          <w:rFonts w:ascii="Times New Roman" w:eastAsia="DengXian" w:hAnsi="Times New Roman" w:cs="Times New Roman"/>
                          <w:lang w:val="kk-KZ"/>
                        </w:rPr>
                        <w:t xml:space="preserve">тарына қатысу; Қатысушылардың өзара байланысы нәтижесінде  </w:t>
                      </w:r>
                    </w:p>
                    <w:p w:rsidR="005118AF" w:rsidRDefault="005118AF">
                      <w:pPr>
                        <w:rPr>
                          <w:rFonts w:ascii="Calibri" w:eastAsia="DengXian" w:hAnsi="Calibri" w:cs="Times New Roman"/>
                        </w:rPr>
                      </w:pPr>
                    </w:p>
                  </w:txbxContent>
                </v:textbox>
              </v:roundrect>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2909570</wp:posOffset>
                </wp:positionH>
                <wp:positionV relativeFrom="paragraph">
                  <wp:posOffset>25400</wp:posOffset>
                </wp:positionV>
                <wp:extent cx="2419985" cy="793115"/>
                <wp:effectExtent l="0" t="0" r="18415" b="26035"/>
                <wp:wrapNone/>
                <wp:docPr id="1256013975" name="Oval 1256013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985" cy="793115"/>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Инновациялық белсенді фермерлар тобы</w:t>
                            </w:r>
                          </w:p>
                        </w:txbxContent>
                      </wps:txbx>
                      <wps:bodyPr rot="0" vert="horz" wrap="square" lIns="91440" tIns="45720" rIns="91440" bIns="45720" anchor="t" anchorCtr="0" upright="1">
                        <a:noAutofit/>
                      </wps:bodyPr>
                    </wps:wsp>
                  </a:graphicData>
                </a:graphic>
              </wp:anchor>
            </w:drawing>
          </mc:Choice>
          <mc:Fallback>
            <w:pict>
              <v:oval id="Oval 1256013975" o:spid="_x0000_s1169" style="position:absolute;left:0;text-align:left;margin-left:229.1pt;margin-top:2pt;width:190.55pt;height:62.4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Инновациялық белсенді фермерлар тобы</w:t>
                      </w:r>
                    </w:p>
                  </w:txbxContent>
                </v:textbox>
              </v:oval>
            </w:pict>
          </mc:Fallback>
        </mc:AlternateContent>
      </w:r>
      <w:r>
        <w:rPr>
          <w:rFonts w:ascii="Times New Roman" w:eastAsia="DengXi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545465</wp:posOffset>
                </wp:positionH>
                <wp:positionV relativeFrom="paragraph">
                  <wp:posOffset>121285</wp:posOffset>
                </wp:positionV>
                <wp:extent cx="2137410" cy="688975"/>
                <wp:effectExtent l="4445" t="4445" r="17145" b="5080"/>
                <wp:wrapNone/>
                <wp:docPr id="894091962" name="Oval 89409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410" cy="688975"/>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Басқа салалардың жеке кәсіпорындары</w:t>
                            </w:r>
                          </w:p>
                        </w:txbxContent>
                      </wps:txbx>
                      <wps:bodyPr rot="0" vert="horz" wrap="square" lIns="91440" tIns="45720" rIns="91440" bIns="45720" anchor="t" anchorCtr="0" upright="1">
                        <a:noAutofit/>
                      </wps:bodyPr>
                    </wps:wsp>
                  </a:graphicData>
                </a:graphic>
              </wp:anchor>
            </w:drawing>
          </mc:Choice>
          <mc:Fallback>
            <w:pict>
              <v:oval id="Oval 894091962" o:spid="_x0000_s1170" style="position:absolute;left:0;text-align:left;margin-left:42.95pt;margin-top:9.55pt;width:168.3pt;height:54.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Басқа салалардың жеке кәсіпорындары</w:t>
                      </w:r>
                    </w:p>
                  </w:txbxContent>
                </v:textbox>
              </v:oval>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5118AF">
      <w:pPr>
        <w:rPr>
          <w:rFonts w:ascii="Times New Roman" w:eastAsia="DengXian" w:hAnsi="Times New Roman" w:cs="Times New Roman"/>
          <w:sz w:val="28"/>
          <w:szCs w:val="28"/>
          <w:lang w:val="kk-KZ"/>
        </w:rPr>
      </w:pPr>
    </w:p>
    <w:p w:rsidR="005118AF" w:rsidRDefault="00EF60C3">
      <w:pPr>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3990340</wp:posOffset>
                </wp:positionH>
                <wp:positionV relativeFrom="paragraph">
                  <wp:posOffset>40005</wp:posOffset>
                </wp:positionV>
                <wp:extent cx="1935480" cy="833120"/>
                <wp:effectExtent l="4445" t="4445" r="15875" b="13335"/>
                <wp:wrapNone/>
                <wp:docPr id="1942554791" name="Oval 1942554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833120"/>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Жергілікті атқарушы орган</w:t>
                            </w:r>
                          </w:p>
                        </w:txbxContent>
                      </wps:txbx>
                      <wps:bodyPr rot="0" vert="horz" wrap="square" lIns="91440" tIns="45720" rIns="91440" bIns="45720" anchor="t" anchorCtr="0" upright="1">
                        <a:noAutofit/>
                      </wps:bodyPr>
                    </wps:wsp>
                  </a:graphicData>
                </a:graphic>
              </wp:anchor>
            </w:drawing>
          </mc:Choice>
          <mc:Fallback>
            <w:pict>
              <v:oval id="Oval 1942554791" o:spid="_x0000_s1171" style="position:absolute;margin-left:314.2pt;margin-top:3.15pt;width:152.4pt;height:65.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Жергілікті атқарушы орган</w:t>
                      </w:r>
                    </w:p>
                  </w:txbxContent>
                </v:textbox>
              </v:oval>
            </w:pict>
          </mc:Fallback>
        </mc:AlternateContent>
      </w:r>
      <w:r>
        <w:rPr>
          <w:rFonts w:ascii="Times New Roman" w:eastAsia="DengXian" w:hAnsi="Times New Roman" w:cs="Times New Roman"/>
          <w:noProof/>
          <w:sz w:val="28"/>
          <w:szCs w:val="28"/>
        </w:rPr>
        <mc:AlternateContent>
          <mc:Choice Requires="wps">
            <w:drawing>
              <wp:anchor distT="0" distB="0" distL="114300" distR="114300" simplePos="0" relativeHeight="251684864" behindDoc="0" locked="0" layoutInCell="1" allowOverlap="1">
                <wp:simplePos x="0" y="0"/>
                <wp:positionH relativeFrom="column">
                  <wp:posOffset>2091055</wp:posOffset>
                </wp:positionH>
                <wp:positionV relativeFrom="paragraph">
                  <wp:posOffset>39370</wp:posOffset>
                </wp:positionV>
                <wp:extent cx="1626870" cy="941705"/>
                <wp:effectExtent l="4445" t="4445" r="6985" b="6350"/>
                <wp:wrapNone/>
                <wp:docPr id="1476804765" name="Oval 1476804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941705"/>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Тамақ өнеркәсібі жеке кәсіпорындары</w:t>
                            </w:r>
                          </w:p>
                          <w:p w:rsidR="005118AF" w:rsidRDefault="005118AF">
                            <w:pPr>
                              <w:spacing w:after="0" w:line="240" w:lineRule="auto"/>
                              <w:rPr>
                                <w:rFonts w:ascii="Times New Roman" w:eastAsia="DengXian" w:hAnsi="Times New Roman" w:cs="Times New Roman"/>
                                <w:lang w:val="kk-KZ"/>
                              </w:rPr>
                            </w:pPr>
                          </w:p>
                        </w:txbxContent>
                      </wps:txbx>
                      <wps:bodyPr rot="0" vert="horz" wrap="square" lIns="91440" tIns="45720" rIns="91440" bIns="45720" anchor="t" anchorCtr="0" upright="1">
                        <a:noAutofit/>
                      </wps:bodyPr>
                    </wps:wsp>
                  </a:graphicData>
                </a:graphic>
              </wp:anchor>
            </w:drawing>
          </mc:Choice>
          <mc:Fallback>
            <w:pict>
              <v:oval id="Oval 1476804765" o:spid="_x0000_s1172" style="position:absolute;margin-left:164.65pt;margin-top:3.1pt;width:128.1pt;height:74.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Тамақ өнеркәсібі жеке кәсіпорындары</w:t>
                      </w:r>
                    </w:p>
                    <w:p w:rsidR="005118AF" w:rsidRDefault="005118AF">
                      <w:pPr>
                        <w:spacing w:after="0" w:line="240" w:lineRule="auto"/>
                        <w:rPr>
                          <w:rFonts w:ascii="Times New Roman" w:eastAsia="DengXian" w:hAnsi="Times New Roman" w:cs="Times New Roman"/>
                          <w:lang w:val="kk-KZ"/>
                        </w:rPr>
                      </w:pPr>
                    </w:p>
                  </w:txbxContent>
                </v:textbox>
              </v:oval>
            </w:pict>
          </mc:Fallback>
        </mc:AlternateContent>
      </w:r>
      <w:r>
        <w:rPr>
          <w:rFonts w:ascii="Times New Roman" w:eastAsia="DengXi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-227965</wp:posOffset>
                </wp:positionH>
                <wp:positionV relativeFrom="paragraph">
                  <wp:posOffset>147955</wp:posOffset>
                </wp:positionV>
                <wp:extent cx="2232025" cy="833120"/>
                <wp:effectExtent l="4445" t="4445" r="11430" b="13335"/>
                <wp:wrapNone/>
                <wp:docPr id="2087398116" name="Oval 2087398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2025" cy="833120"/>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 xml:space="preserve">Университеттер мен Ғылыми-зерттеу </w:t>
                            </w:r>
                            <w:r>
                              <w:rPr>
                                <w:rFonts w:ascii="Times New Roman" w:eastAsia="DengXian" w:hAnsi="Times New Roman" w:cs="Times New Roman"/>
                                <w:lang w:val="kk-KZ"/>
                              </w:rPr>
                              <w:t>ұйымдары</w:t>
                            </w:r>
                          </w:p>
                        </w:txbxContent>
                      </wps:txbx>
                      <wps:bodyPr rot="0" vert="horz" wrap="square" lIns="91440" tIns="45720" rIns="91440" bIns="45720" anchor="t" anchorCtr="0" upright="1">
                        <a:noAutofit/>
                      </wps:bodyPr>
                    </wps:wsp>
                  </a:graphicData>
                </a:graphic>
              </wp:anchor>
            </w:drawing>
          </mc:Choice>
          <mc:Fallback>
            <w:pict>
              <v:oval id="Oval 2087398116" o:spid="_x0000_s1173" style="position:absolute;margin-left:-17.95pt;margin-top:11.65pt;width:175.75pt;height:65.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 xml:space="preserve">Университеттер мен Ғылыми-зерттеу </w:t>
                      </w:r>
                      <w:r>
                        <w:rPr>
                          <w:rFonts w:ascii="Times New Roman" w:eastAsia="DengXian" w:hAnsi="Times New Roman" w:cs="Times New Roman"/>
                          <w:lang w:val="kk-KZ"/>
                        </w:rPr>
                        <w:t>ұйымдары</w:t>
                      </w:r>
                    </w:p>
                  </w:txbxContent>
                </v:textbox>
              </v:oval>
            </w:pict>
          </mc:Fallback>
        </mc:AlternateContent>
      </w:r>
    </w:p>
    <w:p w:rsidR="005118AF" w:rsidRDefault="00EF60C3">
      <w:pPr>
        <w:tabs>
          <w:tab w:val="left" w:pos="1534"/>
        </w:tabs>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ab/>
      </w: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3361055</wp:posOffset>
                </wp:positionH>
                <wp:positionV relativeFrom="paragraph">
                  <wp:posOffset>146685</wp:posOffset>
                </wp:positionV>
                <wp:extent cx="1971675" cy="712470"/>
                <wp:effectExtent l="0" t="0" r="28575" b="11430"/>
                <wp:wrapNone/>
                <wp:docPr id="265424081" name="Oval 265424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712470"/>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Қаржылық</w:t>
                            </w:r>
                            <w:r>
                              <w:rPr>
                                <w:rFonts w:ascii="Times New Roman" w:eastAsia="DengXian" w:hAnsi="Times New Roman" w:cs="Times New Roman"/>
                                <w:lang w:val="kk-KZ"/>
                              </w:rPr>
                              <w:t xml:space="preserve"> институттар</w:t>
                            </w:r>
                          </w:p>
                        </w:txbxContent>
                      </wps:txbx>
                      <wps:bodyPr rot="0" vert="horz" wrap="square" lIns="91440" tIns="45720" rIns="91440" bIns="45720" anchor="t" anchorCtr="0" upright="1">
                        <a:noAutofit/>
                      </wps:bodyPr>
                    </wps:wsp>
                  </a:graphicData>
                </a:graphic>
              </wp:anchor>
            </w:drawing>
          </mc:Choice>
          <mc:Fallback>
            <w:pict>
              <v:oval id="Oval 265424081" o:spid="_x0000_s1174" style="position:absolute;left:0;text-align:left;margin-left:264.65pt;margin-top:11.55pt;width:155.25pt;height:56.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Қаржылық</w:t>
                      </w:r>
                      <w:r>
                        <w:rPr>
                          <w:rFonts w:ascii="Times New Roman" w:eastAsia="DengXian" w:hAnsi="Times New Roman" w:cs="Times New Roman"/>
                          <w:lang w:val="kk-KZ"/>
                        </w:rPr>
                        <w:t xml:space="preserve"> институттар</w:t>
                      </w:r>
                    </w:p>
                  </w:txbxContent>
                </v:textbox>
              </v:oval>
            </w:pict>
          </mc:Fallback>
        </mc:AlternateContent>
      </w: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986155</wp:posOffset>
                </wp:positionH>
                <wp:positionV relativeFrom="paragraph">
                  <wp:posOffset>48895</wp:posOffset>
                </wp:positionV>
                <wp:extent cx="2137410" cy="605790"/>
                <wp:effectExtent l="0" t="0" r="15240" b="22860"/>
                <wp:wrapNone/>
                <wp:docPr id="1175962702" name="Oval 1175962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410" cy="605790"/>
                        </a:xfrm>
                        <a:prstGeom prst="ellipse">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Квазимемлекеттік сектор ұйымдары</w:t>
                            </w:r>
                          </w:p>
                        </w:txbxContent>
                      </wps:txbx>
                      <wps:bodyPr rot="0" vert="horz" wrap="square" lIns="91440" tIns="45720" rIns="91440" bIns="45720" anchor="t" anchorCtr="0" upright="1">
                        <a:noAutofit/>
                      </wps:bodyPr>
                    </wps:wsp>
                  </a:graphicData>
                </a:graphic>
              </wp:anchor>
            </w:drawing>
          </mc:Choice>
          <mc:Fallback>
            <w:pict>
              <v:oval id="Oval 1175962702" o:spid="_x0000_s1175" style="position:absolute;left:0;text-align:left;margin-left:77.65pt;margin-top:3.85pt;width:168.3pt;height:47.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Квазимемлекеттік сектор ұйымдары</w:t>
                      </w:r>
                    </w:p>
                  </w:txbxContent>
                </v:textbox>
              </v:oval>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690245</wp:posOffset>
                </wp:positionH>
                <wp:positionV relativeFrom="paragraph">
                  <wp:posOffset>85725</wp:posOffset>
                </wp:positionV>
                <wp:extent cx="320675" cy="1224280"/>
                <wp:effectExtent l="19050" t="19050" r="41275" b="13970"/>
                <wp:wrapNone/>
                <wp:docPr id="1697378383" name="Up Arrow 1697378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1224280"/>
                        </a:xfrm>
                        <a:prstGeom prst="upArrow">
                          <a:avLst>
                            <a:gd name="adj1" fmla="val 50000"/>
                            <a:gd name="adj2" fmla="val 9544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type w14:anchorId="4A8CA27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697378383" o:spid="_x0000_s1026" type="#_x0000_t68" style="position:absolute;margin-left:54.35pt;margin-top:6.75pt;width:25.25pt;height:96.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">
                <v:textbox style="layout-flow:vertical-ideographic"/>
              </v:shape>
            </w:pict>
          </mc:Fallback>
        </mc:AlternateContent>
      </w:r>
      <w:r>
        <w:rPr>
          <w:rFonts w:ascii="Times New Roman" w:eastAsia="DengXi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4380230</wp:posOffset>
                </wp:positionH>
                <wp:positionV relativeFrom="paragraph">
                  <wp:posOffset>135890</wp:posOffset>
                </wp:positionV>
                <wp:extent cx="320675" cy="1224280"/>
                <wp:effectExtent l="19050" t="19050" r="41275" b="13970"/>
                <wp:wrapNone/>
                <wp:docPr id="888080635" name="Up Arrow 888080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1224280"/>
                        </a:xfrm>
                        <a:prstGeom prst="upArrow">
                          <a:avLst>
                            <a:gd name="adj1" fmla="val 50000"/>
                            <a:gd name="adj2" fmla="val 95446"/>
                          </a:avLst>
                        </a:prstGeom>
                        <a:solidFill>
                          <a:srgbClr val="FFFFFF"/>
                        </a:solidFill>
                        <a:ln w="9525">
                          <a:solidFill>
                            <a:srgbClr val="000000"/>
                          </a:solidFill>
                          <a:miter lim="800000"/>
                        </a:ln>
                        <a:effectLst/>
                      </wps:spPr>
                      <wps:bodyPr rot="0" vert="eaVert" wrap="square" lIns="91440" tIns="45720" rIns="91440" bIns="45720" anchor="t" anchorCtr="0" upright="1">
                        <a:noAutofit/>
                      </wps:bodyPr>
                    </wps:wsp>
                  </a:graphicData>
                </a:graphic>
              </wp:anchor>
            </w:drawing>
          </mc:Choice>
          <mc:Fallback>
            <w:pict>
              <v:shape w14:anchorId="7CCA3E4E" id="Up Arrow 888080635" o:spid="_x0000_s1026" type="#_x0000_t68" style="position:absolute;margin-left:344.9pt;margin-top:10.7pt;width:25.25pt;height:9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">
                <v:textbox style="layout-flow:vertical-ideographic"/>
              </v:shape>
            </w:pict>
          </mc:Fallback>
        </mc:AlternateContent>
      </w:r>
      <w:r>
        <w:rPr>
          <w:rFonts w:ascii="Times New Roman" w:eastAsia="DengXian" w:hAnsi="Times New Roman" w:cs="Times New Roman"/>
          <w:noProof/>
          <w:sz w:val="28"/>
          <w:szCs w:val="28"/>
        </w:rPr>
        <mc:AlternateContent>
          <mc:Choice Requires="wps">
            <w:drawing>
              <wp:anchor distT="0" distB="0" distL="114300" distR="114300" simplePos="0" relativeHeight="251683840" behindDoc="0" locked="0" layoutInCell="1" allowOverlap="1">
                <wp:simplePos x="0" y="0"/>
                <wp:positionH relativeFrom="column">
                  <wp:posOffset>1461135</wp:posOffset>
                </wp:positionH>
                <wp:positionV relativeFrom="paragraph">
                  <wp:posOffset>135255</wp:posOffset>
                </wp:positionV>
                <wp:extent cx="2695575" cy="342900"/>
                <wp:effectExtent l="38100" t="19050" r="0" b="19050"/>
                <wp:wrapNone/>
                <wp:docPr id="1891937377" name="Up Arrow 1891937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342900"/>
                        </a:xfrm>
                        <a:prstGeom prst="upArrow">
                          <a:avLst>
                            <a:gd name="adj1" fmla="val 50000"/>
                            <a:gd name="adj2" fmla="val 25000"/>
                          </a:avLst>
                        </a:prstGeom>
                        <a:solidFill>
                          <a:srgbClr val="FFFFFF"/>
                        </a:solidFill>
                        <a:ln w="9525">
                          <a:solidFill>
                            <a:srgbClr val="000000"/>
                          </a:solidFill>
                          <a:miter lim="800000"/>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Қолдау</w:t>
                            </w:r>
                          </w:p>
                        </w:txbxContent>
                      </wps:txbx>
                      <wps:bodyPr rot="0" vert="horz" wrap="square" lIns="91440" tIns="45720" rIns="91440" bIns="45720" anchor="t" anchorCtr="0" upright="1">
                        <a:noAutofit/>
                      </wps:bodyPr>
                    </wps:wsp>
                  </a:graphicData>
                </a:graphic>
              </wp:anchor>
            </w:drawing>
          </mc:Choice>
          <mc:Fallback>
            <w:pict>
              <v:shape id="Up Arrow 1891937377" o:spid="_x0000_s1176" type="#_x0000_t68" style="position:absolute;left:0;text-align:left;margin-left:115.05pt;margin-top:10.65pt;width:212.25pt;height:27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Қолдау</w:t>
                      </w:r>
                    </w:p>
                  </w:txbxContent>
                </v:textbox>
              </v:shape>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-194945</wp:posOffset>
                </wp:positionH>
                <wp:positionV relativeFrom="paragraph">
                  <wp:posOffset>175895</wp:posOffset>
                </wp:positionV>
                <wp:extent cx="6130925" cy="531495"/>
                <wp:effectExtent l="0" t="0" r="22225" b="20955"/>
                <wp:wrapNone/>
                <wp:docPr id="339276339" name="Rounded Rectangle 339276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925" cy="531495"/>
                        </a:xfrm>
                        <a:prstGeom prst="roundRect">
                          <a:avLst>
                            <a:gd name="adj" fmla="val 16667"/>
                          </a:avLst>
                        </a:prstGeom>
                        <a:solidFill>
                          <a:srgbClr val="FFFFFF"/>
                        </a:solidFill>
                        <a:ln w="9525">
                          <a:solidFill>
                            <a:srgbClr val="000000"/>
                          </a:solidFill>
                          <a:round/>
                        </a:ln>
                        <a:effectLst/>
                      </wps:spPr>
                      <wps:txbx>
                        <w:txbxContent>
                          <w:p w:rsidR="005118AF" w:rsidRDefault="00EF60C3">
                            <w:pPr>
                              <w:jc w:val="center"/>
                              <w:rPr>
                                <w:rFonts w:ascii="Calibri" w:eastAsia="DengXian" w:hAnsi="Calibri" w:cs="Times New Roman"/>
                                <w:sz w:val="24"/>
                                <w:szCs w:val="24"/>
                              </w:rPr>
                            </w:pPr>
                            <w:r>
                              <w:rPr>
                                <w:rFonts w:ascii="Times New Roman" w:eastAsia="DengXian" w:hAnsi="Times New Roman" w:cs="Times New Roman"/>
                                <w:sz w:val="24"/>
                                <w:szCs w:val="24"/>
                                <w:lang w:val="kk-KZ"/>
                              </w:rPr>
                              <w:t>«Өнеркәсіп-Академиялық орта – Мемлекет» ынтымақтастығының Кеңесінің секретариаты</w:t>
                            </w:r>
                          </w:p>
                          <w:p w:rsidR="005118AF" w:rsidRDefault="005118AF">
                            <w:pPr>
                              <w:jc w:val="center"/>
                              <w:rPr>
                                <w:rFonts w:ascii="Calibri" w:eastAsia="DengXian" w:hAnsi="Calibri" w:cs="Times New Roman"/>
                                <w:sz w:val="24"/>
                                <w:szCs w:val="24"/>
                              </w:rPr>
                            </w:pPr>
                          </w:p>
                        </w:txbxContent>
                      </wps:txbx>
                      <wps:bodyPr rot="0" vert="horz" wrap="square" lIns="91440" tIns="45720" rIns="91440" bIns="45720" anchor="t" anchorCtr="0" upright="1">
                        <a:noAutofit/>
                      </wps:bodyPr>
                    </wps:wsp>
                  </a:graphicData>
                </a:graphic>
              </wp:anchor>
            </w:drawing>
          </mc:Choice>
          <mc:Fallback>
            <w:pict>
              <v:roundrect id="Rounded Rectangle 339276339" o:spid="_x0000_s1177" style="position:absolute;left:0;text-align:left;margin-left:-15.35pt;margin-top:13.85pt;width:482.75pt;height:41.85pt;z-index:2516746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">
                <v:textbox>
                  <w:txbxContent>
                    <w:p w:rsidR="005118AF" w:rsidRDefault="00EF60C3">
                      <w:pPr>
                        <w:jc w:val="center"/>
                        <w:rPr>
                          <w:rFonts w:ascii="Calibri" w:eastAsia="DengXian" w:hAnsi="Calibri" w:cs="Times New Roman"/>
                          <w:sz w:val="24"/>
                          <w:szCs w:val="24"/>
                        </w:rPr>
                      </w:pPr>
                      <w:r>
                        <w:rPr>
                          <w:rFonts w:ascii="Times New Roman" w:eastAsia="DengXian" w:hAnsi="Times New Roman" w:cs="Times New Roman"/>
                          <w:sz w:val="24"/>
                          <w:szCs w:val="24"/>
                          <w:lang w:val="kk-KZ"/>
                        </w:rPr>
                        <w:t>«Өнеркәсіп-Академиялық орта – Мемлекет» ынтымақтастығының Кеңесінің секретариаты</w:t>
                      </w:r>
                    </w:p>
                    <w:p w:rsidR="005118AF" w:rsidRDefault="005118AF">
                      <w:pPr>
                        <w:jc w:val="center"/>
                        <w:rPr>
                          <w:rFonts w:ascii="Calibri" w:eastAsia="DengXian" w:hAnsi="Calibri" w:cs="Times New Roman"/>
                          <w:sz w:val="24"/>
                          <w:szCs w:val="24"/>
                        </w:rPr>
                      </w:pPr>
                    </w:p>
                  </w:txbxContent>
                </v:textbox>
              </v:roundrect>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EF60C3">
      <w:pPr>
        <w:spacing w:after="0" w:line="240" w:lineRule="auto"/>
        <w:ind w:firstLine="567"/>
        <w:jc w:val="both"/>
        <w:rPr>
          <w:rFonts w:ascii="Times New Roman" w:eastAsia="DengXian" w:hAnsi="Times New Roman" w:cs="Times New Roman"/>
          <w:sz w:val="28"/>
          <w:szCs w:val="28"/>
          <w:lang w:val="kk-KZ"/>
        </w:rPr>
      </w:pPr>
      <w:r>
        <w:rPr>
          <w:rFonts w:ascii="Times New Roman" w:eastAsia="DengXian" w:hAnsi="Times New Roman" w:cs="Times New Roman"/>
          <w:noProof/>
          <w:sz w:val="28"/>
          <w:szCs w:val="28"/>
        </w:rPr>
        <mc:AlternateContent>
          <mc:Choice Requires="wps">
            <w:drawing>
              <wp:anchor distT="0" distB="0" distL="114300" distR="114300" simplePos="0" relativeHeight="251682816" behindDoc="0" locked="0" layoutInCell="1" allowOverlap="1">
                <wp:simplePos x="0" y="0"/>
                <wp:positionH relativeFrom="column">
                  <wp:posOffset>2909570</wp:posOffset>
                </wp:positionH>
                <wp:positionV relativeFrom="paragraph">
                  <wp:posOffset>161290</wp:posOffset>
                </wp:positionV>
                <wp:extent cx="3081020" cy="307340"/>
                <wp:effectExtent l="0" t="0" r="24130" b="16510"/>
                <wp:wrapNone/>
                <wp:docPr id="1402750982" name="Rounded Rectangle 1402750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1020" cy="307340"/>
                        </a:xfrm>
                        <a:prstGeom prst="roundRect">
                          <a:avLst>
                            <a:gd name="adj" fmla="val 16667"/>
                          </a:avLst>
                        </a:prstGeom>
                        <a:solidFill>
                          <a:srgbClr val="FFFFFF"/>
                        </a:solidFill>
                        <a:ln w="9525">
                          <a:solidFill>
                            <a:srgbClr val="000000"/>
                          </a:solidFill>
                          <a:round/>
                        </a:ln>
                        <a:effectLst/>
                      </wps:spPr>
                      <wps:txbx>
                        <w:txbxContent>
                          <w:p w:rsidR="005118AF" w:rsidRDefault="00EF60C3">
                            <w:pPr>
                              <w:rPr>
                                <w:rFonts w:ascii="Times New Roman" w:eastAsia="DengXian" w:hAnsi="Times New Roman" w:cs="Times New Roman"/>
                                <w:lang w:val="kk-KZ"/>
                              </w:rPr>
                            </w:pPr>
                            <w:r>
                              <w:rPr>
                                <w:rFonts w:ascii="Times New Roman" w:eastAsia="DengXian" w:hAnsi="Times New Roman" w:cs="Times New Roman"/>
                                <w:lang w:val="kk-KZ"/>
                              </w:rPr>
                              <w:t>Қатысты</w:t>
                            </w:r>
                            <w:r>
                              <w:rPr>
                                <w:rFonts w:ascii="Times New Roman" w:eastAsia="DengXian" w:hAnsi="Times New Roman" w:cs="Times New Roman"/>
                                <w:lang w:val="kk-KZ"/>
                              </w:rPr>
                              <w:t xml:space="preserve"> мемлекеттік органдар мен агенттіктер</w:t>
                            </w:r>
                          </w:p>
                        </w:txbxContent>
                      </wps:txbx>
                      <wps:bodyPr rot="0" vert="horz" wrap="square" lIns="91440" tIns="45720" rIns="91440" bIns="45720" anchor="t" anchorCtr="0" upright="1">
                        <a:noAutofit/>
                      </wps:bodyPr>
                    </wps:wsp>
                  </a:graphicData>
                </a:graphic>
              </wp:anchor>
            </w:drawing>
          </mc:Choice>
          <mc:Fallback>
            <w:pict>
              <v:roundrect id="Rounded Rectangle 1402750982" o:spid="_x0000_s1178" style="position:absolute;left:0;text-align:left;margin-left:229.1pt;margin-top:12.7pt;width:242.6pt;height:24.2pt;z-index:2516828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">
                <v:textbox>
                  <w:txbxContent>
                    <w:p w:rsidR="005118AF" w:rsidRDefault="00EF60C3">
                      <w:pPr>
                        <w:rPr>
                          <w:rFonts w:ascii="Times New Roman" w:eastAsia="DengXian" w:hAnsi="Times New Roman" w:cs="Times New Roman"/>
                          <w:lang w:val="kk-KZ"/>
                        </w:rPr>
                      </w:pPr>
                      <w:r>
                        <w:rPr>
                          <w:rFonts w:ascii="Times New Roman" w:eastAsia="DengXian" w:hAnsi="Times New Roman" w:cs="Times New Roman"/>
                          <w:lang w:val="kk-KZ"/>
                        </w:rPr>
                        <w:t>Қатысты</w:t>
                      </w:r>
                      <w:r>
                        <w:rPr>
                          <w:rFonts w:ascii="Times New Roman" w:eastAsia="DengXian" w:hAnsi="Times New Roman" w:cs="Times New Roman"/>
                          <w:lang w:val="kk-KZ"/>
                        </w:rPr>
                        <w:t xml:space="preserve"> мемлекеттік органдар мен агенттіктер</w:t>
                      </w:r>
                    </w:p>
                  </w:txbxContent>
                </v:textbox>
              </v:roundrect>
            </w:pict>
          </mc:Fallback>
        </mc:AlternateContent>
      </w:r>
      <w:r>
        <w:rPr>
          <w:rFonts w:ascii="Times New Roman" w:eastAsia="DengXian" w:hAnsi="Times New Roman" w:cs="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-224155</wp:posOffset>
                </wp:positionH>
                <wp:positionV relativeFrom="paragraph">
                  <wp:posOffset>168275</wp:posOffset>
                </wp:positionV>
                <wp:extent cx="2887980" cy="299085"/>
                <wp:effectExtent l="0" t="0" r="26670" b="24765"/>
                <wp:wrapNone/>
                <wp:docPr id="1912666123" name="Rounded Rectangle 1912666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7980" cy="299085"/>
                        </a:xfrm>
                        <a:prstGeom prst="roundRect">
                          <a:avLst>
                            <a:gd name="adj" fmla="val 16667"/>
                          </a:avLst>
                        </a:prstGeom>
                        <a:solidFill>
                          <a:srgbClr val="FFFFFF"/>
                        </a:solidFill>
                        <a:ln w="9525">
                          <a:solidFill>
                            <a:srgbClr val="000000"/>
                          </a:solidFill>
                          <a:round/>
                        </a:ln>
                        <a:effectLst/>
                      </wps:spPr>
                      <wps:txb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 xml:space="preserve">Ауыл шаруашылығы </w:t>
                            </w:r>
                            <w:r>
                              <w:rPr>
                                <w:rFonts w:ascii="Times New Roman" w:eastAsia="DengXian" w:hAnsi="Times New Roman" w:cs="Times New Roman"/>
                                <w:lang w:val="kk-KZ"/>
                              </w:rPr>
                              <w:t>министрлігі</w:t>
                            </w:r>
                          </w:p>
                        </w:txbxContent>
                      </wps:txbx>
                      <wps:bodyPr rot="0" vert="horz" wrap="square" lIns="91440" tIns="45720" rIns="91440" bIns="45720" anchor="t" anchorCtr="0" upright="1">
                        <a:noAutofit/>
                      </wps:bodyPr>
                    </wps:wsp>
                  </a:graphicData>
                </a:graphic>
              </wp:anchor>
            </w:drawing>
          </mc:Choice>
          <mc:Fallback>
            <w:pict>
              <v:roundrect id="Rounded Rectangle 1912666123" o:spid="_x0000_s1179" style="position:absolute;left:0;text-align:left;margin-left:-17.65pt;margin-top:13.25pt;width:227.4pt;height:23.55pt;z-index:2516817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">
                <v:textbox>
                  <w:txbxContent>
                    <w:p w:rsidR="005118AF" w:rsidRDefault="00EF60C3">
                      <w:pPr>
                        <w:jc w:val="center"/>
                        <w:rPr>
                          <w:rFonts w:ascii="Times New Roman" w:eastAsia="DengXian" w:hAnsi="Times New Roman" w:cs="Times New Roman"/>
                          <w:lang w:val="kk-KZ"/>
                        </w:rPr>
                      </w:pPr>
                      <w:r>
                        <w:rPr>
                          <w:rFonts w:ascii="Times New Roman" w:eastAsia="DengXian" w:hAnsi="Times New Roman" w:cs="Times New Roman"/>
                          <w:lang w:val="kk-KZ"/>
                        </w:rPr>
                        <w:t xml:space="preserve">Ауыл шаруашылығы </w:t>
                      </w:r>
                      <w:r>
                        <w:rPr>
                          <w:rFonts w:ascii="Times New Roman" w:eastAsia="DengXian" w:hAnsi="Times New Roman" w:cs="Times New Roman"/>
                          <w:lang w:val="kk-KZ"/>
                        </w:rPr>
                        <w:t>министрлігі</w:t>
                      </w:r>
                    </w:p>
                  </w:txbxContent>
                </v:textbox>
              </v:roundrect>
            </w:pict>
          </mc:Fallback>
        </mc:AlternateContent>
      </w:r>
    </w:p>
    <w:p w:rsidR="005118AF" w:rsidRDefault="005118AF">
      <w:pPr>
        <w:spacing w:after="0" w:line="240" w:lineRule="auto"/>
        <w:ind w:firstLine="567"/>
        <w:jc w:val="both"/>
        <w:rPr>
          <w:rFonts w:ascii="Times New Roman" w:eastAsia="DengXian" w:hAnsi="Times New Roman" w:cs="Times New Roman"/>
          <w:sz w:val="28"/>
          <w:szCs w:val="28"/>
          <w:lang w:val="kk-KZ"/>
        </w:rPr>
      </w:pPr>
    </w:p>
    <w:p w:rsidR="005118AF" w:rsidRDefault="005118AF">
      <w:pPr>
        <w:spacing w:after="0" w:line="240" w:lineRule="auto"/>
        <w:ind w:firstLine="567"/>
        <w:jc w:val="both"/>
        <w:rPr>
          <w:rFonts w:ascii="Times New Roman" w:eastAsia="DengXian" w:hAnsi="Times New Roman" w:cs="Times New Roman"/>
          <w:sz w:val="16"/>
          <w:szCs w:val="16"/>
          <w:lang w:val="kk-KZ"/>
        </w:rPr>
      </w:pPr>
    </w:p>
    <w:p w:rsidR="005118AF" w:rsidRDefault="00EF60C3">
      <w:pPr>
        <w:spacing w:after="0" w:line="240" w:lineRule="auto"/>
        <w:jc w:val="center"/>
        <w:rPr>
          <w:rFonts w:ascii="Times New Roman" w:eastAsia="DengXian" w:hAnsi="Times New Roman" w:cs="Times New Roman"/>
          <w:b/>
          <w:sz w:val="28"/>
          <w:szCs w:val="28"/>
          <w:lang w:val="kk-KZ"/>
        </w:rPr>
      </w:pPr>
      <w:r>
        <w:rPr>
          <w:rFonts w:ascii="Times New Roman" w:eastAsia="DengXian" w:hAnsi="Times New Roman" w:cs="Times New Roman"/>
          <w:sz w:val="28"/>
          <w:szCs w:val="28"/>
          <w:lang w:val="kk-KZ"/>
        </w:rPr>
        <w:t xml:space="preserve">Сурет 24 ‒ </w:t>
      </w:r>
      <w:r>
        <w:rPr>
          <w:rFonts w:ascii="Times New Roman" w:eastAsia="DengXian" w:hAnsi="Times New Roman" w:cs="Times New Roman"/>
          <w:b/>
          <w:sz w:val="28"/>
          <w:szCs w:val="28"/>
          <w:lang w:val="kk-KZ"/>
        </w:rPr>
        <w:t>«</w:t>
      </w:r>
      <w:r>
        <w:rPr>
          <w:rFonts w:ascii="Times New Roman" w:eastAsia="DengXian" w:hAnsi="Times New Roman" w:cs="Times New Roman"/>
          <w:bCs/>
          <w:sz w:val="28"/>
          <w:szCs w:val="28"/>
          <w:lang w:val="kk-KZ"/>
        </w:rPr>
        <w:t>Өнеркәсіп</w:t>
      </w:r>
      <w:r>
        <w:rPr>
          <w:rFonts w:ascii="Times New Roman" w:eastAsia="DengXian" w:hAnsi="Times New Roman" w:cs="Times New Roman"/>
          <w:bCs/>
          <w:sz w:val="28"/>
          <w:szCs w:val="28"/>
          <w:lang w:val="kk-KZ"/>
        </w:rPr>
        <w:t>-Академиялық орта – Мемлекет» ынтымақтастығының Кеңес мүшелерінің өзара байланысы</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Кеңестың қызметі тікелей мыналардан тұруы керек: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w:t>
      </w:r>
      <w:r>
        <w:rPr>
          <w:rFonts w:ascii="Times New Roman" w:eastAsia="DengXian" w:hAnsi="Times New Roman" w:cs="Times New Roman"/>
          <w:sz w:val="28"/>
          <w:szCs w:val="28"/>
          <w:lang w:val="kk-KZ"/>
        </w:rPr>
        <w:t xml:space="preserve"> инновацияны ынталандырудың объектілері мен бағыттарын анықтау;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w:t>
      </w:r>
      <w:r>
        <w:rPr>
          <w:rFonts w:ascii="Times New Roman" w:eastAsia="DengXian" w:hAnsi="Times New Roman" w:cs="Times New Roman"/>
          <w:sz w:val="28"/>
          <w:szCs w:val="28"/>
          <w:lang w:val="kk-KZ"/>
        </w:rPr>
        <w:t xml:space="preserve"> инновацияны ынталандырудың мақсаттары мен міндеттерін белгілеу;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w:t>
      </w:r>
      <w:r>
        <w:rPr>
          <w:rFonts w:ascii="Times New Roman" w:eastAsia="DengXian" w:hAnsi="Times New Roman" w:cs="Times New Roman"/>
          <w:sz w:val="28"/>
          <w:szCs w:val="28"/>
          <w:lang w:val="kk-KZ"/>
        </w:rPr>
        <w:t xml:space="preserve"> қатысушыларды инновациялық процеске тарту және олардың өзара әрекеттесуін жүзеге асыру;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w:t>
      </w:r>
      <w:r>
        <w:rPr>
          <w:rFonts w:ascii="Times New Roman" w:eastAsia="DengXian" w:hAnsi="Times New Roman" w:cs="Times New Roman"/>
          <w:sz w:val="28"/>
          <w:szCs w:val="28"/>
          <w:lang w:val="kk-KZ"/>
        </w:rPr>
        <w:t xml:space="preserve"> инновациялық жобаларды қаржыла</w:t>
      </w:r>
      <w:r>
        <w:rPr>
          <w:rFonts w:ascii="Times New Roman" w:eastAsia="DengXian" w:hAnsi="Times New Roman" w:cs="Times New Roman"/>
          <w:sz w:val="28"/>
          <w:szCs w:val="28"/>
          <w:lang w:val="kk-KZ"/>
        </w:rPr>
        <w:t xml:space="preserve">ндыру көздерін іздеу;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w:t>
      </w:r>
      <w:r>
        <w:rPr>
          <w:rFonts w:ascii="Times New Roman" w:eastAsia="DengXian" w:hAnsi="Times New Roman" w:cs="Times New Roman"/>
          <w:sz w:val="28"/>
          <w:szCs w:val="28"/>
          <w:lang w:val="kk-KZ"/>
        </w:rPr>
        <w:t xml:space="preserve"> тартылған қаржылық ресурстардың жұмсалуын бақылау және инновациялық өнімнің сапасын бақылау;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w:t>
      </w:r>
      <w:r>
        <w:rPr>
          <w:rFonts w:ascii="Times New Roman" w:eastAsia="DengXian" w:hAnsi="Times New Roman" w:cs="Times New Roman"/>
          <w:sz w:val="28"/>
          <w:szCs w:val="28"/>
          <w:lang w:val="kk-KZ"/>
        </w:rPr>
        <w:t xml:space="preserve"> өнімді нарыққа жылжытуға және сатуға көмек (36-кесте).</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Кеңес атқаратын қызметтерді келесідей бағыттарға жіктеуге болады:</w:t>
      </w:r>
    </w:p>
    <w:p w:rsidR="005118AF" w:rsidRDefault="00EF60C3">
      <w:pPr>
        <w:numPr>
          <w:ilvl w:val="0"/>
          <w:numId w:val="22"/>
        </w:numPr>
        <w:tabs>
          <w:tab w:val="left" w:pos="1134"/>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қатысушылар</w:t>
      </w:r>
      <w:r>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өздері</w:t>
      </w:r>
      <w:r>
        <w:rPr>
          <w:rFonts w:ascii="Times New Roman" w:eastAsia="Calibri" w:hAnsi="Times New Roman" w:cs="Times New Roman"/>
          <w:sz w:val="28"/>
          <w:szCs w:val="28"/>
          <w:lang w:val="kk-KZ" w:eastAsia="en-US"/>
        </w:rPr>
        <w:t xml:space="preserve"> кездесетін мәселелерге қатысты нақты көз-қарастарымен алмасады, оларды шешу жолдары мен идеяларын ұсыныды;</w:t>
      </w:r>
    </w:p>
    <w:p w:rsidR="005118AF" w:rsidRDefault="00EF60C3">
      <w:pPr>
        <w:numPr>
          <w:ilvl w:val="0"/>
          <w:numId w:val="22"/>
        </w:numPr>
        <w:tabs>
          <w:tab w:val="left" w:pos="1134"/>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бір қатысушы Кеңестің басқа мүшелерімен мәселені шешу бойынша кеңеседі;</w:t>
      </w:r>
    </w:p>
    <w:p w:rsidR="005118AF" w:rsidRDefault="00EF60C3">
      <w:pPr>
        <w:numPr>
          <w:ilvl w:val="0"/>
          <w:numId w:val="22"/>
        </w:numPr>
        <w:tabs>
          <w:tab w:val="left" w:pos="1134"/>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кеңес қатысушылары ҒЗТКЖ жобасының бизнес-моделін қалыптастыру және алдағы уақытқа жоспар құру үшін өзара байланысуы, бұл ретте мәселенің шешімі әлі анықталмаған болады. </w:t>
      </w:r>
    </w:p>
    <w:p w:rsidR="005118AF" w:rsidRDefault="005118AF">
      <w:pPr>
        <w:spacing w:after="0" w:line="240" w:lineRule="auto"/>
        <w:ind w:firstLine="567"/>
        <w:jc w:val="both"/>
        <w:rPr>
          <w:rFonts w:ascii="Times New Roman" w:eastAsia="DengXian" w:hAnsi="Times New Roman" w:cs="Times New Roman"/>
          <w:b/>
          <w:sz w:val="28"/>
          <w:szCs w:val="28"/>
          <w:lang w:val="kk-KZ"/>
        </w:rPr>
      </w:pPr>
    </w:p>
    <w:p w:rsidR="005118AF" w:rsidRDefault="00EF60C3">
      <w:pPr>
        <w:spacing w:after="0" w:line="240" w:lineRule="auto"/>
        <w:jc w:val="both"/>
        <w:rPr>
          <w:rFonts w:ascii="Times New Roman" w:eastAsia="DengXian" w:hAnsi="Times New Roman" w:cs="Times New Roman"/>
          <w:bCs/>
          <w:sz w:val="28"/>
          <w:szCs w:val="28"/>
          <w:lang w:val="kk-KZ"/>
        </w:rPr>
      </w:pPr>
      <w:r>
        <w:rPr>
          <w:rFonts w:ascii="Times New Roman" w:eastAsia="DengXian" w:hAnsi="Times New Roman" w:cs="Times New Roman"/>
          <w:bCs/>
          <w:sz w:val="28"/>
          <w:szCs w:val="28"/>
          <w:lang w:val="kk-KZ"/>
        </w:rPr>
        <w:t xml:space="preserve">Кесте </w:t>
      </w:r>
      <w:r>
        <w:rPr>
          <w:rFonts w:ascii="Times New Roman" w:eastAsia="DengXian" w:hAnsi="Times New Roman" w:cs="Times New Roman"/>
          <w:bCs/>
          <w:sz w:val="28"/>
          <w:szCs w:val="28"/>
        </w:rPr>
        <w:t xml:space="preserve">36 ‒ </w:t>
      </w:r>
      <w:r>
        <w:rPr>
          <w:rFonts w:ascii="Times New Roman" w:eastAsia="DengXian" w:hAnsi="Times New Roman" w:cs="Times New Roman"/>
          <w:bCs/>
          <w:sz w:val="28"/>
          <w:szCs w:val="28"/>
          <w:lang w:val="kk-KZ"/>
        </w:rPr>
        <w:t>Кеңес мүшелерінің атқаратын қызметі</w:t>
      </w:r>
    </w:p>
    <w:p w:rsidR="005118AF" w:rsidRDefault="005118AF">
      <w:pPr>
        <w:spacing w:after="0" w:line="240" w:lineRule="auto"/>
        <w:jc w:val="both"/>
        <w:rPr>
          <w:rFonts w:ascii="Times New Roman" w:eastAsia="DengXian" w:hAnsi="Times New Roman" w:cs="Times New Roman"/>
          <w:bCs/>
          <w:sz w:val="16"/>
          <w:szCs w:val="16"/>
          <w:lang w:val="kk-KZ"/>
        </w:rPr>
      </w:pPr>
    </w:p>
    <w:tbl>
      <w:tblPr>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5"/>
        <w:gridCol w:w="6613"/>
      </w:tblGrid>
      <w:tr w:rsidR="005118AF">
        <w:trPr>
          <w:jc w:val="center"/>
        </w:trPr>
        <w:tc>
          <w:tcPr>
            <w:tcW w:w="2915" w:type="dxa"/>
          </w:tcPr>
          <w:p w:rsidR="005118AF" w:rsidRDefault="00EF60C3">
            <w:pPr>
              <w:spacing w:after="0" w:line="240" w:lineRule="auto"/>
              <w:jc w:val="center"/>
              <w:rPr>
                <w:rFonts w:ascii="Calibri" w:eastAsia="DengXian" w:hAnsi="Calibri" w:cs="Times New Roman"/>
                <w:sz w:val="24"/>
                <w:szCs w:val="24"/>
                <w:lang w:val="kk-KZ"/>
              </w:rPr>
            </w:pPr>
            <w:r>
              <w:rPr>
                <w:rFonts w:ascii="Times New Roman" w:eastAsia="DengXian" w:hAnsi="Times New Roman" w:cs="Times New Roman"/>
                <w:sz w:val="24"/>
                <w:szCs w:val="24"/>
                <w:lang w:val="kk-KZ"/>
              </w:rPr>
              <w:t>Мүше атауы</w:t>
            </w:r>
          </w:p>
        </w:tc>
        <w:tc>
          <w:tcPr>
            <w:tcW w:w="6613" w:type="dxa"/>
          </w:tcPr>
          <w:p w:rsidR="005118AF" w:rsidRDefault="00EF60C3">
            <w:pPr>
              <w:spacing w:after="0" w:line="240" w:lineRule="auto"/>
              <w:jc w:val="center"/>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Атқаратын қызметі</w:t>
            </w:r>
          </w:p>
        </w:tc>
      </w:tr>
      <w:tr w:rsidR="005118AF">
        <w:trPr>
          <w:jc w:val="center"/>
        </w:trPr>
        <w:tc>
          <w:tcPr>
            <w:tcW w:w="2915" w:type="dxa"/>
          </w:tcPr>
          <w:p w:rsidR="005118AF" w:rsidRDefault="00EF60C3">
            <w:pPr>
              <w:spacing w:after="0" w:line="240" w:lineRule="auto"/>
              <w:rPr>
                <w:rFonts w:ascii="Calibri" w:eastAsia="DengXian" w:hAnsi="Calibri" w:cs="Times New Roman"/>
                <w:sz w:val="24"/>
                <w:szCs w:val="24"/>
                <w:lang w:val="kk-KZ"/>
              </w:rPr>
            </w:pPr>
            <w:r>
              <w:rPr>
                <w:rFonts w:ascii="Times New Roman" w:eastAsia="DengXian" w:hAnsi="Times New Roman" w:cs="Times New Roman"/>
                <w:sz w:val="24"/>
                <w:szCs w:val="24"/>
                <w:lang w:val="kk-KZ"/>
              </w:rPr>
              <w:t>«Өнеркәсіп-Академиялық орта – Мемлекет» ынтымақтастығының Кеңесі</w:t>
            </w:r>
          </w:p>
        </w:tc>
        <w:tc>
          <w:tcPr>
            <w:tcW w:w="6613"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Ауыл шаруашылығы, тамақ өнеркәсібі кәсіпорындары мен басқа салалардың жеке кәсіпорындарымен, фермерлермен, университеттер, зерттеу институттары, қаржы институттары және жергілікті атқарушы ор</w:t>
            </w:r>
            <w:r>
              <w:rPr>
                <w:rFonts w:ascii="Times New Roman" w:eastAsia="DengXian" w:hAnsi="Times New Roman" w:cs="Times New Roman"/>
                <w:sz w:val="24"/>
                <w:szCs w:val="24"/>
                <w:lang w:val="kk-KZ"/>
              </w:rPr>
              <w:t xml:space="preserve">ганнан қалыптасқан мүшелер арасында белсенді коммуникация арқасында ҒЗТКЖ Платформасын қалыптастыруға күш салу </w:t>
            </w:r>
          </w:p>
        </w:tc>
      </w:tr>
      <w:tr w:rsidR="005118AF">
        <w:trPr>
          <w:trHeight w:val="62"/>
          <w:jc w:val="center"/>
        </w:trPr>
        <w:tc>
          <w:tcPr>
            <w:tcW w:w="2915" w:type="dxa"/>
          </w:tcPr>
          <w:p w:rsidR="005118AF" w:rsidRDefault="00EF60C3">
            <w:pPr>
              <w:spacing w:after="0" w:line="240" w:lineRule="auto"/>
              <w:rPr>
                <w:rFonts w:ascii="Calibri" w:eastAsia="DengXian" w:hAnsi="Calibri" w:cs="Times New Roman"/>
                <w:sz w:val="24"/>
                <w:szCs w:val="24"/>
              </w:rPr>
            </w:pPr>
            <w:r>
              <w:rPr>
                <w:rFonts w:ascii="Times New Roman" w:eastAsia="DengXian" w:hAnsi="Times New Roman" w:cs="Times New Roman"/>
                <w:sz w:val="24"/>
                <w:szCs w:val="24"/>
                <w:lang w:val="kk-KZ"/>
              </w:rPr>
              <w:t xml:space="preserve">Кеңес секретариаты </w:t>
            </w:r>
          </w:p>
          <w:p w:rsidR="005118AF" w:rsidRDefault="005118AF">
            <w:pPr>
              <w:spacing w:after="0" w:line="240" w:lineRule="auto"/>
              <w:jc w:val="both"/>
              <w:rPr>
                <w:rFonts w:ascii="Times New Roman" w:eastAsia="DengXian" w:hAnsi="Times New Roman" w:cs="Times New Roman"/>
                <w:b/>
                <w:sz w:val="24"/>
                <w:szCs w:val="24"/>
                <w:lang w:val="kk-KZ"/>
              </w:rPr>
            </w:pPr>
          </w:p>
        </w:tc>
        <w:tc>
          <w:tcPr>
            <w:tcW w:w="6613" w:type="dxa"/>
          </w:tcPr>
          <w:p w:rsidR="005118AF" w:rsidRDefault="00EF60C3">
            <w:pPr>
              <w:spacing w:after="0" w:line="240" w:lineRule="auto"/>
              <w:jc w:val="both"/>
              <w:rPr>
                <w:rFonts w:ascii="Times New Roman" w:eastAsia="DengXian" w:hAnsi="Times New Roman" w:cs="Times New Roman"/>
                <w:b/>
                <w:sz w:val="24"/>
                <w:szCs w:val="24"/>
                <w:lang w:val="kk-KZ"/>
              </w:rPr>
            </w:pPr>
            <w:r>
              <w:rPr>
                <w:rFonts w:ascii="Times New Roman" w:eastAsia="DengXian" w:hAnsi="Times New Roman" w:cs="Times New Roman"/>
                <w:sz w:val="24"/>
                <w:szCs w:val="24"/>
                <w:lang w:val="kk-KZ"/>
              </w:rPr>
              <w:t>Кеңестің барлық қатысушылары арасында белсенді өзара байланыс қалыптастыру үшін қолдау көрсететін орталық</w:t>
            </w:r>
          </w:p>
        </w:tc>
      </w:tr>
      <w:tr w:rsidR="005118AF">
        <w:trPr>
          <w:trHeight w:val="1170"/>
          <w:jc w:val="center"/>
        </w:trPr>
        <w:tc>
          <w:tcPr>
            <w:tcW w:w="2915" w:type="dxa"/>
          </w:tcPr>
          <w:p w:rsidR="005118AF" w:rsidRDefault="00EF60C3">
            <w:pPr>
              <w:spacing w:after="0" w:line="240" w:lineRule="auto"/>
              <w:rPr>
                <w:rFonts w:ascii="Times New Roman" w:eastAsia="DengXian" w:hAnsi="Times New Roman" w:cs="Times New Roman"/>
                <w:b/>
                <w:sz w:val="24"/>
                <w:szCs w:val="24"/>
                <w:lang w:val="kk-KZ"/>
              </w:rPr>
            </w:pPr>
            <w:r>
              <w:rPr>
                <w:rFonts w:ascii="Times New Roman" w:eastAsia="DengXian" w:hAnsi="Times New Roman" w:cs="Times New Roman"/>
                <w:sz w:val="24"/>
                <w:szCs w:val="24"/>
                <w:lang w:val="kk-KZ"/>
              </w:rPr>
              <w:t xml:space="preserve">Кеңес </w:t>
            </w:r>
            <w:r>
              <w:rPr>
                <w:rFonts w:ascii="Times New Roman" w:eastAsia="DengXian" w:hAnsi="Times New Roman" w:cs="Times New Roman"/>
                <w:sz w:val="24"/>
                <w:szCs w:val="24"/>
                <w:lang w:val="kk-KZ"/>
              </w:rPr>
              <w:t>қатысушылардың</w:t>
            </w:r>
            <w:r>
              <w:rPr>
                <w:rFonts w:ascii="Times New Roman" w:eastAsia="DengXian" w:hAnsi="Times New Roman" w:cs="Times New Roman"/>
                <w:sz w:val="24"/>
                <w:szCs w:val="24"/>
                <w:lang w:val="kk-KZ"/>
              </w:rPr>
              <w:t xml:space="preserve"> қызметтері</w:t>
            </w:r>
          </w:p>
        </w:tc>
        <w:tc>
          <w:tcPr>
            <w:tcW w:w="6613" w:type="dxa"/>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R&amp;D жұмыстарына қатысу;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Қатысушылардың</w:t>
            </w:r>
            <w:r>
              <w:rPr>
                <w:rFonts w:ascii="Times New Roman" w:eastAsia="DengXian" w:hAnsi="Times New Roman" w:cs="Times New Roman"/>
                <w:sz w:val="24"/>
                <w:szCs w:val="24"/>
                <w:lang w:val="kk-KZ"/>
              </w:rPr>
              <w:t xml:space="preserve"> өзара байланысы нәтижесінде жаңа идеялар ойлап шығару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Инновациялық технологияларды тәжірибе жүзінде сынау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Қабылданған</w:t>
            </w:r>
            <w:r>
              <w:rPr>
                <w:rFonts w:ascii="Times New Roman" w:eastAsia="DengXian" w:hAnsi="Times New Roman" w:cs="Times New Roman"/>
                <w:sz w:val="24"/>
                <w:szCs w:val="24"/>
                <w:lang w:val="kk-KZ"/>
              </w:rPr>
              <w:t xml:space="preserve"> шешімдерді техникалық қамтамасыз ету</w:t>
            </w:r>
          </w:p>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Қажеттіліктер</w:t>
            </w:r>
            <w:r>
              <w:rPr>
                <w:rFonts w:ascii="Times New Roman" w:eastAsia="DengXian" w:hAnsi="Times New Roman" w:cs="Times New Roman"/>
                <w:sz w:val="24"/>
                <w:szCs w:val="24"/>
                <w:lang w:val="kk-KZ"/>
              </w:rPr>
              <w:t xml:space="preserve"> мен идеялармен алмасу </w:t>
            </w:r>
          </w:p>
        </w:tc>
      </w:tr>
      <w:tr w:rsidR="005118AF">
        <w:trPr>
          <w:trHeight w:val="315"/>
          <w:jc w:val="center"/>
        </w:trPr>
        <w:tc>
          <w:tcPr>
            <w:tcW w:w="9528" w:type="dxa"/>
            <w:gridSpan w:val="2"/>
          </w:tcPr>
          <w:p w:rsidR="005118AF" w:rsidRDefault="00EF60C3">
            <w:pPr>
              <w:spacing w:after="0" w:line="240" w:lineRule="auto"/>
              <w:jc w:val="both"/>
              <w:rPr>
                <w:rFonts w:ascii="Times New Roman" w:eastAsia="DengXian" w:hAnsi="Times New Roman" w:cs="Times New Roman"/>
                <w:sz w:val="24"/>
                <w:szCs w:val="24"/>
                <w:lang w:val="kk-KZ"/>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spacing w:after="0" w:line="240" w:lineRule="auto"/>
        <w:ind w:firstLine="567"/>
        <w:jc w:val="both"/>
        <w:rPr>
          <w:rFonts w:ascii="Times New Roman" w:eastAsia="DengXian" w:hAnsi="Times New Roman" w:cs="Times New Roman"/>
          <w:b/>
          <w:sz w:val="28"/>
          <w:szCs w:val="28"/>
          <w:lang w:val="kk-KZ"/>
        </w:rPr>
      </w:pP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bCs/>
          <w:sz w:val="28"/>
          <w:szCs w:val="28"/>
          <w:lang w:val="kk-KZ"/>
        </w:rPr>
        <w:t xml:space="preserve">R&amp;D платформасында </w:t>
      </w:r>
      <w:r>
        <w:rPr>
          <w:rFonts w:ascii="Times New Roman" w:eastAsia="DengXian" w:hAnsi="Times New Roman" w:cs="Times New Roman"/>
          <w:sz w:val="28"/>
          <w:szCs w:val="28"/>
          <w:lang w:val="kk-KZ"/>
        </w:rPr>
        <w:t>Өндіруші</w:t>
      </w:r>
      <w:r>
        <w:rPr>
          <w:rFonts w:ascii="Times New Roman" w:eastAsia="DengXian" w:hAnsi="Times New Roman" w:cs="Times New Roman"/>
          <w:sz w:val="28"/>
          <w:szCs w:val="28"/>
          <w:lang w:val="kk-KZ"/>
        </w:rPr>
        <w:t xml:space="preserve"> (Өндірушілер) ынтымақтастық туралы келісім, R&amp;D стратегиясы және зияткерлік меншік стратегиясы бойынша Консорциумды құруға жетекшілік етеді. Ол (олар) өнімді консорциумда шығаруға және </w:t>
      </w:r>
      <w:r>
        <w:rPr>
          <w:rFonts w:ascii="Times New Roman" w:eastAsia="DengXian" w:hAnsi="Times New Roman" w:cs="Times New Roman"/>
          <w:sz w:val="28"/>
          <w:szCs w:val="28"/>
          <w:lang w:val="kk-KZ"/>
        </w:rPr>
        <w:t>коммерциализациялауға әкелетін тиімді ғылыми-зерттеу жұмыстары үшін маңызды рөл атқарады.</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bCs/>
          <w:sz w:val="28"/>
          <w:szCs w:val="28"/>
          <w:lang w:val="kk-KZ"/>
        </w:rPr>
        <w:t>Зерттеу консорциумында топ мүшелері Платформаның ҒЗТКЖ стратегиясы негізінде ин</w:t>
      </w:r>
      <w:r>
        <w:rPr>
          <w:rFonts w:ascii="Times New Roman" w:eastAsia="DengXian" w:hAnsi="Times New Roman" w:cs="Times New Roman"/>
          <w:sz w:val="28"/>
          <w:szCs w:val="28"/>
          <w:lang w:val="kk-KZ"/>
        </w:rPr>
        <w:t>новациялық ҒЗТКЖ жүргізу үшін өз тәжірибелері мен идеяларын ұсынады.</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Консорциум жобаның</w:t>
      </w:r>
      <w:r>
        <w:rPr>
          <w:rFonts w:ascii="Times New Roman" w:eastAsia="DengXian" w:hAnsi="Times New Roman" w:cs="Times New Roman"/>
          <w:sz w:val="28"/>
          <w:szCs w:val="28"/>
          <w:lang w:val="kk-KZ"/>
        </w:rPr>
        <w:t xml:space="preserve"> мазмұны мен кезеңдеріне сәйкес тиісті жеке және / немесе мемлекеттік ғылыми-зерттеу қорларын стратегиялық және кеңінен игеріп, ҒЗТКЖ жобасын жүзеге асырады. ҒЗТКЖ-ны қаржыландыруға қатысты Кеңес қолда бар қаржыландыру бағдарламалары сияқты ақпарат береді.</w:t>
      </w:r>
      <w:r>
        <w:rPr>
          <w:rFonts w:ascii="Times New Roman" w:eastAsia="DengXian" w:hAnsi="Times New Roman" w:cs="Times New Roman"/>
          <w:sz w:val="28"/>
          <w:szCs w:val="28"/>
          <w:lang w:val="kk-KZ"/>
        </w:rPr>
        <w:t xml:space="preserve">   Кеңес - бұл инновациялық зерттеулер жүргізу үшін бірінші кезекте өз ресурстарын инвестициялау арқылы субъективті әрекеттер жасайтын мүшелерге қолдау шараларын ұсынатын орган.</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Кеңестегі негізгі ғылыми-зерттеу кезеңдері ҒЗТКЖ тәжірибесінің заңдылықтарын б</w:t>
      </w:r>
      <w:r>
        <w:rPr>
          <w:rFonts w:ascii="Times New Roman" w:eastAsia="DengXian" w:hAnsi="Times New Roman" w:cs="Times New Roman"/>
          <w:sz w:val="28"/>
          <w:szCs w:val="28"/>
          <w:lang w:val="kk-KZ"/>
        </w:rPr>
        <w:t>іле отырып, коммерциализация үшін негізгі зерттеу деңгейінен бастап шамамен 10 жыл немесе одан да көп және практикалық қолданбалы технологиялық себуден бастап 5 немесе одан да көп жыл қажет деп болжануда. Қаржыландыру мен мүмкіндіктердің шектеулілігіне бай</w:t>
      </w:r>
      <w:r>
        <w:rPr>
          <w:rFonts w:ascii="Times New Roman" w:eastAsia="DengXian" w:hAnsi="Times New Roman" w:cs="Times New Roman"/>
          <w:sz w:val="28"/>
          <w:szCs w:val="28"/>
          <w:lang w:val="kk-KZ"/>
        </w:rPr>
        <w:t>ланысты университеттер мен мемлекеттік ғылыми-зерттеу мекемелері өтінім мен коммерциализацияға дейін орта және ұзақ мерзімді жобаның іргелі зерттеулерін бастау үшін басты рөл атқарды.</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Екінші жағынан, негізгі, қолдану және коммерцияландыру кезеңдерінде жүрг</w:t>
      </w:r>
      <w:r>
        <w:rPr>
          <w:rFonts w:ascii="Times New Roman" w:eastAsia="DengXian" w:hAnsi="Times New Roman" w:cs="Times New Roman"/>
          <w:sz w:val="28"/>
          <w:szCs w:val="28"/>
          <w:lang w:val="kk-KZ"/>
        </w:rPr>
        <w:t>ізілетін ғылыми-зерттеу қызметі жеке компанияларда шектеулі. Жеке компаниялар негізінен өз өнімдерін / қызметтерін коммерцияландыруға жақын кезеңдерге бағыттады. Кеңес тұжырымдамасы әр түрлі қатысушыларды, соның ішінде жеке компанияларды тарту арқылы үздік</w:t>
      </w:r>
      <w:r>
        <w:rPr>
          <w:rFonts w:ascii="Times New Roman" w:eastAsia="DengXian" w:hAnsi="Times New Roman" w:cs="Times New Roman"/>
          <w:sz w:val="28"/>
          <w:szCs w:val="28"/>
          <w:lang w:val="kk-KZ"/>
        </w:rPr>
        <w:t>сіз және жедел коммерциализациялауды жүзеге асыруға негіз болады. FKII университеттер мен мемлекеттік ғылыми-зерттеу мекемелерінің базалық және қолданбалы ғылыми-зерттеу кезеңдерінде және жеке компаниялардың коммерциализациялау сатысында пайда болған техно</w:t>
      </w:r>
      <w:r>
        <w:rPr>
          <w:rFonts w:ascii="Times New Roman" w:eastAsia="DengXian" w:hAnsi="Times New Roman" w:cs="Times New Roman"/>
          <w:sz w:val="28"/>
          <w:szCs w:val="28"/>
          <w:lang w:val="kk-KZ"/>
        </w:rPr>
        <w:t>логияларды аралық байланыстыруға өз ұстанымын ұстанғаны орынды.</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Кеңес қызметі үш қабатты құрылым шеңберінде мүшелердің құқықтарды, құпия ақпараттарды, зияткерлік меншікті бермеуді (ҒЗТКЖ мәліметтері және басқаларын) қоса алғанда, зияткерлік меншік туралы ж</w:t>
      </w:r>
      <w:r>
        <w:rPr>
          <w:rFonts w:ascii="Times New Roman" w:eastAsia="DengXian" w:hAnsi="Times New Roman" w:cs="Times New Roman"/>
          <w:sz w:val="28"/>
          <w:szCs w:val="28"/>
          <w:lang w:val="kk-KZ"/>
        </w:rPr>
        <w:t>еткілікті түсінік негізінде жүзеге асырылуы керек, осылайша жаңа бизнес модельдер пайда болады. Кеңес, Платформа және Консорциум қатысушылары негізінен зияткерлік меншікпен қалай жұмыс істеу керектігін шешіп, әр кездесу мен жобаны іске қосар алдында келісі</w:t>
      </w:r>
      <w:r>
        <w:rPr>
          <w:rFonts w:ascii="Times New Roman" w:eastAsia="DengXian" w:hAnsi="Times New Roman" w:cs="Times New Roman"/>
          <w:sz w:val="28"/>
          <w:szCs w:val="28"/>
          <w:lang w:val="kk-KZ"/>
        </w:rPr>
        <w:t xml:space="preserve">мді өзара түсінуі керек.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Ауыл шаруашылығы мен тамақ өнеркәсібі саласындағы инновацияларды мемлекеттік гранттық қаржыландыру конкурсын өткізген кезде Ғылыми Консорциум ұсынған зерттеу жобаларына артықшылық беру көзделу платформа қызметін ынталандыруға мүмк</w:t>
      </w:r>
      <w:r>
        <w:rPr>
          <w:rFonts w:ascii="Times New Roman" w:eastAsia="DengXian" w:hAnsi="Times New Roman" w:cs="Times New Roman"/>
          <w:sz w:val="28"/>
          <w:szCs w:val="28"/>
          <w:lang w:val="kk-KZ"/>
        </w:rPr>
        <w:t>індік берері анық. Ғылыми-зерттеу жұмыстарының секторлар арасындағы ынтымақтастығын дамыту үшін конкурстық грантқа ие болатын зерттеу топтары келесідей критерийлерге сай келуі керек: ғылыми жоба қолданбалы немесе бейіндеу сатысында жүргізілуі керек және жо</w:t>
      </w:r>
      <w:r>
        <w:rPr>
          <w:rFonts w:ascii="Times New Roman" w:eastAsia="DengXian" w:hAnsi="Times New Roman" w:cs="Times New Roman"/>
          <w:sz w:val="28"/>
          <w:szCs w:val="28"/>
          <w:lang w:val="kk-KZ"/>
        </w:rPr>
        <w:t>ба қатысуышылары төмендегі санаттардың кем дегенде екеуінің  ұйымдарының қатысуынан тұруы керек:</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 санат- орталық мемелекеттік және жергілікті деңгейлердегі ғылыми-зерттеу ұйымдары;</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2 санат – университеттер мен университет аралық зерттеу институттары;</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3 са</w:t>
      </w:r>
      <w:r>
        <w:rPr>
          <w:rFonts w:ascii="Times New Roman" w:eastAsia="Calibri" w:hAnsi="Times New Roman" w:cs="Times New Roman"/>
          <w:sz w:val="28"/>
          <w:szCs w:val="28"/>
          <w:lang w:val="kk-KZ" w:eastAsia="en-US"/>
        </w:rPr>
        <w:t>нат – мемлекеттік кәсіпорындар, квазимемлекеттік сектор ұйымдары</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4 санат – жеке компаниялар, коммерциялық емес ұйымдар, кооперативтер, фермерлер және т.б.</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Сондай-ақ, Консорциум ұсынатын жобаларды жүзеге асыруға жеке сектордың инвестицияларын ынталандыру жә</w:t>
      </w:r>
      <w:r>
        <w:rPr>
          <w:rFonts w:ascii="Times New Roman" w:eastAsia="DengXian" w:hAnsi="Times New Roman" w:cs="Times New Roman"/>
          <w:sz w:val="28"/>
          <w:szCs w:val="28"/>
          <w:lang w:val="kk-KZ"/>
        </w:rPr>
        <w:t xml:space="preserve">не зерттеу нәтижелерін коммерцияландыруға ықпал ету үшін қолданбалы зерттеу сатысында қаржыландырудың келесідей схемасын қолдануға болады: жеке бизнес зерттеу шығындарының кем дегенде жартысын қаржыландырады.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Интеграциялық құрылымда еліміздегі ауыл шаруа</w:t>
      </w:r>
      <w:r>
        <w:rPr>
          <w:rFonts w:ascii="Times New Roman" w:eastAsia="DengXian" w:hAnsi="Times New Roman" w:cs="Times New Roman"/>
          <w:sz w:val="28"/>
          <w:szCs w:val="28"/>
          <w:lang w:val="kk-KZ"/>
        </w:rPr>
        <w:t>шылығы мен тамақ өнеркәсібінің инновациялық әлеуетін арттыруға бағытталған зерттеу бағыттары анықталуы мүмкін. Мысалы:</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денсаулықты нығайтуға бағытталған, диеталық тағамдар өндіру өнеркәсібін қалыптастыру;</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color w:val="000000"/>
          <w:sz w:val="28"/>
          <w:szCs w:val="28"/>
          <w:lang w:val="kk-KZ" w:eastAsia="en-US"/>
        </w:rPr>
        <w:t>жұмыртқаны терең қайта өңдеу;</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color w:val="000000"/>
          <w:sz w:val="28"/>
          <w:szCs w:val="28"/>
          <w:lang w:val="kk-KZ" w:eastAsia="en-US"/>
        </w:rPr>
        <w:t>бидайды өндіру мен қа</w:t>
      </w:r>
      <w:r>
        <w:rPr>
          <w:rFonts w:ascii="Times New Roman" w:eastAsia="Calibri" w:hAnsi="Times New Roman" w:cs="Times New Roman"/>
          <w:color w:val="000000"/>
          <w:sz w:val="28"/>
          <w:szCs w:val="28"/>
          <w:lang w:val="kk-KZ" w:eastAsia="en-US"/>
        </w:rPr>
        <w:t>йта өңдеуде орташа және жоғары қосылған құн өнімдерін өндіру;</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color w:val="000000"/>
          <w:sz w:val="28"/>
          <w:szCs w:val="28"/>
          <w:lang w:val="kk-KZ" w:eastAsia="en-US"/>
        </w:rPr>
        <w:t>балық өнімдерін өндіру нарықтары жатады, себебі бұл нарықтарда әлі де болса нарықта орын алуға мүмкіндік бар;</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бионегізді материалдар өнеркәсібін қалыптастыру;</w:t>
      </w:r>
    </w:p>
    <w:p w:rsidR="005118AF" w:rsidRDefault="00EF60C3">
      <w:pPr>
        <w:numPr>
          <w:ilvl w:val="0"/>
          <w:numId w:val="20"/>
        </w:numPr>
        <w:tabs>
          <w:tab w:val="left" w:pos="993"/>
        </w:tabs>
        <w:spacing w:after="0" w:line="240" w:lineRule="auto"/>
        <w:ind w:left="0" w:firstLine="709"/>
        <w:contextualSpacing/>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ауылшаруашылық, орман, балық шаруаш</w:t>
      </w:r>
      <w:r>
        <w:rPr>
          <w:rFonts w:ascii="Times New Roman" w:eastAsia="Calibri" w:hAnsi="Times New Roman" w:cs="Times New Roman"/>
          <w:sz w:val="28"/>
          <w:szCs w:val="28"/>
          <w:lang w:val="kk-KZ" w:eastAsia="en-US"/>
        </w:rPr>
        <w:t>ылығы және тамақ өндіріс жүйесіндегі инновацияларды ақпараттық негізде индустрияландыру және т.б. жатады.</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Осы аталған категориялар бойынша ғылыми-зерттеу жобаларын жүргізу арқылы тамақ өнеркәсібі мен басқа секторлар арасында бірлескен күш пайда болып, жаңа</w:t>
      </w:r>
      <w:r>
        <w:rPr>
          <w:rFonts w:ascii="Times New Roman" w:eastAsia="DengXian" w:hAnsi="Times New Roman" w:cs="Times New Roman"/>
          <w:sz w:val="28"/>
          <w:szCs w:val="28"/>
          <w:lang w:val="kk-KZ"/>
        </w:rPr>
        <w:t xml:space="preserve"> шешімдер қабылданады және жаңа құрылымдар қалыптасады, бұл жобаға қатысушы барлық тараптарға жоғары әлеует тудырады.   </w:t>
      </w:r>
    </w:p>
    <w:p w:rsidR="005118AF" w:rsidRDefault="00EF60C3">
      <w:pPr>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Сонымен қатар, бұл Кеңес өзінің еліміздің тамақ өнеркәсібінде интеграциялық байланысты нығайту нәтижесінде пайда болатын басқа да ғылым</w:t>
      </w:r>
      <w:r>
        <w:rPr>
          <w:rFonts w:ascii="Times New Roman" w:eastAsia="DengXian" w:hAnsi="Times New Roman" w:cs="Times New Roman"/>
          <w:sz w:val="28"/>
          <w:szCs w:val="28"/>
          <w:lang w:val="kk-KZ"/>
        </w:rPr>
        <w:t xml:space="preserve">и-зерттеу бағыттарын іске асыруы мүмкін. </w:t>
      </w:r>
    </w:p>
    <w:p w:rsidR="005118AF" w:rsidRDefault="00EF60C3">
      <w:pPr>
        <w:autoSpaceDE w:val="0"/>
        <w:autoSpaceDN w:val="0"/>
        <w:adjustRightInd w:val="0"/>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Осылайша, интеграциялық құрылымда ортақ ғылыми-зерттеу жобаларын жүргізу ғылыми-зерттеулер жүргізуде демократиялық тәсілді қолдануға негізделе отырып барлық қатысушы тараптардың когнитивті білімдерін біріктіруді кө</w:t>
      </w:r>
      <w:r>
        <w:rPr>
          <w:rFonts w:ascii="Times New Roman" w:eastAsia="DengXian" w:hAnsi="Times New Roman" w:cs="Times New Roman"/>
          <w:sz w:val="28"/>
          <w:szCs w:val="28"/>
          <w:lang w:val="kk-KZ"/>
        </w:rPr>
        <w:t>здейді. Себебі, бұл құрылымда зерттеушілер зерттеуші емес тұлғалардан басым тұрмайды, барлығы бірдей, тең дәреже тек әріптестік нысанда өзара байланыс жасайды. Сонымен қатар, зерттеу жүргізуде жергілікті, салалық ерекшеліктер ескерілуге әсерін тигіді.</w:t>
      </w:r>
    </w:p>
    <w:p w:rsidR="005118AF" w:rsidRDefault="005118AF">
      <w:pPr>
        <w:autoSpaceDE w:val="0"/>
        <w:autoSpaceDN w:val="0"/>
        <w:adjustRightInd w:val="0"/>
        <w:spacing w:after="0" w:line="240" w:lineRule="auto"/>
        <w:ind w:firstLine="709"/>
        <w:jc w:val="both"/>
        <w:rPr>
          <w:rFonts w:ascii="Times New Roman" w:eastAsia="DengXian" w:hAnsi="Times New Roman" w:cs="Times New Roman"/>
          <w:sz w:val="28"/>
          <w:szCs w:val="28"/>
          <w:lang w:val="kk-KZ"/>
        </w:rPr>
      </w:pP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b/>
          <w:bCs/>
          <w:sz w:val="28"/>
          <w:szCs w:val="28"/>
          <w:lang w:val="kk-KZ" w:eastAsia="zh-CN"/>
        </w:rPr>
      </w:pPr>
      <w:r>
        <w:rPr>
          <w:rFonts w:ascii="Times New Roman" w:hAnsi="Times New Roman" w:cs="Times New Roman"/>
          <w:b/>
          <w:bCs/>
          <w:sz w:val="28"/>
          <w:szCs w:val="28"/>
          <w:lang w:val="kk-KZ" w:eastAsia="zh-CN"/>
        </w:rPr>
        <w:t xml:space="preserve">3.2 </w:t>
      </w:r>
      <w:r>
        <w:rPr>
          <w:rFonts w:ascii="Times New Roman" w:hAnsi="Times New Roman"/>
          <w:b/>
          <w:sz w:val="28"/>
          <w:szCs w:val="28"/>
          <w:lang w:val="kk-KZ"/>
        </w:rPr>
        <w:t>Тамақ өнеркәсібі кәсіпорындарының тұрақты ашық инновацияларының тұжырымдамалық модельдері</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Тамақ өнеркәсібі кәсіпорындарындағы тұрақты ашық инновациялар-сыртқы және ішкі білім ағындарын мақсатты қолдануды көздейтін ашық инновация қағидаларын тұрақтылық </w:t>
      </w:r>
      <w:r>
        <w:rPr>
          <w:rFonts w:ascii="Times New Roman" w:hAnsi="Times New Roman" w:cs="Times New Roman"/>
          <w:sz w:val="28"/>
          <w:szCs w:val="28"/>
          <w:lang w:val="kk-KZ" w:eastAsia="zh-CN"/>
        </w:rPr>
        <w:t>мақсаттарымен үйлестіретін жаңа бағыт болып табылады. Бұл бағыттың дамуы және оны Қазақстан жағдайына енгізудің қажеттілгі теориялық және эмпирикалық дәлелдерге негізделген. Диссертациялық жұмыстың талдау бөлімінде анықталғандай, отандық тамақ өнеркәсібінд</w:t>
      </w:r>
      <w:r>
        <w:rPr>
          <w:rFonts w:ascii="Times New Roman" w:hAnsi="Times New Roman" w:cs="Times New Roman"/>
          <w:sz w:val="28"/>
          <w:szCs w:val="28"/>
          <w:lang w:val="kk-KZ" w:eastAsia="zh-CN"/>
        </w:rPr>
        <w:t xml:space="preserve">егі көптеген кәсіпорындардың ішкі ғылыми-зерттеушілік әлеуеті шектеулі және бизнес–ғылым–мемлекет байланыстары әлсіз екендігін көрсетті.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Соңғы жылдары ғалымдардың Тұрақты ашық инновациялар тұжырымдамасына жоғары дәрежеде ден қойып отырғанына қарамастан, ғ</w:t>
      </w:r>
      <w:r>
        <w:rPr>
          <w:rFonts w:ascii="Times New Roman" w:hAnsi="Times New Roman" w:cs="Times New Roman"/>
          <w:sz w:val="28"/>
          <w:szCs w:val="28"/>
          <w:lang w:val="kk-KZ" w:eastAsia="zh-CN"/>
        </w:rPr>
        <w:t xml:space="preserve">ылыми әдебиетте тамақ өнеркәсібінің ерекшелігін ескеретін ортақ, бейімделген тұжырымдамалық моделі қалыптаспаған. Осындай модельді әзірлеу кәсіпорындарда жүйелі және басқарылатын тұрақты ашық инновацияларды енгізуді қамтамасыз ету үшін қажет.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Диссертациял</w:t>
      </w:r>
      <w:r>
        <w:rPr>
          <w:rFonts w:ascii="Times New Roman" w:hAnsi="Times New Roman" w:cs="Times New Roman"/>
          <w:sz w:val="28"/>
          <w:szCs w:val="28"/>
          <w:lang w:val="kk-KZ" w:eastAsia="zh-CN"/>
        </w:rPr>
        <w:t>ық жұмыста біз ірі және ШОК кәсіпорындарына арналған сараланған Тұрақты ашық инновациялардың тұжырымдамалық модельдерін ұсынамыз. Бұл модельдер бірдей әдістемелік элементтерден тұратын стратегиялық талдауға негізделді: оның біріншісі - аралық әсерді сипатт</w:t>
      </w:r>
      <w:r>
        <w:rPr>
          <w:rFonts w:ascii="Times New Roman" w:hAnsi="Times New Roman" w:cs="Times New Roman"/>
          <w:sz w:val="28"/>
          <w:szCs w:val="28"/>
          <w:lang w:val="kk-KZ" w:eastAsia="zh-CN"/>
        </w:rPr>
        <w:t xml:space="preserve">аймын - медиация әдісі; ал екіншісі -  реттеуші әсерді көздейтін - модерация  әдісі.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Ұсынылып</w:t>
      </w:r>
      <w:r>
        <w:rPr>
          <w:rFonts w:ascii="Times New Roman" w:hAnsi="Times New Roman" w:cs="Times New Roman"/>
          <w:sz w:val="28"/>
          <w:szCs w:val="28"/>
          <w:lang w:val="kk-KZ" w:eastAsia="zh-CN"/>
        </w:rPr>
        <w:t xml:space="preserve"> отырған Тұрақты ашық инновациялар тұжырымдамалық модельдері - бұл тамақ өнеркәсібі кәсіпорындарының сыртқы білім мен ішкі ресурстарды тиімді біріктіру арқылы тұр</w:t>
      </w:r>
      <w:r>
        <w:rPr>
          <w:rFonts w:ascii="Times New Roman" w:hAnsi="Times New Roman" w:cs="Times New Roman"/>
          <w:sz w:val="28"/>
          <w:szCs w:val="28"/>
          <w:lang w:val="kk-KZ" w:eastAsia="zh-CN"/>
        </w:rPr>
        <w:t xml:space="preserve">ақты даму мақсаттарына жету жолдарын түсіндіретін теориялық негіз болып табылады.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Модельдердің басты ереклешігі - оның дифференциалды сипатында, яғни ол ірі және ШОК ерекшеліктерін, олардың инновациялық әлеуеті, ресурстарға қолжетімділігі мен стратегиялық</w:t>
      </w:r>
      <w:r>
        <w:rPr>
          <w:rFonts w:ascii="Times New Roman" w:hAnsi="Times New Roman" w:cs="Times New Roman"/>
          <w:sz w:val="28"/>
          <w:szCs w:val="28"/>
          <w:lang w:val="kk-KZ" w:eastAsia="zh-CN"/>
        </w:rPr>
        <w:t xml:space="preserve"> икемділігін ескере отырып құрастырылған. Осылайша, Тұрақты ашық инновациялардың сараланған модельдері кәсіпорындардың тұрақты инновациялық дамуына бағытталған тиімді басқарушылық шешімдерді қалыптастыруға мүмкіндік береді.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Ұсынылып</w:t>
      </w:r>
      <w:r>
        <w:rPr>
          <w:rFonts w:ascii="Times New Roman" w:hAnsi="Times New Roman" w:cs="Times New Roman"/>
          <w:sz w:val="28"/>
          <w:szCs w:val="28"/>
          <w:lang w:val="kk-KZ" w:eastAsia="zh-CN"/>
        </w:rPr>
        <w:t xml:space="preserve"> отырған модельдер келе</w:t>
      </w:r>
      <w:r>
        <w:rPr>
          <w:rFonts w:ascii="Times New Roman" w:hAnsi="Times New Roman" w:cs="Times New Roman"/>
          <w:sz w:val="28"/>
          <w:szCs w:val="28"/>
          <w:lang w:val="kk-KZ" w:eastAsia="zh-CN"/>
        </w:rPr>
        <w:t>сі негізгі стратегиялық элементтерге негізделген:</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w:t>
      </w:r>
      <w:r>
        <w:rPr>
          <w:rFonts w:ascii="Times New Roman" w:hAnsi="Times New Roman" w:cs="Times New Roman"/>
          <w:sz w:val="28"/>
          <w:szCs w:val="28"/>
          <w:lang w:val="kk-KZ" w:eastAsia="zh-CN"/>
        </w:rPr>
        <w:t xml:space="preserve"> инновациялық әлеуетті талдау - кәсіпорынның сыртқы білімдерін тиімді интеграциялау және тұрақты даму бағытына көшу ішін қажетті ішкі ресурстарын бағалау мен дамыту аспектісін қамтиды. Бұған басқарушылық қ</w:t>
      </w:r>
      <w:r>
        <w:rPr>
          <w:rFonts w:ascii="Times New Roman" w:hAnsi="Times New Roman" w:cs="Times New Roman"/>
          <w:sz w:val="28"/>
          <w:szCs w:val="28"/>
          <w:lang w:val="kk-KZ" w:eastAsia="zh-CN"/>
        </w:rPr>
        <w:t xml:space="preserve">олдау, ынтымақтастыққа арналған цифрлық платформалардың болуы және тұрақты даму саласындағы ішкі құзыреттеріндің қалыптасуы жатады;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w:t>
      </w:r>
      <w:r>
        <w:rPr>
          <w:rFonts w:ascii="Times New Roman" w:hAnsi="Times New Roman" w:cs="Times New Roman"/>
          <w:sz w:val="28"/>
          <w:szCs w:val="28"/>
          <w:lang w:val="kk-KZ" w:eastAsia="zh-CN"/>
        </w:rPr>
        <w:t xml:space="preserve"> мүделі тараптармен ынтымақтастық құру - негізгі серіктестермен (жеткізушілер, тұтынушылар, бәсекелестер, реттеуші органда</w:t>
      </w:r>
      <w:r>
        <w:rPr>
          <w:rFonts w:ascii="Times New Roman" w:hAnsi="Times New Roman" w:cs="Times New Roman"/>
          <w:sz w:val="28"/>
          <w:szCs w:val="28"/>
          <w:lang w:val="kk-KZ" w:eastAsia="zh-CN"/>
        </w:rPr>
        <w:t>р мен ғылыми қауымдастық) өзара іс-қимыл тетіктерін айқындау және жүйелеуді көздейтін сыртқы аспект. Бұл бағыт бірлескен тұрақты шешімдерді әзірлеуге, білім алмасу экожүйесін құруға және инновациялық тәуекелдерді азайтуға мүмкіндік береді;</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w:t>
      </w:r>
      <w:r>
        <w:rPr>
          <w:rFonts w:ascii="Times New Roman" w:hAnsi="Times New Roman" w:cs="Times New Roman"/>
          <w:sz w:val="28"/>
          <w:szCs w:val="28"/>
          <w:lang w:val="kk-KZ" w:eastAsia="zh-CN"/>
        </w:rPr>
        <w:t xml:space="preserve"> кәсіпорынның т</w:t>
      </w:r>
      <w:r>
        <w:rPr>
          <w:rFonts w:ascii="Times New Roman" w:hAnsi="Times New Roman" w:cs="Times New Roman"/>
          <w:sz w:val="28"/>
          <w:szCs w:val="28"/>
          <w:lang w:val="kk-KZ" w:eastAsia="zh-CN"/>
        </w:rPr>
        <w:t>ұрақты</w:t>
      </w:r>
      <w:r>
        <w:rPr>
          <w:rFonts w:ascii="Times New Roman" w:hAnsi="Times New Roman" w:cs="Times New Roman"/>
          <w:sz w:val="28"/>
          <w:szCs w:val="28"/>
          <w:lang w:val="kk-KZ" w:eastAsia="zh-CN"/>
        </w:rPr>
        <w:t xml:space="preserve"> дамуы - тұрақтылықтың үш өлшемін - экономикалық, экологиялық және әлеуметтік - инновациялық үрдістерге нақты түрде енгізуді көздеуші аспект.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Тамақ өнеркәсібі кәсіпорындарындағы тұрақты ашық инновациялар модельдерін әзірлеу тамақ өнеркәсібі кәсіпор</w:t>
      </w:r>
      <w:r>
        <w:rPr>
          <w:rFonts w:ascii="Times New Roman" w:hAnsi="Times New Roman" w:cs="Times New Roman"/>
          <w:sz w:val="28"/>
          <w:szCs w:val="28"/>
          <w:lang w:val="kk-KZ" w:eastAsia="zh-CN"/>
        </w:rPr>
        <w:t>ындарын тұрақты және жауапты бизнеске айналдыруға ықпал ететін практикалық бағыттағы құрал қалыптастыруға мүмкіндік береді. Сонымен қатар, бұл зерттеу инновацияларды стратегиялық басқару теориясын дамытуға да елеулі үлес қосады.</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Ұсынылып</w:t>
      </w:r>
      <w:r>
        <w:rPr>
          <w:rFonts w:ascii="Times New Roman" w:hAnsi="Times New Roman" w:cs="Times New Roman"/>
          <w:sz w:val="28"/>
          <w:szCs w:val="28"/>
          <w:lang w:val="kk-KZ" w:eastAsia="zh-CN"/>
        </w:rPr>
        <w:t xml:space="preserve"> отырған тұжырымдам</w:t>
      </w:r>
      <w:r>
        <w:rPr>
          <w:rFonts w:ascii="Times New Roman" w:hAnsi="Times New Roman" w:cs="Times New Roman"/>
          <w:sz w:val="28"/>
          <w:szCs w:val="28"/>
          <w:lang w:val="kk-KZ" w:eastAsia="zh-CN"/>
        </w:rPr>
        <w:t>алық модельдер айқын себеп-салдардық байланыстарды орнату мақсатынды медиация және модерация қағидаларын қолдана отырып, стратегиялық талдау әдісіне негізінде әзірленген. Бұл модель Ашық инновациялар теориясы мен Ресурсқа негізделген тәсіл теорияларының ше</w:t>
      </w:r>
      <w:r>
        <w:rPr>
          <w:rFonts w:ascii="Times New Roman" w:hAnsi="Times New Roman" w:cs="Times New Roman"/>
          <w:sz w:val="28"/>
          <w:szCs w:val="28"/>
          <w:lang w:val="kk-KZ" w:eastAsia="zh-CN"/>
        </w:rPr>
        <w:t xml:space="preserve">шуші идеяларын біріктіреді. Сонымен қатар, модель екі талдамалық механизмге негізделіп құрастырылған.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Біріншіден, Медиация әдісі (X→M→Y): Мұнда, механизм (М) айнымалысы стратегиялық бағдардың (Х) өнімділікке (Y) тікелей әсер етпейтінін көрсететін делдал р</w:t>
      </w:r>
      <w:r>
        <w:rPr>
          <w:rFonts w:ascii="Times New Roman" w:hAnsi="Times New Roman" w:cs="Times New Roman"/>
          <w:sz w:val="28"/>
          <w:szCs w:val="28"/>
          <w:lang w:val="kk-KZ" w:eastAsia="zh-CN"/>
        </w:rPr>
        <w:t>етінде әрекет етеді. Табысқа жету тек ресми іздеу арнасын құру арқылы мүмкін болады. Басқаша айтқанда, стратегиялық бағыт (Х) тек ресми іздеу арнасын (М) құрған кезде ғана компанияның тиімділігіне (Y) әкеледі. Яғни М табысқа жетудің міндетті көпірі болып с</w:t>
      </w:r>
      <w:r>
        <w:rPr>
          <w:rFonts w:ascii="Times New Roman" w:hAnsi="Times New Roman" w:cs="Times New Roman"/>
          <w:sz w:val="28"/>
          <w:szCs w:val="28"/>
          <w:lang w:val="kk-KZ" w:eastAsia="zh-CN"/>
        </w:rPr>
        <w:t xml:space="preserve">аналады.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Екіншіден, Модерация әдісі (M→W→Y): Масштабтауға дайындық (W) деп аталатын ішкі фактор модератор ретінде әрекет етеді. Ресми іздеу арнасы (М) мен соңғы нәтиже арасындағы (Y) байланысты күшейтеді немесе әлсіретеді. Бұл сыртқы инновацияларды тиімді</w:t>
      </w:r>
      <w:r>
        <w:rPr>
          <w:rFonts w:ascii="Times New Roman" w:hAnsi="Times New Roman" w:cs="Times New Roman"/>
          <w:sz w:val="28"/>
          <w:szCs w:val="28"/>
          <w:lang w:val="kk-KZ" w:eastAsia="zh-CN"/>
        </w:rPr>
        <w:t xml:space="preserve"> енгізу үшін қажетті ішкі жағдайларды анықтауға мүмкіндік береді. Модерация - бұл бір айнымалының (бұл жағдайда W) екі басқа айнымалы арасындағы қарым-қатынастың күшін немесе бағытын өзгерту қабілетін сипаттайды.</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Модельдер Тұрақты ашық инновация күрделі пр</w:t>
      </w:r>
      <w:r>
        <w:rPr>
          <w:rFonts w:ascii="Times New Roman" w:hAnsi="Times New Roman" w:cs="Times New Roman"/>
          <w:sz w:val="28"/>
          <w:szCs w:val="28"/>
          <w:lang w:val="kk-KZ" w:eastAsia="zh-CN"/>
        </w:rPr>
        <w:t xml:space="preserve">оцесін жеңілдету үшін қызмет етеді және басқарушылық шешімдерді (стратегиядан бастап, енгізуге дейінгі) жүйелеуге және тұрақты ашық инновацияларды дамытуға байланысты практикалық ұсыныстар әзірлеуге  мүмкіндік береді.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i/>
          <w:sz w:val="28"/>
          <w:szCs w:val="28"/>
          <w:lang w:val="kk-KZ" w:eastAsia="zh-CN"/>
        </w:rPr>
      </w:pPr>
      <w:r>
        <w:rPr>
          <w:rFonts w:ascii="Times New Roman" w:hAnsi="Times New Roman" w:cs="Times New Roman"/>
          <w:bCs/>
          <w:i/>
          <w:sz w:val="28"/>
          <w:szCs w:val="28"/>
          <w:lang w:val="kk-KZ" w:eastAsia="zh-CN"/>
        </w:rPr>
        <w:t>Ірі кәсіпорындарға арналған Тұрақты а</w:t>
      </w:r>
      <w:r>
        <w:rPr>
          <w:rFonts w:ascii="Times New Roman" w:hAnsi="Times New Roman" w:cs="Times New Roman"/>
          <w:bCs/>
          <w:i/>
          <w:sz w:val="28"/>
          <w:szCs w:val="28"/>
          <w:lang w:val="kk-KZ" w:eastAsia="zh-CN"/>
        </w:rPr>
        <w:t>шық инновациялар тұжырымдамалық моделін енгізу бойынша корпоративтік ұсыныстар жүйесі</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Ірі тамақ кәсіпорындары үшін Тұрақты ашық инновациялар тұжырымдамасын енгізу - бұл тек тиімділік мәселесі емес, стратегиялық қажеттілік болып табылады. Тұрақты ашық иннов</w:t>
      </w:r>
      <w:r>
        <w:rPr>
          <w:rFonts w:ascii="Times New Roman" w:hAnsi="Times New Roman" w:cs="Times New Roman"/>
          <w:sz w:val="28"/>
          <w:szCs w:val="28"/>
          <w:lang w:val="kk-KZ" w:eastAsia="zh-CN"/>
        </w:rPr>
        <w:t>ациялардың ерекшелігі - ол компанияның ішкі ҒЗТКЖ күшін университтер, стартаптар және тұтынушылар сияқты сыртқы серіктестердің идеяларамыен біріктіріп, инновациялық циклді айтарлықтай жылдамдуына ықпал етеді. Бұл әсіресе тұрақтылық талаптары (экологиялық т</w:t>
      </w:r>
      <w:r>
        <w:rPr>
          <w:rFonts w:ascii="Times New Roman" w:hAnsi="Times New Roman" w:cs="Times New Roman"/>
          <w:sz w:val="28"/>
          <w:szCs w:val="28"/>
          <w:lang w:val="kk-KZ" w:eastAsia="zh-CN"/>
        </w:rPr>
        <w:t>аза орамалар, қалдықтарды азайту, балама ақуыздар және т.б.) және нарық сұрауларының (денсаулыққа пайдалы, функционалдық және жекелендірілген тамағамдар) тез өзгеруіне жағдайында өте маңызы. Тұрақты ашық инновациялар бәсекеге қабілеттілікті арттырып, шығын</w:t>
      </w:r>
      <w:r>
        <w:rPr>
          <w:rFonts w:ascii="Times New Roman" w:hAnsi="Times New Roman" w:cs="Times New Roman"/>
          <w:sz w:val="28"/>
          <w:szCs w:val="28"/>
          <w:lang w:val="kk-KZ" w:eastAsia="zh-CN"/>
        </w:rPr>
        <w:t>дарды ортақтастыра отырып, кәсіпорынның ұзақ мерзімді өміршеңдігі мен корпоративтік белсенділін нығайтуға негіз болады.</w:t>
      </w:r>
    </w:p>
    <w:p w:rsidR="005118AF" w:rsidRDefault="00EF60C3">
      <w:pPr>
        <w:numPr>
          <w:ilvl w:val="0"/>
          <w:numId w:val="23"/>
        </w:num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1: Тұрақты инновацияларға стратегиялық бағытты (ТИСБ) жүйелендіру және енгізу</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Мақсат - инновациялық процессті іске қосу үшін басқ</w:t>
      </w:r>
      <w:r>
        <w:rPr>
          <w:rFonts w:ascii="Times New Roman" w:hAnsi="Times New Roman" w:cs="Times New Roman"/>
          <w:sz w:val="28"/>
          <w:szCs w:val="28"/>
          <w:lang w:val="kk-KZ" w:eastAsia="zh-CN"/>
        </w:rPr>
        <w:t xml:space="preserve">арушылық өкілеттік пен қаржылық міндеттемелерді қалыптастыру. Бұл - шешуші тәуелсіз импульс (Х) болып табылатын аса маңызды бастама (37-кесте). </w:t>
      </w:r>
    </w:p>
    <w:p w:rsidR="005118AF" w:rsidRDefault="005118AF">
      <w:pPr>
        <w:tabs>
          <w:tab w:val="left" w:pos="800"/>
          <w:tab w:val="left" w:pos="1134"/>
          <w:tab w:val="left" w:pos="1400"/>
          <w:tab w:val="left" w:pos="1600"/>
          <w:tab w:val="left" w:pos="1800"/>
        </w:tabs>
        <w:spacing w:after="0" w:line="240" w:lineRule="auto"/>
        <w:ind w:firstLineChars="150" w:firstLine="420"/>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50" w:firstLine="420"/>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Кесте 37 ‒ Тұрақты инновацияларға стратегиялық бағыт (Х)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451"/>
        <w:gridCol w:w="2381"/>
        <w:gridCol w:w="2393"/>
      </w:tblGrid>
      <w:tr w:rsidR="005118AF">
        <w:trPr>
          <w:jc w:val="center"/>
        </w:trPr>
        <w:tc>
          <w:tcPr>
            <w:tcW w:w="2130"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451"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w:t>
            </w:r>
            <w:r>
              <w:rPr>
                <w:rFonts w:ascii="Times New Roman" w:hAnsi="Times New Roman" w:cs="Times New Roman"/>
                <w:sz w:val="24"/>
                <w:szCs w:val="24"/>
                <w:lang w:val="kk-KZ" w:eastAsia="zh-CN"/>
              </w:rPr>
              <w:t>мәні</w:t>
            </w:r>
          </w:p>
        </w:tc>
        <w:tc>
          <w:tcPr>
            <w:tcW w:w="2381"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 (өкілеттік)</w:t>
            </w:r>
          </w:p>
        </w:tc>
        <w:tc>
          <w:tcPr>
            <w:tcW w:w="239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eastAsia="zh-CN"/>
              </w:rPr>
              <w:t>Х-к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2130"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Қажеттілік</w:t>
            </w:r>
            <w:r>
              <w:rPr>
                <w:rFonts w:ascii="Times New Roman" w:hAnsi="Times New Roman" w:cs="Times New Roman"/>
                <w:sz w:val="24"/>
                <w:szCs w:val="24"/>
                <w:lang w:val="kk-KZ" w:eastAsia="zh-CN"/>
              </w:rPr>
              <w:t xml:space="preserve"> (Х)</w:t>
            </w:r>
          </w:p>
        </w:tc>
        <w:tc>
          <w:tcPr>
            <w:tcW w:w="2451"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ESG мақсаттарын капиталды бөлуге және қызметкерлерді ынталандыруға әсер ететін негізгі стратегиялық басымдық ретінде айқындау </w:t>
            </w:r>
          </w:p>
        </w:tc>
        <w:tc>
          <w:tcPr>
            <w:tcW w:w="2381"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Басқарма деңгейінде Тұрақты даму комитетін құру. Арнайы ҒЗТКЖ қорын (бюджеттің кемінде 15-20%) тек тұрақты жобаларға бөлу. </w:t>
            </w:r>
          </w:p>
        </w:tc>
        <w:tc>
          <w:tcPr>
            <w:tcW w:w="239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Жасыл технологияларға бөлінген ҒЗТКЖ бюджетінің үлесі (жалпы ҒЗТКЖ-ға пайызбен). Топ-менеджменттің KPI-де ESG көрсеткіштерінің болуы</w:t>
            </w:r>
            <w:r>
              <w:rPr>
                <w:rFonts w:ascii="Times New Roman" w:hAnsi="Times New Roman" w:cs="Times New Roman"/>
                <w:sz w:val="24"/>
                <w:szCs w:val="24"/>
                <w:lang w:val="kk-KZ" w:eastAsia="zh-CN"/>
              </w:rPr>
              <w:t xml:space="preserve"> және олардың салмағы. </w:t>
            </w:r>
          </w:p>
        </w:tc>
      </w:tr>
      <w:tr w:rsidR="005118AF">
        <w:trPr>
          <w:jc w:val="center"/>
        </w:trPr>
        <w:tc>
          <w:tcPr>
            <w:tcW w:w="9355"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Негіздеме: Ресми Х болмаса, тұрақтылыққа бағытталған күш шашыраңқы болады және стратегиялық инвестиция емес шығындар көзі ретінде қабылданады</w:t>
            </w:r>
          </w:p>
        </w:tc>
      </w:tr>
      <w:tr w:rsidR="005118AF">
        <w:trPr>
          <w:jc w:val="center"/>
        </w:trPr>
        <w:tc>
          <w:tcPr>
            <w:tcW w:w="9355"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numPr>
          <w:ilvl w:val="0"/>
          <w:numId w:val="23"/>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II. Ашық іздеудің институционалдық механизмін </w:t>
      </w:r>
      <w:r>
        <w:rPr>
          <w:rFonts w:ascii="Times New Roman" w:hAnsi="Times New Roman" w:cs="Times New Roman"/>
          <w:sz w:val="28"/>
          <w:szCs w:val="28"/>
          <w:lang w:val="kk-KZ" w:eastAsia="zh-CN"/>
        </w:rPr>
        <w:t>(М) қалыптастыру</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Мақсат - Стартегиялық бағытта (Х) сыртқы, инновациялық шешімдер легіне ауыстырудың тұрақты арнасын қамтамасыз ету. М тетігі бұл үдерісте делдалдық рөл атқарады (38-кесте). </w:t>
      </w:r>
    </w:p>
    <w:p w:rsidR="005118AF" w:rsidRDefault="005118AF">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Кесте 38 ‒ Ашық іздеудің институционалдық механизмінің (М) </w:t>
      </w:r>
      <w:r>
        <w:rPr>
          <w:rFonts w:ascii="Times New Roman" w:hAnsi="Times New Roman" w:cs="Times New Roman"/>
          <w:sz w:val="28"/>
          <w:szCs w:val="28"/>
          <w:lang w:val="kk-KZ" w:eastAsia="zh-CN"/>
        </w:rPr>
        <w:t>элементтерінің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318"/>
        <w:gridCol w:w="2482"/>
        <w:gridCol w:w="2461"/>
      </w:tblGrid>
      <w:tr w:rsidR="005118AF">
        <w:trPr>
          <w:trHeight w:val="578"/>
          <w:jc w:val="center"/>
        </w:trPr>
        <w:tc>
          <w:tcPr>
            <w:tcW w:w="225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318"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2482"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 (канал)</w:t>
            </w:r>
          </w:p>
        </w:tc>
        <w:tc>
          <w:tcPr>
            <w:tcW w:w="2461"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M</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225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 (М) механизмі</w:t>
            </w:r>
          </w:p>
        </w:tc>
        <w:tc>
          <w:tcPr>
            <w:tcW w:w="2318"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Тұрақты технологияларды іздеу үшін жаһандық нарықты (стартаптар, ҒЗИ, патенттер) жүйелі түрде шолуды өзіне жалғыз міндет </w:t>
            </w:r>
            <w:r>
              <w:rPr>
                <w:rFonts w:ascii="Times New Roman" w:hAnsi="Times New Roman" w:cs="Times New Roman"/>
                <w:sz w:val="24"/>
                <w:szCs w:val="24"/>
                <w:lang w:val="kk-KZ" w:eastAsia="zh-CN"/>
              </w:rPr>
              <w:t>етіп алатын құрылым (Корпоративтік Акселератор немесе Корпоративтік Венчурлық Қор (КВҚ)) құру</w:t>
            </w:r>
          </w:p>
        </w:tc>
        <w:tc>
          <w:tcPr>
            <w:tcW w:w="2482"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Тұрақты инновациялар (климаттық технологиялар, айналмалы экономика және т.б.) саласындағы арнайы құзыретке ие шолу тобын құру. Сырттан келіп түскен идея ларды тәж</w:t>
            </w:r>
            <w:r>
              <w:rPr>
                <w:rFonts w:ascii="Times New Roman" w:hAnsi="Times New Roman" w:cs="Times New Roman"/>
                <w:sz w:val="24"/>
                <w:szCs w:val="24"/>
                <w:lang w:val="kk-KZ" w:eastAsia="zh-CN"/>
              </w:rPr>
              <w:t>ірибе лік сынақтан өт кізудің формаль ды рәсімін бекіту</w:t>
            </w:r>
          </w:p>
        </w:tc>
        <w:tc>
          <w:tcPr>
            <w:tcW w:w="2461"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Жылына талданатын сыртқы ESG-ге бағдарланған стартаптар саны, Тұрақты сыртқы технологияларға инвестиция көлемі (КВҚ мен тәжірибелік-сынақ жобалар арқылы)</w:t>
            </w:r>
          </w:p>
          <w:p w:rsidR="005118AF" w:rsidRDefault="005118AF">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p>
        </w:tc>
      </w:tr>
      <w:tr w:rsidR="005118AF">
        <w:trPr>
          <w:jc w:val="center"/>
        </w:trPr>
        <w:tc>
          <w:tcPr>
            <w:tcW w:w="9514"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М механизмінің Медиаторлық рөлі: </w:t>
            </w:r>
            <w:r>
              <w:rPr>
                <w:rFonts w:ascii="Times New Roman" w:hAnsi="Times New Roman" w:cs="Times New Roman"/>
                <w:sz w:val="24"/>
                <w:szCs w:val="24"/>
                <w:lang w:val="kk-KZ" w:eastAsia="zh-CN"/>
              </w:rPr>
              <w:t>кәсіпорынның негізгі  операциялық әрекеттерінен функционалдық тұрғыдан бөлек жүргізу. Бұл талап Тұрақты инновацияларға Стратегиялық бағыт (Х) бастамасының күнделікті жұмыс процесінде ескерілмей қалмауын және тиімділікті (Y) арттыратын технологиялар легін ү</w:t>
            </w:r>
            <w:r>
              <w:rPr>
                <w:rFonts w:ascii="Times New Roman" w:hAnsi="Times New Roman" w:cs="Times New Roman"/>
                <w:sz w:val="24"/>
                <w:szCs w:val="24"/>
                <w:lang w:val="kk-KZ" w:eastAsia="zh-CN"/>
              </w:rPr>
              <w:t>німі әрі жүйелі түрде қамтамасыз етуіне кепілдік береді</w:t>
            </w:r>
          </w:p>
        </w:tc>
      </w:tr>
      <w:tr w:rsidR="005118AF">
        <w:trPr>
          <w:jc w:val="center"/>
        </w:trPr>
        <w:tc>
          <w:tcPr>
            <w:tcW w:w="9514"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EF60C3">
      <w:pPr>
        <w:numPr>
          <w:ilvl w:val="0"/>
          <w:numId w:val="23"/>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III. Масштабтауға  инновациялық дайындықты қамтамасыз ету (W).</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Мақсат - Сыртқы инновацияларды жедел әрі кең көлемде тартуға кедергі келтіретін ішкі факторларды жою арқылы іздеу арнасынан нәтижелерге (M → Y) байланысының тиімділігін айтарлықтай арттыру. Мұнда W-дайындығы осы байланыстың күшін реттеуші рөл атқарады (39-</w:t>
      </w:r>
      <w:r>
        <w:rPr>
          <w:rFonts w:ascii="Times New Roman" w:hAnsi="Times New Roman" w:cs="Times New Roman"/>
          <w:sz w:val="28"/>
          <w:szCs w:val="28"/>
          <w:lang w:val="kk-KZ" w:eastAsia="zh-CN"/>
        </w:rPr>
        <w:t xml:space="preserve">кесте). </w:t>
      </w:r>
    </w:p>
    <w:p w:rsidR="005118AF" w:rsidRDefault="005118AF">
      <w:pPr>
        <w:tabs>
          <w:tab w:val="left" w:pos="800"/>
          <w:tab w:val="left" w:pos="1134"/>
          <w:tab w:val="left" w:pos="1400"/>
          <w:tab w:val="left" w:pos="1600"/>
          <w:tab w:val="left" w:pos="1800"/>
        </w:tabs>
        <w:spacing w:after="0" w:line="240" w:lineRule="auto"/>
        <w:ind w:leftChars="142" w:left="312" w:firstLineChars="253" w:firstLine="70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Кесте 39 ‒ Масштабтауға инновациялық дайындықты қамтамасыз ету (W)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2475"/>
        <w:gridCol w:w="2500"/>
        <w:gridCol w:w="2405"/>
      </w:tblGrid>
      <w:tr w:rsidR="005118AF">
        <w:trPr>
          <w:jc w:val="center"/>
        </w:trPr>
        <w:tc>
          <w:tcPr>
            <w:tcW w:w="2077"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475"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2500"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 (Жағдай)</w:t>
            </w:r>
          </w:p>
        </w:tc>
        <w:tc>
          <w:tcPr>
            <w:tcW w:w="2405"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W</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2077"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val="kk-KZ" w:eastAsia="zh-CN"/>
              </w:rPr>
              <w:t xml:space="preserve"> (</w:t>
            </w:r>
            <w:r>
              <w:rPr>
                <w:rFonts w:ascii="Times New Roman" w:hAnsi="Times New Roman" w:cs="Times New Roman"/>
                <w:sz w:val="24"/>
                <w:szCs w:val="24"/>
                <w:lang w:val="en-US" w:eastAsia="zh-CN"/>
              </w:rPr>
              <w:t>W</w:t>
            </w:r>
            <w:r>
              <w:rPr>
                <w:rFonts w:ascii="Times New Roman" w:hAnsi="Times New Roman" w:cs="Times New Roman"/>
                <w:sz w:val="24"/>
                <w:szCs w:val="24"/>
                <w:lang w:val="kk-KZ" w:eastAsia="zh-CN"/>
              </w:rPr>
              <w:t xml:space="preserve">) </w:t>
            </w:r>
            <w:r>
              <w:rPr>
                <w:rFonts w:ascii="Times New Roman" w:hAnsi="Times New Roman" w:cs="Times New Roman"/>
                <w:sz w:val="24"/>
                <w:szCs w:val="24"/>
                <w:lang w:eastAsia="zh-CN"/>
              </w:rPr>
              <w:t>- д</w:t>
            </w:r>
            <w:r>
              <w:rPr>
                <w:rFonts w:ascii="Times New Roman" w:hAnsi="Times New Roman" w:cs="Times New Roman"/>
                <w:sz w:val="24"/>
                <w:szCs w:val="24"/>
                <w:lang w:val="kk-KZ" w:eastAsia="zh-CN"/>
              </w:rPr>
              <w:t>айындық</w:t>
            </w:r>
          </w:p>
        </w:tc>
        <w:tc>
          <w:tcPr>
            <w:tcW w:w="2475"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Ішкі процестерді стан дарттау және сыртқы </w:t>
            </w:r>
            <w:r>
              <w:rPr>
                <w:rFonts w:ascii="Times New Roman" w:hAnsi="Times New Roman" w:cs="Times New Roman"/>
                <w:sz w:val="24"/>
                <w:szCs w:val="24"/>
                <w:lang w:val="kk-KZ" w:eastAsia="zh-CN"/>
              </w:rPr>
              <w:t>инновацияларды жылдам қабылдау үшін серіктестерді тарту</w:t>
            </w:r>
          </w:p>
        </w:tc>
        <w:tc>
          <w:tcPr>
            <w:tcW w:w="2500"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Жеткізушілерге арнал ған “Жасыл сатып алу” саясатын енгізу. Сыртқы патенттер мен технологияларды сынақтан өткізу және лицензиялау үшін алаң құру </w:t>
            </w:r>
          </w:p>
        </w:tc>
        <w:tc>
          <w:tcPr>
            <w:tcW w:w="2405"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Жаңа “жасыл” стан дарттарға сәйкес ке летін жеткізушілер дің үлесі. Тәжіри белік-сынамалық жобаны толық өндіріске кететін орташа уақыт. </w:t>
            </w:r>
          </w:p>
        </w:tc>
      </w:tr>
      <w:tr w:rsidR="005118AF">
        <w:trPr>
          <w:jc w:val="center"/>
        </w:trPr>
        <w:tc>
          <w:tcPr>
            <w:tcW w:w="9457"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W - модератордың рөлі: Акселераторды (М) іске қоспас бұрын, кәсіпорын өзінің W көрсеткішін (ішкі дайындығын) бағалау ұ</w:t>
            </w:r>
            <w:r>
              <w:rPr>
                <w:rFonts w:ascii="Times New Roman" w:hAnsi="Times New Roman" w:cs="Times New Roman"/>
                <w:sz w:val="24"/>
                <w:szCs w:val="24"/>
                <w:lang w:val="kk-KZ" w:eastAsia="zh-CN"/>
              </w:rPr>
              <w:t>сынылады. Егер W деңгейі төмен болса, жаңа идеяларды іздеуге емес, ішкі қайта құруға (персоналды оқыту, стандарттау) басымдық беру қажет. W деңгейінің жоғары болуы M → Y тиімділігін 3-5 есеге арттырып, жылдам пайда табуға мүмкіндік береді</w:t>
            </w:r>
          </w:p>
        </w:tc>
      </w:tr>
      <w:tr w:rsidR="005118AF">
        <w:trPr>
          <w:jc w:val="center"/>
        </w:trPr>
        <w:tc>
          <w:tcPr>
            <w:tcW w:w="9457"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w:t>
            </w:r>
            <w:r>
              <w:rPr>
                <w:rFonts w:ascii="Times New Roman" w:eastAsia="DengXian" w:hAnsi="Times New Roman" w:cs="Times New Roman"/>
                <w:sz w:val="24"/>
                <w:szCs w:val="24"/>
                <w:lang w:val="kk-KZ"/>
              </w:rPr>
              <w:t>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numPr>
          <w:ilvl w:val="0"/>
          <w:numId w:val="23"/>
        </w:num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IV. Интеграцияланған өнімділікті өлшеу (Y)</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Мақсат: Тұтас жүйенің нәтижелілігін кешенді бағалау, стратегиялық бағыт (Х) пен механизмнің (М) тұрақтылық мен құндылықтың нақты жақсаруына алып келгенін растау (40-кесте).</w:t>
      </w:r>
    </w:p>
    <w:p w:rsidR="005118AF" w:rsidRDefault="005118AF">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Кесте 40 ‒ </w:t>
      </w:r>
      <w:r>
        <w:rPr>
          <w:rFonts w:ascii="Times New Roman" w:hAnsi="Times New Roman" w:cs="Times New Roman"/>
          <w:sz w:val="28"/>
          <w:szCs w:val="28"/>
          <w:lang w:val="kk-KZ" w:eastAsia="zh-CN"/>
        </w:rPr>
        <w:t>Интеграцияланған өнімділікті өлшеу (Y)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25"/>
        <w:gridCol w:w="2728"/>
        <w:gridCol w:w="2525"/>
      </w:tblGrid>
      <w:tr w:rsidR="005118AF">
        <w:trPr>
          <w:jc w:val="center"/>
        </w:trPr>
        <w:tc>
          <w:tcPr>
            <w:tcW w:w="2130"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094"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2738"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 (Бағалау)</w:t>
            </w:r>
          </w:p>
        </w:tc>
        <w:tc>
          <w:tcPr>
            <w:tcW w:w="2536"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2130"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 </w:t>
            </w:r>
          </w:p>
          <w:p w:rsidR="005118AF" w:rsidRDefault="005118AF">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p>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Нәтижелілік (</w:t>
            </w:r>
            <w:r>
              <w:rPr>
                <w:rFonts w:ascii="Times New Roman" w:hAnsi="Times New Roman" w:cs="Times New Roman"/>
                <w:sz w:val="24"/>
                <w:szCs w:val="24"/>
                <w:lang w:val="en-US" w:eastAsia="zh-CN"/>
              </w:rPr>
              <w:t>Y</w:t>
            </w:r>
            <w:r>
              <w:rPr>
                <w:rFonts w:ascii="Times New Roman" w:hAnsi="Times New Roman" w:cs="Times New Roman"/>
                <w:sz w:val="24"/>
                <w:szCs w:val="24"/>
                <w:lang w:val="kk-KZ" w:eastAsia="zh-CN"/>
              </w:rPr>
              <w:t xml:space="preserve">) </w:t>
            </w:r>
          </w:p>
        </w:tc>
        <w:tc>
          <w:tcPr>
            <w:tcW w:w="2094"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Экологиялық және экономикалық тиімділікті көрсететін интеграцияланған, тәуелсіз</w:t>
            </w:r>
            <w:r>
              <w:rPr>
                <w:rFonts w:ascii="Times New Roman" w:hAnsi="Times New Roman" w:cs="Times New Roman"/>
                <w:sz w:val="24"/>
                <w:szCs w:val="24"/>
                <w:lang w:val="kk-KZ" w:eastAsia="zh-CN"/>
              </w:rPr>
              <w:t xml:space="preserve"> расталған өлшемдерді пайдалану</w:t>
            </w:r>
          </w:p>
        </w:tc>
        <w:tc>
          <w:tcPr>
            <w:tcW w:w="2738"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Негізгі көрсеткіш ретінде жалпыға ортақ танылған ESG-рей тингтеріне ауысу. Кә сіпорын ішінде көмір қышқыл газының шы ғарыныларын азайтуды қаржылық үнемдеумен  байланыстыру</w:t>
            </w:r>
          </w:p>
        </w:tc>
        <w:tc>
          <w:tcPr>
            <w:tcW w:w="2536"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Компанияның ESG-рейтингінің өсуі. Өнімнің 1000 бірлі</w:t>
            </w:r>
            <w:r>
              <w:rPr>
                <w:rFonts w:ascii="Times New Roman" w:hAnsi="Times New Roman" w:cs="Times New Roman"/>
                <w:sz w:val="24"/>
                <w:szCs w:val="24"/>
                <w:lang w:val="kk-KZ" w:eastAsia="zh-CN"/>
              </w:rPr>
              <w:t>гіне кететін ресурстарды (энергия, су) үлестік азайту %. Нарықтық капиталдан дырудың бәсекелес терге қатысты өсуі</w:t>
            </w:r>
          </w:p>
        </w:tc>
      </w:tr>
      <w:tr w:rsidR="005118AF">
        <w:trPr>
          <w:jc w:val="center"/>
        </w:trPr>
        <w:tc>
          <w:tcPr>
            <w:tcW w:w="9498"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Тек қана </w:t>
            </w:r>
            <w:r>
              <w:rPr>
                <w:rFonts w:ascii="Times New Roman" w:hAnsi="Times New Roman" w:cs="Times New Roman"/>
                <w:sz w:val="24"/>
                <w:szCs w:val="24"/>
                <w:lang w:val="en-US" w:eastAsia="zh-CN"/>
              </w:rPr>
              <w:t>X</w:t>
            </w:r>
            <w:r>
              <w:rPr>
                <w:rFonts w:ascii="Times New Roman" w:hAnsi="Times New Roman" w:cs="Times New Roman"/>
                <w:sz w:val="24"/>
                <w:szCs w:val="24"/>
                <w:lang w:eastAsia="zh-CN"/>
              </w:rPr>
              <w:t>→</w:t>
            </w:r>
            <w:r>
              <w:rPr>
                <w:rFonts w:ascii="Times New Roman" w:hAnsi="Times New Roman" w:cs="Times New Roman"/>
                <w:sz w:val="24"/>
                <w:szCs w:val="24"/>
                <w:lang w:val="en-US" w:eastAsia="zh-CN"/>
              </w:rPr>
              <w:t>M</w:t>
            </w:r>
            <w:r>
              <w:rPr>
                <w:rFonts w:ascii="Times New Roman" w:hAnsi="Times New Roman" w:cs="Times New Roman"/>
                <w:sz w:val="24"/>
                <w:szCs w:val="24"/>
                <w:lang w:eastAsia="zh-CN"/>
              </w:rPr>
              <w:t>→</w:t>
            </w:r>
            <w:r>
              <w:rPr>
                <w:rFonts w:ascii="Times New Roman" w:hAnsi="Times New Roman" w:cs="Times New Roman"/>
                <w:sz w:val="24"/>
                <w:szCs w:val="24"/>
                <w:lang w:val="en-US" w:eastAsia="zh-CN"/>
              </w:rPr>
              <w:t>W</w:t>
            </w:r>
            <w:r>
              <w:rPr>
                <w:rFonts w:ascii="Times New Roman" w:hAnsi="Times New Roman" w:cs="Times New Roman"/>
                <w:sz w:val="24"/>
                <w:szCs w:val="24"/>
                <w:lang w:eastAsia="zh-CN"/>
              </w:rPr>
              <w:t>→</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 xml:space="preserve"> </w:t>
            </w:r>
            <w:r>
              <w:rPr>
                <w:rFonts w:ascii="Times New Roman" w:hAnsi="Times New Roman" w:cs="Times New Roman"/>
                <w:sz w:val="24"/>
                <w:szCs w:val="24"/>
                <w:lang w:val="kk-KZ" w:eastAsia="zh-CN"/>
              </w:rPr>
              <w:t xml:space="preserve">толық циклі ашық және тұрақты инновациялардың жай ғана мәлімдеме болып қалмай, ірі кәсіпорынның ұзақ мерзімді бәсекеге </w:t>
            </w:r>
            <w:r>
              <w:rPr>
                <w:rFonts w:ascii="Times New Roman" w:hAnsi="Times New Roman" w:cs="Times New Roman"/>
                <w:sz w:val="24"/>
                <w:szCs w:val="24"/>
                <w:lang w:val="kk-KZ" w:eastAsia="zh-CN"/>
              </w:rPr>
              <w:t>қабілеттілігінің</w:t>
            </w:r>
            <w:r>
              <w:rPr>
                <w:rFonts w:ascii="Times New Roman" w:hAnsi="Times New Roman" w:cs="Times New Roman"/>
                <w:sz w:val="24"/>
                <w:szCs w:val="24"/>
                <w:lang w:val="kk-KZ" w:eastAsia="zh-CN"/>
              </w:rPr>
              <w:t xml:space="preserve"> жүйелі көзіне айналуына кепілдік береді</w:t>
            </w:r>
          </w:p>
        </w:tc>
      </w:tr>
      <w:tr w:rsidR="005118AF">
        <w:trPr>
          <w:jc w:val="center"/>
        </w:trPr>
        <w:tc>
          <w:tcPr>
            <w:tcW w:w="9498"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Айтарлықтай көп активтерге және күрделі құрылымдарға ие ірі кәсіпорын үшін Тұрақты ашық инновациялар </w:t>
      </w:r>
      <w:r>
        <w:rPr>
          <w:rFonts w:ascii="Times New Roman" w:hAnsi="Times New Roman" w:cs="Times New Roman"/>
          <w:sz w:val="28"/>
          <w:szCs w:val="28"/>
          <w:lang w:eastAsia="zh-CN"/>
        </w:rPr>
        <w:t>-</w:t>
      </w:r>
      <w:r>
        <w:rPr>
          <w:rFonts w:ascii="Times New Roman" w:hAnsi="Times New Roman" w:cs="Times New Roman"/>
          <w:sz w:val="28"/>
          <w:szCs w:val="28"/>
          <w:lang w:val="kk-KZ" w:eastAsia="zh-CN"/>
        </w:rPr>
        <w:t xml:space="preserve"> серпінді өсуді және жаһандық көшбасшылықты қамтамасыз етудің басты құралы болып саналады (25-сурет). Бұл жерде қозғаушы күш жоғары коперативтік міндеттеме алуға негіз болатын Стратегиялық бағдарға (Х) беріледі  және ол арнайы ізденіс механизмін (М) (Аксел</w:t>
      </w:r>
      <w:r>
        <w:rPr>
          <w:rFonts w:ascii="Times New Roman" w:hAnsi="Times New Roman" w:cs="Times New Roman"/>
          <w:sz w:val="28"/>
          <w:szCs w:val="28"/>
          <w:lang w:val="kk-KZ" w:eastAsia="zh-CN"/>
        </w:rPr>
        <w:t xml:space="preserve">ераторлар, КВҚ) кәсіпорын деңгейінде институционализациялауды қаматамыз етеді. </w:t>
      </w: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noProof/>
          <w:sz w:val="28"/>
          <w:szCs w:val="20"/>
        </w:rPr>
        <mc:AlternateContent>
          <mc:Choice Requires="wpg">
            <w:drawing>
              <wp:anchor distT="0" distB="0" distL="114300" distR="114300" simplePos="0" relativeHeight="251686912" behindDoc="0" locked="0" layoutInCell="1" allowOverlap="1">
                <wp:simplePos x="0" y="0"/>
                <wp:positionH relativeFrom="column">
                  <wp:posOffset>208280</wp:posOffset>
                </wp:positionH>
                <wp:positionV relativeFrom="paragraph">
                  <wp:posOffset>-21590</wp:posOffset>
                </wp:positionV>
                <wp:extent cx="5835650" cy="3784600"/>
                <wp:effectExtent l="0" t="38100" r="107950" b="0"/>
                <wp:wrapNone/>
                <wp:docPr id="82" name="Group 82"/>
                <wp:cNvGraphicFramePr/>
                <a:graphic xmlns:a="http://schemas.openxmlformats.org/drawingml/2006/main">
                  <a:graphicData uri="http://schemas.microsoft.com/office/word/2010/wordprocessingGroup">
                    <wpg:wgp>
                      <wpg:cNvGrpSpPr/>
                      <wpg:grpSpPr>
                        <a:xfrm>
                          <a:off x="0" y="0"/>
                          <a:ext cx="5835878" cy="3784600"/>
                          <a:chOff x="2850" y="104912"/>
                          <a:chExt cx="13532" cy="5960"/>
                        </a:xfrm>
                      </wpg:grpSpPr>
                      <wps:wsp>
                        <wps:cNvPr id="83" name="Rounded Rectangle 1"/>
                        <wps:cNvSpPr/>
                        <wps:spPr>
                          <a:xfrm>
                            <a:off x="3004" y="107648"/>
                            <a:ext cx="3973"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4"/>
                                  <w:szCs w:val="24"/>
                                  <w:lang w:val="kk-KZ" w:eastAsia="zh-CN"/>
                                </w:rPr>
                              </w:pPr>
                              <w:r>
                                <w:rPr>
                                  <w:rFonts w:ascii="Times New Roman" w:hAnsi="Times New Roman" w:cs="Times New Roman"/>
                                  <w:bCs/>
                                  <w:i/>
                                  <w:color w:val="000000" w:themeColor="text1"/>
                                  <w:sz w:val="24"/>
                                  <w:szCs w:val="24"/>
                                  <w:lang w:val="kk-KZ" w:eastAsia="zh-CN"/>
                                </w:rPr>
                                <w:t>Тұрақты ашық инновацияларға Стратегиялық бағыттылық (Х)</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Rounded Rectangle 2"/>
                        <wps:cNvSpPr/>
                        <wps:spPr>
                          <a:xfrm>
                            <a:off x="7784" y="107657"/>
                            <a:ext cx="3845"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4"/>
                                  <w:szCs w:val="24"/>
                                  <w:lang w:val="kk-KZ" w:eastAsia="zh-CN"/>
                                </w:rPr>
                              </w:pPr>
                              <w:r>
                                <w:rPr>
                                  <w:rFonts w:ascii="Times New Roman" w:hAnsi="Times New Roman" w:cs="Times New Roman"/>
                                  <w:bCs/>
                                  <w:i/>
                                  <w:color w:val="000000" w:themeColor="text1"/>
                                  <w:sz w:val="24"/>
                                  <w:szCs w:val="24"/>
                                  <w:lang w:val="kk-KZ" w:eastAsia="zh-CN"/>
                                </w:rPr>
                                <w:t>Ашық ізденіс механизмдері (акселератор/КВҚ) (М)</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Rounded Rectangle 3"/>
                        <wps:cNvSpPr/>
                        <wps:spPr>
                          <a:xfrm>
                            <a:off x="9841" y="104912"/>
                            <a:ext cx="4230"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kk-KZ" w:eastAsia="zh-CN"/>
                                </w:rPr>
                                <w:t xml:space="preserve">Инновациялық масштабтауға дайындық </w:t>
                              </w:r>
                              <w:r>
                                <w:rPr>
                                  <w:rFonts w:ascii="Times New Roman" w:hAnsi="Times New Roman" w:cs="Times New Roman"/>
                                  <w:bCs/>
                                  <w:i/>
                                  <w:color w:val="000000" w:themeColor="text1"/>
                                  <w:sz w:val="24"/>
                                  <w:szCs w:val="24"/>
                                  <w:lang w:val="en-US" w:eastAsia="zh-CN"/>
                                </w:rPr>
                                <w:t>(W)</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Rounded Rectangle 4"/>
                        <wps:cNvSpPr/>
                        <wps:spPr>
                          <a:xfrm>
                            <a:off x="12461" y="107683"/>
                            <a:ext cx="3921"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kk-KZ" w:eastAsia="zh-CN"/>
                                </w:rPr>
                                <w:t xml:space="preserve">Корпоративтік </w:t>
                              </w:r>
                              <w:r>
                                <w:rPr>
                                  <w:rFonts w:ascii="Times New Roman" w:hAnsi="Times New Roman" w:cs="Times New Roman"/>
                                  <w:bCs/>
                                  <w:i/>
                                  <w:color w:val="000000" w:themeColor="text1"/>
                                  <w:sz w:val="24"/>
                                  <w:szCs w:val="24"/>
                                  <w:lang w:val="kk-KZ" w:eastAsia="zh-CN"/>
                                </w:rPr>
                                <w:t>тұрақтылық (</w:t>
                              </w:r>
                              <w:r>
                                <w:rPr>
                                  <w:rFonts w:ascii="Times New Roman" w:hAnsi="Times New Roman" w:cs="Times New Roman"/>
                                  <w:bCs/>
                                  <w:i/>
                                  <w:color w:val="000000" w:themeColor="text1"/>
                                  <w:sz w:val="24"/>
                                  <w:szCs w:val="24"/>
                                  <w:lang w:val="en-US" w:eastAsia="zh-CN"/>
                                </w:rPr>
                                <w:t xml:space="preserve">ESG </w:t>
                              </w:r>
                              <w:r>
                                <w:rPr>
                                  <w:rFonts w:ascii="Times New Roman" w:hAnsi="Times New Roman" w:cs="Times New Roman"/>
                                  <w:bCs/>
                                  <w:i/>
                                  <w:color w:val="000000" w:themeColor="text1"/>
                                  <w:sz w:val="24"/>
                                  <w:szCs w:val="24"/>
                                  <w:lang w:val="kk-KZ" w:eastAsia="zh-CN"/>
                                </w:rPr>
                                <w:t>нәтижелері) (</w:t>
                              </w:r>
                              <w:r>
                                <w:rPr>
                                  <w:rFonts w:ascii="Times New Roman" w:hAnsi="Times New Roman" w:cs="Times New Roman"/>
                                  <w:bCs/>
                                  <w:i/>
                                  <w:color w:val="000000" w:themeColor="text1"/>
                                  <w:sz w:val="24"/>
                                  <w:szCs w:val="24"/>
                                  <w:lang w:val="en-US" w:eastAsia="zh-CN"/>
                                </w:rPr>
                                <w:t>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Straight Arrow Connector 5"/>
                        <wps:cNvCnPr/>
                        <wps:spPr>
                          <a:xfrm flipV="1">
                            <a:off x="6892" y="108703"/>
                            <a:ext cx="918" cy="0"/>
                          </a:xfrm>
                          <a:prstGeom prst="straightConnector1">
                            <a:avLst/>
                          </a:prstGeom>
                          <a:noFill/>
                          <a:ln w="28575" cap="flat" cmpd="sng" algn="ctr">
                            <a:solidFill>
                              <a:sysClr val="windowText" lastClr="000000"/>
                            </a:solidFill>
                            <a:prstDash val="solid"/>
                            <a:miter lim="800000"/>
                            <a:tailEnd type="arrow"/>
                          </a:ln>
                          <a:effectLst/>
                        </wps:spPr>
                        <wps:style>
                          <a:lnRef idx="2">
                            <a:schemeClr val="accent1"/>
                          </a:lnRef>
                          <a:fillRef idx="0">
                            <a:srgbClr val="FFFFFF"/>
                          </a:fillRef>
                          <a:effectRef idx="0">
                            <a:srgbClr val="FFFFFF"/>
                          </a:effectRef>
                          <a:fontRef idx="minor">
                            <a:schemeClr val="tx1"/>
                          </a:fontRef>
                        </wps:style>
                        <wps:bodyPr/>
                      </wps:wsp>
                      <wps:wsp>
                        <wps:cNvPr id="13" name="Straight Arrow Connector 7"/>
                        <wps:cNvCnPr/>
                        <wps:spPr>
                          <a:xfrm flipV="1">
                            <a:off x="11544" y="108673"/>
                            <a:ext cx="918" cy="0"/>
                          </a:xfrm>
                          <a:prstGeom prst="straightConnector1">
                            <a:avLst/>
                          </a:prstGeom>
                          <a:noFill/>
                          <a:ln w="28575" cap="flat" cmpd="sng" algn="ctr">
                            <a:solidFill>
                              <a:sysClr val="windowText" lastClr="000000"/>
                            </a:solidFill>
                            <a:prstDash val="solid"/>
                            <a:miter lim="800000"/>
                            <a:tailEnd type="arrow"/>
                          </a:ln>
                          <a:effectLst/>
                        </wps:spPr>
                        <wps:style>
                          <a:lnRef idx="2">
                            <a:schemeClr val="accent1"/>
                          </a:lnRef>
                          <a:fillRef idx="0">
                            <a:srgbClr val="FFFFFF"/>
                          </a:fillRef>
                          <a:effectRef idx="0">
                            <a:srgbClr val="FFFFFF"/>
                          </a:effectRef>
                          <a:fontRef idx="minor">
                            <a:schemeClr val="tx1"/>
                          </a:fontRef>
                        </wps:style>
                        <wps:bodyPr/>
                      </wps:wsp>
                      <wps:wsp>
                        <wps:cNvPr id="14" name="Straight Arrow Connector 9"/>
                        <wps:cNvCnPr/>
                        <wps:spPr>
                          <a:xfrm flipH="1">
                            <a:off x="11967" y="107036"/>
                            <a:ext cx="12" cy="1615"/>
                          </a:xfrm>
                          <a:prstGeom prst="straightConnector1">
                            <a:avLst/>
                          </a:prstGeom>
                          <a:noFill/>
                          <a:ln w="28575" cap="flat" cmpd="dbl" algn="ctr">
                            <a:solidFill>
                              <a:srgbClr val="00B050"/>
                            </a:solidFill>
                            <a:prstDash val="dash"/>
                            <a:miter lim="800000"/>
                            <a:tailEnd type="arrow"/>
                          </a:ln>
                          <a:effectLst/>
                        </wps:spPr>
                        <wps:style>
                          <a:lnRef idx="2">
                            <a:schemeClr val="accent1"/>
                          </a:lnRef>
                          <a:fillRef idx="0">
                            <a:srgbClr val="FFFFFF"/>
                          </a:fillRef>
                          <a:effectRef idx="0">
                            <a:srgbClr val="FFFFFF"/>
                          </a:effectRef>
                          <a:fontRef idx="minor">
                            <a:schemeClr val="tx1"/>
                          </a:fontRef>
                        </wps:style>
                        <wps:bodyPr/>
                      </wps:wsp>
                      <wps:wsp>
                        <wps:cNvPr id="28" name="Rectangles 11"/>
                        <wps:cNvSpPr/>
                        <wps:spPr>
                          <a:xfrm>
                            <a:off x="6723" y="108982"/>
                            <a:ext cx="1308" cy="603"/>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en-US" w:eastAsia="zh-CN"/>
                                </w:rPr>
                                <w:t>X→M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 name="Rectangles 12"/>
                        <wps:cNvSpPr/>
                        <wps:spPr>
                          <a:xfrm>
                            <a:off x="11322" y="108863"/>
                            <a:ext cx="1308" cy="603"/>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en-US" w:eastAsia="zh-CN"/>
                                </w:rPr>
                                <w:t>M→Y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0" name="Rectangles 14"/>
                        <wps:cNvSpPr/>
                        <wps:spPr>
                          <a:xfrm>
                            <a:off x="2850" y="110000"/>
                            <a:ext cx="12222" cy="872"/>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color w:val="000000" w:themeColor="text1"/>
                                  <w:sz w:val="24"/>
                                  <w:szCs w:val="24"/>
                                  <w:lang w:val="kk-KZ" w:eastAsia="zh-CN"/>
                                </w:rPr>
                              </w:pPr>
                              <w:r>
                                <w:rPr>
                                  <w:rFonts w:ascii="Times New Roman" w:hAnsi="Times New Roman" w:cs="Times New Roman"/>
                                  <w:color w:val="000000" w:themeColor="text1"/>
                                  <w:sz w:val="24"/>
                                  <w:szCs w:val="24"/>
                                  <w:lang w:val="kk-KZ" w:eastAsia="zh-CN"/>
                                </w:rPr>
                                <w:t xml:space="preserve">Медиациялық әсер: </w:t>
                              </w:r>
                              <w:r>
                                <w:rPr>
                                  <w:rFonts w:ascii="Times New Roman" w:hAnsi="Times New Roman" w:cs="Times New Roman"/>
                                  <w:color w:val="000000" w:themeColor="text1"/>
                                  <w:sz w:val="24"/>
                                  <w:szCs w:val="24"/>
                                  <w:lang w:val="en-US" w:eastAsia="zh-CN"/>
                                </w:rPr>
                                <w:t xml:space="preserve">X </w:t>
                              </w:r>
                              <w:r>
                                <w:rPr>
                                  <w:rFonts w:ascii="Times New Roman" w:hAnsi="Times New Roman" w:cs="Times New Roman"/>
                                  <w:color w:val="000000" w:themeColor="text1"/>
                                  <w:sz w:val="24"/>
                                  <w:szCs w:val="24"/>
                                  <w:lang w:val="kk-KZ" w:eastAsia="zh-CN"/>
                                </w:rPr>
                                <w:t xml:space="preserve">арқылы М, одан кейін </w:t>
                              </w:r>
                              <w:r>
                                <w:rPr>
                                  <w:rFonts w:ascii="Times New Roman" w:hAnsi="Times New Roman" w:cs="Times New Roman"/>
                                  <w:color w:val="000000" w:themeColor="text1"/>
                                  <w:sz w:val="24"/>
                                  <w:szCs w:val="24"/>
                                  <w:lang w:val="en-US" w:eastAsia="zh-CN"/>
                                </w:rPr>
                                <w:t>Y-</w:t>
                              </w:r>
                              <w:r>
                                <w:rPr>
                                  <w:rFonts w:ascii="Times New Roman" w:hAnsi="Times New Roman" w:cs="Times New Roman"/>
                                  <w:color w:val="000000" w:themeColor="text1"/>
                                  <w:sz w:val="24"/>
                                  <w:szCs w:val="24"/>
                                  <w:lang w:val="kk-KZ" w:eastAsia="zh-CN"/>
                                </w:rPr>
                                <w:t>ке әсер етеді</w:t>
                              </w:r>
                            </w:p>
                            <w:p w:rsidR="005118AF" w:rsidRDefault="00EF60C3">
                              <w:pPr>
                                <w:spacing w:after="0" w:line="240" w:lineRule="auto"/>
                                <w:jc w:val="center"/>
                                <w:rPr>
                                  <w:rFonts w:ascii="Times New Roman" w:hAnsi="Times New Roman" w:cs="Times New Roman"/>
                                  <w:color w:val="000000" w:themeColor="text1"/>
                                  <w:sz w:val="24"/>
                                  <w:szCs w:val="24"/>
                                  <w:lang w:val="kk-KZ" w:eastAsia="zh-CN"/>
                                </w:rPr>
                              </w:pPr>
                              <w:r>
                                <w:rPr>
                                  <w:rFonts w:ascii="Times New Roman" w:hAnsi="Times New Roman" w:cs="Times New Roman"/>
                                  <w:color w:val="000000" w:themeColor="text1"/>
                                  <w:sz w:val="24"/>
                                  <w:szCs w:val="24"/>
                                  <w:lang w:val="kk-KZ" w:eastAsia="zh-CN"/>
                                </w:rPr>
                                <w:t>Модерациялық әсер: W көрсеткіші M→Y  байланысының күшін өзгертеді</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82" o:spid="_x0000_s1180" style="position:absolute;left:0;text-align:left;margin-left:16.4pt;margin-top:-1.7pt;width:459.5pt;height:298pt;z-index:251686912" coordorigin="2850,104912" coordsize="13532,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">
                <v:roundrect id="Rounded Rectangle 1" o:spid="_x0000_s1181" style="position:absolute;left:3004;top:107648;width:3973;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hPBMMA&#10;AADbAAAADwAAAGRycy9kb3ducmV2LnhtbESPzYvCMBTE7wv+D+EJe1tTFT+oRhFB9CZ+HDw+mmdT&#10;bF5qE9vu/vUbYWGPw8z8hlmuO1uKhmpfOFYwHCQgiDOnC84VXC+7rzkIH5A1lo5JwTd5WK96H0tM&#10;tWv5RM055CJC2KeowIRQpVL6zJBFP3AVcfTurrYYoqxzqWtsI9yWcpQkU2mx4LhgsKKtoexxflkF&#10;9jkbusntkO2fpuJNq4/T4qdR6rPfbRYgAnXhP/zXPmgF8zG8v8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hPBMMAAADbAAAADwAAAAAAAAAAAAAAAACYAgAAZHJzL2Rv&#10;d25yZXYueG1sUEsFBgAAAAAEAAQA9QAAAIgDA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Cs/>
                            <w:i/>
                            <w:color w:val="000000" w:themeColor="text1"/>
                            <w:sz w:val="24"/>
                            <w:szCs w:val="24"/>
                            <w:lang w:val="kk-KZ" w:eastAsia="zh-CN"/>
                          </w:rPr>
                        </w:pPr>
                        <w:r>
                          <w:rPr>
                            <w:rFonts w:ascii="Times New Roman" w:hAnsi="Times New Roman" w:cs="Times New Roman"/>
                            <w:bCs/>
                            <w:i/>
                            <w:color w:val="000000" w:themeColor="text1"/>
                            <w:sz w:val="24"/>
                            <w:szCs w:val="24"/>
                            <w:lang w:val="kk-KZ" w:eastAsia="zh-CN"/>
                          </w:rPr>
                          <w:t>Тұрақты ашық инновацияларға Стратегиялық бағыттылық (Х)</w:t>
                        </w:r>
                      </w:p>
                    </w:txbxContent>
                  </v:textbox>
                </v:roundrect>
                <v:roundrect id="Rounded Rectangle 2" o:spid="_x0000_s1182" style="position:absolute;left:7784;top:107657;width:3845;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kTMMA&#10;AADaAAAADwAAAGRycy9kb3ducmV2LnhtbESPwWrDMBBE74H+g9hCb7GcQpziRgmhUOJbaJJDjou0&#10;tUytlWOptpuvrwqFHIeZecOst5NrxUB9aDwrWGQ5CGLtTcO1gvPpff4CIkRkg61nUvBDAbabh9ka&#10;S+NH/qDhGGuRIBxKVGBj7Eopg7bkMGS+I07ep+8dxiT7WpoexwR3rXzO80I6bDgtWOzozZL+On47&#10;Be66WvjlpdL7q+14N5pD0dwGpZ4ep90riEhTvIf/25VRsIK/K+kG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UkTMMAAADaAAAADwAAAAAAAAAAAAAAAACYAgAAZHJzL2Rv&#10;d25yZXYueG1sUEsFBgAAAAAEAAQA9QAAAIgDA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Cs/>
                            <w:i/>
                            <w:color w:val="000000" w:themeColor="text1"/>
                            <w:sz w:val="24"/>
                            <w:szCs w:val="24"/>
                            <w:lang w:val="kk-KZ" w:eastAsia="zh-CN"/>
                          </w:rPr>
                        </w:pPr>
                        <w:r>
                          <w:rPr>
                            <w:rFonts w:ascii="Times New Roman" w:hAnsi="Times New Roman" w:cs="Times New Roman"/>
                            <w:bCs/>
                            <w:i/>
                            <w:color w:val="000000" w:themeColor="text1"/>
                            <w:sz w:val="24"/>
                            <w:szCs w:val="24"/>
                            <w:lang w:val="kk-KZ" w:eastAsia="zh-CN"/>
                          </w:rPr>
                          <w:t>Ашық ізденіс механизмдері (акселератор/КВҚ) (М)</w:t>
                        </w:r>
                      </w:p>
                    </w:txbxContent>
                  </v:textbox>
                </v:roundrect>
                <v:roundrect id="Rounded Rectangle 3" o:spid="_x0000_s1183" style="position:absolute;left:9841;top:104912;width:4230;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YVpcEA&#10;AADaAAAADwAAAGRycy9kb3ducmV2LnhtbESPQYvCMBSE74L/ITxhb5oqrKvVKCLIepNVDx4fzbMp&#10;Ni+1iW3XX2+EhT0OM/MNs1x3thQN1b5wrGA8SkAQZ04XnCs4n3bDGQgfkDWWjknBL3lYr/q9Jaba&#10;tfxDzTHkIkLYp6jAhFClUvrMkEU/chVx9K6uthiirHOpa2wj3JZykiRTabHguGCwoq2h7HZ8WAX2&#10;/jV2n5d99n03FW9afZgWz0apj0G3WYAI1IX/8F97rxXM4X0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WFaXBAAAA2gAAAA8AAAAAAAAAAAAAAAAAmAIAAGRycy9kb3du&#10;cmV2LnhtbFBLBQYAAAAABAAEAPUAAACGAw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kk-KZ" w:eastAsia="zh-CN"/>
                          </w:rPr>
                          <w:t xml:space="preserve">Инновациялық масштабтауға дайындық </w:t>
                        </w:r>
                        <w:r>
                          <w:rPr>
                            <w:rFonts w:ascii="Times New Roman" w:hAnsi="Times New Roman" w:cs="Times New Roman"/>
                            <w:bCs/>
                            <w:i/>
                            <w:color w:val="000000" w:themeColor="text1"/>
                            <w:sz w:val="24"/>
                            <w:szCs w:val="24"/>
                            <w:lang w:val="en-US" w:eastAsia="zh-CN"/>
                          </w:rPr>
                          <w:t>(W)</w:t>
                        </w:r>
                      </w:p>
                    </w:txbxContent>
                  </v:textbox>
                </v:roundrect>
                <v:roundrect id="Rounded Rectangle 4" o:spid="_x0000_s1184" style="position:absolute;left:12461;top:107683;width:3921;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zhb8EA&#10;AADbAAAADwAAAGRycy9kb3ducmV2LnhtbERPPWvDMBDdC/kP4gLdatmFusGxEkKgxFtpmiHjYV0s&#10;E+vkWIrt9tdXhUK3e7zPK7ez7cRIg28dK8iSFARx7XTLjYLT59vTCoQPyBo7x6TgizxsN4uHEgvt&#10;Jv6g8RgaEUPYF6jAhNAXUvrakEWfuJ44chc3WAwRDo3UA04x3HbyOU1zabHl2GCwp72h+nq8WwX2&#10;9pq5l3NVH26m592k3/P2e1TqcTnv1iACzeFf/Oeu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M4W/BAAAA2wAAAA8AAAAAAAAAAAAAAAAAmAIAAGRycy9kb3du&#10;cmV2LnhtbFBLBQYAAAAABAAEAPUAAACGAw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kk-KZ" w:eastAsia="zh-CN"/>
                          </w:rPr>
                          <w:t xml:space="preserve">Корпоративтік </w:t>
                        </w:r>
                        <w:r>
                          <w:rPr>
                            <w:rFonts w:ascii="Times New Roman" w:hAnsi="Times New Roman" w:cs="Times New Roman"/>
                            <w:bCs/>
                            <w:i/>
                            <w:color w:val="000000" w:themeColor="text1"/>
                            <w:sz w:val="24"/>
                            <w:szCs w:val="24"/>
                            <w:lang w:val="kk-KZ" w:eastAsia="zh-CN"/>
                          </w:rPr>
                          <w:t>тұрақтылық (</w:t>
                        </w:r>
                        <w:r>
                          <w:rPr>
                            <w:rFonts w:ascii="Times New Roman" w:hAnsi="Times New Roman" w:cs="Times New Roman"/>
                            <w:bCs/>
                            <w:i/>
                            <w:color w:val="000000" w:themeColor="text1"/>
                            <w:sz w:val="24"/>
                            <w:szCs w:val="24"/>
                            <w:lang w:val="en-US" w:eastAsia="zh-CN"/>
                          </w:rPr>
                          <w:t xml:space="preserve">ESG </w:t>
                        </w:r>
                        <w:r>
                          <w:rPr>
                            <w:rFonts w:ascii="Times New Roman" w:hAnsi="Times New Roman" w:cs="Times New Roman"/>
                            <w:bCs/>
                            <w:i/>
                            <w:color w:val="000000" w:themeColor="text1"/>
                            <w:sz w:val="24"/>
                            <w:szCs w:val="24"/>
                            <w:lang w:val="kk-KZ" w:eastAsia="zh-CN"/>
                          </w:rPr>
                          <w:t>нәтижелері) (</w:t>
                        </w:r>
                        <w:r>
                          <w:rPr>
                            <w:rFonts w:ascii="Times New Roman" w:hAnsi="Times New Roman" w:cs="Times New Roman"/>
                            <w:bCs/>
                            <w:i/>
                            <w:color w:val="000000" w:themeColor="text1"/>
                            <w:sz w:val="24"/>
                            <w:szCs w:val="24"/>
                            <w:lang w:val="en-US" w:eastAsia="zh-CN"/>
                          </w:rPr>
                          <w:t>Y)</w:t>
                        </w:r>
                      </w:p>
                    </w:txbxContent>
                  </v:textbox>
                </v:roundrect>
                <v:shape id="Straight Arrow Connector 5" o:spid="_x0000_s1185" type="#_x0000_t32" style="position:absolute;left:6892;top:108703;width:91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ClLcEAAADbAAAADwAAAGRycy9kb3ducmV2LnhtbESPQYvCMBCF78L+hzALe9NUF0WqqYiL&#10;6Em0Lux1aKZtsJmUJqv13xtB8DbDe/O+N8tVbxtxpc4bxwrGowQEceG04UrB73k7nIPwAVlj45gU&#10;3MnDKvsYLDHV7sYnuuahEjGEfYoK6hDaVEpf1GTRj1xLHLXSdRZDXLtK6g5vMdw2cpIkM2nRcCTU&#10;2NKmpuKS/9vIPWCZNMcfY7/N32mzZ55Od6zU12e/XoAI1Ie3+XW917H+BJ6/xAFk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AKUtwQAAANsAAAAPAAAAAAAAAAAAAAAA&#10;AKECAABkcnMvZG93bnJldi54bWxQSwUGAAAAAAQABAD5AAAAjwMAAAAA&#10;" strokecolor="windowText" strokeweight="2.25pt">
                  <v:stroke endarrow="open" joinstyle="miter"/>
                </v:shape>
                <v:shape id="Straight Arrow Connector 7" o:spid="_x0000_s1186" type="#_x0000_t32" style="position:absolute;left:11544;top:108673;width:91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wAtsEAAADbAAAADwAAAGRycy9kb3ducmV2LnhtbESPQYvCMBCF78L+hzAL3jR1RZFqKuKy&#10;6Em0Lux1aKZtsJmUJqv13xtB8DbDe/O+N6t1bxtxpc4bxwom4wQEceG04UrB7/lntADhA7LGxjEp&#10;uJOHdfYxWGGq3Y1PdM1DJWII+xQV1CG0qZS+qMmiH7uWOGql6yyGuHaV1B3eYrht5FeSzKVFw5FQ&#10;Y0vbmopL/m8j94Bl0hy/jZ2av9N2zzyb7Vip4We/WYII1Ie3+XW917H+FJ6/xAFk9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TAC2wQAAANsAAAAPAAAAAAAAAAAAAAAA&#10;AKECAABkcnMvZG93bnJldi54bWxQSwUGAAAAAAQABAD5AAAAjwMAAAAA&#10;" strokecolor="windowText" strokeweight="2.25pt">
                  <v:stroke endarrow="open" joinstyle="miter"/>
                </v:shape>
                <v:shape id="Straight Arrow Connector 9" o:spid="_x0000_s1187" type="#_x0000_t32" style="position:absolute;left:11967;top:107036;width:12;height:1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uWicIAAADbAAAADwAAAGRycy9kb3ducmV2LnhtbERPS2sCMRC+C/0PYQreNLGIyNa4lJZi&#10;wfbgKvQ6bMZ9uJksm6i7/vqmIHibj+85q7S3jbhQ5yvHGmZTBYI4d6biQsNh/zlZgvAB2WDjmDQM&#10;5CFdP41WmBh35R1dslCIGMI+QQ1lCG0ipc9LsuinriWO3NF1FkOEXSFNh9cYbhv5otRCWqw4NpTY&#10;0ntJ+Sk7Ww27zPjfW202avt9XszUz1BvPgatx8/92yuIQH14iO/uLxPnz+H/l3i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uWicIAAADbAAAADwAAAAAAAAAAAAAA&#10;AAChAgAAZHJzL2Rvd25yZXYueG1sUEsFBgAAAAAEAAQA+QAAAJADAAAAAA==&#10;" strokecolor="#00b050" strokeweight="2.25pt">
                  <v:stroke dashstyle="dash" endarrow="open" linestyle="thinThin" joinstyle="miter"/>
                </v:shape>
                <v:rect id="Rectangles 11" o:spid="_x0000_s1188" style="position:absolute;left:6723;top:108982;width:1308;height: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7S078A&#10;AADbAAAADwAAAGRycy9kb3ducmV2LnhtbERPy4rCMBTdC/5DuII7TXUhUo0yCjIjLgYfs7+TXNsy&#10;zU1JYlv/3iwGXB7Oe73tbS1a8qFyrGA2zUAQa2cqLhTcrofJEkSIyAZrx6TgSQG2m+FgjblxHZ+p&#10;vcRCpBAOOSooY2xyKYMuyWKYuoY4cXfnLcYEfSGNxy6F21rOs2whLVacGkpsaF+S/rs8rIIfd991&#10;Vv/ysX1+V4/Pk9d6eVJqPOo/ViAi9fEt/nd/GQXzNDZ9ST9Ab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ztLTvwAAANsAAAAPAAAAAAAAAAAAAAAAAJgCAABkcnMvZG93bnJl&#10;di54bWxQSwUGAAAAAAQABAD1AAAAhAMAAAAA&#10;" filled="f" stroked="f" strokeweight="1pt">
                  <v:textbox>
                    <w:txbxContent>
                      <w:p w:rsidR="005118AF" w:rsidRDefault="00EF60C3">
                        <w:pPr>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en-US" w:eastAsia="zh-CN"/>
                          </w:rPr>
                          <w:t>X→M</w:t>
                        </w:r>
                      </w:p>
                    </w:txbxContent>
                  </v:textbox>
                </v:rect>
                <v:rect id="Rectangles 12" o:spid="_x0000_s1189" style="position:absolute;left:11322;top:108863;width:1308;height: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J3SMMA&#10;AADbAAAADwAAAGRycy9kb3ducmV2LnhtbESPT2sCMRTE7wW/Q3iCt5rVg9jVKCpIWzyU+uf+TJ67&#10;i5uXJYm767dvCoUeh5n5DbNc97YWLflQOVYwGWcgiLUzFRcKzqf96xxEiMgGa8ek4EkB1qvByxJz&#10;4zr+pvYYC5EgHHJUUMbY5FIGXZLFMHYNcfJuzluMSfpCGo9dgttaTrNsJi1WnBZKbGhXkr4fH1bB&#10;xd22ndVX/myfX9Xj/eC1nh+UGg37zQJEpD7+h//aH0bB9A1+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J3SMMAAADbAAAADwAAAAAAAAAAAAAAAACYAgAAZHJzL2Rv&#10;d25yZXYueG1sUEsFBgAAAAAEAAQA9QAAAIgDAAAAAA==&#10;" filled="f" stroked="f" strokeweight="1pt">
                  <v:textbox>
                    <w:txbxContent>
                      <w:p w:rsidR="005118AF" w:rsidRDefault="00EF60C3">
                        <w:pPr>
                          <w:spacing w:after="0" w:line="240" w:lineRule="auto"/>
                          <w:jc w:val="center"/>
                          <w:rPr>
                            <w:rFonts w:ascii="Times New Roman" w:hAnsi="Times New Roman" w:cs="Times New Roman"/>
                            <w:color w:val="000000" w:themeColor="text1"/>
                            <w:sz w:val="20"/>
                            <w:szCs w:val="20"/>
                            <w:lang w:val="en-US" w:eastAsia="zh-CN"/>
                          </w:rPr>
                        </w:pPr>
                        <w:r>
                          <w:rPr>
                            <w:rFonts w:ascii="Times New Roman" w:hAnsi="Times New Roman" w:cs="Times New Roman"/>
                            <w:color w:val="000000" w:themeColor="text1"/>
                            <w:sz w:val="20"/>
                            <w:szCs w:val="20"/>
                            <w:lang w:val="en-US" w:eastAsia="zh-CN"/>
                          </w:rPr>
                          <w:t>M→Y</w:t>
                        </w:r>
                      </w:p>
                    </w:txbxContent>
                  </v:textbox>
                </v:rect>
                <v:rect id="Rectangles 14" o:spid="_x0000_s1190" style="position:absolute;left:2850;top:110000;width:12222;height: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FICL8A&#10;AADbAAAADwAAAGRycy9kb3ducmV2LnhtbERPz2vCMBS+D/wfwhO8zXQTRDqjbIJM8SDW7f6WPNuy&#10;5qUksa3/vTkIHj++38v1YBvRkQ+1YwVv0wwEsXam5lLBz3n7ugARIrLBxjEpuFGA9Wr0ssTcuJ5P&#10;1BWxFCmEQ44KqhjbXMqgK7IYpq4lTtzFeYsxQV9K47FP4baR71k2lxZrTg0VtrSpSP8XV6vg112+&#10;eqv/eN/djvX1++C1XhyUmoyHzw8QkYb4FD/cO6Ngltan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YUgIvwAAANsAAAAPAAAAAAAAAAAAAAAAAJgCAABkcnMvZG93bnJl&#10;di54bWxQSwUGAAAAAAQABAD1AAAAhAMAAAAA&#10;" filled="f" stroked="f" strokeweight="1pt">
                  <v:textbox>
                    <w:txbxContent>
                      <w:p w:rsidR="005118AF" w:rsidRDefault="00EF60C3">
                        <w:pPr>
                          <w:spacing w:after="0" w:line="240" w:lineRule="auto"/>
                          <w:jc w:val="center"/>
                          <w:rPr>
                            <w:rFonts w:ascii="Times New Roman" w:hAnsi="Times New Roman" w:cs="Times New Roman"/>
                            <w:color w:val="000000" w:themeColor="text1"/>
                            <w:sz w:val="24"/>
                            <w:szCs w:val="24"/>
                            <w:lang w:val="kk-KZ" w:eastAsia="zh-CN"/>
                          </w:rPr>
                        </w:pPr>
                        <w:r>
                          <w:rPr>
                            <w:rFonts w:ascii="Times New Roman" w:hAnsi="Times New Roman" w:cs="Times New Roman"/>
                            <w:color w:val="000000" w:themeColor="text1"/>
                            <w:sz w:val="24"/>
                            <w:szCs w:val="24"/>
                            <w:lang w:val="kk-KZ" w:eastAsia="zh-CN"/>
                          </w:rPr>
                          <w:t xml:space="preserve">Медиациялық әсер: </w:t>
                        </w:r>
                        <w:r>
                          <w:rPr>
                            <w:rFonts w:ascii="Times New Roman" w:hAnsi="Times New Roman" w:cs="Times New Roman"/>
                            <w:color w:val="000000" w:themeColor="text1"/>
                            <w:sz w:val="24"/>
                            <w:szCs w:val="24"/>
                            <w:lang w:val="en-US" w:eastAsia="zh-CN"/>
                          </w:rPr>
                          <w:t xml:space="preserve">X </w:t>
                        </w:r>
                        <w:r>
                          <w:rPr>
                            <w:rFonts w:ascii="Times New Roman" w:hAnsi="Times New Roman" w:cs="Times New Roman"/>
                            <w:color w:val="000000" w:themeColor="text1"/>
                            <w:sz w:val="24"/>
                            <w:szCs w:val="24"/>
                            <w:lang w:val="kk-KZ" w:eastAsia="zh-CN"/>
                          </w:rPr>
                          <w:t xml:space="preserve">арқылы М, одан кейін </w:t>
                        </w:r>
                        <w:r>
                          <w:rPr>
                            <w:rFonts w:ascii="Times New Roman" w:hAnsi="Times New Roman" w:cs="Times New Roman"/>
                            <w:color w:val="000000" w:themeColor="text1"/>
                            <w:sz w:val="24"/>
                            <w:szCs w:val="24"/>
                            <w:lang w:val="en-US" w:eastAsia="zh-CN"/>
                          </w:rPr>
                          <w:t>Y-</w:t>
                        </w:r>
                        <w:r>
                          <w:rPr>
                            <w:rFonts w:ascii="Times New Roman" w:hAnsi="Times New Roman" w:cs="Times New Roman"/>
                            <w:color w:val="000000" w:themeColor="text1"/>
                            <w:sz w:val="24"/>
                            <w:szCs w:val="24"/>
                            <w:lang w:val="kk-KZ" w:eastAsia="zh-CN"/>
                          </w:rPr>
                          <w:t>ке әсер етеді</w:t>
                        </w:r>
                      </w:p>
                      <w:p w:rsidR="005118AF" w:rsidRDefault="00EF60C3">
                        <w:pPr>
                          <w:spacing w:after="0" w:line="240" w:lineRule="auto"/>
                          <w:jc w:val="center"/>
                          <w:rPr>
                            <w:rFonts w:ascii="Times New Roman" w:hAnsi="Times New Roman" w:cs="Times New Roman"/>
                            <w:color w:val="000000" w:themeColor="text1"/>
                            <w:sz w:val="24"/>
                            <w:szCs w:val="24"/>
                            <w:lang w:val="kk-KZ" w:eastAsia="zh-CN"/>
                          </w:rPr>
                        </w:pPr>
                        <w:r>
                          <w:rPr>
                            <w:rFonts w:ascii="Times New Roman" w:hAnsi="Times New Roman" w:cs="Times New Roman"/>
                            <w:color w:val="000000" w:themeColor="text1"/>
                            <w:sz w:val="24"/>
                            <w:szCs w:val="24"/>
                            <w:lang w:val="kk-KZ" w:eastAsia="zh-CN"/>
                          </w:rPr>
                          <w:t>Модерациялық әсер: W көрсеткіші M→Y  байланысының күшін өзгертеді</w:t>
                        </w:r>
                      </w:p>
                    </w:txbxContent>
                  </v:textbox>
                </v:rect>
              </v:group>
            </w:pict>
          </mc:Fallback>
        </mc:AlternateConten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noProof/>
          <w:sz w:val="28"/>
          <w:szCs w:val="20"/>
        </w:rPr>
        <mc:AlternateContent>
          <mc:Choice Requires="wps">
            <w:drawing>
              <wp:anchor distT="0" distB="0" distL="114300" distR="114300" simplePos="0" relativeHeight="251688960" behindDoc="0" locked="0" layoutInCell="1" allowOverlap="1">
                <wp:simplePos x="0" y="0"/>
                <wp:positionH relativeFrom="column">
                  <wp:posOffset>3489960</wp:posOffset>
                </wp:positionH>
                <wp:positionV relativeFrom="paragraph">
                  <wp:posOffset>124460</wp:posOffset>
                </wp:positionV>
                <wp:extent cx="1221105" cy="382905"/>
                <wp:effectExtent l="0" t="0" r="0" b="0"/>
                <wp:wrapNone/>
                <wp:docPr id="2" name="Rectangles 13"/>
                <wp:cNvGraphicFramePr/>
                <a:graphic xmlns:a="http://schemas.openxmlformats.org/drawingml/2006/main">
                  <a:graphicData uri="http://schemas.microsoft.com/office/word/2010/wordprocessingShape">
                    <wps:wsp>
                      <wps:cNvSpPr/>
                      <wps:spPr>
                        <a:xfrm>
                          <a:off x="0" y="0"/>
                          <a:ext cx="1221105" cy="382905"/>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
                                <w:bCs/>
                                <w:color w:val="00B050"/>
                                <w:sz w:val="20"/>
                                <w:szCs w:val="20"/>
                                <w:lang w:val="en-US" w:eastAsia="zh-CN"/>
                              </w:rPr>
                            </w:pPr>
                            <w:r>
                              <w:rPr>
                                <w:rFonts w:ascii="Times New Roman" w:hAnsi="Times New Roman" w:cs="Times New Roman"/>
                                <w:b/>
                                <w:bCs/>
                                <w:color w:val="00B050"/>
                                <w:sz w:val="20"/>
                                <w:szCs w:val="20"/>
                                <w:lang w:val="en-US" w:eastAsia="zh-CN"/>
                              </w:rPr>
                              <w:t>W→(M→Y)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13" o:spid="_x0000_s1191" style="position:absolute;left:0;text-align:left;margin-left:274.8pt;margin-top:9.8pt;width:96.15pt;height:30.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" filled="f" stroked="f" strokeweight="1pt">
                <v:textbox>
                  <w:txbxContent>
                    <w:p w:rsidR="005118AF" w:rsidRDefault="00EF60C3">
                      <w:pPr>
                        <w:spacing w:after="0" w:line="240" w:lineRule="auto"/>
                        <w:jc w:val="center"/>
                        <w:rPr>
                          <w:rFonts w:ascii="Times New Roman" w:hAnsi="Times New Roman" w:cs="Times New Roman"/>
                          <w:b/>
                          <w:bCs/>
                          <w:color w:val="00B050"/>
                          <w:sz w:val="20"/>
                          <w:szCs w:val="20"/>
                          <w:lang w:val="en-US" w:eastAsia="zh-CN"/>
                        </w:rPr>
                      </w:pPr>
                      <w:r>
                        <w:rPr>
                          <w:rFonts w:ascii="Times New Roman" w:hAnsi="Times New Roman" w:cs="Times New Roman"/>
                          <w:b/>
                          <w:bCs/>
                          <w:color w:val="00B050"/>
                          <w:sz w:val="20"/>
                          <w:szCs w:val="20"/>
                          <w:lang w:val="en-US" w:eastAsia="zh-CN"/>
                        </w:rPr>
                        <w:t>W→(M→Y)</w:t>
                      </w:r>
                    </w:p>
                  </w:txbxContent>
                </v:textbox>
              </v:rect>
            </w:pict>
          </mc:Fallback>
        </mc:AlternateContent>
      </w:r>
      <w:r>
        <w:rPr>
          <w:noProof/>
          <w:sz w:val="28"/>
          <w:szCs w:val="20"/>
        </w:rPr>
        <mc:AlternateContent>
          <mc:Choice Requires="wps">
            <w:drawing>
              <wp:anchor distT="0" distB="0" distL="114300" distR="114300" simplePos="0" relativeHeight="251689984" behindDoc="0" locked="0" layoutInCell="1" allowOverlap="1">
                <wp:simplePos x="0" y="0"/>
                <wp:positionH relativeFrom="column">
                  <wp:posOffset>3691890</wp:posOffset>
                </wp:positionH>
                <wp:positionV relativeFrom="paragraph">
                  <wp:posOffset>154940</wp:posOffset>
                </wp:positionV>
                <wp:extent cx="1221105" cy="382905"/>
                <wp:effectExtent l="0" t="0" r="0" b="0"/>
                <wp:wrapNone/>
                <wp:docPr id="39" name="Rectangles 39"/>
                <wp:cNvGraphicFramePr/>
                <a:graphic xmlns:a="http://schemas.openxmlformats.org/drawingml/2006/main">
                  <a:graphicData uri="http://schemas.microsoft.com/office/word/2010/wordprocessingShape">
                    <wps:wsp>
                      <wps:cNvSpPr/>
                      <wps:spPr>
                        <a:xfrm>
                          <a:off x="0" y="0"/>
                          <a:ext cx="1221105" cy="382905"/>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5118AF">
                            <w:pPr>
                              <w:rPr>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39" o:spid="_x0000_s1192" style="position:absolute;left:0;text-align:left;margin-left:290.7pt;margin-top:12.2pt;width:96.15pt;height:30.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" filled="f" stroked="f" strokeweight="1pt">
                <v:textbox>
                  <w:txbxContent>
                    <w:p w:rsidR="005118AF" w:rsidRDefault="005118AF">
                      <w:pPr>
                        <w:rPr>
                          <w:lang w:val="en-US" w:eastAsia="zh-CN"/>
                        </w:rPr>
                      </w:pPr>
                    </w:p>
                  </w:txbxContent>
                </v:textbox>
              </v:rect>
            </w:pict>
          </mc:Fallback>
        </mc:AlternateConten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Сурет 25 ‒ Ірі тамақ өнеркәсібі кәсіпорындарының Тұрақты ашық инновациялар моделі </w:t>
      </w:r>
    </w:p>
    <w:p w:rsidR="005118AF" w:rsidRDefault="005118AF">
      <w:pPr>
        <w:tabs>
          <w:tab w:val="left" w:pos="800"/>
          <w:tab w:val="left" w:pos="1134"/>
          <w:tab w:val="left" w:pos="1400"/>
          <w:tab w:val="left" w:pos="1600"/>
          <w:tab w:val="left" w:pos="1800"/>
        </w:tabs>
        <w:spacing w:after="0" w:line="240" w:lineRule="auto"/>
        <w:ind w:firstLine="709"/>
        <w:jc w:val="both"/>
        <w:rPr>
          <w:rFonts w:ascii="Times New Roman" w:hAnsi="Times New Roman" w:cs="Times New Roman"/>
          <w:sz w:val="16"/>
          <w:szCs w:val="16"/>
          <w:lang w:val="kk-KZ" w:eastAsia="zh-CN"/>
        </w:rPr>
      </w:pPr>
    </w:p>
    <w:p w:rsidR="005118AF" w:rsidRDefault="00EF60C3">
      <w:pPr>
        <w:tabs>
          <w:tab w:val="left" w:pos="800"/>
          <w:tab w:val="left" w:pos="1134"/>
          <w:tab w:val="left" w:pos="1400"/>
          <w:tab w:val="left" w:pos="1600"/>
          <w:tab w:val="left" w:pos="1800"/>
        </w:tabs>
        <w:spacing w:after="0" w:line="240" w:lineRule="auto"/>
        <w:ind w:firstLine="709"/>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Ескерту – Медиация және Модерация қағидаларына сүйене отырып, стратегиялық талдау тәсілі негізінде автормен</w:t>
      </w:r>
      <w:r>
        <w:rPr>
          <w:rFonts w:ascii="Times New Roman" w:hAnsi="Times New Roman" w:cs="Times New Roman"/>
          <w:sz w:val="24"/>
          <w:szCs w:val="24"/>
          <w:lang w:val="kk-KZ" w:eastAsia="zh-CN"/>
        </w:rPr>
        <w:t xml:space="preserve"> </w:t>
      </w:r>
      <w:r>
        <w:rPr>
          <w:rFonts w:ascii="Times New Roman" w:hAnsi="Times New Roman" w:cs="Times New Roman"/>
          <w:sz w:val="24"/>
          <w:szCs w:val="24"/>
          <w:lang w:val="kk-KZ" w:eastAsia="zh-CN"/>
        </w:rPr>
        <w:t>қалыптастырылған</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2" w:firstLine="706"/>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Бұл модельдегі шешуші фактор - ізденіс механиз</w:t>
      </w:r>
      <w:r>
        <w:rPr>
          <w:rFonts w:ascii="Times New Roman" w:hAnsi="Times New Roman" w:cs="Times New Roman"/>
          <w:sz w:val="28"/>
          <w:szCs w:val="28"/>
          <w:lang w:val="kk-KZ" w:eastAsia="zh-CN"/>
        </w:rPr>
        <w:t>мінің тиімділігі (М), ол ішкі Масштабтауға дайындық (W) элементіне тікелей тәуелді. Осындай дайындықсыз, ең үздік сыртқы идеялар да кәсіпорын ішінде “кедергіге ұшырайды”. Нәтижесі жаһандық ауқымды ESG-рейтінгінің жүйелі түрде жақсаруымен және экологиялық і</w:t>
      </w:r>
      <w:r>
        <w:rPr>
          <w:rFonts w:ascii="Times New Roman" w:hAnsi="Times New Roman" w:cs="Times New Roman"/>
          <w:sz w:val="28"/>
          <w:szCs w:val="28"/>
          <w:lang w:val="kk-KZ" w:eastAsia="zh-CN"/>
        </w:rPr>
        <w:t xml:space="preserve">здің азаюымен өлшенеді және бұл ұзақ мерзімді бәсекелік артықшылықты қамтамасыз етеді. Бұл ірі кәсіпорындарға арналған модель іштен сыртқы - ішкі дайындықты сыртқы ізденісті күшейтуге негізделген инновациялық моделіне сәйкес келеді. </w:t>
      </w:r>
    </w:p>
    <w:p w:rsidR="005118AF" w:rsidRDefault="00EF60C3">
      <w:pPr>
        <w:tabs>
          <w:tab w:val="left" w:pos="800"/>
          <w:tab w:val="left" w:pos="1134"/>
          <w:tab w:val="left" w:pos="1400"/>
          <w:tab w:val="left" w:pos="1600"/>
          <w:tab w:val="left" w:pos="1800"/>
        </w:tabs>
        <w:spacing w:after="0" w:line="240" w:lineRule="auto"/>
        <w:ind w:firstLineChars="252" w:firstLine="706"/>
        <w:jc w:val="both"/>
        <w:rPr>
          <w:rFonts w:ascii="Times New Roman" w:hAnsi="Times New Roman" w:cs="Times New Roman"/>
          <w:bCs/>
          <w:i/>
          <w:iCs/>
          <w:sz w:val="28"/>
          <w:szCs w:val="28"/>
          <w:lang w:val="kk-KZ" w:eastAsia="zh-CN"/>
        </w:rPr>
      </w:pPr>
      <w:r>
        <w:rPr>
          <w:rFonts w:ascii="Times New Roman" w:hAnsi="Times New Roman" w:cs="Times New Roman"/>
          <w:bCs/>
          <w:i/>
          <w:iCs/>
          <w:sz w:val="28"/>
          <w:szCs w:val="28"/>
          <w:lang w:val="kk-KZ" w:eastAsia="zh-CN"/>
        </w:rPr>
        <w:t xml:space="preserve">Шағын және орта кәсіпорындар үшін Тұрақты ашық инновациялар тұжырымдамалық моделін енгізу бойынша ұсыныстар </w:t>
      </w:r>
    </w:p>
    <w:p w:rsidR="005118AF" w:rsidRDefault="00EF60C3">
      <w:pPr>
        <w:tabs>
          <w:tab w:val="left" w:pos="800"/>
          <w:tab w:val="left" w:pos="1134"/>
          <w:tab w:val="left" w:pos="1400"/>
          <w:tab w:val="left" w:pos="1600"/>
          <w:tab w:val="left" w:pos="1800"/>
        </w:tabs>
        <w:spacing w:after="0" w:line="240" w:lineRule="auto"/>
        <w:ind w:firstLineChars="252" w:firstLine="706"/>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Модельдің жалпы мақсаты - Шағын және орта кәсіпорындарына ашық инновация әдісін пайдалана отырып, тұрақты даму міндеттеріне өтуді операциялық шығын</w:t>
      </w:r>
      <w:r>
        <w:rPr>
          <w:rFonts w:ascii="Times New Roman" w:hAnsi="Times New Roman" w:cs="Times New Roman"/>
          <w:sz w:val="28"/>
          <w:szCs w:val="28"/>
          <w:lang w:val="kk-KZ" w:eastAsia="zh-CN"/>
        </w:rPr>
        <w:t xml:space="preserve">дарды азайту және бәсекеге қабілеттілікті арттыру арқылы жүйелі түрде шешу жолдарын ұсыну. Бұл модель ШОК-тің дайын тұрақты ашық инновациялық шешімдердің тұтынушысы және бейімдеушісі ретінде рөліне негізделген (41-кесте). </w:t>
      </w: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Кесте 41 ‒ Шағын және орта кәсіп</w:t>
      </w:r>
      <w:r>
        <w:rPr>
          <w:rFonts w:ascii="Times New Roman" w:hAnsi="Times New Roman" w:cs="Times New Roman"/>
          <w:sz w:val="28"/>
          <w:szCs w:val="28"/>
          <w:lang w:val="kk-KZ" w:eastAsia="zh-CN"/>
        </w:rPr>
        <w:t>орындарына ашық инновация моделінің элементтері</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7535"/>
      </w:tblGrid>
      <w:tr w:rsidR="005118AF">
        <w:trPr>
          <w:jc w:val="center"/>
        </w:trPr>
        <w:tc>
          <w:tcPr>
            <w:tcW w:w="2013" w:type="dxa"/>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Элемент</w:t>
            </w:r>
          </w:p>
        </w:tc>
        <w:tc>
          <w:tcPr>
            <w:tcW w:w="7535" w:type="dxa"/>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ШОК үшін мағынасы</w:t>
            </w:r>
          </w:p>
        </w:tc>
      </w:tr>
      <w:tr w:rsidR="005118AF">
        <w:trPr>
          <w:jc w:val="center"/>
        </w:trPr>
        <w:tc>
          <w:tcPr>
            <w:tcW w:w="2013" w:type="dxa"/>
            <w:shd w:val="clear" w:color="auto" w:fill="auto"/>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Кіріс (Х)</w:t>
            </w:r>
          </w:p>
        </w:tc>
        <w:tc>
          <w:tcPr>
            <w:tcW w:w="7535" w:type="dxa"/>
            <w:shd w:val="clear" w:color="auto" w:fill="auto"/>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Жоғары операциялылық шығындар, жергілікті бәскелестік, қаржыландыруға шектеулі қолжетімділік</w:t>
            </w:r>
          </w:p>
        </w:tc>
      </w:tr>
      <w:tr w:rsidR="005118AF">
        <w:trPr>
          <w:jc w:val="center"/>
        </w:trPr>
        <w:tc>
          <w:tcPr>
            <w:tcW w:w="201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Медиана (М)</w:t>
            </w:r>
          </w:p>
        </w:tc>
        <w:tc>
          <w:tcPr>
            <w:tcW w:w="7535"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Аймақтық білім кластерлері, “Инновацияны жалға алу” үлгісі</w:t>
            </w:r>
          </w:p>
        </w:tc>
      </w:tr>
      <w:tr w:rsidR="005118AF">
        <w:trPr>
          <w:jc w:val="center"/>
        </w:trPr>
        <w:tc>
          <w:tcPr>
            <w:tcW w:w="201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kk-KZ" w:eastAsia="zh-CN"/>
              </w:rPr>
              <w:t>Модератор (</w:t>
            </w:r>
            <w:r>
              <w:rPr>
                <w:rFonts w:ascii="Times New Roman" w:hAnsi="Times New Roman" w:cs="Times New Roman"/>
                <w:sz w:val="24"/>
                <w:szCs w:val="24"/>
                <w:lang w:val="en-US" w:eastAsia="zh-CN"/>
              </w:rPr>
              <w:t>W</w:t>
            </w:r>
            <w:r>
              <w:rPr>
                <w:rFonts w:ascii="Times New Roman" w:hAnsi="Times New Roman" w:cs="Times New Roman"/>
                <w:sz w:val="24"/>
                <w:szCs w:val="24"/>
                <w:lang w:val="kk-KZ" w:eastAsia="zh-CN"/>
              </w:rPr>
              <w:t>)</w:t>
            </w:r>
            <w:r>
              <w:rPr>
                <w:rFonts w:ascii="Times New Roman" w:hAnsi="Times New Roman" w:cs="Times New Roman"/>
                <w:sz w:val="24"/>
                <w:szCs w:val="24"/>
                <w:lang w:val="en-US" w:eastAsia="zh-CN"/>
              </w:rPr>
              <w:t xml:space="preserve"> </w:t>
            </w:r>
          </w:p>
        </w:tc>
        <w:tc>
          <w:tcPr>
            <w:tcW w:w="7535"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w:t>
            </w:r>
            <w:r>
              <w:rPr>
                <w:rFonts w:ascii="Times New Roman" w:hAnsi="Times New Roman" w:cs="Times New Roman"/>
                <w:sz w:val="24"/>
                <w:szCs w:val="24"/>
                <w:lang w:val="en-US" w:eastAsia="zh-CN"/>
              </w:rPr>
              <w:t xml:space="preserve">QR - </w:t>
            </w:r>
            <w:r>
              <w:rPr>
                <w:rFonts w:ascii="Times New Roman" w:hAnsi="Times New Roman" w:cs="Times New Roman"/>
                <w:sz w:val="24"/>
                <w:szCs w:val="24"/>
                <w:lang w:val="kk-KZ" w:eastAsia="zh-CN"/>
              </w:rPr>
              <w:t xml:space="preserve">тұрақтылық ізі” жүйесі, </w:t>
            </w:r>
            <w:r>
              <w:rPr>
                <w:rFonts w:ascii="Times New Roman" w:hAnsi="Times New Roman" w:cs="Times New Roman"/>
                <w:sz w:val="24"/>
                <w:szCs w:val="24"/>
                <w:lang w:val="en-US" w:eastAsia="zh-CN"/>
              </w:rPr>
              <w:t xml:space="preserve">Global GAP </w:t>
            </w:r>
            <w:r>
              <w:rPr>
                <w:rFonts w:ascii="Times New Roman" w:hAnsi="Times New Roman" w:cs="Times New Roman"/>
                <w:sz w:val="24"/>
                <w:szCs w:val="24"/>
                <w:lang w:val="kk-KZ" w:eastAsia="zh-CN"/>
              </w:rPr>
              <w:t>стандарты (ауыл шаруашылығының дұрыс тәжірибесіне қойылатын талаптар бойынша ерікті халықаралық сертификаттау жүйесі</w:t>
            </w:r>
          </w:p>
        </w:tc>
      </w:tr>
      <w:tr w:rsidR="005118AF">
        <w:trPr>
          <w:jc w:val="center"/>
        </w:trPr>
        <w:tc>
          <w:tcPr>
            <w:tcW w:w="201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val="kk-KZ" w:eastAsia="zh-CN"/>
              </w:rPr>
              <w:t>Нәтиже (</w:t>
            </w:r>
            <w:r>
              <w:rPr>
                <w:rFonts w:ascii="Times New Roman" w:hAnsi="Times New Roman" w:cs="Times New Roman"/>
                <w:sz w:val="24"/>
                <w:szCs w:val="24"/>
                <w:lang w:val="en-US" w:eastAsia="zh-CN"/>
              </w:rPr>
              <w:t>Y</w:t>
            </w:r>
            <w:r>
              <w:rPr>
                <w:rFonts w:ascii="Times New Roman" w:hAnsi="Times New Roman" w:cs="Times New Roman"/>
                <w:sz w:val="24"/>
                <w:szCs w:val="24"/>
                <w:lang w:val="kk-KZ" w:eastAsia="zh-CN"/>
              </w:rPr>
              <w:t>)</w:t>
            </w:r>
          </w:p>
        </w:tc>
        <w:tc>
          <w:tcPr>
            <w:tcW w:w="7535"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Өзіндік</w:t>
            </w:r>
            <w:r>
              <w:rPr>
                <w:rFonts w:ascii="Times New Roman" w:hAnsi="Times New Roman" w:cs="Times New Roman"/>
                <w:sz w:val="24"/>
                <w:szCs w:val="24"/>
                <w:lang w:val="kk-KZ" w:eastAsia="zh-CN"/>
              </w:rPr>
              <w:t xml:space="preserve"> құнды төмендету, тұтынушы сенімін арттыру, жергілікті </w:t>
            </w:r>
            <w:r>
              <w:rPr>
                <w:rFonts w:ascii="Times New Roman" w:hAnsi="Times New Roman" w:cs="Times New Roman"/>
                <w:sz w:val="24"/>
                <w:szCs w:val="24"/>
                <w:lang w:val="kk-KZ" w:eastAsia="zh-CN"/>
              </w:rPr>
              <w:t>соққыларға төзімділік</w:t>
            </w:r>
          </w:p>
        </w:tc>
      </w:tr>
    </w:tbl>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EF60C3">
      <w:pPr>
        <w:numPr>
          <w:ilvl w:val="0"/>
          <w:numId w:val="24"/>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І. Қаржылық үнемдеуге бағытталған тұрақтылық міндеттемесін рәсімдеу (Х)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Мақсаты: Тұрақтылықты шығындарды қысқартудың  нақты құралы ретінде бекіту (42-кесте).</w:t>
      </w:r>
    </w:p>
    <w:p w:rsidR="005118AF" w:rsidRDefault="005118AF">
      <w:pPr>
        <w:tabs>
          <w:tab w:val="left" w:pos="800"/>
          <w:tab w:val="left" w:pos="1134"/>
          <w:tab w:val="left" w:pos="1400"/>
          <w:tab w:val="left" w:pos="1600"/>
          <w:tab w:val="left" w:pos="1800"/>
        </w:tabs>
        <w:spacing w:after="0" w:line="240" w:lineRule="auto"/>
        <w:ind w:firstLineChars="157" w:firstLine="440"/>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Кесте 42 ‒ Қаржылық үнемдеуге бағытталған тұрақтылық </w:t>
      </w:r>
      <w:r>
        <w:rPr>
          <w:rFonts w:ascii="Times New Roman" w:hAnsi="Times New Roman" w:cs="Times New Roman"/>
          <w:sz w:val="28"/>
          <w:szCs w:val="28"/>
          <w:lang w:val="kk-KZ" w:eastAsia="zh-CN"/>
        </w:rPr>
        <w:t>міндеттемесін рәсімдеу (Х)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439"/>
        <w:gridCol w:w="2643"/>
        <w:gridCol w:w="2298"/>
      </w:tblGrid>
      <w:tr w:rsidR="005118AF">
        <w:trPr>
          <w:jc w:val="center"/>
        </w:trPr>
        <w:tc>
          <w:tcPr>
            <w:tcW w:w="2130"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439"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264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негіздеме</w:t>
            </w:r>
          </w:p>
        </w:tc>
        <w:tc>
          <w:tcPr>
            <w:tcW w:w="2298"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2130"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 Қажеттілік (Х) </w:t>
            </w:r>
          </w:p>
        </w:tc>
        <w:tc>
          <w:tcPr>
            <w:tcW w:w="2439"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Энергия мен суды үнімдеу мақсаттарын күнделікті операциялық жоспардың бөлігі ретінде белгілеу</w:t>
            </w:r>
          </w:p>
          <w:p w:rsidR="005118AF" w:rsidRDefault="005118AF">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p>
        </w:tc>
        <w:tc>
          <w:tcPr>
            <w:tcW w:w="264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Шығындарды азайту бойынша жауапты тұлғаны тағайындау. Жабдықтарды ауыс тыру немесе жаңарту үшін мемлекеттік субсидияларды іздеуді тұрақты міндетке айналдыру</w:t>
            </w:r>
          </w:p>
        </w:tc>
        <w:tc>
          <w:tcPr>
            <w:tcW w:w="2298"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Бір жылда Өнім бірлігіне шаққанда ғы энергия шығын дарының қысқару пайызы. Экологиялық жаңар туға т</w:t>
            </w:r>
            <w:r>
              <w:rPr>
                <w:rFonts w:ascii="Times New Roman" w:hAnsi="Times New Roman" w:cs="Times New Roman"/>
                <w:sz w:val="24"/>
                <w:szCs w:val="24"/>
                <w:lang w:val="kk-KZ" w:eastAsia="zh-CN"/>
              </w:rPr>
              <w:t>артылған сыртқы қаржылан дырудың мөлшері</w:t>
            </w:r>
          </w:p>
        </w:tc>
      </w:tr>
      <w:tr w:rsidR="005118AF">
        <w:trPr>
          <w:jc w:val="center"/>
        </w:trPr>
        <w:tc>
          <w:tcPr>
            <w:tcW w:w="9510"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Негіздеме: ШОҚ үшін тұрақтылықты енгізідің негізгі қозғаушы күші - нарықтық бәсекелестіктің жоғарылауы және операциялық шығындардың үлкен болуы. Рәсімделген міндеттеме оны “шығындар” санатынан “үнемдеу” санатына </w:t>
            </w:r>
            <w:r>
              <w:rPr>
                <w:rFonts w:ascii="Times New Roman" w:hAnsi="Times New Roman" w:cs="Times New Roman"/>
                <w:sz w:val="24"/>
                <w:szCs w:val="24"/>
                <w:lang w:val="kk-KZ" w:eastAsia="zh-CN"/>
              </w:rPr>
              <w:t>ауыстырады</w:t>
            </w:r>
          </w:p>
        </w:tc>
      </w:tr>
      <w:tr w:rsidR="005118AF">
        <w:trPr>
          <w:jc w:val="center"/>
        </w:trPr>
        <w:tc>
          <w:tcPr>
            <w:tcW w:w="9510"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eastAsia="zh-CN"/>
        </w:rPr>
      </w:pPr>
    </w:p>
    <w:p w:rsidR="005118AF" w:rsidRDefault="00EF60C3">
      <w:pPr>
        <w:numPr>
          <w:ilvl w:val="0"/>
          <w:numId w:val="24"/>
        </w:num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w:t>
      </w:r>
      <w:r>
        <w:rPr>
          <w:rFonts w:ascii="Times New Roman" w:hAnsi="Times New Roman" w:cs="Times New Roman"/>
          <w:sz w:val="28"/>
          <w:szCs w:val="28"/>
          <w:lang w:val="en-US" w:eastAsia="zh-CN"/>
        </w:rPr>
        <w:t>I</w:t>
      </w:r>
      <w:r>
        <w:rPr>
          <w:rFonts w:ascii="Times New Roman" w:hAnsi="Times New Roman" w:cs="Times New Roman"/>
          <w:sz w:val="28"/>
          <w:szCs w:val="28"/>
          <w:lang w:val="kk-KZ" w:eastAsia="zh-CN"/>
        </w:rPr>
        <w:t>І.</w:t>
      </w:r>
      <w:r>
        <w:rPr>
          <w:rFonts w:ascii="Times New Roman" w:hAnsi="Times New Roman" w:cs="Times New Roman"/>
          <w:sz w:val="28"/>
          <w:szCs w:val="28"/>
          <w:lang w:eastAsia="zh-CN"/>
        </w:rPr>
        <w:t xml:space="preserve"> </w:t>
      </w:r>
      <w:r>
        <w:rPr>
          <w:rFonts w:ascii="Times New Roman" w:hAnsi="Times New Roman" w:cs="Times New Roman"/>
          <w:sz w:val="28"/>
          <w:szCs w:val="28"/>
          <w:lang w:val="kk-KZ" w:eastAsia="zh-CN"/>
        </w:rPr>
        <w:t>Тұрақты шешімдерге қол жеткізудің ашық механизмін құру</w:t>
      </w:r>
      <w:r>
        <w:rPr>
          <w:rFonts w:ascii="Times New Roman" w:hAnsi="Times New Roman" w:cs="Times New Roman"/>
          <w:sz w:val="28"/>
          <w:szCs w:val="28"/>
          <w:lang w:eastAsia="zh-CN"/>
        </w:rPr>
        <w:t xml:space="preserve"> </w:t>
      </w:r>
      <w:r>
        <w:rPr>
          <w:rFonts w:ascii="Times New Roman" w:hAnsi="Times New Roman" w:cs="Times New Roman"/>
          <w:sz w:val="28"/>
          <w:szCs w:val="28"/>
          <w:lang w:val="kk-KZ" w:eastAsia="zh-CN"/>
        </w:rPr>
        <w:t>(</w:t>
      </w:r>
      <w:r>
        <w:rPr>
          <w:rFonts w:ascii="Times New Roman" w:hAnsi="Times New Roman" w:cs="Times New Roman"/>
          <w:sz w:val="28"/>
          <w:szCs w:val="28"/>
          <w:lang w:val="en-US" w:eastAsia="zh-CN"/>
        </w:rPr>
        <w:t>M</w:t>
      </w:r>
      <w:r>
        <w:rPr>
          <w:rFonts w:ascii="Times New Roman" w:hAnsi="Times New Roman" w:cs="Times New Roman"/>
          <w:sz w:val="28"/>
          <w:szCs w:val="28"/>
          <w:lang w:val="kk-KZ" w:eastAsia="zh-CN"/>
        </w:rPr>
        <w:t xml:space="preserve">)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Мақсаты: ШОҚ</w:t>
      </w:r>
      <w:r>
        <w:rPr>
          <w:rFonts w:ascii="Times New Roman" w:hAnsi="Times New Roman" w:cs="Times New Roman"/>
          <w:sz w:val="28"/>
          <w:szCs w:val="28"/>
          <w:lang w:eastAsia="zh-CN"/>
        </w:rPr>
        <w:t>-</w:t>
      </w:r>
      <w:r>
        <w:rPr>
          <w:rFonts w:ascii="Times New Roman" w:hAnsi="Times New Roman" w:cs="Times New Roman"/>
          <w:sz w:val="28"/>
          <w:szCs w:val="28"/>
          <w:lang w:val="kk-KZ" w:eastAsia="zh-CN"/>
        </w:rPr>
        <w:t>ке қымбат зерттеулерсіз, дайын, тексерілген технологияларға қол жеткізуді қамтамасыз ету (М), (43-кесте).</w:t>
      </w:r>
    </w:p>
    <w:p w:rsidR="005118AF" w:rsidRDefault="005118AF">
      <w:pPr>
        <w:tabs>
          <w:tab w:val="left" w:pos="800"/>
          <w:tab w:val="left" w:pos="1134"/>
          <w:tab w:val="left" w:pos="1400"/>
          <w:tab w:val="left" w:pos="1600"/>
          <w:tab w:val="left" w:pos="1800"/>
        </w:tabs>
        <w:spacing w:after="0" w:line="240" w:lineRule="auto"/>
        <w:ind w:leftChars="142" w:left="312"/>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leftChars="142" w:left="312"/>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leftChars="142" w:left="312"/>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leftChars="142" w:left="312"/>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leftChars="142" w:left="312"/>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Кесте 43 ‒ </w:t>
      </w:r>
      <w:r>
        <w:rPr>
          <w:rFonts w:ascii="Times New Roman" w:hAnsi="Times New Roman" w:cs="Times New Roman"/>
          <w:sz w:val="28"/>
          <w:szCs w:val="28"/>
          <w:lang w:val="kk-KZ" w:eastAsia="zh-CN"/>
        </w:rPr>
        <w:t>Тұрақты шешімдерге қол жеткізудің ашық механизмін құру (М)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2463"/>
        <w:gridCol w:w="2607"/>
        <w:gridCol w:w="2393"/>
      </w:tblGrid>
      <w:tr w:rsidR="005118AF">
        <w:trPr>
          <w:jc w:val="center"/>
        </w:trPr>
        <w:tc>
          <w:tcPr>
            <w:tcW w:w="2011"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46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2607"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w:t>
            </w:r>
          </w:p>
        </w:tc>
        <w:tc>
          <w:tcPr>
            <w:tcW w:w="239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2011"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(М) Механизм </w:t>
            </w:r>
          </w:p>
        </w:tc>
        <w:tc>
          <w:tcPr>
            <w:tcW w:w="246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Бірнеше ұқсас ШОҚ-ты біріктіретін “Технологияны ортақ пайдалану” немесе </w:t>
            </w:r>
            <w:r>
              <w:rPr>
                <w:rFonts w:ascii="Times New Roman" w:hAnsi="Times New Roman" w:cs="Times New Roman"/>
                <w:sz w:val="24"/>
                <w:szCs w:val="24"/>
                <w:lang w:val="kk-KZ" w:eastAsia="zh-CN"/>
              </w:rPr>
              <w:t>“Инновацияны жалға алу” моделін қолдану</w:t>
            </w:r>
          </w:p>
        </w:tc>
        <w:tc>
          <w:tcPr>
            <w:tcW w:w="2607"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Аймақтық кәсіпкерлер палатасымен, Ауыл шаруашылығы қауым дастығымен серік тестік орнату. Энергия үнемдейтін жабдықтар ды іздестіру және бірлесіп пайдалану келісімін жасау</w:t>
            </w:r>
          </w:p>
        </w:tc>
        <w:tc>
          <w:tcPr>
            <w:tcW w:w="239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Қолданылатын</w:t>
            </w:r>
            <w:r>
              <w:rPr>
                <w:rFonts w:ascii="Times New Roman" w:hAnsi="Times New Roman" w:cs="Times New Roman"/>
                <w:sz w:val="24"/>
                <w:szCs w:val="24"/>
                <w:lang w:val="kk-KZ" w:eastAsia="zh-CN"/>
              </w:rPr>
              <w:t xml:space="preserve"> ортақ ресурстардың (ақпараттық н</w:t>
            </w:r>
            <w:r>
              <w:rPr>
                <w:rFonts w:ascii="Times New Roman" w:hAnsi="Times New Roman" w:cs="Times New Roman"/>
                <w:sz w:val="24"/>
                <w:szCs w:val="24"/>
                <w:lang w:val="kk-KZ" w:eastAsia="zh-CN"/>
              </w:rPr>
              <w:t>емесе техникалық) саны. Технологияны жалға алу моделі арқылы енгізілген шешімдердің саны</w:t>
            </w:r>
          </w:p>
        </w:tc>
      </w:tr>
      <w:tr w:rsidR="005118AF">
        <w:trPr>
          <w:jc w:val="center"/>
        </w:trPr>
        <w:tc>
          <w:tcPr>
            <w:tcW w:w="9474"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Негіздеме: ШОК</w:t>
            </w:r>
            <w:r>
              <w:rPr>
                <w:rFonts w:ascii="Times New Roman" w:hAnsi="Times New Roman" w:cs="Times New Roman"/>
                <w:sz w:val="24"/>
                <w:szCs w:val="24"/>
                <w:lang w:eastAsia="zh-CN"/>
              </w:rPr>
              <w:t>-</w:t>
            </w:r>
            <w:r>
              <w:rPr>
                <w:rFonts w:ascii="Times New Roman" w:hAnsi="Times New Roman" w:cs="Times New Roman"/>
                <w:sz w:val="24"/>
                <w:szCs w:val="24"/>
                <w:lang w:val="kk-KZ" w:eastAsia="zh-CN"/>
              </w:rPr>
              <w:t>тің “бейімдеуші” ретіндегі рөлі инновациялық аутсорсингті талап етеді. Класстер мен қауымдастықтар арқылы шығындар мен тәуекелдерді бөлу М (медиатор) м</w:t>
            </w:r>
            <w:r>
              <w:rPr>
                <w:rFonts w:ascii="Times New Roman" w:hAnsi="Times New Roman" w:cs="Times New Roman"/>
                <w:sz w:val="24"/>
                <w:szCs w:val="24"/>
                <w:lang w:val="kk-KZ" w:eastAsia="zh-CN"/>
              </w:rPr>
              <w:t>еханизмінің тиімділігін арттырады</w:t>
            </w:r>
          </w:p>
        </w:tc>
      </w:tr>
      <w:tr w:rsidR="005118AF">
        <w:trPr>
          <w:jc w:val="center"/>
        </w:trPr>
        <w:tc>
          <w:tcPr>
            <w:tcW w:w="9474"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numPr>
          <w:ilvl w:val="0"/>
          <w:numId w:val="24"/>
        </w:num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IІІ. Тұтынушылардың сенімін арттыру үшін дайындықты қамтамасыз ету (W) </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Мақсаты: Өнімнің ашықтығы мен стандартталуын енгізу арқылы сенімділікті күшейтуге және шығындарды азайтуға мүмкіндік беру. W (Модератор) ретінде сапа мен сенімділікті үйлестіреді (44-кесте). </w:t>
      </w:r>
    </w:p>
    <w:p w:rsidR="005118AF" w:rsidRDefault="005118AF">
      <w:pPr>
        <w:tabs>
          <w:tab w:val="left" w:pos="800"/>
          <w:tab w:val="left" w:pos="1134"/>
          <w:tab w:val="left" w:pos="1400"/>
          <w:tab w:val="left" w:pos="1600"/>
          <w:tab w:val="left" w:pos="1800"/>
        </w:tabs>
        <w:spacing w:after="0" w:line="240" w:lineRule="auto"/>
        <w:ind w:leftChars="142" w:left="312"/>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Кесте 44 ‒ Тұтынушылардың сенімін арттыру үшін дайындықты </w:t>
      </w:r>
      <w:r>
        <w:rPr>
          <w:rFonts w:ascii="Times New Roman" w:hAnsi="Times New Roman" w:cs="Times New Roman"/>
          <w:sz w:val="28"/>
          <w:szCs w:val="28"/>
          <w:lang w:val="kk-KZ" w:eastAsia="zh-CN"/>
        </w:rPr>
        <w:t>қамтамасыз</w:t>
      </w:r>
      <w:r>
        <w:rPr>
          <w:rFonts w:ascii="Times New Roman" w:hAnsi="Times New Roman" w:cs="Times New Roman"/>
          <w:sz w:val="28"/>
          <w:szCs w:val="28"/>
          <w:lang w:val="kk-KZ" w:eastAsia="zh-CN"/>
        </w:rPr>
        <w:t xml:space="preserve"> ету (W)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3277"/>
        <w:gridCol w:w="2711"/>
        <w:gridCol w:w="2151"/>
      </w:tblGrid>
      <w:tr w:rsidR="005118AF">
        <w:trPr>
          <w:trHeight w:val="577"/>
          <w:jc w:val="center"/>
        </w:trPr>
        <w:tc>
          <w:tcPr>
            <w:tcW w:w="140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3277"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2711"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w:t>
            </w:r>
          </w:p>
        </w:tc>
        <w:tc>
          <w:tcPr>
            <w:tcW w:w="2151"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140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w:t>
            </w:r>
            <w:r>
              <w:rPr>
                <w:rFonts w:ascii="Times New Roman" w:hAnsi="Times New Roman" w:cs="Times New Roman"/>
                <w:sz w:val="24"/>
                <w:szCs w:val="24"/>
                <w:lang w:val="en-US" w:eastAsia="zh-CN"/>
              </w:rPr>
              <w:t>W</w:t>
            </w:r>
            <w:r>
              <w:rPr>
                <w:rFonts w:ascii="Times New Roman" w:hAnsi="Times New Roman" w:cs="Times New Roman"/>
                <w:sz w:val="24"/>
                <w:szCs w:val="24"/>
                <w:lang w:val="kk-KZ" w:eastAsia="zh-CN"/>
              </w:rPr>
              <w:t>) Дайындық</w:t>
            </w:r>
          </w:p>
        </w:tc>
        <w:tc>
          <w:tcPr>
            <w:tcW w:w="3277"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“QR - тұрақтылық ізі” жүйесі, Global GAP стандарты (ауыл шаруашылығының дұрыс тәжірибесіне қойылатын талаптар </w:t>
            </w:r>
            <w:r>
              <w:rPr>
                <w:rFonts w:ascii="Times New Roman" w:hAnsi="Times New Roman" w:cs="Times New Roman"/>
                <w:sz w:val="24"/>
                <w:szCs w:val="24"/>
                <w:lang w:val="kk-KZ" w:eastAsia="zh-CN"/>
              </w:rPr>
              <w:t>бойынша ерікті халы қаралық сертификат тау немесе Қазақстан дық сапа стандарттар жүйелерін енгізу</w:t>
            </w:r>
          </w:p>
        </w:tc>
        <w:tc>
          <w:tcPr>
            <w:tcW w:w="2711"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Өнімнің</w:t>
            </w:r>
            <w:r>
              <w:rPr>
                <w:rFonts w:ascii="Times New Roman" w:hAnsi="Times New Roman" w:cs="Times New Roman"/>
                <w:sz w:val="24"/>
                <w:szCs w:val="24"/>
                <w:lang w:val="kk-KZ" w:eastAsia="zh-CN"/>
              </w:rPr>
              <w:t xml:space="preserve"> шығу тегін, қолданылған шикізат ты және энергети калық тиімділікті көрсететін QR-кодын қаптамаға қосу. Жұмысшыларды не гізгі сапа стандар тары бойынша</w:t>
            </w:r>
            <w:r>
              <w:rPr>
                <w:rFonts w:ascii="Times New Roman" w:hAnsi="Times New Roman" w:cs="Times New Roman"/>
                <w:sz w:val="24"/>
                <w:szCs w:val="24"/>
                <w:lang w:val="kk-KZ" w:eastAsia="zh-CN"/>
              </w:rPr>
              <w:t xml:space="preserve"> қысқа мерзімді оқыту</w:t>
            </w:r>
          </w:p>
        </w:tc>
        <w:tc>
          <w:tcPr>
            <w:tcW w:w="2151"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Сапа стандарттарын сақтайтын персонал үлесі. </w:t>
            </w:r>
            <w:r>
              <w:rPr>
                <w:rFonts w:ascii="Times New Roman" w:hAnsi="Times New Roman" w:cs="Times New Roman"/>
                <w:sz w:val="24"/>
                <w:szCs w:val="24"/>
                <w:lang w:val="en-US" w:eastAsia="zh-CN"/>
              </w:rPr>
              <w:t>QR-</w:t>
            </w:r>
            <w:r>
              <w:rPr>
                <w:rFonts w:ascii="Times New Roman" w:hAnsi="Times New Roman" w:cs="Times New Roman"/>
                <w:sz w:val="24"/>
                <w:szCs w:val="24"/>
                <w:lang w:val="kk-KZ" w:eastAsia="zh-CN"/>
              </w:rPr>
              <w:t xml:space="preserve">кодты сканерлеу саны. </w:t>
            </w:r>
          </w:p>
          <w:p w:rsidR="005118AF" w:rsidRDefault="005118AF">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p>
        </w:tc>
      </w:tr>
      <w:tr w:rsidR="005118AF">
        <w:trPr>
          <w:jc w:val="center"/>
        </w:trPr>
        <w:tc>
          <w:tcPr>
            <w:tcW w:w="9542"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Негіздеме: ШОК тұтынушылармен жергілікті сенім арқылы жұмыс істейді. W (Дайындық) арқылы қарапайым стандарттау жүйесін енгізу сапаға деген сенімді арттырады және</w:t>
            </w:r>
            <w:r>
              <w:rPr>
                <w:rFonts w:ascii="Times New Roman" w:hAnsi="Times New Roman" w:cs="Times New Roman"/>
                <w:sz w:val="24"/>
                <w:szCs w:val="24"/>
                <w:lang w:val="kk-KZ" w:eastAsia="zh-CN"/>
              </w:rPr>
              <w:t xml:space="preserve"> бәсекелестерден ерекшелеуге мүмкіндік береді</w:t>
            </w:r>
          </w:p>
        </w:tc>
      </w:tr>
      <w:tr w:rsidR="005118AF">
        <w:trPr>
          <w:jc w:val="center"/>
        </w:trPr>
        <w:tc>
          <w:tcPr>
            <w:tcW w:w="9542"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numPr>
          <w:ilvl w:val="0"/>
          <w:numId w:val="24"/>
        </w:num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Ұсыныс</w:t>
      </w:r>
      <w:r>
        <w:rPr>
          <w:rFonts w:ascii="Times New Roman" w:hAnsi="Times New Roman" w:cs="Times New Roman"/>
          <w:sz w:val="28"/>
          <w:szCs w:val="28"/>
          <w:lang w:val="kk-KZ" w:eastAsia="zh-CN"/>
        </w:rPr>
        <w:t xml:space="preserve"> IV. Тұрақты ашық инновациялардың интеграцияланған тиімділігін бағалау (Y)</w:t>
      </w:r>
    </w:p>
    <w:p w:rsidR="005118AF" w:rsidRDefault="00EF60C3">
      <w:pPr>
        <w:tabs>
          <w:tab w:val="left" w:pos="800"/>
          <w:tab w:val="left" w:pos="1134"/>
          <w:tab w:val="left" w:pos="1400"/>
          <w:tab w:val="left" w:pos="1600"/>
          <w:tab w:val="left" w:pos="1800"/>
        </w:tabs>
        <w:spacing w:after="0" w:line="240" w:lineRule="auto"/>
        <w:ind w:firstLineChars="235" w:firstLine="65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Мақсаты: Кәсіпорынның тұрақтылығын қамтамасыз ететін жаңа шешімдерді табу үшін сыртқы білім </w:t>
      </w:r>
      <w:r>
        <w:rPr>
          <w:rFonts w:ascii="Times New Roman" w:hAnsi="Times New Roman" w:cs="Times New Roman"/>
          <w:sz w:val="28"/>
          <w:szCs w:val="28"/>
          <w:lang w:val="kk-KZ" w:eastAsia="zh-CN"/>
        </w:rPr>
        <w:t>көздерін қолдану тиімділігін өлшеу (45-кесте)</w:t>
      </w:r>
    </w:p>
    <w:p w:rsidR="005118AF" w:rsidRDefault="00EF60C3">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Кесте 45 ‒ Тұрақты ашық инновациялардың интеграцияланған тиімділігін бағалау (Y) элементінің сипаттамасы</w:t>
      </w:r>
    </w:p>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16"/>
          <w:szCs w:val="16"/>
          <w:lang w:val="kk-KZ" w:eastAsia="zh-CN"/>
        </w:rPr>
      </w:pPr>
    </w:p>
    <w:tbl>
      <w:tblPr>
        <w:tblStyle w:val="ae"/>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2203"/>
        <w:gridCol w:w="3453"/>
        <w:gridCol w:w="2569"/>
      </w:tblGrid>
      <w:tr w:rsidR="005118AF">
        <w:trPr>
          <w:jc w:val="center"/>
        </w:trPr>
        <w:tc>
          <w:tcPr>
            <w:tcW w:w="1366"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Модель элементі</w:t>
            </w:r>
          </w:p>
        </w:tc>
        <w:tc>
          <w:tcPr>
            <w:tcW w:w="220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Ұсыныстың</w:t>
            </w:r>
            <w:r>
              <w:rPr>
                <w:rFonts w:ascii="Times New Roman" w:hAnsi="Times New Roman" w:cs="Times New Roman"/>
                <w:sz w:val="24"/>
                <w:szCs w:val="24"/>
                <w:lang w:val="kk-KZ" w:eastAsia="zh-CN"/>
              </w:rPr>
              <w:t xml:space="preserve"> мәні</w:t>
            </w:r>
          </w:p>
        </w:tc>
        <w:tc>
          <w:tcPr>
            <w:tcW w:w="3453"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Басқарушылық әрекет</w:t>
            </w:r>
          </w:p>
        </w:tc>
        <w:tc>
          <w:tcPr>
            <w:tcW w:w="2569" w:type="dxa"/>
            <w:vAlign w:val="center"/>
          </w:tcPr>
          <w:p w:rsidR="005118AF" w:rsidRDefault="00EF60C3">
            <w:pPr>
              <w:widowControl w:val="0"/>
              <w:tabs>
                <w:tab w:val="left" w:pos="800"/>
                <w:tab w:val="left" w:pos="1134"/>
                <w:tab w:val="left" w:pos="1400"/>
                <w:tab w:val="left" w:pos="1600"/>
                <w:tab w:val="left" w:pos="1800"/>
              </w:tabs>
              <w:spacing w:after="0" w:line="240" w:lineRule="auto"/>
              <w:jc w:val="center"/>
              <w:rPr>
                <w:rFonts w:ascii="Times New Roman" w:hAnsi="Times New Roman" w:cs="Times New Roman"/>
                <w:sz w:val="24"/>
                <w:szCs w:val="24"/>
                <w:lang w:val="kk-KZ" w:eastAsia="zh-CN"/>
              </w:rPr>
            </w:pPr>
            <w:r>
              <w:rPr>
                <w:rFonts w:ascii="Times New Roman" w:hAnsi="Times New Roman" w:cs="Times New Roman"/>
                <w:sz w:val="24"/>
                <w:szCs w:val="24"/>
                <w:lang w:val="kk-KZ" w:eastAsia="zh-CN"/>
              </w:rPr>
              <w:t>Өлшенетін</w:t>
            </w:r>
            <w:r>
              <w:rPr>
                <w:rFonts w:ascii="Times New Roman" w:hAnsi="Times New Roman" w:cs="Times New Roman"/>
                <w:sz w:val="24"/>
                <w:szCs w:val="24"/>
                <w:lang w:val="kk-KZ" w:eastAsia="zh-CN"/>
              </w:rPr>
              <w:t xml:space="preserve"> нәтиже (</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-к</w:t>
            </w:r>
            <w:r>
              <w:rPr>
                <w:rFonts w:ascii="Times New Roman" w:hAnsi="Times New Roman" w:cs="Times New Roman"/>
                <w:sz w:val="24"/>
                <w:szCs w:val="24"/>
                <w:lang w:val="kk-KZ" w:eastAsia="zh-CN"/>
              </w:rPr>
              <w:t>өрсеткіш</w:t>
            </w:r>
            <w:r>
              <w:rPr>
                <w:rFonts w:ascii="Times New Roman" w:hAnsi="Times New Roman" w:cs="Times New Roman"/>
                <w:sz w:val="24"/>
                <w:szCs w:val="24"/>
                <w:lang w:val="kk-KZ" w:eastAsia="zh-CN"/>
              </w:rPr>
              <w:t>)</w:t>
            </w:r>
          </w:p>
        </w:tc>
      </w:tr>
      <w:tr w:rsidR="005118AF">
        <w:trPr>
          <w:jc w:val="center"/>
        </w:trPr>
        <w:tc>
          <w:tcPr>
            <w:tcW w:w="1366"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w:t>
            </w:r>
            <w:r>
              <w:rPr>
                <w:rFonts w:ascii="Times New Roman" w:hAnsi="Times New Roman" w:cs="Times New Roman"/>
                <w:sz w:val="24"/>
                <w:szCs w:val="24"/>
                <w:lang w:val="en-US" w:eastAsia="zh-CN"/>
              </w:rPr>
              <w:t>Y</w:t>
            </w:r>
            <w:r>
              <w:rPr>
                <w:rFonts w:ascii="Times New Roman" w:hAnsi="Times New Roman" w:cs="Times New Roman"/>
                <w:sz w:val="24"/>
                <w:szCs w:val="24"/>
                <w:lang w:val="kk-KZ" w:eastAsia="zh-CN"/>
              </w:rPr>
              <w:t>) Нәти желілік</w:t>
            </w:r>
          </w:p>
        </w:tc>
        <w:tc>
          <w:tcPr>
            <w:tcW w:w="220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Сыртқы иннова циялық әрекет тердің (серіктестік, сарапшылармен кеңесу, жаңа технолгияларды сатып алу) нақты экономикалық пайдаға және тұрақтылыққа әкелетінін растау</w:t>
            </w:r>
          </w:p>
        </w:tc>
        <w:tc>
          <w:tcPr>
            <w:tcW w:w="3453"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Ашық инновациялар арқылы енгізілген жаңа технология лардың, процестердің энергия мен шикіза</w:t>
            </w:r>
            <w:r>
              <w:rPr>
                <w:rFonts w:ascii="Times New Roman" w:hAnsi="Times New Roman" w:cs="Times New Roman"/>
                <w:sz w:val="24"/>
                <w:szCs w:val="24"/>
                <w:lang w:val="kk-KZ" w:eastAsia="zh-CN"/>
              </w:rPr>
              <w:t>т шығындарын азайтуға қосқан үлесін анық тау. Серіктестіктер құруғаннан кейінгі нарықтық үлестің өсуі мен инновациялық өнімдердің кірісін бақылау.</w:t>
            </w:r>
          </w:p>
          <w:p w:rsidR="005118AF" w:rsidRDefault="005118AF">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p>
          <w:p w:rsidR="005118AF" w:rsidRDefault="005118AF">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p>
        </w:tc>
        <w:tc>
          <w:tcPr>
            <w:tcW w:w="2569" w:type="dxa"/>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Сыртқы серіктестермен бірлесіп енгізілген өнімдерден,процестерден түскен қосымша кіріс пайызы. Бәсеке лерст</w:t>
            </w:r>
            <w:r>
              <w:rPr>
                <w:rFonts w:ascii="Times New Roman" w:hAnsi="Times New Roman" w:cs="Times New Roman"/>
                <w:sz w:val="24"/>
                <w:szCs w:val="24"/>
                <w:lang w:val="kk-KZ" w:eastAsia="zh-CN"/>
              </w:rPr>
              <w:t>ермен салыс тырғанда “Инновация лық көшбасшылық” рейтингісінің өзгеруі</w:t>
            </w:r>
          </w:p>
        </w:tc>
      </w:tr>
      <w:tr w:rsidR="005118AF">
        <w:trPr>
          <w:jc w:val="center"/>
        </w:trPr>
        <w:tc>
          <w:tcPr>
            <w:tcW w:w="9591"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 xml:space="preserve">Негіздеме: ШОҚ үшін “Тұрақты ашық инновация” </w:t>
            </w:r>
            <w:r>
              <w:rPr>
                <w:rFonts w:ascii="Times New Roman" w:hAnsi="Times New Roman" w:cs="Times New Roman"/>
                <w:sz w:val="24"/>
                <w:szCs w:val="24"/>
                <w:lang w:eastAsia="zh-CN"/>
              </w:rPr>
              <w:t>(</w:t>
            </w:r>
            <w:r>
              <w:rPr>
                <w:rFonts w:ascii="Times New Roman" w:hAnsi="Times New Roman" w:cs="Times New Roman"/>
                <w:sz w:val="24"/>
                <w:szCs w:val="24"/>
                <w:lang w:val="en-US" w:eastAsia="zh-CN"/>
              </w:rPr>
              <w:t>Y</w:t>
            </w:r>
            <w:r>
              <w:rPr>
                <w:rFonts w:ascii="Times New Roman" w:hAnsi="Times New Roman" w:cs="Times New Roman"/>
                <w:sz w:val="24"/>
                <w:szCs w:val="24"/>
                <w:lang w:eastAsia="zh-CN"/>
              </w:rPr>
              <w:t xml:space="preserve">) - </w:t>
            </w:r>
            <w:r>
              <w:rPr>
                <w:rFonts w:ascii="Times New Roman" w:hAnsi="Times New Roman" w:cs="Times New Roman"/>
                <w:sz w:val="24"/>
                <w:szCs w:val="24"/>
                <w:lang w:val="kk-KZ" w:eastAsia="zh-CN"/>
              </w:rPr>
              <w:t xml:space="preserve">бұл ең алдымен, “шығындарды азайтуға әкелетін озық тәжірибені жылдам енгізу” және “сыртқы ресурстар есебінен нарықтық соққыларға </w:t>
            </w:r>
            <w:r>
              <w:rPr>
                <w:rFonts w:ascii="Times New Roman" w:hAnsi="Times New Roman" w:cs="Times New Roman"/>
                <w:sz w:val="24"/>
                <w:szCs w:val="24"/>
                <w:lang w:val="kk-KZ" w:eastAsia="zh-CN"/>
              </w:rPr>
              <w:t>төзімділікті арттыру”. Бұл көрсеткіштер тұрақты даму нақты құндылығын ғана емес, нарықтағы икемділік құндылығын көрсетеді</w:t>
            </w:r>
          </w:p>
        </w:tc>
      </w:tr>
      <w:tr w:rsidR="005118AF">
        <w:trPr>
          <w:jc w:val="center"/>
        </w:trPr>
        <w:tc>
          <w:tcPr>
            <w:tcW w:w="9591" w:type="dxa"/>
            <w:gridSpan w:val="4"/>
          </w:tcPr>
          <w:p w:rsidR="005118AF" w:rsidRDefault="00EF60C3">
            <w:pPr>
              <w:widowControl w:val="0"/>
              <w:tabs>
                <w:tab w:val="left" w:pos="800"/>
                <w:tab w:val="left" w:pos="1134"/>
                <w:tab w:val="left" w:pos="1400"/>
                <w:tab w:val="left" w:pos="1600"/>
                <w:tab w:val="left" w:pos="1800"/>
              </w:tabs>
              <w:spacing w:after="0" w:line="240" w:lineRule="auto"/>
              <w:jc w:val="both"/>
              <w:rPr>
                <w:rFonts w:ascii="Times New Roman" w:hAnsi="Times New Roman" w:cs="Times New Roman"/>
                <w:sz w:val="24"/>
                <w:szCs w:val="24"/>
                <w:lang w:val="kk-KZ" w:eastAsia="zh-CN"/>
              </w:rPr>
            </w:pPr>
            <w:r>
              <w:rPr>
                <w:rFonts w:ascii="Times New Roman" w:eastAsia="DengXian" w:hAnsi="Times New Roman" w:cs="Times New Roman"/>
                <w:sz w:val="24"/>
                <w:szCs w:val="24"/>
                <w:lang w:val="kk-KZ"/>
              </w:rPr>
              <w:t>Ескерту</w:t>
            </w:r>
            <w:r>
              <w:rPr>
                <w:rFonts w:ascii="Times New Roman" w:eastAsia="DengXian" w:hAnsi="Times New Roman" w:cs="Times New Roman"/>
                <w:sz w:val="24"/>
                <w:szCs w:val="24"/>
                <w:lang w:val="kk-KZ"/>
              </w:rPr>
              <w:t xml:space="preserve"> </w:t>
            </w:r>
            <w:r>
              <w:rPr>
                <w:rFonts w:ascii="Times New Roman" w:eastAsia="DengXian" w:hAnsi="Times New Roman" w:cs="Times New Roman"/>
                <w:sz w:val="24"/>
                <w:szCs w:val="24"/>
              </w:rPr>
              <w:t>-</w:t>
            </w:r>
            <w:r>
              <w:rPr>
                <w:rFonts w:ascii="Times New Roman" w:eastAsia="DengXian" w:hAnsi="Times New Roman" w:cs="Times New Roman"/>
                <w:sz w:val="24"/>
                <w:szCs w:val="24"/>
                <w:lang w:val="en-US"/>
              </w:rPr>
              <w:t xml:space="preserve"> </w:t>
            </w:r>
            <w:r>
              <w:rPr>
                <w:rFonts w:ascii="Times New Roman" w:eastAsia="DengXian" w:hAnsi="Times New Roman" w:cs="Times New Roman"/>
                <w:sz w:val="24"/>
                <w:szCs w:val="24"/>
                <w:lang w:val="kk-KZ"/>
              </w:rPr>
              <w:t>автормен құрастырылған</w:t>
            </w:r>
          </w:p>
        </w:tc>
      </w:tr>
    </w:tbl>
    <w:p w:rsidR="005118AF" w:rsidRDefault="005118AF">
      <w:pPr>
        <w:tabs>
          <w:tab w:val="left" w:pos="800"/>
          <w:tab w:val="left" w:pos="1134"/>
          <w:tab w:val="left" w:pos="1400"/>
          <w:tab w:val="left" w:pos="1600"/>
          <w:tab w:val="left" w:pos="1800"/>
        </w:tabs>
        <w:spacing w:after="0" w:line="240" w:lineRule="auto"/>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Ұсынылып</w:t>
      </w:r>
      <w:r>
        <w:rPr>
          <w:rFonts w:ascii="Times New Roman" w:hAnsi="Times New Roman" w:cs="Times New Roman"/>
          <w:sz w:val="28"/>
          <w:szCs w:val="28"/>
          <w:lang w:val="kk-KZ" w:eastAsia="zh-CN"/>
        </w:rPr>
        <w:t xml:space="preserve"> отырған X→M→W→Y моделі ШОК үшін тұрақты ашық инновацияларды енгізудің жүйелі және тиімді жолын көрсетеді. Бұл циклді жүзеге асыру үшін ШОК-тың ірі кәсіпорындар сияқты қымбат ҒЗТКЖ бөлімдерін құруы қажет емес (26-сурет). </w:t>
      </w: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r>
        <w:rPr>
          <w:noProof/>
          <w:sz w:val="28"/>
          <w:szCs w:val="20"/>
        </w:rPr>
        <mc:AlternateContent>
          <mc:Choice Requires="wpg">
            <w:drawing>
              <wp:anchor distT="0" distB="0" distL="114300" distR="114300" simplePos="0" relativeHeight="251687936" behindDoc="0" locked="0" layoutInCell="1" allowOverlap="1">
                <wp:simplePos x="0" y="0"/>
                <wp:positionH relativeFrom="column">
                  <wp:posOffset>-248285</wp:posOffset>
                </wp:positionH>
                <wp:positionV relativeFrom="paragraph">
                  <wp:posOffset>83820</wp:posOffset>
                </wp:positionV>
                <wp:extent cx="6269355" cy="3274695"/>
                <wp:effectExtent l="38100" t="38100" r="113030" b="1905"/>
                <wp:wrapNone/>
                <wp:docPr id="84" name="Group 84"/>
                <wp:cNvGraphicFramePr/>
                <a:graphic xmlns:a="http://schemas.openxmlformats.org/drawingml/2006/main">
                  <a:graphicData uri="http://schemas.microsoft.com/office/word/2010/wordprocessingGroup">
                    <wpg:wgp>
                      <wpg:cNvGrpSpPr/>
                      <wpg:grpSpPr>
                        <a:xfrm>
                          <a:off x="0" y="0"/>
                          <a:ext cx="6269088" cy="3274695"/>
                          <a:chOff x="3004" y="105226"/>
                          <a:chExt cx="13580" cy="5157"/>
                        </a:xfrm>
                      </wpg:grpSpPr>
                      <wps:wsp>
                        <wps:cNvPr id="33" name="Rounded Rectangle 1"/>
                        <wps:cNvSpPr/>
                        <wps:spPr>
                          <a:xfrm>
                            <a:off x="3004" y="107216"/>
                            <a:ext cx="3717"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
                                  <w:bCs/>
                                  <w:color w:val="000000" w:themeColor="text1"/>
                                  <w:lang w:val="kk-KZ" w:eastAsia="zh-CN"/>
                                </w:rPr>
                              </w:pPr>
                              <w:r>
                                <w:rPr>
                                  <w:rFonts w:ascii="Times New Roman" w:hAnsi="Times New Roman" w:cs="Times New Roman"/>
                                  <w:bCs/>
                                  <w:i/>
                                  <w:color w:val="000000" w:themeColor="text1"/>
                                  <w:lang w:val="kk-KZ" w:eastAsia="zh-CN"/>
                                </w:rPr>
                                <w:t>Шығындарды төмендету ж</w:t>
                              </w:r>
                              <w:r>
                                <w:rPr>
                                  <w:rFonts w:ascii="Times New Roman" w:hAnsi="Times New Roman" w:cs="Times New Roman"/>
                                  <w:bCs/>
                                  <w:i/>
                                  <w:color w:val="000000" w:themeColor="text1"/>
                                  <w:lang w:val="kk-KZ" w:eastAsia="zh-CN"/>
                                </w:rPr>
                                <w:t>әне</w:t>
                              </w:r>
                              <w:r>
                                <w:rPr>
                                  <w:rFonts w:ascii="Times New Roman" w:hAnsi="Times New Roman" w:cs="Times New Roman"/>
                                  <w:bCs/>
                                  <w:i/>
                                  <w:color w:val="000000" w:themeColor="text1"/>
                                  <w:lang w:val="kk-KZ" w:eastAsia="zh-CN"/>
                                </w:rPr>
                                <w:t xml:space="preserve"> өсу қажеттілігі (Х)</w:t>
                              </w:r>
                              <w:r>
                                <w:rPr>
                                  <w:rFonts w:ascii="Times New Roman" w:hAnsi="Times New Roman" w:cs="Times New Roman"/>
                                  <w:b/>
                                  <w:bCs/>
                                  <w:color w:val="000000" w:themeColor="text1"/>
                                  <w:lang w:val="kk-KZ" w:eastAsia="zh-CN"/>
                                </w:rPr>
                                <w:t xml:space="preserve"> </w:t>
                              </w:r>
                              <w:r>
                                <w:rPr>
                                  <w:rFonts w:ascii="Times New Roman" w:hAnsi="Times New Roman" w:cs="Times New Roman"/>
                                  <w:color w:val="000000" w:themeColor="text1"/>
                                  <w:lang w:val="kk-KZ" w:eastAsia="zh-CN"/>
                                </w:rPr>
                                <w:t>(жоғары шығындар, жергілікті бәсеке лестік, қаржылық шектеулілік)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Rounded Rectangle 2"/>
                        <wps:cNvSpPr/>
                        <wps:spPr>
                          <a:xfrm>
                            <a:off x="7989" y="107216"/>
                            <a:ext cx="3624"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i/>
                                  <w:color w:val="000000" w:themeColor="text1"/>
                                  <w:lang w:val="kk-KZ" w:eastAsia="zh-CN"/>
                                </w:rPr>
                              </w:pPr>
                              <w:r>
                                <w:rPr>
                                  <w:rFonts w:ascii="Times New Roman" w:hAnsi="Times New Roman" w:cs="Times New Roman"/>
                                  <w:bCs/>
                                  <w:i/>
                                  <w:color w:val="000000" w:themeColor="text1"/>
                                  <w:lang w:val="kk-KZ" w:eastAsia="zh-CN"/>
                                </w:rPr>
                                <w:t>Тұрақты инновация механизмін құру (М)</w:t>
                              </w:r>
                              <w:r>
                                <w:rPr>
                                  <w:rFonts w:ascii="Times New Roman" w:hAnsi="Times New Roman" w:cs="Times New Roman"/>
                                  <w:i/>
                                  <w:color w:val="000000" w:themeColor="text1"/>
                                  <w:lang w:val="kk-KZ" w:eastAsia="zh-CN"/>
                                </w:rPr>
                                <w:t xml:space="preserve"> </w:t>
                              </w:r>
                            </w:p>
                            <w:p w:rsidR="005118AF" w:rsidRDefault="00EF60C3">
                              <w:pPr>
                                <w:spacing w:after="0" w:line="240" w:lineRule="auto"/>
                                <w:jc w:val="center"/>
                                <w:rPr>
                                  <w:rFonts w:ascii="Times New Roman" w:hAnsi="Times New Roman" w:cs="Times New Roman"/>
                                  <w:b/>
                                  <w:bCs/>
                                  <w:color w:val="000000" w:themeColor="text1"/>
                                  <w:lang w:val="kk-KZ" w:eastAsia="zh-CN"/>
                                </w:rPr>
                              </w:pPr>
                              <w:r>
                                <w:rPr>
                                  <w:rFonts w:ascii="Times New Roman" w:hAnsi="Times New Roman" w:cs="Times New Roman"/>
                                  <w:color w:val="000000" w:themeColor="text1"/>
                                  <w:lang w:val="kk-KZ" w:eastAsia="zh-CN"/>
                                </w:rPr>
                                <w:t>(Аймақтық білім кластерлері, “Инновацияны жалға алу” үлгісі)</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Rounded Rectangle 3"/>
                        <wps:cNvSpPr/>
                        <wps:spPr>
                          <a:xfrm>
                            <a:off x="9841" y="105226"/>
                            <a:ext cx="4230" cy="1545"/>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lang w:val="kk-KZ" w:eastAsia="zh-CN"/>
                                </w:rPr>
                              </w:pPr>
                              <w:r>
                                <w:rPr>
                                  <w:rFonts w:ascii="Times New Roman" w:hAnsi="Times New Roman" w:cs="Times New Roman"/>
                                  <w:bCs/>
                                  <w:i/>
                                  <w:color w:val="000000" w:themeColor="text1"/>
                                  <w:lang w:val="kk-KZ" w:eastAsia="zh-CN"/>
                                </w:rPr>
                                <w:t xml:space="preserve">Инновациялық </w:t>
                              </w:r>
                              <w:r>
                                <w:rPr>
                                  <w:rFonts w:ascii="Times New Roman" w:hAnsi="Times New Roman" w:cs="Times New Roman"/>
                                  <w:bCs/>
                                  <w:i/>
                                  <w:color w:val="000000" w:themeColor="text1"/>
                                  <w:lang w:eastAsia="zh-CN"/>
                                </w:rPr>
                                <w:t xml:space="preserve"> </w:t>
                              </w:r>
                              <w:r>
                                <w:rPr>
                                  <w:rFonts w:ascii="Times New Roman" w:hAnsi="Times New Roman" w:cs="Times New Roman"/>
                                  <w:bCs/>
                                  <w:i/>
                                  <w:color w:val="000000" w:themeColor="text1"/>
                                  <w:lang w:val="kk-KZ" w:eastAsia="zh-CN"/>
                                </w:rPr>
                                <w:t>қамту</w:t>
                              </w:r>
                              <w:r>
                                <w:rPr>
                                  <w:rFonts w:ascii="Times New Roman" w:hAnsi="Times New Roman" w:cs="Times New Roman"/>
                                  <w:bCs/>
                                  <w:i/>
                                  <w:color w:val="000000" w:themeColor="text1"/>
                                  <w:lang w:val="kk-KZ" w:eastAsia="zh-CN"/>
                                </w:rPr>
                                <w:t xml:space="preserve"> (</w:t>
                              </w:r>
                              <w:r>
                                <w:rPr>
                                  <w:rFonts w:ascii="Times New Roman" w:hAnsi="Times New Roman" w:cs="Times New Roman"/>
                                  <w:bCs/>
                                  <w:i/>
                                  <w:color w:val="000000" w:themeColor="text1"/>
                                  <w:lang w:val="en-US" w:eastAsia="zh-CN"/>
                                </w:rPr>
                                <w:t>W)</w:t>
                              </w:r>
                              <w:r>
                                <w:rPr>
                                  <w:rFonts w:ascii="Times New Roman" w:hAnsi="Times New Roman" w:cs="Times New Roman"/>
                                  <w:bCs/>
                                  <w:i/>
                                  <w:color w:val="000000" w:themeColor="text1"/>
                                  <w:lang w:val="kk-KZ" w:eastAsia="zh-CN"/>
                                </w:rPr>
                                <w:t xml:space="preserve"> </w:t>
                              </w:r>
                            </w:p>
                            <w:p w:rsidR="005118AF" w:rsidRDefault="00EF60C3">
                              <w:pPr>
                                <w:spacing w:after="0" w:line="240" w:lineRule="auto"/>
                                <w:jc w:val="center"/>
                                <w:rPr>
                                  <w:rFonts w:ascii="Times New Roman" w:hAnsi="Times New Roman" w:cs="Times New Roman"/>
                                  <w:color w:val="000000" w:themeColor="text1"/>
                                  <w:lang w:val="kk-KZ" w:eastAsia="zh-CN"/>
                                </w:rPr>
                              </w:pPr>
                              <w:r>
                                <w:rPr>
                                  <w:rFonts w:ascii="Times New Roman" w:hAnsi="Times New Roman" w:cs="Times New Roman"/>
                                  <w:color w:val="000000" w:themeColor="text1"/>
                                  <w:lang w:val="kk-KZ" w:eastAsia="zh-CN"/>
                                </w:rPr>
                                <w:t>(</w:t>
                              </w:r>
                              <w:r>
                                <w:rPr>
                                  <w:rFonts w:ascii="Times New Roman" w:hAnsi="Times New Roman" w:cs="Times New Roman"/>
                                  <w:color w:val="000000" w:themeColor="text1"/>
                                  <w:lang w:val="en-US" w:eastAsia="zh-CN"/>
                                </w:rPr>
                                <w:t>QR-</w:t>
                              </w:r>
                              <w:r>
                                <w:rPr>
                                  <w:rFonts w:ascii="Times New Roman" w:hAnsi="Times New Roman" w:cs="Times New Roman"/>
                                  <w:color w:val="000000" w:themeColor="text1"/>
                                  <w:lang w:val="kk-KZ" w:eastAsia="zh-CN"/>
                                </w:rPr>
                                <w:t xml:space="preserve">тұрақтылық ізі; </w:t>
                              </w:r>
                              <w:r>
                                <w:rPr>
                                  <w:rFonts w:ascii="Times New Roman" w:hAnsi="Times New Roman" w:cs="Times New Roman"/>
                                  <w:color w:val="000000" w:themeColor="text1"/>
                                  <w:lang w:val="en-US" w:eastAsia="zh-CN"/>
                                </w:rPr>
                                <w:t xml:space="preserve">Global GAP </w:t>
                              </w:r>
                              <w:r>
                                <w:rPr>
                                  <w:rFonts w:ascii="Times New Roman" w:hAnsi="Times New Roman" w:cs="Times New Roman"/>
                                  <w:color w:val="000000" w:themeColor="text1"/>
                                  <w:lang w:val="kk-KZ" w:eastAsia="zh-CN"/>
                                </w:rPr>
                                <w:t xml:space="preserve">стандарты)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Rounded Rectangle 4"/>
                        <wps:cNvSpPr/>
                        <wps:spPr>
                          <a:xfrm>
                            <a:off x="12897" y="107173"/>
                            <a:ext cx="3687" cy="2154"/>
                          </a:xfrm>
                          <a:prstGeom prst="roundRect">
                            <a:avLst/>
                          </a:prstGeom>
                          <a:solidFill>
                            <a:schemeClr val="accent1">
                              <a:lumMod val="60000"/>
                              <a:lumOff val="40000"/>
                            </a:schemeClr>
                          </a:solidFill>
                          <a:ln w="12700" cap="flat" cmpd="sng" algn="ctr">
                            <a:solidFill>
                              <a:srgbClr val="5B9BD5"/>
                            </a:solidFill>
                            <a:prstDash val="solid"/>
                            <a:miter lim="800000"/>
                          </a:ln>
                          <a:effectLst>
                            <a:outerShdw blurRad="50800" dist="38100" dir="2700000" algn="tl" rotWithShape="0">
                              <a:prstClr val="black">
                                <a:alpha val="40000"/>
                              </a:prstClr>
                            </a:outerShdw>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Cs/>
                                  <w:i/>
                                  <w:color w:val="000000" w:themeColor="text1"/>
                                  <w:lang w:val="en-US" w:eastAsia="zh-CN"/>
                                </w:rPr>
                              </w:pPr>
                              <w:r>
                                <w:rPr>
                                  <w:rFonts w:ascii="Times New Roman" w:hAnsi="Times New Roman" w:cs="Times New Roman"/>
                                  <w:bCs/>
                                  <w:i/>
                                  <w:color w:val="000000" w:themeColor="text1"/>
                                  <w:lang w:val="kk-KZ" w:eastAsia="zh-CN"/>
                                </w:rPr>
                                <w:t>Корпоративтік тұрақтылық  (</w:t>
                              </w:r>
                              <w:r>
                                <w:rPr>
                                  <w:rFonts w:ascii="Times New Roman" w:hAnsi="Times New Roman" w:cs="Times New Roman"/>
                                  <w:bCs/>
                                  <w:i/>
                                  <w:color w:val="000000" w:themeColor="text1"/>
                                  <w:lang w:val="en-US" w:eastAsia="zh-CN"/>
                                </w:rPr>
                                <w:t>Y)</w:t>
                              </w:r>
                            </w:p>
                            <w:p w:rsidR="005118AF" w:rsidRDefault="00EF60C3">
                              <w:pPr>
                                <w:spacing w:after="0" w:line="240" w:lineRule="auto"/>
                                <w:jc w:val="center"/>
                                <w:rPr>
                                  <w:rFonts w:ascii="Times New Roman" w:hAnsi="Times New Roman" w:cs="Times New Roman"/>
                                  <w:b/>
                                  <w:bCs/>
                                  <w:color w:val="000000" w:themeColor="text1"/>
                                  <w:lang w:val="en-US" w:eastAsia="zh-CN"/>
                                </w:rPr>
                              </w:pPr>
                              <w:r>
                                <w:rPr>
                                  <w:rFonts w:ascii="Times New Roman" w:hAnsi="Times New Roman" w:cs="Times New Roman"/>
                                  <w:color w:val="000000" w:themeColor="text1"/>
                                  <w:lang w:val="kk-KZ" w:eastAsia="zh-CN"/>
                                </w:rPr>
                                <w:t>(өзіндік құнның төмендеуі; тұтынушылар сенімі; шоктарға төзімділік)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Straight Arrow Connector 5"/>
                        <wps:cNvCnPr/>
                        <wps:spPr>
                          <a:xfrm flipV="1">
                            <a:off x="6721" y="108258"/>
                            <a:ext cx="1284" cy="0"/>
                          </a:xfrm>
                          <a:prstGeom prst="straightConnector1">
                            <a:avLst/>
                          </a:prstGeom>
                          <a:noFill/>
                          <a:ln w="28575" cap="flat" cmpd="sng" algn="ctr">
                            <a:solidFill>
                              <a:sysClr val="windowText" lastClr="000000"/>
                            </a:solidFill>
                            <a:prstDash val="solid"/>
                            <a:miter lim="800000"/>
                            <a:tailEnd type="arrow"/>
                          </a:ln>
                          <a:effectLst/>
                        </wps:spPr>
                        <wps:style>
                          <a:lnRef idx="2">
                            <a:schemeClr val="accent1"/>
                          </a:lnRef>
                          <a:fillRef idx="0">
                            <a:srgbClr val="FFFFFF"/>
                          </a:fillRef>
                          <a:effectRef idx="0">
                            <a:srgbClr val="FFFFFF"/>
                          </a:effectRef>
                          <a:fontRef idx="minor">
                            <a:schemeClr val="tx1"/>
                          </a:fontRef>
                        </wps:style>
                        <wps:bodyPr/>
                      </wps:wsp>
                      <wps:wsp>
                        <wps:cNvPr id="40" name="Straight Arrow Connector 7"/>
                        <wps:cNvCnPr/>
                        <wps:spPr>
                          <a:xfrm flipV="1">
                            <a:off x="11613" y="108258"/>
                            <a:ext cx="1284" cy="0"/>
                          </a:xfrm>
                          <a:prstGeom prst="straightConnector1">
                            <a:avLst/>
                          </a:prstGeom>
                          <a:noFill/>
                          <a:ln w="28575" cap="flat" cmpd="sng" algn="ctr">
                            <a:solidFill>
                              <a:sysClr val="windowText" lastClr="000000"/>
                            </a:solidFill>
                            <a:prstDash val="solid"/>
                            <a:miter lim="800000"/>
                            <a:tailEnd type="arrow"/>
                          </a:ln>
                          <a:effectLst/>
                        </wps:spPr>
                        <wps:style>
                          <a:lnRef idx="2">
                            <a:schemeClr val="accent1"/>
                          </a:lnRef>
                          <a:fillRef idx="0">
                            <a:srgbClr val="FFFFFF"/>
                          </a:fillRef>
                          <a:effectRef idx="0">
                            <a:srgbClr val="FFFFFF"/>
                          </a:effectRef>
                          <a:fontRef idx="minor">
                            <a:schemeClr val="tx1"/>
                          </a:fontRef>
                        </wps:style>
                        <wps:bodyPr/>
                      </wps:wsp>
                      <wps:wsp>
                        <wps:cNvPr id="56" name="Straight Arrow Connector 9"/>
                        <wps:cNvCnPr/>
                        <wps:spPr>
                          <a:xfrm>
                            <a:off x="11979" y="106771"/>
                            <a:ext cx="0" cy="1204"/>
                          </a:xfrm>
                          <a:prstGeom prst="straightConnector1">
                            <a:avLst/>
                          </a:prstGeom>
                          <a:noFill/>
                          <a:ln w="28575" cap="flat" cmpd="dbl" algn="ctr">
                            <a:solidFill>
                              <a:srgbClr val="00B050"/>
                            </a:solidFill>
                            <a:prstDash val="dash"/>
                            <a:miter lim="800000"/>
                            <a:tailEnd type="arrow"/>
                          </a:ln>
                          <a:effectLst/>
                        </wps:spPr>
                        <wps:style>
                          <a:lnRef idx="2">
                            <a:schemeClr val="accent1"/>
                          </a:lnRef>
                          <a:fillRef idx="0">
                            <a:srgbClr val="FFFFFF"/>
                          </a:fillRef>
                          <a:effectRef idx="0">
                            <a:srgbClr val="FFFFFF"/>
                          </a:effectRef>
                          <a:fontRef idx="minor">
                            <a:schemeClr val="tx1"/>
                          </a:fontRef>
                        </wps:style>
                        <wps:bodyPr/>
                      </wps:wsp>
                      <wps:wsp>
                        <wps:cNvPr id="58" name="Rectangles 11"/>
                        <wps:cNvSpPr/>
                        <wps:spPr>
                          <a:xfrm>
                            <a:off x="6723" y="108415"/>
                            <a:ext cx="1308" cy="603"/>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lang w:val="en-US" w:eastAsia="zh-CN"/>
                                </w:rPr>
                                <w:t>X→M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23708000" name="Rectangles 12"/>
                        <wps:cNvSpPr/>
                        <wps:spPr>
                          <a:xfrm>
                            <a:off x="11613" y="108403"/>
                            <a:ext cx="1308" cy="603"/>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lang w:val="en-US" w:eastAsia="zh-CN"/>
                                </w:rPr>
                                <w:t>M→Y</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23708001" name="Rectangles 14"/>
                        <wps:cNvSpPr/>
                        <wps:spPr>
                          <a:xfrm>
                            <a:off x="4264" y="109511"/>
                            <a:ext cx="11077" cy="872"/>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color w:val="000000" w:themeColor="text1"/>
                                  <w:lang w:val="kk-KZ" w:eastAsia="zh-CN"/>
                                </w:rPr>
                              </w:pPr>
                              <w:r>
                                <w:rPr>
                                  <w:rFonts w:ascii="Times New Roman" w:hAnsi="Times New Roman" w:cs="Times New Roman"/>
                                  <w:color w:val="000000" w:themeColor="text1"/>
                                  <w:lang w:val="kk-KZ" w:eastAsia="zh-CN"/>
                                </w:rPr>
                                <w:t xml:space="preserve">Медиациялық әсер: </w:t>
                              </w:r>
                              <w:r>
                                <w:rPr>
                                  <w:rFonts w:ascii="Times New Roman" w:hAnsi="Times New Roman" w:cs="Times New Roman"/>
                                  <w:color w:val="000000" w:themeColor="text1"/>
                                  <w:lang w:val="en-US" w:eastAsia="zh-CN"/>
                                </w:rPr>
                                <w:t xml:space="preserve">X </w:t>
                              </w:r>
                              <w:r>
                                <w:rPr>
                                  <w:rFonts w:ascii="Times New Roman" w:hAnsi="Times New Roman" w:cs="Times New Roman"/>
                                  <w:color w:val="000000" w:themeColor="text1"/>
                                  <w:lang w:val="kk-KZ" w:eastAsia="zh-CN"/>
                                </w:rPr>
                                <w:t xml:space="preserve">арқылы М, кейін </w:t>
                              </w:r>
                              <w:r>
                                <w:rPr>
                                  <w:rFonts w:ascii="Times New Roman" w:hAnsi="Times New Roman" w:cs="Times New Roman"/>
                                  <w:color w:val="000000" w:themeColor="text1"/>
                                  <w:lang w:val="en-US" w:eastAsia="zh-CN"/>
                                </w:rPr>
                                <w:t>Y-</w:t>
                              </w:r>
                              <w:r>
                                <w:rPr>
                                  <w:rFonts w:ascii="Times New Roman" w:hAnsi="Times New Roman" w:cs="Times New Roman"/>
                                  <w:color w:val="000000" w:themeColor="text1"/>
                                  <w:lang w:val="kk-KZ" w:eastAsia="zh-CN"/>
                                </w:rPr>
                                <w:t>ке әсер етеді</w:t>
                              </w:r>
                            </w:p>
                            <w:p w:rsidR="005118AF" w:rsidRDefault="00EF60C3">
                              <w:pPr>
                                <w:spacing w:after="0" w:line="240" w:lineRule="auto"/>
                                <w:jc w:val="center"/>
                                <w:rPr>
                                  <w:rFonts w:ascii="Times New Roman" w:hAnsi="Times New Roman" w:cs="Times New Roman"/>
                                  <w:color w:val="000000" w:themeColor="text1"/>
                                  <w:lang w:val="kk-KZ" w:eastAsia="zh-CN"/>
                                </w:rPr>
                              </w:pPr>
                              <w:r>
                                <w:rPr>
                                  <w:rFonts w:ascii="Times New Roman" w:hAnsi="Times New Roman" w:cs="Times New Roman"/>
                                  <w:color w:val="000000" w:themeColor="text1"/>
                                  <w:lang w:val="kk-KZ" w:eastAsia="zh-CN"/>
                                </w:rPr>
                                <w:t>Модерациялық әсер: W айнымалысы M→Y  байланысының күші өзгереді</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Group 84" o:spid="_x0000_s1193" style="position:absolute;left:0;text-align:left;margin-left:-19.55pt;margin-top:6.6pt;width:493.65pt;height:257.85pt;z-index:251687936" coordorigin="3004,105226" coordsize="13580,5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">
                <v:roundrect id="Rounded Rectangle 1" o:spid="_x0000_s1194" style="position:absolute;left:3004;top:107216;width:3717;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G48IA&#10;AADbAAAADwAAAGRycy9kb3ducmV2LnhtbESPQYvCMBSE78L+h/AWvGmqortUo8iC6E3UPezx0Tyb&#10;ss1LbWJb/fVGEDwOM/MNs1h1thQN1b5wrGA0TEAQZ04XnCv4PW0G3yB8QNZYOiYFN/KwWn70Fphq&#10;1/KBmmPIRYSwT1GBCaFKpfSZIYt+6Cri6J1dbTFEWedS19hGuC3lOElm0mLBccFgRT+Gsv/j1Sqw&#10;l6+Rm/7tsu3FVLxu9X5W3Bul+p/deg4iUBfe4Vd7pxVMJv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p4bjwgAAANsAAAAPAAAAAAAAAAAAAAAAAJgCAABkcnMvZG93&#10;bnJldi54bWxQSwUGAAAAAAQABAD1AAAAhwM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
                            <w:bCs/>
                            <w:color w:val="000000" w:themeColor="text1"/>
                            <w:lang w:val="kk-KZ" w:eastAsia="zh-CN"/>
                          </w:rPr>
                        </w:pPr>
                        <w:r>
                          <w:rPr>
                            <w:rFonts w:ascii="Times New Roman" w:hAnsi="Times New Roman" w:cs="Times New Roman"/>
                            <w:bCs/>
                            <w:i/>
                            <w:color w:val="000000" w:themeColor="text1"/>
                            <w:lang w:val="kk-KZ" w:eastAsia="zh-CN"/>
                          </w:rPr>
                          <w:t>Шығындарды төмендету ж</w:t>
                        </w:r>
                        <w:r>
                          <w:rPr>
                            <w:rFonts w:ascii="Times New Roman" w:hAnsi="Times New Roman" w:cs="Times New Roman"/>
                            <w:bCs/>
                            <w:i/>
                            <w:color w:val="000000" w:themeColor="text1"/>
                            <w:lang w:val="kk-KZ" w:eastAsia="zh-CN"/>
                          </w:rPr>
                          <w:t>әне</w:t>
                        </w:r>
                        <w:r>
                          <w:rPr>
                            <w:rFonts w:ascii="Times New Roman" w:hAnsi="Times New Roman" w:cs="Times New Roman"/>
                            <w:bCs/>
                            <w:i/>
                            <w:color w:val="000000" w:themeColor="text1"/>
                            <w:lang w:val="kk-KZ" w:eastAsia="zh-CN"/>
                          </w:rPr>
                          <w:t xml:space="preserve"> өсу қажеттілігі (Х)</w:t>
                        </w:r>
                        <w:r>
                          <w:rPr>
                            <w:rFonts w:ascii="Times New Roman" w:hAnsi="Times New Roman" w:cs="Times New Roman"/>
                            <w:b/>
                            <w:bCs/>
                            <w:color w:val="000000" w:themeColor="text1"/>
                            <w:lang w:val="kk-KZ" w:eastAsia="zh-CN"/>
                          </w:rPr>
                          <w:t xml:space="preserve"> </w:t>
                        </w:r>
                        <w:r>
                          <w:rPr>
                            <w:rFonts w:ascii="Times New Roman" w:hAnsi="Times New Roman" w:cs="Times New Roman"/>
                            <w:color w:val="000000" w:themeColor="text1"/>
                            <w:lang w:val="kk-KZ" w:eastAsia="zh-CN"/>
                          </w:rPr>
                          <w:t>(жоғары шығындар, жергілікті бәсеке лестік, қаржылық шектеулілік)</w:t>
                        </w:r>
                      </w:p>
                    </w:txbxContent>
                  </v:textbox>
                </v:roundrect>
                <v:roundrect id="Rounded Rectangle 2" o:spid="_x0000_s1195" style="position:absolute;left:7989;top:107216;width:3624;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4el8MA&#10;AADbAAAADwAAAGRycy9kb3ducmV2LnhtbESPQWvCQBSE74X+h+UVvNWN1aaSuooURG9S9dDjI/vM&#10;hmbfxuyaRH+9Kwgeh5n5hpkteluJlhpfOlYwGiYgiHOnSy4UHPar9ykIH5A1Vo5JwYU8LOavLzPM&#10;tOv4l9pdKESEsM9QgQmhzqT0uSGLfuhq4ugdXWMxRNkUUjfYRbit5EeSpNJiyXHBYE0/hvL/3dkq&#10;sKevkfv82+Trk6l52eltWl5bpQZv/fIbRKA+PMOP9kYrGE/g/i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4el8MAAADbAAAADwAAAAAAAAAAAAAAAACYAgAAZHJzL2Rv&#10;d25yZXYueG1sUEsFBgAAAAAEAAQA9QAAAIgDA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i/>
                            <w:color w:val="000000" w:themeColor="text1"/>
                            <w:lang w:val="kk-KZ" w:eastAsia="zh-CN"/>
                          </w:rPr>
                        </w:pPr>
                        <w:r>
                          <w:rPr>
                            <w:rFonts w:ascii="Times New Roman" w:hAnsi="Times New Roman" w:cs="Times New Roman"/>
                            <w:bCs/>
                            <w:i/>
                            <w:color w:val="000000" w:themeColor="text1"/>
                            <w:lang w:val="kk-KZ" w:eastAsia="zh-CN"/>
                          </w:rPr>
                          <w:t>Тұрақты инновация механизмін құру (М)</w:t>
                        </w:r>
                        <w:r>
                          <w:rPr>
                            <w:rFonts w:ascii="Times New Roman" w:hAnsi="Times New Roman" w:cs="Times New Roman"/>
                            <w:i/>
                            <w:color w:val="000000" w:themeColor="text1"/>
                            <w:lang w:val="kk-KZ" w:eastAsia="zh-CN"/>
                          </w:rPr>
                          <w:t xml:space="preserve"> </w:t>
                        </w:r>
                      </w:p>
                      <w:p w:rsidR="005118AF" w:rsidRDefault="00EF60C3">
                        <w:pPr>
                          <w:spacing w:after="0" w:line="240" w:lineRule="auto"/>
                          <w:jc w:val="center"/>
                          <w:rPr>
                            <w:rFonts w:ascii="Times New Roman" w:hAnsi="Times New Roman" w:cs="Times New Roman"/>
                            <w:b/>
                            <w:bCs/>
                            <w:color w:val="000000" w:themeColor="text1"/>
                            <w:lang w:val="kk-KZ" w:eastAsia="zh-CN"/>
                          </w:rPr>
                        </w:pPr>
                        <w:r>
                          <w:rPr>
                            <w:rFonts w:ascii="Times New Roman" w:hAnsi="Times New Roman" w:cs="Times New Roman"/>
                            <w:color w:val="000000" w:themeColor="text1"/>
                            <w:lang w:val="kk-KZ" w:eastAsia="zh-CN"/>
                          </w:rPr>
                          <w:t>(Аймақтық білім кластерлері, “Инновацияны жалға алу” үлгісі)</w:t>
                        </w:r>
                      </w:p>
                    </w:txbxContent>
                  </v:textbox>
                </v:roundrect>
                <v:roundrect id="Rounded Rectangle 3" o:spid="_x0000_s1196" style="position:absolute;left:9841;top:105226;width:4230;height:15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7DMQA&#10;AADbAAAADwAAAGRycy9kb3ducmV2LnhtbESPzWrDMBCE74W8g9hAb7WclvzgWAkhUJpbaZJDjou0&#10;sUyslWOpttunrwqFHoeZ+YYpt6NrRE9dqD0rmGU5CGLtTc2VgvPp9WkFIkRkg41nUvBFAbabyUOJ&#10;hfEDf1B/jJVIEA4FKrAxtoWUQVtyGDLfEifv6juHMcmukqbDIcFdI5/zfCEd1pwWLLa0t6Rvx0+n&#10;wN2XMz+/HPTb3ba8G8z7ov7ulXqcjrs1iEhj/A//tQ9Gwcscfr+k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CuwzEAAAA2wAAAA8AAAAAAAAAAAAAAAAAmAIAAGRycy9k&#10;b3ducmV2LnhtbFBLBQYAAAAABAAEAPUAAACJAw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Cs/>
                            <w:i/>
                            <w:color w:val="000000" w:themeColor="text1"/>
                            <w:lang w:val="kk-KZ" w:eastAsia="zh-CN"/>
                          </w:rPr>
                        </w:pPr>
                        <w:r>
                          <w:rPr>
                            <w:rFonts w:ascii="Times New Roman" w:hAnsi="Times New Roman" w:cs="Times New Roman"/>
                            <w:bCs/>
                            <w:i/>
                            <w:color w:val="000000" w:themeColor="text1"/>
                            <w:lang w:val="kk-KZ" w:eastAsia="zh-CN"/>
                          </w:rPr>
                          <w:t xml:space="preserve">Инновациялық </w:t>
                        </w:r>
                        <w:r>
                          <w:rPr>
                            <w:rFonts w:ascii="Times New Roman" w:hAnsi="Times New Roman" w:cs="Times New Roman"/>
                            <w:bCs/>
                            <w:i/>
                            <w:color w:val="000000" w:themeColor="text1"/>
                            <w:lang w:eastAsia="zh-CN"/>
                          </w:rPr>
                          <w:t xml:space="preserve"> </w:t>
                        </w:r>
                        <w:r>
                          <w:rPr>
                            <w:rFonts w:ascii="Times New Roman" w:hAnsi="Times New Roman" w:cs="Times New Roman"/>
                            <w:bCs/>
                            <w:i/>
                            <w:color w:val="000000" w:themeColor="text1"/>
                            <w:lang w:val="kk-KZ" w:eastAsia="zh-CN"/>
                          </w:rPr>
                          <w:t>қамту</w:t>
                        </w:r>
                        <w:r>
                          <w:rPr>
                            <w:rFonts w:ascii="Times New Roman" w:hAnsi="Times New Roman" w:cs="Times New Roman"/>
                            <w:bCs/>
                            <w:i/>
                            <w:color w:val="000000" w:themeColor="text1"/>
                            <w:lang w:val="kk-KZ" w:eastAsia="zh-CN"/>
                          </w:rPr>
                          <w:t xml:space="preserve"> (</w:t>
                        </w:r>
                        <w:r>
                          <w:rPr>
                            <w:rFonts w:ascii="Times New Roman" w:hAnsi="Times New Roman" w:cs="Times New Roman"/>
                            <w:bCs/>
                            <w:i/>
                            <w:color w:val="000000" w:themeColor="text1"/>
                            <w:lang w:val="en-US" w:eastAsia="zh-CN"/>
                          </w:rPr>
                          <w:t>W)</w:t>
                        </w:r>
                        <w:r>
                          <w:rPr>
                            <w:rFonts w:ascii="Times New Roman" w:hAnsi="Times New Roman" w:cs="Times New Roman"/>
                            <w:bCs/>
                            <w:i/>
                            <w:color w:val="000000" w:themeColor="text1"/>
                            <w:lang w:val="kk-KZ" w:eastAsia="zh-CN"/>
                          </w:rPr>
                          <w:t xml:space="preserve"> </w:t>
                        </w:r>
                      </w:p>
                      <w:p w:rsidR="005118AF" w:rsidRDefault="00EF60C3">
                        <w:pPr>
                          <w:spacing w:after="0" w:line="240" w:lineRule="auto"/>
                          <w:jc w:val="center"/>
                          <w:rPr>
                            <w:rFonts w:ascii="Times New Roman" w:hAnsi="Times New Roman" w:cs="Times New Roman"/>
                            <w:color w:val="000000" w:themeColor="text1"/>
                            <w:lang w:val="kk-KZ" w:eastAsia="zh-CN"/>
                          </w:rPr>
                        </w:pPr>
                        <w:r>
                          <w:rPr>
                            <w:rFonts w:ascii="Times New Roman" w:hAnsi="Times New Roman" w:cs="Times New Roman"/>
                            <w:color w:val="000000" w:themeColor="text1"/>
                            <w:lang w:val="kk-KZ" w:eastAsia="zh-CN"/>
                          </w:rPr>
                          <w:t>(</w:t>
                        </w:r>
                        <w:r>
                          <w:rPr>
                            <w:rFonts w:ascii="Times New Roman" w:hAnsi="Times New Roman" w:cs="Times New Roman"/>
                            <w:color w:val="000000" w:themeColor="text1"/>
                            <w:lang w:val="en-US" w:eastAsia="zh-CN"/>
                          </w:rPr>
                          <w:t>QR-</w:t>
                        </w:r>
                        <w:r>
                          <w:rPr>
                            <w:rFonts w:ascii="Times New Roman" w:hAnsi="Times New Roman" w:cs="Times New Roman"/>
                            <w:color w:val="000000" w:themeColor="text1"/>
                            <w:lang w:val="kk-KZ" w:eastAsia="zh-CN"/>
                          </w:rPr>
                          <w:t xml:space="preserve">тұрақтылық ізі; </w:t>
                        </w:r>
                        <w:r>
                          <w:rPr>
                            <w:rFonts w:ascii="Times New Roman" w:hAnsi="Times New Roman" w:cs="Times New Roman"/>
                            <w:color w:val="000000" w:themeColor="text1"/>
                            <w:lang w:val="en-US" w:eastAsia="zh-CN"/>
                          </w:rPr>
                          <w:t xml:space="preserve">Global GAP </w:t>
                        </w:r>
                        <w:r>
                          <w:rPr>
                            <w:rFonts w:ascii="Times New Roman" w:hAnsi="Times New Roman" w:cs="Times New Roman"/>
                            <w:color w:val="000000" w:themeColor="text1"/>
                            <w:lang w:val="kk-KZ" w:eastAsia="zh-CN"/>
                          </w:rPr>
                          <w:t xml:space="preserve">стандарты) </w:t>
                        </w:r>
                      </w:p>
                    </w:txbxContent>
                  </v:textbox>
                </v:roundrect>
                <v:roundrect id="Rounded Rectangle 4" o:spid="_x0000_s1197" style="position:absolute;left:12897;top:107173;width:3687;height:21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le8IA&#10;AADbAAAADwAAAGRycy9kb3ducmV2LnhtbESPQWvCQBSE7wX/w/KE3upGxSjRVUQQvYm2B4+P7DMb&#10;zL6N2TVJ++u7QqHHYWa+YVab3laipcaXjhWMRwkI4tzpkgsFX5/7jwUIH5A1Vo5JwTd52KwHbyvM&#10;tOv4TO0lFCJC2GeowIRQZ1L63JBFP3I1cfRurrEYomwKqRvsItxWcpIkqbRYclwwWNPOUH6/PK0C&#10;+5iP3ex6zA8PU/O206e0/GmVeh/22yWIQH34D/+1j1rBNIXXl/g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0CV7wgAAANsAAAAPAAAAAAAAAAAAAAAAAJgCAABkcnMvZG93&#10;bnJldi54bWxQSwUGAAAAAAQABAD1AAAAhwMAAAAA&#10;" fillcolor="#9cc2e5 [1940]" strokecolor="#5b9bd5" strokeweight="1pt">
                  <v:stroke joinstyle="miter"/>
                  <v:shadow on="t" color="black" opacity="26214f" origin="-.5,-.5" offset=".74836mm,.74836mm"/>
                  <v:textbox>
                    <w:txbxContent>
                      <w:p w:rsidR="005118AF" w:rsidRDefault="00EF60C3">
                        <w:pPr>
                          <w:spacing w:after="0" w:line="240" w:lineRule="auto"/>
                          <w:jc w:val="center"/>
                          <w:rPr>
                            <w:rFonts w:ascii="Times New Roman" w:hAnsi="Times New Roman" w:cs="Times New Roman"/>
                            <w:bCs/>
                            <w:i/>
                            <w:color w:val="000000" w:themeColor="text1"/>
                            <w:lang w:val="en-US" w:eastAsia="zh-CN"/>
                          </w:rPr>
                        </w:pPr>
                        <w:r>
                          <w:rPr>
                            <w:rFonts w:ascii="Times New Roman" w:hAnsi="Times New Roman" w:cs="Times New Roman"/>
                            <w:bCs/>
                            <w:i/>
                            <w:color w:val="000000" w:themeColor="text1"/>
                            <w:lang w:val="kk-KZ" w:eastAsia="zh-CN"/>
                          </w:rPr>
                          <w:t>Корпоративтік тұрақтылық  (</w:t>
                        </w:r>
                        <w:r>
                          <w:rPr>
                            <w:rFonts w:ascii="Times New Roman" w:hAnsi="Times New Roman" w:cs="Times New Roman"/>
                            <w:bCs/>
                            <w:i/>
                            <w:color w:val="000000" w:themeColor="text1"/>
                            <w:lang w:val="en-US" w:eastAsia="zh-CN"/>
                          </w:rPr>
                          <w:t>Y)</w:t>
                        </w:r>
                      </w:p>
                      <w:p w:rsidR="005118AF" w:rsidRDefault="00EF60C3">
                        <w:pPr>
                          <w:spacing w:after="0" w:line="240" w:lineRule="auto"/>
                          <w:jc w:val="center"/>
                          <w:rPr>
                            <w:rFonts w:ascii="Times New Roman" w:hAnsi="Times New Roman" w:cs="Times New Roman"/>
                            <w:b/>
                            <w:bCs/>
                            <w:color w:val="000000" w:themeColor="text1"/>
                            <w:lang w:val="en-US" w:eastAsia="zh-CN"/>
                          </w:rPr>
                        </w:pPr>
                        <w:r>
                          <w:rPr>
                            <w:rFonts w:ascii="Times New Roman" w:hAnsi="Times New Roman" w:cs="Times New Roman"/>
                            <w:color w:val="000000" w:themeColor="text1"/>
                            <w:lang w:val="kk-KZ" w:eastAsia="zh-CN"/>
                          </w:rPr>
                          <w:t>(өзіндік құнның төмендеуі; тұтынушылар сенімі; шоктарға төзімділік)</w:t>
                        </w:r>
                      </w:p>
                    </w:txbxContent>
                  </v:textbox>
                </v:roundrect>
                <v:shape id="Straight Arrow Connector 5" o:spid="_x0000_s1198" type="#_x0000_t32" style="position:absolute;left:6721;top:108258;width:128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Ja1cEAAADbAAAADwAAAGRycy9kb3ducmV2LnhtbESPS4vCMBSF9wP+h3AFd2PqiKPUpiIO&#10;oisZH+D20lzbYHNTmqj13xthYJaH8/g42aKztbhT641jBaNhAoK4cNpwqeB0XH/OQPiArLF2TAqe&#10;5GGR9z4yTLV78J7uh1CKOMI+RQVVCE0qpS8qsuiHriGO3sW1FkOUbSl1i484bmv5lSTf0qLhSKiw&#10;oVVFxfVws5G7w0tS//4YOzbn/WrLPJlsWKlBv1vOQQTqwn/4r73VCsZTeH+JP0Dm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wlrVwQAAANsAAAAPAAAAAAAAAAAAAAAA&#10;AKECAABkcnMvZG93bnJldi54bWxQSwUGAAAAAAQABAD5AAAAjwMAAAAA&#10;" strokecolor="windowText" strokeweight="2.25pt">
                  <v:stroke endarrow="open" joinstyle="miter"/>
                </v:shape>
                <v:shape id="Straight Arrow Connector 7" o:spid="_x0000_s1199" type="#_x0000_t32" style="position:absolute;left:11613;top:108258;width:128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x3L8AAADbAAAADwAAAGRycy9kb3ducmV2LnhtbERPTWvCQBC9C/0PyxR6001tFYlZpShF&#10;T0VtweuQnSSL2dmQ3Wr8951DwePjfRfrwbfqSn10gQ28TjJQxGWwjmsDP9+f4wWomJAttoHJwJ0i&#10;rFdPowJzG258pOsp1UpCOOZooEmpy7WOZUMe4yR0xMJVofeYBPa1tj3eJNy3epplc+3RsTQ02NGm&#10;ofJy+vXS+4VV1h62zr+583GzZ57NdmzMy/PwsQSVaEgP8b97bw28y3r5Ij9Ar/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i2x3L8AAADbAAAADwAAAAAAAAAAAAAAAACh&#10;AgAAZHJzL2Rvd25yZXYueG1sUEsFBgAAAAAEAAQA+QAAAI0DAAAAAA==&#10;" strokecolor="windowText" strokeweight="2.25pt">
                  <v:stroke endarrow="open" joinstyle="miter"/>
                </v:shape>
                <v:shape id="Straight Arrow Connector 9" o:spid="_x0000_s1200" type="#_x0000_t32" style="position:absolute;left:11979;top:106771;width:0;height:1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i5BsQAAADbAAAADwAAAGRycy9kb3ducmV2LnhtbESPT2vCQBTE70K/w/IK3nRTRbGpayiF&#10;oHiq/+j1kX3Npsm+jdlV02/fLQgeh5n5DbPMetuIK3W+cqzgZZyAIC6crrhUcDzkowUIH5A1No5J&#10;wS95yFZPgyWm2t14R9d9KEWEsE9RgQmhTaX0hSGLfuxa4uh9u85iiLIrpe7wFuG2kZMkmUuLFccF&#10;gy19GCrq/cUqmCwu5+369TQtttZ81fnnidufXKnhc//+BiJQHx7he3ujFczm8P8l/g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LkGxAAAANsAAAAPAAAAAAAAAAAA&#10;AAAAAKECAABkcnMvZG93bnJldi54bWxQSwUGAAAAAAQABAD5AAAAkgMAAAAA&#10;" strokecolor="#00b050" strokeweight="2.25pt">
                  <v:stroke dashstyle="dash" endarrow="open" linestyle="thinThin" joinstyle="miter"/>
                </v:shape>
                <v:rect id="Rectangles 11" o:spid="_x0000_s1201" style="position:absolute;left:6723;top:108415;width:1308;height: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hrr8A&#10;AADbAAAADwAAAGRycy9kb3ducmV2LnhtbERPz2vCMBS+D/wfwhO8zXQDRTqjbIJM8SDW7f6WPNuy&#10;5qUksa3/vTkIHj++38v1YBvRkQ+1YwVv0wwEsXam5lLBz3n7ugARIrLBxjEpuFGA9Wr0ssTcuJ5P&#10;1BWxFCmEQ44KqhjbXMqgK7IYpq4lTtzFeYsxQV9K47FP4baR71k2lxZrTg0VtrSpSP8XV6vg112+&#10;eqv/eN/djvX1++C1XhyUmoyHzw8QkYb4FD/cO6Nglsam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yKGuvwAAANsAAAAPAAAAAAAAAAAAAAAAAJgCAABkcnMvZG93bnJl&#10;di54bWxQSwUGAAAAAAQABAD1AAAAhAMAAAAA&#10;" filled="f" stroked="f" strokeweight="1pt">
                  <v:textbox>
                    <w:txbxContent>
                      <w:p w:rsidR="005118AF" w:rsidRDefault="00EF60C3">
                        <w:pPr>
                          <w:spacing w:after="0" w:line="240" w:lineRule="auto"/>
                          <w:jc w:val="center"/>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lang w:val="en-US" w:eastAsia="zh-CN"/>
                          </w:rPr>
                          <w:t>X→M</w:t>
                        </w:r>
                      </w:p>
                    </w:txbxContent>
                  </v:textbox>
                </v:rect>
                <v:rect id="Rectangles 12" o:spid="_x0000_s1202" style="position:absolute;left:11613;top:108403;width:1308;height: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og8kA&#10;AADjAAAADwAAAGRycy9kb3ducmV2LnhtbESPQU/DMAyF70j8h8hI3FjCkKAqyyZAQoB2QBtwN4nX&#10;VjROlWRt9+/xAYmj7ef33rfazKFXI6XcRbZwvTCgiF30HTcWPj+erypQuSB77COThRNl2KzPz1ZY&#10;+zjxjsZ9aZSYcK7RQlvKUGudXUsB8yIOxHI7xBSwyJga7RNOYh56vTTmVgfsWBJaHOipJfezPwYL&#10;X/HwOAX3zW/j6b07vmyTc9XW2suL+eEeVKG5/Iv/vl+91K+WN3emMkYohEkWoN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4tog8kAAADjAAAADwAAAAAAAAAAAAAAAACYAgAA&#10;ZHJzL2Rvd25yZXYueG1sUEsFBgAAAAAEAAQA9QAAAI4DAAAAAA==&#10;" filled="f" stroked="f" strokeweight="1pt">
                  <v:textbox>
                    <w:txbxContent>
                      <w:p w:rsidR="005118AF" w:rsidRDefault="00EF60C3">
                        <w:pPr>
                          <w:spacing w:after="0" w:line="240" w:lineRule="auto"/>
                          <w:jc w:val="center"/>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lang w:val="en-US" w:eastAsia="zh-CN"/>
                          </w:rPr>
                          <w:t>M→Y</w:t>
                        </w:r>
                      </w:p>
                    </w:txbxContent>
                  </v:textbox>
                </v:rect>
                <v:rect id="Rectangles 14" o:spid="_x0000_s1203" style="position:absolute;left:4264;top:109511;width:11077;height: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NGMYA&#10;AADjAAAADwAAAGRycy9kb3ducmV2LnhtbERPX0vDMBB/F/Ydwg18c8kmaOmWDTcQlT2IU99vya0t&#10;NpeSZG337Y0g7PF+/2+1GV0regqx8axhPlMgiI23DVcavj6f7woQMSFbbD2ThgtF2KwnNyssrR/4&#10;g/pDqkQO4ViihjqlrpQympocxpnviDN38sFhymeopA045HDXyoVSD9Jhw7mhxo52NZmfw9lp+Pan&#10;7eDMkd/6y3tzftkHY4q91rfT8WkJItGYruJ/96vN84vF/aMqlJrD308ZAL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fNGMYAAADjAAAADwAAAAAAAAAAAAAAAACYAgAAZHJz&#10;L2Rvd25yZXYueG1sUEsFBgAAAAAEAAQA9QAAAIsDAAAAAA==&#10;" filled="f" stroked="f" strokeweight="1pt">
                  <v:textbox>
                    <w:txbxContent>
                      <w:p w:rsidR="005118AF" w:rsidRDefault="00EF60C3">
                        <w:pPr>
                          <w:spacing w:after="0" w:line="240" w:lineRule="auto"/>
                          <w:jc w:val="center"/>
                          <w:rPr>
                            <w:rFonts w:ascii="Times New Roman" w:hAnsi="Times New Roman" w:cs="Times New Roman"/>
                            <w:color w:val="000000" w:themeColor="text1"/>
                            <w:lang w:val="kk-KZ" w:eastAsia="zh-CN"/>
                          </w:rPr>
                        </w:pPr>
                        <w:r>
                          <w:rPr>
                            <w:rFonts w:ascii="Times New Roman" w:hAnsi="Times New Roman" w:cs="Times New Roman"/>
                            <w:color w:val="000000" w:themeColor="text1"/>
                            <w:lang w:val="kk-KZ" w:eastAsia="zh-CN"/>
                          </w:rPr>
                          <w:t xml:space="preserve">Медиациялық әсер: </w:t>
                        </w:r>
                        <w:r>
                          <w:rPr>
                            <w:rFonts w:ascii="Times New Roman" w:hAnsi="Times New Roman" w:cs="Times New Roman"/>
                            <w:color w:val="000000" w:themeColor="text1"/>
                            <w:lang w:val="en-US" w:eastAsia="zh-CN"/>
                          </w:rPr>
                          <w:t xml:space="preserve">X </w:t>
                        </w:r>
                        <w:r>
                          <w:rPr>
                            <w:rFonts w:ascii="Times New Roman" w:hAnsi="Times New Roman" w:cs="Times New Roman"/>
                            <w:color w:val="000000" w:themeColor="text1"/>
                            <w:lang w:val="kk-KZ" w:eastAsia="zh-CN"/>
                          </w:rPr>
                          <w:t xml:space="preserve">арқылы М, кейін </w:t>
                        </w:r>
                        <w:r>
                          <w:rPr>
                            <w:rFonts w:ascii="Times New Roman" w:hAnsi="Times New Roman" w:cs="Times New Roman"/>
                            <w:color w:val="000000" w:themeColor="text1"/>
                            <w:lang w:val="en-US" w:eastAsia="zh-CN"/>
                          </w:rPr>
                          <w:t>Y-</w:t>
                        </w:r>
                        <w:r>
                          <w:rPr>
                            <w:rFonts w:ascii="Times New Roman" w:hAnsi="Times New Roman" w:cs="Times New Roman"/>
                            <w:color w:val="000000" w:themeColor="text1"/>
                            <w:lang w:val="kk-KZ" w:eastAsia="zh-CN"/>
                          </w:rPr>
                          <w:t>ке әсер етеді</w:t>
                        </w:r>
                      </w:p>
                      <w:p w:rsidR="005118AF" w:rsidRDefault="00EF60C3">
                        <w:pPr>
                          <w:spacing w:after="0" w:line="240" w:lineRule="auto"/>
                          <w:jc w:val="center"/>
                          <w:rPr>
                            <w:rFonts w:ascii="Times New Roman" w:hAnsi="Times New Roman" w:cs="Times New Roman"/>
                            <w:color w:val="000000" w:themeColor="text1"/>
                            <w:lang w:val="kk-KZ" w:eastAsia="zh-CN"/>
                          </w:rPr>
                        </w:pPr>
                        <w:r>
                          <w:rPr>
                            <w:rFonts w:ascii="Times New Roman" w:hAnsi="Times New Roman" w:cs="Times New Roman"/>
                            <w:color w:val="000000" w:themeColor="text1"/>
                            <w:lang w:val="kk-KZ" w:eastAsia="zh-CN"/>
                          </w:rPr>
                          <w:t>Модерациялық әсер: W айнымалысы M→Y  байланысының күші өзгереді</w:t>
                        </w:r>
                      </w:p>
                    </w:txbxContent>
                  </v:textbox>
                </v:rect>
              </v:group>
            </w:pict>
          </mc:Fallback>
        </mc:AlternateContent>
      </w: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r>
        <w:rPr>
          <w:noProof/>
          <w:sz w:val="28"/>
          <w:szCs w:val="20"/>
        </w:rPr>
        <mc:AlternateContent>
          <mc:Choice Requires="wps">
            <w:drawing>
              <wp:anchor distT="0" distB="0" distL="114300" distR="114300" simplePos="0" relativeHeight="251691008" behindDoc="0" locked="0" layoutInCell="1" allowOverlap="1">
                <wp:simplePos x="0" y="0"/>
                <wp:positionH relativeFrom="column">
                  <wp:posOffset>3275965</wp:posOffset>
                </wp:positionH>
                <wp:positionV relativeFrom="paragraph">
                  <wp:posOffset>128905</wp:posOffset>
                </wp:positionV>
                <wp:extent cx="1221105" cy="382905"/>
                <wp:effectExtent l="0" t="0" r="0" b="0"/>
                <wp:wrapNone/>
                <wp:docPr id="3" name="Rectangles 40"/>
                <wp:cNvGraphicFramePr/>
                <a:graphic xmlns:a="http://schemas.openxmlformats.org/drawingml/2006/main">
                  <a:graphicData uri="http://schemas.microsoft.com/office/word/2010/wordprocessingShape">
                    <wps:wsp>
                      <wps:cNvSpPr/>
                      <wps:spPr>
                        <a:xfrm>
                          <a:off x="0" y="0"/>
                          <a:ext cx="1221105" cy="382905"/>
                        </a:xfrm>
                        <a:prstGeom prst="rect">
                          <a:avLst/>
                        </a:prstGeom>
                        <a:noFill/>
                        <a:ln w="12700" cap="flat" cmpd="sng" algn="ctr">
                          <a:no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rsidR="005118AF" w:rsidRDefault="00EF60C3">
                            <w:pPr>
                              <w:spacing w:after="0" w:line="240" w:lineRule="auto"/>
                              <w:jc w:val="center"/>
                              <w:rPr>
                                <w:rFonts w:ascii="Times New Roman" w:hAnsi="Times New Roman" w:cs="Times New Roman"/>
                                <w:b/>
                                <w:bCs/>
                                <w:color w:val="00B050"/>
                                <w:sz w:val="20"/>
                                <w:szCs w:val="20"/>
                                <w:lang w:val="en-US" w:eastAsia="zh-CN"/>
                              </w:rPr>
                            </w:pPr>
                            <w:r>
                              <w:rPr>
                                <w:rFonts w:ascii="Times New Roman" w:hAnsi="Times New Roman" w:cs="Times New Roman"/>
                                <w:b/>
                                <w:bCs/>
                                <w:color w:val="00B050"/>
                                <w:sz w:val="20"/>
                                <w:szCs w:val="20"/>
                                <w:lang w:val="en-US" w:eastAsia="zh-CN"/>
                              </w:rPr>
                              <w:t>W→(M→Y)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40" o:spid="_x0000_s1204" style="position:absolute;left:0;text-align:left;margin-left:257.95pt;margin-top:10.15pt;width:96.15pt;height:30.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" filled="f" stroked="f" strokeweight="1pt">
                <v:textbox>
                  <w:txbxContent>
                    <w:p w:rsidR="005118AF" w:rsidRDefault="00EF60C3">
                      <w:pPr>
                        <w:spacing w:after="0" w:line="240" w:lineRule="auto"/>
                        <w:jc w:val="center"/>
                        <w:rPr>
                          <w:rFonts w:ascii="Times New Roman" w:hAnsi="Times New Roman" w:cs="Times New Roman"/>
                          <w:b/>
                          <w:bCs/>
                          <w:color w:val="00B050"/>
                          <w:sz w:val="20"/>
                          <w:szCs w:val="20"/>
                          <w:lang w:val="en-US" w:eastAsia="zh-CN"/>
                        </w:rPr>
                      </w:pPr>
                      <w:r>
                        <w:rPr>
                          <w:rFonts w:ascii="Times New Roman" w:hAnsi="Times New Roman" w:cs="Times New Roman"/>
                          <w:b/>
                          <w:bCs/>
                          <w:color w:val="00B050"/>
                          <w:sz w:val="20"/>
                          <w:szCs w:val="20"/>
                          <w:lang w:val="en-US" w:eastAsia="zh-CN"/>
                        </w:rPr>
                        <w:t>W→(M→Y)</w:t>
                      </w:r>
                    </w:p>
                  </w:txbxContent>
                </v:textbox>
              </v:rect>
            </w:pict>
          </mc:Fallback>
        </mc:AlternateContent>
      </w: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142" w:firstLine="398"/>
        <w:jc w:val="both"/>
        <w:rPr>
          <w:rFonts w:ascii="Times New Roman" w:hAnsi="Times New Roman" w:cs="Times New Roman"/>
          <w:sz w:val="28"/>
          <w:szCs w:val="28"/>
          <w:lang w:val="kk-KZ" w:eastAsia="zh-CN"/>
        </w:rPr>
      </w:pPr>
    </w:p>
    <w:p w:rsidR="005118AF" w:rsidRDefault="005118AF">
      <w:pPr>
        <w:tabs>
          <w:tab w:val="left" w:pos="800"/>
          <w:tab w:val="left" w:pos="1134"/>
          <w:tab w:val="left" w:pos="1400"/>
          <w:tab w:val="left" w:pos="1600"/>
          <w:tab w:val="left" w:pos="1800"/>
        </w:tabs>
        <w:spacing w:after="0" w:line="240" w:lineRule="auto"/>
        <w:jc w:val="center"/>
        <w:rPr>
          <w:rFonts w:ascii="Times New Roman" w:hAnsi="Times New Roman" w:cs="Times New Roman"/>
          <w:sz w:val="16"/>
          <w:szCs w:val="16"/>
          <w:lang w:val="kk-KZ" w:eastAsia="zh-CN"/>
        </w:rPr>
      </w:pPr>
    </w:p>
    <w:p w:rsidR="005118AF" w:rsidRDefault="00EF60C3">
      <w:pPr>
        <w:tabs>
          <w:tab w:val="left" w:pos="800"/>
          <w:tab w:val="left" w:pos="1134"/>
          <w:tab w:val="left" w:pos="1400"/>
          <w:tab w:val="left" w:pos="1600"/>
          <w:tab w:val="left" w:pos="1800"/>
        </w:tabs>
        <w:spacing w:after="0" w:line="240" w:lineRule="auto"/>
        <w:jc w:val="center"/>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Сурет 26 ‒ Шағын және орта тамақ өнеркәсібі кәсіпорындарының Тұрақты ашық инновациялар моделі </w:t>
      </w:r>
    </w:p>
    <w:p w:rsidR="005118AF" w:rsidRDefault="005118AF">
      <w:pPr>
        <w:tabs>
          <w:tab w:val="left" w:pos="800"/>
          <w:tab w:val="left" w:pos="1134"/>
          <w:tab w:val="left" w:pos="1400"/>
          <w:tab w:val="left" w:pos="1600"/>
          <w:tab w:val="left" w:pos="1800"/>
        </w:tabs>
        <w:spacing w:after="0" w:line="240" w:lineRule="auto"/>
        <w:jc w:val="center"/>
        <w:rPr>
          <w:rFonts w:ascii="Times New Roman" w:hAnsi="Times New Roman" w:cs="Times New Roman"/>
          <w:strike/>
          <w:sz w:val="16"/>
          <w:szCs w:val="16"/>
          <w:lang w:val="kk-KZ" w:eastAsia="zh-CN"/>
        </w:rPr>
      </w:pPr>
    </w:p>
    <w:p w:rsidR="005118AF" w:rsidRDefault="00EF60C3">
      <w:pPr>
        <w:tabs>
          <w:tab w:val="left" w:pos="800"/>
          <w:tab w:val="left" w:pos="1134"/>
          <w:tab w:val="left" w:pos="1400"/>
          <w:tab w:val="left" w:pos="1600"/>
          <w:tab w:val="left" w:pos="1800"/>
        </w:tabs>
        <w:spacing w:after="0" w:line="240" w:lineRule="auto"/>
        <w:ind w:firstLine="709"/>
        <w:jc w:val="both"/>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Ескерту – Медиация және Модерация қағидаларына сүйене отырып, стратегиялық талдау тәсілі негізінде автормен</w:t>
      </w:r>
      <w:r>
        <w:rPr>
          <w:rFonts w:ascii="Times New Roman" w:hAnsi="Times New Roman" w:cs="Times New Roman"/>
          <w:sz w:val="24"/>
          <w:szCs w:val="24"/>
          <w:lang w:val="kk-KZ" w:eastAsia="zh-CN"/>
        </w:rPr>
        <w:t xml:space="preserve"> </w:t>
      </w:r>
      <w:r>
        <w:rPr>
          <w:rFonts w:ascii="Times New Roman" w:hAnsi="Times New Roman" w:cs="Times New Roman"/>
          <w:sz w:val="24"/>
          <w:szCs w:val="24"/>
          <w:lang w:val="kk-KZ" w:eastAsia="zh-CN"/>
        </w:rPr>
        <w:t>қалыптастырылған</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rPr>
      </w:pPr>
      <w:r>
        <w:rPr>
          <w:rFonts w:ascii="Times New Roman" w:hAnsi="Times New Roman" w:cs="Times New Roman"/>
          <w:sz w:val="28"/>
          <w:szCs w:val="28"/>
          <w:lang w:val="kk-KZ" w:eastAsia="zh-CN"/>
        </w:rPr>
        <w:t xml:space="preserve">Бұл модель тұрақты </w:t>
      </w:r>
      <w:r>
        <w:rPr>
          <w:rFonts w:ascii="Times New Roman" w:hAnsi="Times New Roman" w:cs="Times New Roman"/>
          <w:sz w:val="28"/>
          <w:szCs w:val="28"/>
          <w:lang w:val="kk-KZ" w:eastAsia="zh-CN"/>
        </w:rPr>
        <w:t>ашық инновацияларды жұмыс шығындарын азайту, сыртқы білімді жылдам сіңіру және тұтынушы сенімін арттыру арқылы жергілікті нарықта тұрақтылықты және бәсекелік артықшылықты қамтамасыз ететін негізгі фактор ретінде қарастыруға мүмкікдік береді.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Әзірленген</w:t>
      </w:r>
      <w:r>
        <w:rPr>
          <w:rFonts w:ascii="Times New Roman" w:hAnsi="Times New Roman" w:cs="Times New Roman"/>
          <w:sz w:val="28"/>
          <w:szCs w:val="28"/>
          <w:lang w:val="kk-KZ" w:eastAsia="zh-CN"/>
        </w:rPr>
        <w:t xml:space="preserve"> екі</w:t>
      </w:r>
      <w:r>
        <w:rPr>
          <w:rFonts w:ascii="Times New Roman" w:hAnsi="Times New Roman" w:cs="Times New Roman"/>
          <w:sz w:val="28"/>
          <w:szCs w:val="28"/>
          <w:lang w:val="kk-KZ" w:eastAsia="zh-CN"/>
        </w:rPr>
        <w:t xml:space="preserve"> тұжырымдамалық модель Тұрақты ашық инновациялардағы табыстың кәсіпорының ауқымына, ресурстық базасына және стратегиялық міндеттеріне тікелей тәуелді екенін көрсетеді. Бұл екі модель тұжырымдаманы енгізудің әмбебап емес, сараланған жолып талап етеді.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ШОК </w:t>
      </w:r>
      <w:r>
        <w:rPr>
          <w:rFonts w:ascii="Times New Roman" w:hAnsi="Times New Roman" w:cs="Times New Roman"/>
          <w:sz w:val="28"/>
          <w:szCs w:val="28"/>
          <w:lang w:val="kk-KZ" w:eastAsia="zh-CN"/>
        </w:rPr>
        <w:t>үшін</w:t>
      </w:r>
      <w:r>
        <w:rPr>
          <w:rFonts w:ascii="Times New Roman" w:hAnsi="Times New Roman" w:cs="Times New Roman"/>
          <w:sz w:val="28"/>
          <w:szCs w:val="28"/>
          <w:lang w:val="kk-KZ" w:eastAsia="zh-CN"/>
        </w:rPr>
        <w:t xml:space="preserve"> Тұрақты ашық инновациялар ең алдымен өміршеңдік стратегия мен табысты арттыру құралы болып табылады. Негіздемеге сүйенсек, ШОК әрдайым жоғары шығындар, жергілікті бәсекелестік сияқты сыртқы қысымға (Х) бейімделу арқылы жауап береді. Меншікті ҒЗТКЖ рес</w:t>
      </w:r>
      <w:r>
        <w:rPr>
          <w:rFonts w:ascii="Times New Roman" w:hAnsi="Times New Roman" w:cs="Times New Roman"/>
          <w:sz w:val="28"/>
          <w:szCs w:val="28"/>
          <w:lang w:val="kk-KZ" w:eastAsia="zh-CN"/>
        </w:rPr>
        <w:t xml:space="preserve">урстарының болмауына байланысты, ШОК инновацияларды енгізу үшін ұжымдық механизмдерді (М), яғни кластерлер мен инновациядарды жалға алуды пайдалануға мәжбүр.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Нәтижесінде, негізгі табыс өнімнің өзіндік құнын төмендету және сыртқы дайындық (W), мәселен, “QR</w:t>
      </w:r>
      <w:r>
        <w:rPr>
          <w:rFonts w:ascii="Times New Roman" w:hAnsi="Times New Roman" w:cs="Times New Roman"/>
          <w:sz w:val="28"/>
          <w:szCs w:val="28"/>
          <w:lang w:val="kk-KZ" w:eastAsia="zh-CN"/>
        </w:rPr>
        <w:t>-тұрақтылық ізі” сияқты қарапайым ашық жүйелер арқылы жоғары бағаны негіздеу болып табылады. Осы ШОК-қа арналған тұтас үдеріс дайын шешімдерді тұрақтылыққа жету мақсатында ашық инновацияның сырттан ішке тәсіліне негізделеді.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Ірі тамақ өнеркәсібі кәсіпорынд</w:t>
      </w:r>
      <w:r>
        <w:rPr>
          <w:rFonts w:ascii="Times New Roman" w:hAnsi="Times New Roman" w:cs="Times New Roman"/>
          <w:sz w:val="28"/>
          <w:szCs w:val="28"/>
          <w:lang w:val="kk-KZ" w:eastAsia="zh-CN"/>
        </w:rPr>
        <w:t>арына арналған Тұрақты ашық инновациялар моделі “Іштен сыртқа” логикасына негізделеді. Бұл модельдің басты мақсаты - қатаң Стратегиялық бағдар арқылы жаңа өнімдер мен процестерді іздейтін арнайы ізденіс механизмдерін (технологиялы акселераторлар, R&amp;D ортал</w:t>
      </w:r>
      <w:r>
        <w:rPr>
          <w:rFonts w:ascii="Times New Roman" w:hAnsi="Times New Roman" w:cs="Times New Roman"/>
          <w:sz w:val="28"/>
          <w:szCs w:val="28"/>
          <w:lang w:val="kk-KZ" w:eastAsia="zh-CN"/>
        </w:rPr>
        <w:t xml:space="preserve">ықтарын) құру. Мұндағы шешуші фактор - сыртқы серпінді идеялардың өндірісте масштабталуға дайындығы және олардың азық-түлік қауіпсіздігі мен қалдықтарды басқару талаптарына сәйкестігі. Сондықтан, Тұрақты ашық инновациялар ірі тамақ өнркәсібі үшін жаһандық </w:t>
      </w:r>
      <w:r>
        <w:rPr>
          <w:rFonts w:ascii="Times New Roman" w:hAnsi="Times New Roman" w:cs="Times New Roman"/>
          <w:sz w:val="28"/>
          <w:szCs w:val="28"/>
          <w:lang w:val="kk-KZ" w:eastAsia="zh-CN"/>
        </w:rPr>
        <w:t>жеткізу тізбегіндегі бәсекелестікке және ESG-рейтінгісін жақсарты арқылы тұтынушылардың ұзақ мерзімді сенімін қамтамасыз ететін институционалданған ізденіс құралы болып табылады.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Тұрақты ашық инновацияларды табысты енгізу әмбебап тәсілді емес, тұжырымдамал</w:t>
      </w:r>
      <w:r>
        <w:rPr>
          <w:rFonts w:ascii="Times New Roman" w:hAnsi="Times New Roman" w:cs="Times New Roman"/>
          <w:sz w:val="28"/>
          <w:szCs w:val="28"/>
          <w:lang w:val="kk-KZ" w:eastAsia="zh-CN"/>
        </w:rPr>
        <w:t>ық сараптауды талап етеді: ШОК үшін - қолжетімді, ұжымдық және сенімді бейімдеуді қажет етеді. Бұл “Сырттан-Ішке” инновациялық логикасына сәйкес келеді. Ал ірі компаниялар үшін - институционализацияланған, масштабталатын серпінді ізденіс қажет. Бұл “Іштен-</w:t>
      </w:r>
      <w:r>
        <w:rPr>
          <w:rFonts w:ascii="Times New Roman" w:hAnsi="Times New Roman" w:cs="Times New Roman"/>
          <w:sz w:val="28"/>
          <w:szCs w:val="28"/>
          <w:lang w:val="kk-KZ" w:eastAsia="zh-CN"/>
        </w:rPr>
        <w:t xml:space="preserve">Сыртқа” инновациялық логикасын білдіреді. </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Тұрақты ашық инновацияларды енгізудің тиімділігін арттыру кәсіпорынның нақты қажеттіліктеріне сәйкес келетін логикалық модель таңдауынан басталады. </w:t>
      </w: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b/>
          <w:bCs/>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b/>
          <w:bCs/>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b/>
          <w:bCs/>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b/>
          <w:bCs/>
          <w:sz w:val="28"/>
          <w:szCs w:val="28"/>
          <w:lang w:val="kk-KZ" w:eastAsia="zh-CN"/>
        </w:rPr>
      </w:pPr>
    </w:p>
    <w:p w:rsidR="005118AF" w:rsidRDefault="005118AF">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b/>
          <w:bCs/>
          <w:sz w:val="28"/>
          <w:szCs w:val="28"/>
          <w:lang w:val="kk-KZ" w:eastAsia="zh-CN"/>
        </w:rPr>
      </w:pP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b/>
          <w:bCs/>
          <w:sz w:val="28"/>
          <w:szCs w:val="28"/>
          <w:lang w:val="kk-KZ" w:eastAsia="zh-CN"/>
        </w:rPr>
        <w:t>Бөлім бойынша қорытынды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Диссертациялық жұмыстың ұсыныс тара</w:t>
      </w:r>
      <w:r>
        <w:rPr>
          <w:rFonts w:ascii="Times New Roman" w:hAnsi="Times New Roman" w:cs="Times New Roman"/>
          <w:sz w:val="28"/>
          <w:szCs w:val="28"/>
          <w:lang w:val="kk-KZ" w:eastAsia="zh-CN"/>
        </w:rPr>
        <w:t>уында қойылған инновациялық дамуды басқарудың тиімді механизмдері мен үлгілерін әзірлеу міндеті, алдыңғы тарауларда жүргізілген теориялық-әдіснамалық жүйелеу және эмпирикалық талдау нәтижелеріне сүйене отырып, толықтай орындалды.</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Біріншіден, екінші тарауда</w:t>
      </w:r>
      <w:r>
        <w:rPr>
          <w:rFonts w:ascii="Times New Roman" w:hAnsi="Times New Roman" w:cs="Times New Roman"/>
          <w:sz w:val="28"/>
          <w:szCs w:val="28"/>
          <w:lang w:val="kk-KZ" w:eastAsia="zh-CN"/>
        </w:rPr>
        <w:t xml:space="preserve"> анықталған салалық әлсіз интеграция мәселесін шешу мақсатында, макродеңгейдегі платформаға негізделген ҚР инновациялық дамытудың интеграциялық құрылымын қалыптастыру механизмі ұсынылды. Бұл механизм мемлекет, ғылым және бизнес арасындағы ұзақмерзімді ҒЗТК</w:t>
      </w:r>
      <w:r>
        <w:rPr>
          <w:rFonts w:ascii="Times New Roman" w:hAnsi="Times New Roman" w:cs="Times New Roman"/>
          <w:sz w:val="28"/>
          <w:szCs w:val="28"/>
          <w:lang w:val="kk-KZ" w:eastAsia="zh-CN"/>
        </w:rPr>
        <w:t>Ж әріптестігін нығайтудың институционалдық механизмдерін негіздейді.</w:t>
      </w:r>
    </w:p>
    <w:p w:rsidR="005118AF" w:rsidRDefault="00EF60C3">
      <w:pPr>
        <w:tabs>
          <w:tab w:val="left" w:pos="800"/>
          <w:tab w:val="left" w:pos="1134"/>
          <w:tab w:val="left" w:pos="1400"/>
          <w:tab w:val="left" w:pos="1600"/>
          <w:tab w:val="left" w:pos="1800"/>
        </w:tabs>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Екіншіден, талдау және бағалау тарауында анықталған кәсіпорындардың сараланған қажеттіліктерін ескере отырып, Тұрақты ашық инновациялардың екі түрлі тұжырымдамалық модельдері қалыптастыры</w:t>
      </w:r>
      <w:r>
        <w:rPr>
          <w:rFonts w:ascii="Times New Roman" w:hAnsi="Times New Roman" w:cs="Times New Roman"/>
          <w:sz w:val="28"/>
          <w:szCs w:val="28"/>
          <w:lang w:val="kk-KZ" w:eastAsia="zh-CN"/>
        </w:rPr>
        <w:t>лды. Бұл модельдер ірі кәсіпорынға және шағын және орта кәсіпорынға арналып, олардың инновациялық стратегияға тұрақтылық қағидаларын интеграциялау жолын көрсетеді. Сонымен қатар, ұсынылған модельдерді енгізудің тиімділігін бағалау және болашақтағы қолданыс</w:t>
      </w:r>
      <w:r>
        <w:rPr>
          <w:rFonts w:ascii="Times New Roman" w:hAnsi="Times New Roman" w:cs="Times New Roman"/>
          <w:sz w:val="28"/>
          <w:szCs w:val="28"/>
          <w:lang w:val="kk-KZ" w:eastAsia="zh-CN"/>
        </w:rPr>
        <w:t xml:space="preserve"> үшін стратегиялық талдаудың негізгі құралдары болып табылатын медиация және модерация әдістеріне негізделген тиімділік көрсеткіштерінің әдістемесі ұсынылды. Бұл әдістеме әзірленген механизмдер мен модельдерді қолдану кәсіпорындардың инновациялық нәтижеліл</w:t>
      </w:r>
      <w:r>
        <w:rPr>
          <w:rFonts w:ascii="Times New Roman" w:hAnsi="Times New Roman" w:cs="Times New Roman"/>
          <w:sz w:val="28"/>
          <w:szCs w:val="28"/>
          <w:lang w:val="kk-KZ" w:eastAsia="zh-CN"/>
        </w:rPr>
        <w:t>ігін және саланың жалпы бәсекеге қабілеттілігін арттыруға мүмкіндік беретінін теориялық тұрғыдан негіздейді.</w:t>
      </w:r>
    </w:p>
    <w:p w:rsidR="005118AF" w:rsidRDefault="00EF60C3">
      <w:pPr>
        <w:autoSpaceDE w:val="0"/>
        <w:autoSpaceDN w:val="0"/>
        <w:adjustRightInd w:val="0"/>
        <w:spacing w:after="0" w:line="240" w:lineRule="auto"/>
        <w:ind w:firstLineChars="253" w:firstLine="708"/>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Осылайша, үшінші тарауда әзірленген қолданбалы ұсыныстар мен авторлық модельдер зерттеудің теориялық және эмпирикалық негіздерін тәжірибеде қолдану</w:t>
      </w:r>
      <w:r>
        <w:rPr>
          <w:rFonts w:ascii="Times New Roman" w:hAnsi="Times New Roman" w:cs="Times New Roman"/>
          <w:sz w:val="28"/>
          <w:szCs w:val="28"/>
          <w:lang w:val="kk-KZ" w:eastAsia="zh-CN"/>
        </w:rPr>
        <w:t xml:space="preserve"> арқылы диссертацияның мақсатына толық қол жеткізуді қамтамасыз етеді.</w:t>
      </w: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EF60C3">
      <w:pPr>
        <w:spacing w:after="0" w:line="240" w:lineRule="auto"/>
        <w:jc w:val="center"/>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ҚОРЫТЫНДЫ</w:t>
      </w:r>
    </w:p>
    <w:p w:rsidR="005118AF" w:rsidRDefault="005118AF">
      <w:pPr>
        <w:tabs>
          <w:tab w:val="left" w:pos="951"/>
        </w:tabs>
        <w:spacing w:after="0" w:line="240" w:lineRule="auto"/>
        <w:ind w:firstLine="567"/>
        <w:jc w:val="both"/>
        <w:rPr>
          <w:rFonts w:ascii="Times New Roman" w:eastAsia="SimSun" w:hAnsi="Times New Roman" w:cs="Times New Roman"/>
          <w:b/>
          <w:sz w:val="28"/>
          <w:szCs w:val="28"/>
          <w:lang w:val="kk-KZ"/>
        </w:rPr>
      </w:pPr>
    </w:p>
    <w:p w:rsidR="005118AF" w:rsidRDefault="00EF60C3">
      <w:pPr>
        <w:tabs>
          <w:tab w:val="left" w:pos="951"/>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Жүргізілген диссертациялық зерттеу жұмысының нәтижесінде келесідей </w:t>
      </w:r>
      <w:r>
        <w:rPr>
          <w:rFonts w:ascii="Times New Roman" w:eastAsia="SimSun" w:hAnsi="Times New Roman" w:cs="Times New Roman"/>
          <w:b/>
          <w:sz w:val="28"/>
          <w:szCs w:val="28"/>
          <w:lang w:val="kk-KZ"/>
        </w:rPr>
        <w:t>қорытынды</w:t>
      </w:r>
      <w:r>
        <w:rPr>
          <w:rFonts w:ascii="Times New Roman" w:eastAsia="SimSun" w:hAnsi="Times New Roman" w:cs="Times New Roman"/>
          <w:sz w:val="28"/>
          <w:szCs w:val="28"/>
          <w:lang w:val="kk-KZ"/>
        </w:rPr>
        <w:t xml:space="preserve"> жасауға болады: </w:t>
      </w:r>
    </w:p>
    <w:p w:rsidR="005118AF" w:rsidRDefault="00EF60C3">
      <w:pPr>
        <w:tabs>
          <w:tab w:val="left" w:pos="951"/>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1. Зерттеу жұмысында теориялық тұрғыдан тамақ өнеркәсібі </w:t>
      </w:r>
      <w:r>
        <w:rPr>
          <w:rFonts w:ascii="Times New Roman" w:eastAsia="SimSun" w:hAnsi="Times New Roman" w:cs="Times New Roman"/>
          <w:sz w:val="28"/>
          <w:szCs w:val="28"/>
          <w:lang w:val="kk-KZ"/>
        </w:rPr>
        <w:t>кәсіпорындарының ерекшеліктерін ескере отырып, инновация және инновациялық даму сияқты негізгі категорияларды қатысты ғылыми көзқарастар жүйеленді. Инновациялық дамуды басқарудың теориялық тәсілдерінің эволюциясының авторлық түсіндірмесі қалыптастырылды. Т</w:t>
      </w:r>
      <w:r>
        <w:rPr>
          <w:rFonts w:ascii="Times New Roman" w:eastAsia="SimSun" w:hAnsi="Times New Roman" w:cs="Times New Roman"/>
          <w:sz w:val="28"/>
          <w:szCs w:val="28"/>
          <w:lang w:val="kk-KZ"/>
        </w:rPr>
        <w:t>еориялық тұжырымдардың дамуы классикалық “жабық модель” қағидасынан тұрақты ашық инновацияның заманауи қағидасына дейінгі кезеңдердің қамтитын шоғырланымдық үдеріс ретінде қарастырылды. Сонымен қатар, зерттеу материалдарын жалпылау негізінде тамақ өнеркәсі</w:t>
      </w:r>
      <w:r>
        <w:rPr>
          <w:rFonts w:ascii="Times New Roman" w:eastAsia="SimSun" w:hAnsi="Times New Roman" w:cs="Times New Roman"/>
          <w:sz w:val="28"/>
          <w:szCs w:val="28"/>
          <w:lang w:val="kk-KZ"/>
        </w:rPr>
        <w:t>біндегі инновацияларды басқару мәселесінің теориялық және практикалық аспектілерінің жеткілікті дәрежесі дамып, қалыптастпағандығы анықталды.</w:t>
      </w:r>
    </w:p>
    <w:p w:rsidR="005118AF" w:rsidRDefault="00EF60C3">
      <w:pPr>
        <w:tabs>
          <w:tab w:val="left" w:pos="951"/>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2. Диссертациялық жұмыста зерттеудің әдіснамалық негізін кеңейтетін ашық инновация теориясының қалыптасуы мен даму</w:t>
      </w:r>
      <w:r>
        <w:rPr>
          <w:rFonts w:ascii="Times New Roman" w:eastAsia="SimSun" w:hAnsi="Times New Roman" w:cs="Times New Roman"/>
          <w:sz w:val="28"/>
          <w:szCs w:val="28"/>
          <w:lang w:val="kk-KZ"/>
        </w:rPr>
        <w:t>ы, оның тамақ өнеркәсібіне байланысты қалыптасқан модельдері мен механизмдері зерделенген. Бұл ашық инновациялар тұжырымдамасының сала үрдістерімен байналысын нақтылау арқылы зерттеудің теориялық аппаратын нығайтты. Теориялық талдау нәтижесінде Г. Чесбро ұ</w:t>
      </w:r>
      <w:r>
        <w:rPr>
          <w:rFonts w:ascii="Times New Roman" w:eastAsia="SimSun" w:hAnsi="Times New Roman" w:cs="Times New Roman"/>
          <w:sz w:val="28"/>
          <w:szCs w:val="28"/>
          <w:lang w:val="kk-KZ"/>
        </w:rPr>
        <w:t>сынған ашық инновация мен тұрақты даму қағидаттарын біріктіретін тұрақты ашық инновацияға өту қадамдары негізделді және бұл тамақ өнеркәсібі кәсіпорындарының ұзақ мерзімді бәсекеге қабілеттілігін қамтамасыз етуде маңызды рөлге ие. Осы теориялық негіздемеле</w:t>
      </w:r>
      <w:r>
        <w:rPr>
          <w:rFonts w:ascii="Times New Roman" w:eastAsia="SimSun" w:hAnsi="Times New Roman" w:cs="Times New Roman"/>
          <w:sz w:val="28"/>
          <w:szCs w:val="28"/>
          <w:lang w:val="kk-KZ"/>
        </w:rPr>
        <w:t>р тамақ өнеркәсібі кәсіпорындарының тұрақты даму мақсаттарына жетуіндегі ашық инновацияның әдіснамалық құндылығын негіздеуге мүмкіндік берді;</w:t>
      </w:r>
    </w:p>
    <w:p w:rsidR="005118AF" w:rsidRDefault="00EF60C3">
      <w:pPr>
        <w:tabs>
          <w:tab w:val="left" w:pos="951"/>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3. Диссертациялық зерттеу жұмысы аясында Еуропалық Одак елдері, АҚШ, Австралия және Азияның озық дамыған елдерінің</w:t>
      </w:r>
      <w:r>
        <w:rPr>
          <w:rFonts w:ascii="Times New Roman" w:eastAsia="SimSun" w:hAnsi="Times New Roman" w:cs="Times New Roman"/>
          <w:sz w:val="28"/>
          <w:szCs w:val="28"/>
          <w:lang w:val="kk-KZ"/>
        </w:rPr>
        <w:t xml:space="preserve"> азық-түлік өндірісі саласында кәсіпорындардың инновациялық дамуын басқарудың және олардың дамуына жағдай жасау бойынша қолайлы орта қалыптастырудың озық тәжірибелері зерделенді. Сараптау нәтижесінде тамақ өнеркәсібіндегі инновациялық дамуды басқарудағы оз</w:t>
      </w:r>
      <w:r>
        <w:rPr>
          <w:rFonts w:ascii="Times New Roman" w:eastAsia="SimSun" w:hAnsi="Times New Roman" w:cs="Times New Roman"/>
          <w:sz w:val="28"/>
          <w:szCs w:val="28"/>
          <w:lang w:val="kk-KZ"/>
        </w:rPr>
        <w:t>ық шетелдік тәжірибелер негізінен аймақтық кластерлерге біріктірілу, ҒЗТКЖ саласындағы серіктестік, тұрақты даму комитеттерін қалыптастыру, сонымен қатар, корпорациялық зертханалар мен стартап экожүйесін қалыптастыру сияқты құралдардың кең спектірін қамтит</w:t>
      </w:r>
      <w:r>
        <w:rPr>
          <w:rFonts w:ascii="Times New Roman" w:eastAsia="SimSun" w:hAnsi="Times New Roman" w:cs="Times New Roman"/>
          <w:sz w:val="28"/>
          <w:szCs w:val="28"/>
          <w:lang w:val="kk-KZ"/>
        </w:rPr>
        <w:t>ындығы айқындалды.</w:t>
      </w:r>
    </w:p>
    <w:p w:rsidR="005118AF" w:rsidRDefault="00EF60C3">
      <w:pPr>
        <w:tabs>
          <w:tab w:val="left" w:pos="951"/>
        </w:tabs>
        <w:spacing w:after="0" w:line="240" w:lineRule="auto"/>
        <w:ind w:firstLine="709"/>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4. Зерттеу жұмысында Қазақстан Республикасының тамақ-өнеркәсібінің  ағымдағы жай-күйіне және саланың инновациялық дамуына кешенді талдау жүргізілді. Еліміздің тамақ өнеркәсібінің жай-күйін бағалау соңғы кезеңде саладағы өндіріс көлемінің</w:t>
      </w:r>
      <w:r>
        <w:rPr>
          <w:rFonts w:ascii="Times New Roman" w:eastAsia="SimSun" w:hAnsi="Times New Roman" w:cs="Times New Roman"/>
          <w:sz w:val="28"/>
          <w:szCs w:val="28"/>
          <w:lang w:val="kk-KZ"/>
        </w:rPr>
        <w:t xml:space="preserve"> артуы байқалғанына қарамастан, оның негізгі экономикалық көрсеткіштері ел экономикасының перспективалық дамуы мүмкіндігі иег жағдайларына сәйкес келмейтіндігін көрсетті. Қазақстаның тамақ өнеркәсібі кәсіпорындарының инновациялық белсенділігі төмен және ҒЗ</w:t>
      </w:r>
      <w:r>
        <w:rPr>
          <w:rFonts w:ascii="Times New Roman" w:eastAsia="SimSun" w:hAnsi="Times New Roman" w:cs="Times New Roman"/>
          <w:sz w:val="28"/>
          <w:szCs w:val="28"/>
          <w:lang w:val="kk-KZ"/>
        </w:rPr>
        <w:t>ТКЖ жүргізуде бірқатар қиындықтардың орын алғандығы анықталды. Сонымен қатар, диссертациялық жұмыстың ғылыми жаңалығы ретінде бенчмаркинг әдісі негізінде қалыптастырылған Қазақстан Республикасындағы тамақ өнеркәсібі кәсіпорындарының инновациялық қызметін б</w:t>
      </w:r>
      <w:r>
        <w:rPr>
          <w:rFonts w:ascii="Times New Roman" w:eastAsia="SimSun" w:hAnsi="Times New Roman" w:cs="Times New Roman"/>
          <w:sz w:val="28"/>
          <w:szCs w:val="28"/>
          <w:lang w:val="kk-KZ"/>
        </w:rPr>
        <w:t>ағалауға арналған Азық-түлік инновацияларының жаһандық индесі авторлық бағалау құралы енгізілді (Қосымша А). Бұл құралдың көмегімен тамақ өнеркәсібі саласындағы дамыған он мемлекеттердің инновациялық қызметті дамыту жағдайымен салыстырмалы түрде бағалау жү</w:t>
      </w:r>
      <w:r>
        <w:rPr>
          <w:rFonts w:ascii="Times New Roman" w:eastAsia="SimSun" w:hAnsi="Times New Roman" w:cs="Times New Roman"/>
          <w:sz w:val="28"/>
          <w:szCs w:val="28"/>
          <w:lang w:val="kk-KZ"/>
        </w:rPr>
        <w:t>ргізу арқылы оның бәсекеге қабілеттілік деңгейіне жан-жақты баға беріліп, еліміздің нарықтағы орны нақтыланды.</w:t>
      </w:r>
    </w:p>
    <w:p w:rsidR="005118AF" w:rsidRDefault="00EF60C3">
      <w:pPr>
        <w:spacing w:after="0" w:line="240" w:lineRule="auto"/>
        <w:ind w:firstLine="709"/>
        <w:contextualSpacing/>
        <w:jc w:val="both"/>
        <w:rPr>
          <w:rFonts w:ascii="Times New Roman" w:eastAsia="Times New Roman" w:hAnsi="Times New Roman" w:cs="Times New Roman"/>
          <w:color w:val="000000"/>
          <w:sz w:val="28"/>
          <w:szCs w:val="28"/>
          <w:lang w:val="kk-KZ"/>
        </w:rPr>
      </w:pPr>
      <w:r>
        <w:rPr>
          <w:rFonts w:ascii="Times New Roman" w:eastAsia="SimSun" w:hAnsi="Times New Roman" w:cs="Times New Roman"/>
          <w:sz w:val="28"/>
          <w:szCs w:val="28"/>
          <w:lang w:val="kk-KZ"/>
        </w:rPr>
        <w:t xml:space="preserve">5. Диссертациялық зерттеу жұмысында эмпирикалық зерттеудің классикалық әдісі болып табылатын </w:t>
      </w:r>
      <w:r>
        <w:rPr>
          <w:rFonts w:ascii="Times New Roman" w:eastAsia="Times New Roman" w:hAnsi="Times New Roman" w:cs="Times New Roman"/>
          <w:color w:val="000000"/>
          <w:sz w:val="28"/>
          <w:szCs w:val="28"/>
          <w:lang w:val="kk-KZ"/>
        </w:rPr>
        <w:t>құрылымдық сауалнама негізінде т</w:t>
      </w:r>
      <w:r>
        <w:rPr>
          <w:rFonts w:ascii="Times New Roman" w:hAnsi="Times New Roman"/>
          <w:sz w:val="28"/>
          <w:szCs w:val="28"/>
          <w:lang w:val="kk-KZ"/>
        </w:rPr>
        <w:t>амақ өнеркәсібі кәсі</w:t>
      </w:r>
      <w:r>
        <w:rPr>
          <w:rFonts w:ascii="Times New Roman" w:hAnsi="Times New Roman"/>
          <w:sz w:val="28"/>
          <w:szCs w:val="28"/>
          <w:lang w:val="kk-KZ"/>
        </w:rPr>
        <w:t xml:space="preserve">порындарының стратегиялық дамуындағы ашық инновацияларды қолдану дәрежесін бағалау әдістемесі әзірленді. </w:t>
      </w:r>
      <w:r>
        <w:rPr>
          <w:rFonts w:ascii="Times New Roman" w:eastAsia="DengXian" w:hAnsi="Times New Roman" w:cs="Times New Roman"/>
          <w:sz w:val="28"/>
          <w:szCs w:val="28"/>
          <w:lang w:val="kk-KZ" w:eastAsia="zh-CN"/>
        </w:rPr>
        <w:t>Ұсынылған</w:t>
      </w:r>
      <w:r>
        <w:rPr>
          <w:rFonts w:ascii="Times New Roman" w:eastAsia="DengXian" w:hAnsi="Times New Roman" w:cs="Times New Roman"/>
          <w:sz w:val="28"/>
          <w:szCs w:val="28"/>
          <w:lang w:val="kk-KZ" w:eastAsia="zh-CN"/>
        </w:rPr>
        <w:t xml:space="preserve"> бағалау әдістемесіне сәйкес, Қазақстанның тамақ өнеркәсібі саласының 56 кәсіпорнынан тұратын іріктеме қалыптастырылды. Сауалнама нәтижелерін </w:t>
      </w:r>
      <w:r>
        <w:rPr>
          <w:rFonts w:ascii="Times New Roman" w:eastAsia="DengXian" w:hAnsi="Times New Roman" w:cs="Times New Roman"/>
          <w:sz w:val="28"/>
          <w:szCs w:val="28"/>
          <w:lang w:val="kk-KZ" w:eastAsia="zh-CN"/>
        </w:rPr>
        <w:t>талдау негізінде іріктеменің шектеулі инновациялық әлеуетке ие екендігі және  инновациялық міндеттерді шешу үшін сыртқы серіктестермен ғылыми зерттеу және инновация саласында белсенділігінің төмендігі анықталды. Сонымен қатар, құрылымдық сауалнаманың бір б</w:t>
      </w:r>
      <w:r>
        <w:rPr>
          <w:rFonts w:ascii="Times New Roman" w:eastAsia="DengXian" w:hAnsi="Times New Roman" w:cs="Times New Roman"/>
          <w:sz w:val="28"/>
          <w:szCs w:val="28"/>
          <w:lang w:val="kk-KZ" w:eastAsia="zh-CN"/>
        </w:rPr>
        <w:t>өлімі</w:t>
      </w:r>
      <w:r>
        <w:rPr>
          <w:rFonts w:ascii="Times New Roman" w:eastAsia="DengXian" w:hAnsi="Times New Roman" w:cs="Times New Roman"/>
          <w:sz w:val="28"/>
          <w:szCs w:val="28"/>
          <w:lang w:val="kk-KZ" w:eastAsia="zh-CN"/>
        </w:rPr>
        <w:t xml:space="preserve"> тұрақты даму саласындағы инновациялық басымдылықтарды бағалауға бағытталды және алынған нәтижелер Қазақстанның тамақ өнеркәсібі кәсіпорындарының инновациялық басымдылықтары заңдылық талаптарын сағтау бойынша жоғары көрсеткіштерге, ал әлеуметтік және </w:t>
      </w:r>
      <w:r>
        <w:rPr>
          <w:rFonts w:ascii="Times New Roman" w:eastAsia="DengXian" w:hAnsi="Times New Roman" w:cs="Times New Roman"/>
          <w:sz w:val="28"/>
          <w:szCs w:val="28"/>
          <w:lang w:val="kk-KZ" w:eastAsia="zh-CN"/>
        </w:rPr>
        <w:t>тұрақты дамуға қатысты міндеттемелерге белсенді түрде басымдық бермейтіндігін көрсетті. Бұл аталған кәсіпорындардың ұзақ мерзімді тұрақты дамуға өтуі үшін сыртқы ынталандырущы тетіктерді және қаржылық қолдауды қажет ететінін дәлелдейді. Әдістемеге сәйкес ж</w:t>
      </w:r>
      <w:r>
        <w:rPr>
          <w:rFonts w:ascii="Times New Roman" w:eastAsia="DengXian" w:hAnsi="Times New Roman" w:cs="Times New Roman"/>
          <w:sz w:val="28"/>
          <w:szCs w:val="28"/>
          <w:lang w:val="kk-KZ" w:eastAsia="zh-CN"/>
        </w:rPr>
        <w:t>үргізілген</w:t>
      </w:r>
      <w:r>
        <w:rPr>
          <w:rFonts w:ascii="Times New Roman" w:eastAsia="DengXian" w:hAnsi="Times New Roman" w:cs="Times New Roman"/>
          <w:sz w:val="28"/>
          <w:szCs w:val="28"/>
          <w:lang w:val="kk-KZ" w:eastAsia="zh-CN"/>
        </w:rPr>
        <w:t xml:space="preserve"> зерттеу нәтижелері тамақ өнеркәсібі кәсіпорындарының тұрақты ашық инновацияға негізделе дамыту механизмдері мен үлгілерін қалыптастыруға негіз болды.</w:t>
      </w:r>
    </w:p>
    <w:p w:rsidR="005118AF" w:rsidRDefault="00EF60C3">
      <w:pPr>
        <w:spacing w:after="0" w:line="240" w:lineRule="auto"/>
        <w:ind w:firstLine="709"/>
        <w:contextualSpacing/>
        <w:jc w:val="both"/>
        <w:rPr>
          <w:rFonts w:ascii="Times New Roman" w:eastAsia="Times New Roman" w:hAnsi="Times New Roman" w:cs="Times New Roman"/>
          <w:color w:val="000000"/>
          <w:sz w:val="28"/>
          <w:szCs w:val="28"/>
          <w:lang w:val="kk-KZ"/>
        </w:rPr>
      </w:pPr>
      <w:r>
        <w:rPr>
          <w:rFonts w:ascii="Times New Roman" w:eastAsia="DengXian" w:hAnsi="Times New Roman" w:cs="Times New Roman"/>
          <w:sz w:val="28"/>
          <w:szCs w:val="28"/>
          <w:lang w:val="kk-KZ" w:eastAsia="zh-CN"/>
        </w:rPr>
        <w:t>6. Диссертациялық жұмыстың талдау бөлімінде анықталған әлеуеттер мен тосқауылдарды ескере отыры</w:t>
      </w:r>
      <w:r>
        <w:rPr>
          <w:rFonts w:ascii="Times New Roman" w:eastAsia="DengXian" w:hAnsi="Times New Roman" w:cs="Times New Roman"/>
          <w:sz w:val="28"/>
          <w:szCs w:val="28"/>
          <w:lang w:val="kk-KZ" w:eastAsia="zh-CN"/>
        </w:rPr>
        <w:t xml:space="preserve">п, макродеңгейлік нәтиже ретінде Қазақстан Республикасы тамақ өнеркәсібі кәсіпорындарының инновациялық дамуының интеграциялық құрылымын қалыптастыру механизмі ұсынылды (Қосымша В). Бұл механизм интеграциялық құрылым ретінде мемлекет, академиялық орта және </w:t>
      </w:r>
      <w:r>
        <w:rPr>
          <w:rFonts w:ascii="Times New Roman" w:eastAsia="DengXian" w:hAnsi="Times New Roman" w:cs="Times New Roman"/>
          <w:sz w:val="28"/>
          <w:szCs w:val="28"/>
          <w:lang w:val="kk-KZ" w:eastAsia="zh-CN"/>
        </w:rPr>
        <w:t>тамақ өнеркәсібі саласы кәсіпорындарының өзара іс-қимылын үйлестіруге бағытталған. Механизмнің негізгі мақсаты - әртүрлі салалардың білімдерін, идеяларын және технологияларын біріктіру арқылы өнеркәсіп пен академиялық орта арасындағы ортақ ғылыми-зерттеуле</w:t>
      </w:r>
      <w:r>
        <w:rPr>
          <w:rFonts w:ascii="Times New Roman" w:eastAsia="DengXian" w:hAnsi="Times New Roman" w:cs="Times New Roman"/>
          <w:sz w:val="28"/>
          <w:szCs w:val="28"/>
          <w:lang w:val="kk-KZ" w:eastAsia="zh-CN"/>
        </w:rPr>
        <w:t>р жүргізудің жаңа жүйесін қалыптастыру. Оның тиімді жұмыс істеуі үшін ШОК пен академиялық орта арасындағы ҒЗТКЖ-ны ынталандыруға арналған салааралық әріптестік кедергілерін жою сияқты институционалдық шараларды енгізу қажеттілігімен негізделеді.</w:t>
      </w:r>
    </w:p>
    <w:p w:rsidR="005118AF" w:rsidRDefault="00EF60C3">
      <w:pPr>
        <w:spacing w:after="0" w:line="240" w:lineRule="auto"/>
        <w:ind w:firstLine="709"/>
        <w:contextualSpacing/>
        <w:jc w:val="both"/>
        <w:rPr>
          <w:rFonts w:ascii="Times New Roman" w:eastAsia="Times New Roman" w:hAnsi="Times New Roman" w:cs="Times New Roman"/>
          <w:color w:val="000000"/>
          <w:sz w:val="28"/>
          <w:szCs w:val="28"/>
          <w:lang w:val="kk-KZ"/>
        </w:rPr>
      </w:pPr>
      <w:r>
        <w:rPr>
          <w:rFonts w:ascii="Times New Roman" w:eastAsia="DengXian" w:hAnsi="Times New Roman" w:cs="Times New Roman"/>
          <w:sz w:val="28"/>
          <w:szCs w:val="28"/>
          <w:lang w:val="kk-KZ" w:eastAsia="zh-CN"/>
        </w:rPr>
        <w:t>7. Стратег</w:t>
      </w:r>
      <w:r>
        <w:rPr>
          <w:rFonts w:ascii="Times New Roman" w:eastAsia="DengXian" w:hAnsi="Times New Roman" w:cs="Times New Roman"/>
          <w:sz w:val="28"/>
          <w:szCs w:val="28"/>
          <w:lang w:val="kk-KZ" w:eastAsia="zh-CN"/>
        </w:rPr>
        <w:t>иялық талдау құралының медиация және модерация әдістерін қолдану арқылы кәсіпорын деңгейінде енгізулуге бағытталған Тұрақты ащық инновациялардың тұжырымдамалық үлгілері қалыптастырылды. Бұл үлгілер инновацияны корпоративтілік тиімділік пен қатар тұрақтылық</w:t>
      </w:r>
      <w:r>
        <w:rPr>
          <w:rFonts w:ascii="Times New Roman" w:eastAsia="DengXian" w:hAnsi="Times New Roman" w:cs="Times New Roman"/>
          <w:sz w:val="28"/>
          <w:szCs w:val="28"/>
          <w:lang w:val="kk-KZ" w:eastAsia="zh-CN"/>
        </w:rPr>
        <w:t xml:space="preserve"> пен әлеуметтік жауапкершілікті қамтамасыз етуге бағытталған соңғы теориялық трендтерге сүйенеді. Үлгілердің басты ерекшеліктері - тамақ өнеркәсібі саласының ірі бизнес және ШОК арналған сараланған құрылымының болуы. Бірінші үлгіге сәйкес, ірі кәсіпорындар</w:t>
      </w:r>
      <w:r>
        <w:rPr>
          <w:rFonts w:ascii="Times New Roman" w:eastAsia="DengXian" w:hAnsi="Times New Roman" w:cs="Times New Roman"/>
          <w:sz w:val="28"/>
          <w:szCs w:val="28"/>
          <w:lang w:val="kk-KZ" w:eastAsia="zh-CN"/>
        </w:rPr>
        <w:t xml:space="preserve"> сыртқы және ішкі инновацияық ағындарды басқаруға және стратегиялық ынтымақтастыққа негізделген, Ал ШОК арналған үлгі ресурстық шектеулерді ескере отырып, сырқы ортаның әлеуетіне негізделген желілік интеграцияға бағытталған. Бұл үлгілер тамақ өнеркәсібі кә</w:t>
      </w:r>
      <w:r>
        <w:rPr>
          <w:rFonts w:ascii="Times New Roman" w:eastAsia="DengXian" w:hAnsi="Times New Roman" w:cs="Times New Roman"/>
          <w:sz w:val="28"/>
          <w:szCs w:val="28"/>
          <w:lang w:val="kk-KZ" w:eastAsia="zh-CN"/>
        </w:rPr>
        <w:t xml:space="preserve">сіпорындарының ұзақмерзімді бәсекеге қабілеттілікті қамтамасыз ететін инновациялық стратегияларды енгізудің тиімділігін негіздейді. </w:t>
      </w:r>
    </w:p>
    <w:p w:rsidR="005118AF" w:rsidRDefault="00EF60C3">
      <w:pPr>
        <w:spacing w:after="0" w:line="240" w:lineRule="auto"/>
        <w:ind w:firstLine="709"/>
        <w:contextualSpacing/>
        <w:jc w:val="both"/>
        <w:rPr>
          <w:rFonts w:ascii="Times New Roman" w:eastAsia="Times New Roman" w:hAnsi="Times New Roman" w:cs="Times New Roman"/>
          <w:color w:val="000000"/>
          <w:sz w:val="28"/>
          <w:szCs w:val="28"/>
          <w:lang w:val="kk-KZ"/>
        </w:rPr>
      </w:pPr>
      <w:r>
        <w:rPr>
          <w:rFonts w:ascii="Times New Roman" w:eastAsia="DengXian" w:hAnsi="Times New Roman" w:cs="Times New Roman"/>
          <w:sz w:val="28"/>
          <w:szCs w:val="28"/>
          <w:lang w:val="kk-KZ" w:eastAsia="zh-CN"/>
        </w:rPr>
        <w:t>8. Жұмыстың практикалық маңыздылығы диссертациялық зерттеу жұмысы аясында ұсынылған құрылымдық сауалнамаға негізделген баға</w:t>
      </w:r>
      <w:r>
        <w:rPr>
          <w:rFonts w:ascii="Times New Roman" w:eastAsia="DengXian" w:hAnsi="Times New Roman" w:cs="Times New Roman"/>
          <w:sz w:val="28"/>
          <w:szCs w:val="28"/>
          <w:lang w:val="kk-KZ" w:eastAsia="zh-CN"/>
        </w:rPr>
        <w:t>лау әдістемесі, азық-түлік инновацияларының жаһандық индексі, интеграциялық құрылым мен тұрақты ашық инновациялардың тұжырымдамалық үлгілерінің Қазақстанның азық-түлік өнеркәсібіндегі инновациялық стратегияларды әзірлеуде және мемлекеттік реттеу саясатында</w:t>
      </w:r>
      <w:r>
        <w:rPr>
          <w:rFonts w:ascii="Times New Roman" w:eastAsia="DengXian" w:hAnsi="Times New Roman" w:cs="Times New Roman"/>
          <w:sz w:val="28"/>
          <w:szCs w:val="28"/>
          <w:lang w:val="kk-KZ" w:eastAsia="zh-CN"/>
        </w:rPr>
        <w:t xml:space="preserve"> қолданылу мүмкіндігімен дәлелденеді (Қосымша Г). Нәтижелерді салалық қауымдастықтар мен нақты кәсіпорындардың тәжірибесіне енгізу инновациялық басқару тиімділігін арттыруға ықпал етеді (Қосымша А). </w:t>
      </w:r>
    </w:p>
    <w:p w:rsidR="005118AF" w:rsidRDefault="00EF60C3">
      <w:pPr>
        <w:spacing w:after="0" w:line="240" w:lineRule="auto"/>
        <w:ind w:firstLineChars="200" w:firstLine="560"/>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Жалпы алғанда, диссертациялық жұмыс аясында ұсынылған әз</w:t>
      </w:r>
      <w:r>
        <w:rPr>
          <w:rFonts w:ascii="Times New Roman" w:eastAsia="Times New Roman" w:hAnsi="Times New Roman" w:cs="Times New Roman"/>
          <w:color w:val="000000"/>
          <w:sz w:val="28"/>
          <w:szCs w:val="28"/>
          <w:lang w:val="kk-KZ"/>
        </w:rPr>
        <w:t>ірлемелер тамақ өнеркәсібі кәсіпорындарының инновациялық дамуына және ұзақмерзімді бәсекеге қабілеттілігін қамтамасыз етуге тікелей үлес қосары анық.</w:t>
      </w:r>
    </w:p>
    <w:p w:rsidR="005118AF" w:rsidRDefault="00EF60C3">
      <w:pPr>
        <w:spacing w:after="0" w:line="240" w:lineRule="auto"/>
        <w:ind w:firstLineChars="200" w:firstLine="560"/>
        <w:contextualSpacing/>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Болашақ зерттеулерде диссертациялық жұмыста ұсынған тұжырымдамалық модельдерді Қазақстанның тамақ өнеркәсі</w:t>
      </w:r>
      <w:r>
        <w:rPr>
          <w:rFonts w:ascii="Times New Roman" w:eastAsia="Times New Roman" w:hAnsi="Times New Roman" w:cs="Times New Roman"/>
          <w:color w:val="000000"/>
          <w:sz w:val="28"/>
          <w:szCs w:val="28"/>
          <w:lang w:val="kk-KZ"/>
        </w:rPr>
        <w:t>бінің ірі және шағын кәсіпорындарында енгізу және апробациялау бойынша ғылыми-зерттеу жобаларын әзірлеу, сондай-ақ, олардың енгізу нәтижесінде алынатын тиімділік көрсеткіштерінің әдістемесі арқылы тұрақтылықтың инновациялық нәтижеге әсерін айқындау бойынша</w:t>
      </w:r>
      <w:r>
        <w:rPr>
          <w:rFonts w:ascii="Times New Roman" w:eastAsia="Times New Roman" w:hAnsi="Times New Roman" w:cs="Times New Roman"/>
          <w:color w:val="000000"/>
          <w:sz w:val="28"/>
          <w:szCs w:val="28"/>
          <w:lang w:val="kk-KZ"/>
        </w:rPr>
        <w:t xml:space="preserve"> зерттеу жұмыстарын жүргізу мақсаты қойылып отыр. </w:t>
      </w:r>
    </w:p>
    <w:p w:rsidR="005118AF" w:rsidRDefault="005118AF">
      <w:pPr>
        <w:autoSpaceDE w:val="0"/>
        <w:autoSpaceDN w:val="0"/>
        <w:adjustRightInd w:val="0"/>
        <w:spacing w:after="0" w:line="240" w:lineRule="auto"/>
        <w:ind w:firstLine="709"/>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kk-KZ" w:eastAsia="zh-CN"/>
        </w:rPr>
      </w:pPr>
    </w:p>
    <w:p w:rsidR="005118AF" w:rsidRDefault="005118AF">
      <w:pPr>
        <w:spacing w:after="0" w:line="240" w:lineRule="auto"/>
        <w:jc w:val="both"/>
        <w:rPr>
          <w:rFonts w:ascii="Times New Roman" w:eastAsia="DengXian" w:hAnsi="Times New Roman" w:cs="Times New Roman"/>
          <w:sz w:val="28"/>
          <w:szCs w:val="28"/>
          <w:lang w:val="kk-KZ"/>
        </w:rPr>
      </w:pPr>
    </w:p>
    <w:p w:rsidR="005118AF" w:rsidRDefault="005118AF">
      <w:pPr>
        <w:spacing w:after="0" w:line="240" w:lineRule="auto"/>
        <w:jc w:val="both"/>
        <w:rPr>
          <w:rFonts w:ascii="Times New Roman" w:eastAsia="DengXian" w:hAnsi="Times New Roman" w:cs="Times New Roman"/>
          <w:sz w:val="28"/>
          <w:szCs w:val="28"/>
          <w:lang w:val="kk-KZ"/>
        </w:rPr>
      </w:pPr>
    </w:p>
    <w:p w:rsidR="005118AF" w:rsidRDefault="00EF60C3">
      <w:pPr>
        <w:spacing w:after="0" w:line="240" w:lineRule="auto"/>
        <w:jc w:val="center"/>
        <w:rPr>
          <w:rFonts w:ascii="Times New Roman" w:eastAsia="DengXian" w:hAnsi="Times New Roman" w:cs="Times New Roman"/>
          <w:b/>
          <w:bCs/>
          <w:sz w:val="28"/>
          <w:szCs w:val="28"/>
          <w:lang w:val="kk-KZ"/>
        </w:rPr>
      </w:pPr>
      <w:r>
        <w:rPr>
          <w:rFonts w:ascii="Times New Roman" w:eastAsia="DengXian" w:hAnsi="Times New Roman" w:cs="Times New Roman"/>
          <w:b/>
          <w:bCs/>
          <w:sz w:val="28"/>
          <w:szCs w:val="28"/>
          <w:lang w:val="kk-KZ"/>
        </w:rPr>
        <w:t>ПАЙДАЛАНЫЛҒАН ӘДЕБИЕТТЕР ТІЗІМІ</w:t>
      </w:r>
    </w:p>
    <w:p w:rsidR="005118AF" w:rsidRDefault="005118AF">
      <w:pPr>
        <w:spacing w:after="0" w:line="240" w:lineRule="auto"/>
        <w:jc w:val="both"/>
        <w:rPr>
          <w:rFonts w:ascii="Times New Roman" w:eastAsia="DengXian" w:hAnsi="Times New Roman" w:cs="Times New Roman"/>
          <w:sz w:val="28"/>
          <w:szCs w:val="28"/>
          <w:lang w:val="kk-KZ"/>
        </w:rPr>
      </w:pP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1 «Қазақстан-2050» Стратегиясы қалыптасқан мемлекеттің жаңа саяси бағыты /</w:t>
      </w:r>
      <w:r>
        <w:rPr>
          <w:rFonts w:ascii="Times New Roman" w:eastAsia="DengXian" w:hAnsi="Times New Roman" w:cs="Times New Roman"/>
          <w:b/>
          <w:bCs/>
          <w:sz w:val="28"/>
          <w:szCs w:val="28"/>
          <w:lang w:val="kk-KZ"/>
        </w:rPr>
        <w:t>/</w:t>
      </w:r>
      <w:r>
        <w:rPr>
          <w:rFonts w:ascii="Calibri" w:eastAsia="DengXian" w:hAnsi="Calibri" w:cs="Times New Roman"/>
          <w:lang w:val="kk-KZ"/>
        </w:rPr>
        <w:t xml:space="preserve"> </w:t>
      </w:r>
      <w:hyperlink r:id="rId53" w:history="1">
        <w:r>
          <w:rPr>
            <w:rStyle w:val="ab"/>
            <w:rFonts w:ascii="Times New Roman" w:eastAsia="DengXian" w:hAnsi="Times New Roman" w:cs="Times New Roman"/>
            <w:color w:val="auto"/>
            <w:sz w:val="28"/>
            <w:szCs w:val="28"/>
            <w:u w:val="none"/>
            <w:lang w:val="kk-KZ"/>
          </w:rPr>
          <w:t>https://www.akorda.kz/kz/official_documents/strategies_and_programs</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 </w:t>
      </w:r>
      <w:r>
        <w:rPr>
          <w:rFonts w:ascii="Times New Roman" w:eastAsia="DengXian" w:hAnsi="Times New Roman" w:cs="Times New Roman"/>
          <w:sz w:val="28"/>
          <w:szCs w:val="28"/>
          <w:lang w:val="en-US" w:eastAsia="zh-CN"/>
        </w:rPr>
        <w:t xml:space="preserve">Extreme poverty in developing countries inextricably linked to global food insecurity crisis, senior officials tell Second Committee / United Nations (2023) // </w:t>
      </w:r>
      <w:hyperlink r:id="rId54" w:history="1">
        <w:r>
          <w:rPr>
            <w:rStyle w:val="ab"/>
            <w:rFonts w:ascii="Times New Roman" w:eastAsia="SimSun" w:hAnsi="Times New Roman" w:cs="Times New Roman"/>
            <w:color w:val="auto"/>
            <w:sz w:val="28"/>
            <w:szCs w:val="28"/>
            <w:u w:val="none"/>
            <w:lang w:val="en-US" w:eastAsia="zh-CN"/>
          </w:rPr>
          <w:t>https://press.un.org/en/2023/gaef3590.doc.htm</w:t>
        </w:r>
      </w:hyperlink>
      <w:r>
        <w:rPr>
          <w:rStyle w:val="ab"/>
          <w:rFonts w:ascii="Times New Roman" w:eastAsia="SimSun" w:hAnsi="Times New Roman" w:cs="Times New Roman"/>
          <w:color w:val="auto"/>
          <w:sz w:val="28"/>
          <w:szCs w:val="28"/>
          <w:u w:val="none"/>
          <w:lang w:val="en-US" w:eastAsia="zh-CN"/>
        </w:rPr>
        <w:t>. 10.10.2025.</w:t>
      </w:r>
    </w:p>
    <w:p w:rsidR="005118AF" w:rsidRDefault="00EF60C3">
      <w:pPr>
        <w:tabs>
          <w:tab w:val="left" w:pos="880"/>
          <w:tab w:val="left" w:pos="1276"/>
        </w:tabs>
        <w:spacing w:after="0" w:line="240" w:lineRule="auto"/>
        <w:ind w:firstLine="709"/>
        <w:jc w:val="both"/>
        <w:rPr>
          <w:rStyle w:val="ab"/>
          <w:rFonts w:ascii="Times New Roman" w:eastAsia="SimSun" w:hAnsi="Times New Roman" w:cs="Times New Roman"/>
          <w:color w:val="auto"/>
          <w:sz w:val="28"/>
          <w:szCs w:val="28"/>
          <w:u w:val="none"/>
          <w:lang w:val="en-US"/>
        </w:rPr>
      </w:pPr>
      <w:r>
        <w:rPr>
          <w:rFonts w:ascii="Times New Roman" w:eastAsia="DengXian" w:hAnsi="Times New Roman" w:cs="Times New Roman"/>
          <w:sz w:val="28"/>
          <w:szCs w:val="28"/>
          <w:lang w:val="kk-KZ" w:eastAsia="zh-CN"/>
        </w:rPr>
        <w:t>3</w:t>
      </w:r>
      <w:r>
        <w:rPr>
          <w:rFonts w:ascii="Times New Roman" w:eastAsia="DengXian" w:hAnsi="Times New Roman" w:cs="Times New Roman"/>
          <w:sz w:val="28"/>
          <w:szCs w:val="28"/>
          <w:lang w:val="en-US" w:eastAsia="zh-CN"/>
        </w:rPr>
        <w:t xml:space="preserve"> Population database / World Bank // </w:t>
      </w:r>
      <w:hyperlink r:id="rId55" w:history="1">
        <w:r>
          <w:rPr>
            <w:rStyle w:val="ab"/>
            <w:rFonts w:ascii="Times New Roman" w:eastAsia="DengXian" w:hAnsi="Times New Roman" w:cs="Times New Roman"/>
            <w:color w:val="auto"/>
            <w:sz w:val="28"/>
            <w:szCs w:val="28"/>
            <w:u w:val="none"/>
            <w:lang w:val="en-US" w:eastAsia="zh-CN"/>
          </w:rPr>
          <w:t>https://databank.worldbank.org</w:t>
        </w:r>
      </w:hyperlink>
      <w:r>
        <w:rPr>
          <w:rFonts w:ascii="Times New Roman" w:eastAsia="DengXian" w:hAnsi="Times New Roman" w:cs="Times New Roman"/>
          <w:sz w:val="28"/>
          <w:szCs w:val="28"/>
          <w:lang w:val="en-US" w:eastAsia="zh-CN"/>
        </w:rPr>
        <w:t>. 10.10.2025.</w:t>
      </w:r>
    </w:p>
    <w:p w:rsidR="005118AF" w:rsidRDefault="00EF60C3">
      <w:pPr>
        <w:tabs>
          <w:tab w:val="left" w:pos="880"/>
        </w:tabs>
        <w:spacing w:after="0" w:line="240" w:lineRule="auto"/>
        <w:ind w:firstLine="709"/>
        <w:jc w:val="both"/>
        <w:rPr>
          <w:rStyle w:val="ab"/>
          <w:rFonts w:ascii="Times New Roman" w:eastAsia="SimSun" w:hAnsi="Times New Roman" w:cs="Times New Roman"/>
          <w:color w:val="auto"/>
          <w:sz w:val="28"/>
          <w:szCs w:val="28"/>
          <w:u w:val="none"/>
          <w:lang w:val="en-US"/>
        </w:rPr>
      </w:pPr>
      <w:r>
        <w:rPr>
          <w:rFonts w:ascii="Times New Roman" w:eastAsia="DengXian" w:hAnsi="Times New Roman" w:cs="Times New Roman"/>
          <w:sz w:val="28"/>
          <w:szCs w:val="28"/>
          <w:lang w:val="kk-KZ"/>
        </w:rPr>
        <w:t xml:space="preserve">4 </w:t>
      </w:r>
      <w:r>
        <w:rPr>
          <w:rFonts w:ascii="Times New Roman" w:eastAsia="DengXian" w:hAnsi="Times New Roman" w:cs="Times New Roman"/>
          <w:sz w:val="28"/>
          <w:szCs w:val="28"/>
          <w:lang w:val="en-US" w:eastAsia="zh-CN"/>
        </w:rPr>
        <w:t>OECD-FAO Agricultural Outlook 2021–2030</w:t>
      </w:r>
      <w:r>
        <w:rPr>
          <w:rFonts w:ascii="Times New Roman" w:eastAsia="DengXian" w:hAnsi="Times New Roman" w:cs="Times New Roman"/>
          <w:sz w:val="28"/>
          <w:szCs w:val="28"/>
          <w:lang w:val="kk-KZ" w:eastAsia="zh-CN"/>
        </w:rPr>
        <w:t xml:space="preserve"> / </w:t>
      </w:r>
      <w:r>
        <w:rPr>
          <w:rFonts w:ascii="Times New Roman" w:eastAsia="DengXian" w:hAnsi="Times New Roman" w:cs="Times New Roman"/>
          <w:sz w:val="28"/>
          <w:szCs w:val="28"/>
          <w:lang w:val="en-US" w:eastAsia="zh-CN"/>
        </w:rPr>
        <w:t xml:space="preserve">Food and Agriculture Organization of the United Nations // </w:t>
      </w:r>
      <w:hyperlink r:id="rId56" w:history="1">
        <w:r>
          <w:rPr>
            <w:rStyle w:val="ab"/>
            <w:rFonts w:ascii="Times New Roman" w:eastAsia="SimSun" w:hAnsi="Times New Roman" w:cs="Times New Roman"/>
            <w:color w:val="auto"/>
            <w:sz w:val="28"/>
            <w:szCs w:val="28"/>
            <w:u w:val="none"/>
            <w:lang w:val="en-US" w:eastAsia="zh-CN"/>
          </w:rPr>
          <w:t>https://openknowledge.fao.org</w:t>
        </w:r>
      </w:hyperlink>
      <w:r>
        <w:rPr>
          <w:rStyle w:val="ab"/>
          <w:rFonts w:ascii="Times New Roman" w:eastAsia="SimSun" w:hAnsi="Times New Roman" w:cs="Times New Roman"/>
          <w:color w:val="auto"/>
          <w:sz w:val="28"/>
          <w:szCs w:val="28"/>
          <w:u w:val="none"/>
          <w:lang w:val="en-US" w:eastAsia="zh-CN"/>
        </w:rPr>
        <w:t>. 10.10.2025.</w:t>
      </w:r>
      <w:r>
        <w:rPr>
          <w:rStyle w:val="ab"/>
          <w:rFonts w:ascii="Times New Roman" w:eastAsia="SimSun" w:hAnsi="Times New Roman" w:cs="Times New Roman"/>
          <w:color w:val="auto"/>
          <w:sz w:val="28"/>
          <w:szCs w:val="28"/>
          <w:u w:val="none"/>
          <w:lang w:val="kk-KZ" w:eastAsia="zh-CN"/>
        </w:rPr>
        <w:t xml:space="preserve">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5 </w:t>
      </w:r>
      <w:r>
        <w:rPr>
          <w:rFonts w:ascii="Times New Roman" w:eastAsia="DengXian" w:hAnsi="Times New Roman" w:cs="Times New Roman"/>
          <w:sz w:val="28"/>
          <w:szCs w:val="28"/>
          <w:lang w:val="en-US" w:eastAsia="zh-CN"/>
        </w:rPr>
        <w:t xml:space="preserve">Bigliardi B., Filippelli S. A review of the literature on </w:t>
      </w:r>
      <w:r>
        <w:rPr>
          <w:rFonts w:ascii="Times New Roman" w:eastAsia="DengXian" w:hAnsi="Times New Roman" w:cs="Times New Roman"/>
          <w:sz w:val="28"/>
          <w:szCs w:val="28"/>
          <w:lang w:val="en-US" w:eastAsia="zh-CN"/>
        </w:rPr>
        <w:t>innovation in the agrofood industry: sustainability, smartness and health // European Journal of Innovation Management. – 2022. – Vol. 25, Issue 6. – P. 589-611.</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6 </w:t>
      </w:r>
      <w:r>
        <w:rPr>
          <w:rFonts w:ascii="Times New Roman" w:eastAsia="DengXian" w:hAnsi="Times New Roman" w:cs="Times New Roman"/>
          <w:sz w:val="28"/>
          <w:szCs w:val="28"/>
          <w:lang w:val="en-US" w:eastAsia="zh-CN"/>
        </w:rPr>
        <w:t>Hussain A., Shahzad A., Hassan R. Organizational and Environmental Factors with the Mediatin</w:t>
      </w:r>
      <w:r>
        <w:rPr>
          <w:rFonts w:ascii="Times New Roman" w:eastAsia="DengXian" w:hAnsi="Times New Roman" w:cs="Times New Roman"/>
          <w:sz w:val="28"/>
          <w:szCs w:val="28"/>
          <w:lang w:val="en-US" w:eastAsia="zh-CN"/>
        </w:rPr>
        <w:t>g Role of E-Commerce and SME Performance // J. Open Innov. Technol. Mark. Complex. – 2020. – Vol. 6. – P. 196.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7 </w:t>
      </w:r>
      <w:r>
        <w:rPr>
          <w:rFonts w:ascii="Times New Roman" w:eastAsia="DengXian" w:hAnsi="Times New Roman" w:cs="Times New Roman"/>
          <w:sz w:val="28"/>
          <w:szCs w:val="28"/>
          <w:lang w:val="en-US" w:eastAsia="zh-CN"/>
        </w:rPr>
        <w:t>Damanpour F., Schneider M. Characteristics of innovation and innovation adoption in public organizations: assessing the role of managers // Jou</w:t>
      </w:r>
      <w:r>
        <w:rPr>
          <w:rFonts w:ascii="Times New Roman" w:eastAsia="DengXian" w:hAnsi="Times New Roman" w:cs="Times New Roman"/>
          <w:sz w:val="28"/>
          <w:szCs w:val="28"/>
          <w:lang w:val="en-US" w:eastAsia="zh-CN"/>
        </w:rPr>
        <w:t>rnal of Public Administration Research and Theory. – 2009. – Vol. 19, Issue 3. – P. 495-522.</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8 Schumpeter J. Capitalism, socialism and democracy. </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London: Allen and Unwin</w:t>
      </w:r>
      <w:r>
        <w:rPr>
          <w:rFonts w:ascii="Times New Roman" w:eastAsia="DengXian" w:hAnsi="Times New Roman" w:cs="Times New Roman"/>
          <w:sz w:val="28"/>
          <w:szCs w:val="28"/>
          <w:lang w:val="en-US"/>
        </w:rPr>
        <w:t>, 1943.</w:t>
      </w:r>
      <w:r>
        <w:rPr>
          <w:rFonts w:ascii="Times New Roman" w:eastAsia="DengXian" w:hAnsi="Times New Roman" w:cs="Times New Roman"/>
          <w:sz w:val="28"/>
          <w:szCs w:val="28"/>
          <w:lang w:val="kk-KZ"/>
        </w:rPr>
        <w:t xml:space="preserve"> – 383 р.</w:t>
      </w:r>
    </w:p>
    <w:p w:rsidR="005118AF" w:rsidRDefault="00EF60C3">
      <w:pPr>
        <w:tabs>
          <w:tab w:val="left" w:pos="880"/>
          <w:tab w:val="left" w:pos="1276"/>
        </w:tabs>
        <w:spacing w:after="0" w:line="240" w:lineRule="auto"/>
        <w:ind w:firstLine="709"/>
        <w:jc w:val="both"/>
        <w:rPr>
          <w:rFonts w:ascii="Times New Roman" w:eastAsia="SimSun" w:hAnsi="Times New Roman" w:cs="Times New Roman"/>
          <w:sz w:val="27"/>
          <w:szCs w:val="27"/>
          <w:lang w:val="kk-KZ" w:eastAsia="zh-CN"/>
        </w:rPr>
      </w:pPr>
      <w:r>
        <w:rPr>
          <w:rFonts w:ascii="Times New Roman" w:eastAsia="SimSun" w:hAnsi="Times New Roman" w:cs="Times New Roman"/>
          <w:sz w:val="27"/>
          <w:szCs w:val="27"/>
          <w:lang w:val="kk-KZ"/>
        </w:rPr>
        <w:t xml:space="preserve">9 </w:t>
      </w:r>
      <w:r>
        <w:rPr>
          <w:rFonts w:ascii="Times New Roman" w:eastAsia="SimSun" w:hAnsi="Times New Roman" w:cs="Times New Roman"/>
          <w:sz w:val="27"/>
          <w:szCs w:val="27"/>
          <w:lang w:val="en-US"/>
        </w:rPr>
        <w:t xml:space="preserve">Lundvall B.-A. </w:t>
      </w:r>
      <w:hyperlink r:id="rId57" w:history="1">
        <w:r>
          <w:rPr>
            <w:rFonts w:ascii="Times New Roman" w:eastAsia="SimSun" w:hAnsi="Times New Roman" w:cs="Times New Roman"/>
            <w:sz w:val="27"/>
            <w:szCs w:val="27"/>
            <w:lang w:val="en-US"/>
          </w:rPr>
          <w:t>National systems of innovation</w:t>
        </w:r>
      </w:hyperlink>
      <w:r>
        <w:rPr>
          <w:rFonts w:ascii="Times New Roman" w:eastAsia="SimSun" w:hAnsi="Times New Roman" w:cs="Times New Roman"/>
          <w:sz w:val="27"/>
          <w:szCs w:val="27"/>
          <w:lang w:val="en-US"/>
        </w:rPr>
        <w:t xml:space="preserve"> // In book: </w:t>
      </w:r>
      <w:hyperlink r:id="rId58" w:history="1">
        <w:r>
          <w:rPr>
            <w:rFonts w:ascii="Times New Roman" w:eastAsia="SimSun" w:hAnsi="Times New Roman" w:cs="Times New Roman"/>
            <w:sz w:val="27"/>
            <w:szCs w:val="27"/>
            <w:lang w:val="en-US"/>
          </w:rPr>
          <w:t>Elgar Encyclopedia on the Economics of Knowledge and Innovation</w:t>
        </w:r>
      </w:hyperlink>
      <w:r>
        <w:rPr>
          <w:rFonts w:ascii="Times New Roman" w:eastAsia="SimSun" w:hAnsi="Times New Roman" w:cs="Times New Roman"/>
          <w:sz w:val="27"/>
          <w:szCs w:val="27"/>
          <w:lang w:val="en-US"/>
        </w:rPr>
        <w:t>. – Cheltenham, 2022. – Ch. 43. – P. 350-357.</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10 Penrose E.T. The Theory of the Growth of the Firm. </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NY</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 John Wiley</w:t>
      </w:r>
      <w:r>
        <w:rPr>
          <w:rFonts w:ascii="Times New Roman" w:eastAsia="DengXian" w:hAnsi="Times New Roman" w:cs="Times New Roman"/>
          <w:sz w:val="28"/>
          <w:szCs w:val="28"/>
          <w:lang w:val="en-US"/>
        </w:rPr>
        <w:t>, 1959. – 272 p.</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11 Barney</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J.B. Firm resources and sustained competitive advantage</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 xml:space="preserve"> Journal of Management</w:t>
      </w:r>
      <w:r>
        <w:rPr>
          <w:rFonts w:ascii="Times New Roman" w:eastAsia="DengXian" w:hAnsi="Times New Roman" w:cs="Times New Roman"/>
          <w:sz w:val="28"/>
          <w:szCs w:val="28"/>
          <w:lang w:val="en-US"/>
        </w:rPr>
        <w:t xml:space="preserve">. – 1991. – Vol. </w:t>
      </w:r>
      <w:r>
        <w:rPr>
          <w:rFonts w:ascii="Times New Roman" w:eastAsia="DengXian" w:hAnsi="Times New Roman" w:cs="Times New Roman"/>
          <w:sz w:val="28"/>
          <w:szCs w:val="28"/>
          <w:lang w:val="kk-KZ"/>
        </w:rPr>
        <w:t>17</w:t>
      </w:r>
      <w:r>
        <w:rPr>
          <w:rFonts w:ascii="Times New Roman" w:eastAsia="DengXian" w:hAnsi="Times New Roman" w:cs="Times New Roman"/>
          <w:sz w:val="28"/>
          <w:szCs w:val="28"/>
          <w:lang w:val="en-US"/>
        </w:rPr>
        <w:t xml:space="preserve">, Issue </w:t>
      </w:r>
      <w:r>
        <w:rPr>
          <w:rFonts w:ascii="Times New Roman" w:eastAsia="DengXian" w:hAnsi="Times New Roman" w:cs="Times New Roman"/>
          <w:sz w:val="28"/>
          <w:szCs w:val="28"/>
          <w:lang w:val="kk-KZ"/>
        </w:rPr>
        <w:t>1</w:t>
      </w:r>
      <w:r>
        <w:rPr>
          <w:rFonts w:ascii="Times New Roman" w:eastAsia="DengXian" w:hAnsi="Times New Roman" w:cs="Times New Roman"/>
          <w:sz w:val="28"/>
          <w:szCs w:val="28"/>
          <w:lang w:val="en-US"/>
        </w:rPr>
        <w:t>. – P.</w:t>
      </w:r>
      <w:r>
        <w:rPr>
          <w:rFonts w:ascii="Times New Roman" w:eastAsia="DengXian" w:hAnsi="Times New Roman" w:cs="Times New Roman"/>
          <w:sz w:val="28"/>
          <w:szCs w:val="28"/>
          <w:lang w:val="kk-KZ"/>
        </w:rPr>
        <w:t xml:space="preserve"> 99</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120.</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rPr>
        <w:t xml:space="preserve">12 </w:t>
      </w:r>
      <w:r>
        <w:rPr>
          <w:rFonts w:ascii="Times New Roman" w:eastAsia="DengXian" w:hAnsi="Times New Roman" w:cs="Times New Roman"/>
          <w:sz w:val="28"/>
          <w:szCs w:val="28"/>
          <w:lang w:val="en-US"/>
        </w:rPr>
        <w:t>Newbert S.L. Value, rareness, co</w:t>
      </w:r>
      <w:r>
        <w:rPr>
          <w:rFonts w:ascii="Times New Roman" w:eastAsia="DengXian" w:hAnsi="Times New Roman" w:cs="Times New Roman"/>
          <w:sz w:val="28"/>
          <w:szCs w:val="28"/>
          <w:lang w:val="en-US"/>
        </w:rPr>
        <w:t>mpetitive advantage, and performance: A conceptual-level empirical investigation of the resource- based view of the firm // Strategic Management Journal. – 2008. – Vol. 29, Issue 7. – P. 745-768.</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rPr>
      </w:pPr>
      <w:r>
        <w:rPr>
          <w:rFonts w:ascii="Times New Roman" w:eastAsia="DengXian" w:hAnsi="Times New Roman" w:cs="Times New Roman"/>
          <w:sz w:val="28"/>
          <w:szCs w:val="28"/>
          <w:lang w:val="kk-KZ" w:eastAsia="zh-CN"/>
        </w:rPr>
        <w:t xml:space="preserve">13 </w:t>
      </w:r>
      <w:r>
        <w:rPr>
          <w:rFonts w:ascii="Times New Roman" w:eastAsia="DengXian" w:hAnsi="Times New Roman" w:cs="Times New Roman"/>
          <w:sz w:val="28"/>
          <w:szCs w:val="28"/>
          <w:lang w:val="en-US" w:eastAsia="zh-CN"/>
        </w:rPr>
        <w:t>Chesbrough H. Open innovation: the new imperative for cre</w:t>
      </w:r>
      <w:r>
        <w:rPr>
          <w:rFonts w:ascii="Times New Roman" w:eastAsia="DengXian" w:hAnsi="Times New Roman" w:cs="Times New Roman"/>
          <w:sz w:val="28"/>
          <w:szCs w:val="28"/>
          <w:lang w:val="en-US" w:eastAsia="zh-CN"/>
        </w:rPr>
        <w:t>ating and profiting from technology. – Boston, 2003.</w:t>
      </w:r>
      <w:r>
        <w:rPr>
          <w:rFonts w:ascii="Times New Roman" w:eastAsia="DengXian" w:hAnsi="Times New Roman" w:cs="Times New Roman"/>
          <w:sz w:val="28"/>
          <w:szCs w:val="28"/>
          <w:lang w:val="kk-KZ" w:eastAsia="zh-CN"/>
        </w:rPr>
        <w:t xml:space="preserve"> – 222 р.</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 </w:t>
      </w:r>
      <w:r>
        <w:rPr>
          <w:rFonts w:ascii="Times New Roman" w:eastAsia="DengXian" w:hAnsi="Times New Roman" w:cs="Times New Roman"/>
          <w:sz w:val="28"/>
          <w:szCs w:val="28"/>
          <w:lang w:val="en-US" w:eastAsia="zh-CN"/>
        </w:rPr>
        <w:t xml:space="preserve">Adner R. et al. Value creation in innovation ecosystems: how the structure of technological interdependence affects firm performance in new technology generations // Strateg. Manag. J. – </w:t>
      </w:r>
      <w:r>
        <w:rPr>
          <w:rFonts w:ascii="Times New Roman" w:eastAsia="DengXian" w:hAnsi="Times New Roman" w:cs="Times New Roman"/>
          <w:sz w:val="28"/>
          <w:szCs w:val="28"/>
          <w:lang w:val="en-US" w:eastAsia="zh-CN"/>
        </w:rPr>
        <w:t>2010. – Vol. 31, Issue 3. – P. 306-333.</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15 </w:t>
      </w:r>
      <w:r>
        <w:rPr>
          <w:rFonts w:ascii="Times New Roman" w:eastAsia="DengXian" w:hAnsi="Times New Roman" w:cs="Times New Roman"/>
          <w:sz w:val="28"/>
          <w:szCs w:val="28"/>
          <w:lang w:val="en-US" w:eastAsia="zh-CN"/>
        </w:rPr>
        <w:t>Oh D-S., Phillips F. et al. Innovation ecosystems: a critical examination // Technovation. – 2016. – Vol. 54. – P. 1-6.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16 </w:t>
      </w:r>
      <w:r>
        <w:rPr>
          <w:rFonts w:ascii="Times New Roman" w:eastAsia="DengXian" w:hAnsi="Times New Roman" w:cs="Times New Roman"/>
          <w:sz w:val="28"/>
          <w:szCs w:val="28"/>
          <w:lang w:val="en-US" w:eastAsia="zh-CN"/>
        </w:rPr>
        <w:t xml:space="preserve">Menrad K. Innovations in the food industry in Germany // </w:t>
      </w:r>
      <w:hyperlink r:id="rId59" w:tooltip="Go to Research Policy on ScienceDirect" w:history="1">
        <w:r>
          <w:rPr>
            <w:rFonts w:ascii="Times New Roman" w:eastAsia="DengXian" w:hAnsi="Times New Roman" w:cs="Times New Roman"/>
            <w:sz w:val="28"/>
            <w:szCs w:val="28"/>
            <w:lang w:val="en-US" w:eastAsia="zh-CN"/>
          </w:rPr>
          <w:t>Research Policy</w:t>
        </w:r>
      </w:hyperlink>
      <w:r>
        <w:rPr>
          <w:rFonts w:ascii="Times New Roman" w:eastAsia="DengXian" w:hAnsi="Times New Roman" w:cs="Times New Roman"/>
          <w:sz w:val="28"/>
          <w:szCs w:val="28"/>
          <w:lang w:val="en-US" w:eastAsia="zh-CN"/>
        </w:rPr>
        <w:t xml:space="preserve">. – 2004. – </w:t>
      </w:r>
      <w:hyperlink r:id="rId60" w:tooltip="Go to table of contents for this volume/issue" w:history="1">
        <w:r>
          <w:rPr>
            <w:rFonts w:ascii="Times New Roman" w:eastAsia="DengXian" w:hAnsi="Times New Roman" w:cs="Times New Roman"/>
            <w:sz w:val="28"/>
            <w:szCs w:val="28"/>
            <w:lang w:val="en-US" w:eastAsia="zh-CN"/>
          </w:rPr>
          <w:t xml:space="preserve">Vol. 33, Issue </w:t>
        </w:r>
        <w:r>
          <w:rPr>
            <w:rFonts w:ascii="Times New Roman" w:eastAsia="DengXian" w:hAnsi="Times New Roman" w:cs="Times New Roman"/>
            <w:sz w:val="28"/>
            <w:szCs w:val="28"/>
            <w:lang w:val="en-US" w:eastAsia="zh-CN"/>
          </w:rPr>
          <w:t>6-7</w:t>
        </w:r>
      </w:hyperlink>
      <w:r>
        <w:rPr>
          <w:rFonts w:ascii="Times New Roman" w:eastAsia="DengXian" w:hAnsi="Times New Roman" w:cs="Times New Roman"/>
          <w:sz w:val="28"/>
          <w:szCs w:val="28"/>
          <w:lang w:val="en-US" w:eastAsia="zh-CN"/>
        </w:rPr>
        <w:t>. – P. 845-878.</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 </w:t>
      </w:r>
      <w:r>
        <w:rPr>
          <w:rFonts w:ascii="Times New Roman" w:eastAsia="DengXian" w:hAnsi="Times New Roman" w:cs="Times New Roman"/>
          <w:sz w:val="28"/>
          <w:szCs w:val="28"/>
          <w:lang w:val="en-US" w:eastAsia="zh-CN"/>
        </w:rPr>
        <w:t xml:space="preserve">Teece D.J. Profiting from innovation in the digital economy: standards, complementary assets, and business models in the wireless world // Res. Policy. – 2018. – Vol. 47, Issue 8. </w:t>
      </w:r>
      <w:r>
        <w:rPr>
          <w:rFonts w:ascii="Times New Roman" w:eastAsia="DengXian" w:hAnsi="Times New Roman" w:cs="Times New Roman"/>
          <w:sz w:val="28"/>
          <w:szCs w:val="28"/>
          <w:lang w:val="kk-KZ" w:eastAsia="zh-CN"/>
        </w:rPr>
        <w:t>– Р. 1367-1387</w:t>
      </w:r>
      <w:r>
        <w:rPr>
          <w:rFonts w:ascii="Times New Roman" w:eastAsia="DengXian" w:hAnsi="Times New Roman" w:cs="Times New Roman"/>
          <w:sz w:val="28"/>
          <w:szCs w:val="28"/>
          <w:lang w:val="en-US" w:eastAsia="zh-CN"/>
        </w:rPr>
        <w:t>.</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 </w:t>
      </w:r>
      <w:r>
        <w:rPr>
          <w:rFonts w:ascii="Times New Roman" w:eastAsia="DengXian" w:hAnsi="Times New Roman" w:cs="Times New Roman"/>
          <w:sz w:val="28"/>
          <w:szCs w:val="28"/>
          <w:lang w:val="en-US" w:eastAsia="zh-CN"/>
        </w:rPr>
        <w:t xml:space="preserve">Chesbrough H., Vanhaverbeke W., </w:t>
      </w:r>
      <w:r>
        <w:rPr>
          <w:rFonts w:ascii="Times New Roman" w:eastAsia="DengXian" w:hAnsi="Times New Roman" w:cs="Times New Roman"/>
          <w:sz w:val="28"/>
          <w:szCs w:val="28"/>
          <w:lang w:val="en-US" w:eastAsia="zh-CN"/>
        </w:rPr>
        <w:t>West J. Open innovation: Researching a new paradigm. – NY.: Oxford University Press, 2006.</w:t>
      </w:r>
      <w:r>
        <w:rPr>
          <w:rFonts w:ascii="Times New Roman" w:eastAsia="DengXian" w:hAnsi="Times New Roman" w:cs="Times New Roman"/>
          <w:sz w:val="28"/>
          <w:szCs w:val="28"/>
          <w:lang w:val="kk-KZ" w:eastAsia="zh-CN"/>
        </w:rPr>
        <w:t xml:space="preserve"> – 373 р.</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 </w:t>
      </w:r>
      <w:r>
        <w:rPr>
          <w:rFonts w:ascii="Times New Roman" w:eastAsia="DengXian" w:hAnsi="Times New Roman" w:cs="Times New Roman"/>
          <w:sz w:val="28"/>
          <w:szCs w:val="28"/>
          <w:lang w:val="en-US" w:eastAsia="zh-CN"/>
        </w:rPr>
        <w:t xml:space="preserve">Prahalad C.K. et al. Co-creation experiences: The next practice in value creation // </w:t>
      </w:r>
      <w:hyperlink r:id="rId61" w:tooltip="Go to Journal of Interactive Marketing on ScienceDirect" w:history="1">
        <w:r>
          <w:rPr>
            <w:rFonts w:ascii="Times New Roman" w:eastAsia="DengXian" w:hAnsi="Times New Roman" w:cs="Times New Roman"/>
            <w:sz w:val="28"/>
            <w:szCs w:val="28"/>
            <w:lang w:val="en-US" w:eastAsia="zh-CN"/>
          </w:rPr>
          <w:t>Journal of Interactive Marketing</w:t>
        </w:r>
      </w:hyperlink>
      <w:r>
        <w:rPr>
          <w:rFonts w:ascii="Times New Roman" w:eastAsia="DengXian" w:hAnsi="Times New Roman" w:cs="Times New Roman"/>
          <w:sz w:val="28"/>
          <w:szCs w:val="28"/>
          <w:lang w:val="en-US" w:eastAsia="zh-CN"/>
        </w:rPr>
        <w:t xml:space="preserve">. – 2004. – </w:t>
      </w:r>
      <w:hyperlink r:id="rId62" w:tooltip="Go to table of contents for this volume/issue" w:history="1">
        <w:r>
          <w:rPr>
            <w:rFonts w:ascii="Times New Roman" w:eastAsia="DengXian" w:hAnsi="Times New Roman" w:cs="Times New Roman"/>
            <w:sz w:val="28"/>
            <w:szCs w:val="28"/>
            <w:lang w:val="en-US" w:eastAsia="zh-CN"/>
          </w:rPr>
          <w:t>Vol. 18, Issue 3</w:t>
        </w:r>
      </w:hyperlink>
      <w:r>
        <w:rPr>
          <w:rFonts w:ascii="Times New Roman" w:eastAsia="DengXian" w:hAnsi="Times New Roman" w:cs="Times New Roman"/>
          <w:sz w:val="28"/>
          <w:szCs w:val="28"/>
          <w:lang w:val="en-US" w:eastAsia="zh-CN"/>
        </w:rPr>
        <w:t>. – P. 5-14.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rPr>
        <w:t>20 Oslo Manual: Proposed Guidelines for Collecting and Interpreting Technological Innovation Data</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 xml:space="preserve"> Organisation for Economic Cooperation and Development</w:t>
      </w:r>
      <w:r>
        <w:rPr>
          <w:rFonts w:ascii="Times New Roman" w:eastAsia="DengXian" w:hAnsi="Times New Roman" w:cs="Times New Roman"/>
          <w:sz w:val="28"/>
          <w:szCs w:val="28"/>
          <w:lang w:val="en-US"/>
        </w:rPr>
        <w:t>. – Ed. 3</w:t>
      </w:r>
      <w:r>
        <w:rPr>
          <w:rFonts w:ascii="Times New Roman" w:eastAsia="DengXian" w:hAnsi="Times New Roman" w:cs="Times New Roman"/>
          <w:sz w:val="28"/>
          <w:szCs w:val="28"/>
          <w:lang w:val="kk-KZ"/>
        </w:rPr>
        <w:t>rd</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 xml:space="preserve"> </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Paris, 2005</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 xml:space="preserve"> – 166 р.</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21 Bigliardi B. </w:t>
      </w:r>
      <w:r>
        <w:rPr>
          <w:rFonts w:ascii="Times New Roman" w:eastAsia="DengXian" w:hAnsi="Times New Roman" w:cs="Times New Roman"/>
          <w:sz w:val="28"/>
          <w:szCs w:val="28"/>
          <w:lang w:val="kk-KZ"/>
        </w:rPr>
        <w:t>The effect of innovation on financial performance: A research study involving SMEs innovation</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 xml:space="preserve"> Management, policy &amp; practice</w:t>
      </w:r>
      <w:r>
        <w:rPr>
          <w:rFonts w:ascii="Times New Roman" w:eastAsia="DengXian" w:hAnsi="Times New Roman" w:cs="Times New Roman"/>
          <w:sz w:val="28"/>
          <w:szCs w:val="28"/>
          <w:lang w:val="en-US"/>
        </w:rPr>
        <w:t>. – 2013. – Vol.</w:t>
      </w:r>
      <w:r>
        <w:rPr>
          <w:rFonts w:ascii="Times New Roman" w:eastAsia="DengXian" w:hAnsi="Times New Roman" w:cs="Times New Roman"/>
          <w:sz w:val="28"/>
          <w:szCs w:val="28"/>
          <w:lang w:val="kk-KZ"/>
        </w:rPr>
        <w:t xml:space="preserve"> 15</w:t>
      </w:r>
      <w:r>
        <w:rPr>
          <w:rFonts w:ascii="Times New Roman" w:eastAsia="DengXian" w:hAnsi="Times New Roman" w:cs="Times New Roman"/>
          <w:sz w:val="28"/>
          <w:szCs w:val="28"/>
          <w:lang w:val="en-US"/>
        </w:rPr>
        <w:t xml:space="preserve">, Issue </w:t>
      </w:r>
      <w:r>
        <w:rPr>
          <w:rFonts w:ascii="Times New Roman" w:eastAsia="DengXian" w:hAnsi="Times New Roman" w:cs="Times New Roman"/>
          <w:sz w:val="28"/>
          <w:szCs w:val="28"/>
          <w:lang w:val="kk-KZ"/>
        </w:rPr>
        <w:t>2</w:t>
      </w:r>
      <w:r>
        <w:rPr>
          <w:rFonts w:ascii="Times New Roman" w:eastAsia="DengXian" w:hAnsi="Times New Roman" w:cs="Times New Roman"/>
          <w:sz w:val="28"/>
          <w:szCs w:val="28"/>
          <w:lang w:val="en-US"/>
        </w:rPr>
        <w:t>. – P.</w:t>
      </w:r>
      <w:r>
        <w:rPr>
          <w:rFonts w:ascii="Times New Roman" w:eastAsia="DengXian" w:hAnsi="Times New Roman" w:cs="Times New Roman"/>
          <w:sz w:val="28"/>
          <w:szCs w:val="28"/>
          <w:lang w:val="kk-KZ"/>
        </w:rPr>
        <w:t xml:space="preserve"> 245</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256.</w:t>
      </w:r>
    </w:p>
    <w:p w:rsidR="005118AF" w:rsidRDefault="00EF60C3">
      <w:pPr>
        <w:tabs>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Times New Roman" w:hAnsi="Times New Roman" w:cs="Times New Roman"/>
          <w:sz w:val="28"/>
          <w:szCs w:val="28"/>
          <w:lang w:val="kk-KZ"/>
        </w:rPr>
        <w:t xml:space="preserve">22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lang w:val="kk-KZ"/>
        </w:rPr>
        <w:t>novation in the food and agricultural industries: a complex adaptive system // htt</w:t>
      </w:r>
      <w:r>
        <w:rPr>
          <w:rFonts w:ascii="Times New Roman" w:eastAsia="Times New Roman" w:hAnsi="Times New Roman" w:cs="Times New Roman"/>
          <w:sz w:val="28"/>
          <w:szCs w:val="28"/>
          <w:lang w:val="kk-KZ"/>
        </w:rPr>
        <w:t>ps://econpapers.repec.org/paper/agspuaewp/56389.htm</w:t>
      </w:r>
      <w:r>
        <w:rPr>
          <w:rFonts w:ascii="Times New Roman" w:eastAsia="Times New Roman" w:hAnsi="Times New Roman" w:cs="Times New Roman"/>
          <w:sz w:val="28"/>
          <w:szCs w:val="28"/>
          <w:lang w:val="en-US"/>
        </w:rPr>
        <w:t>. 08.09.2025.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rPr>
        <w:t>23 Абдыгаппарова С.Б. Инновационный менеджмент: учеб</w:t>
      </w:r>
      <w:r>
        <w:rPr>
          <w:rFonts w:ascii="Times New Roman" w:eastAsia="DengXian" w:hAnsi="Times New Roman" w:cs="Times New Roman"/>
          <w:sz w:val="28"/>
          <w:szCs w:val="28"/>
        </w:rPr>
        <w:t>.</w:t>
      </w:r>
      <w:r>
        <w:rPr>
          <w:rFonts w:ascii="Times New Roman" w:eastAsia="DengXian" w:hAnsi="Times New Roman" w:cs="Times New Roman"/>
          <w:sz w:val="28"/>
          <w:szCs w:val="28"/>
          <w:lang w:val="kk-KZ"/>
        </w:rPr>
        <w:t xml:space="preserve"> пос</w:t>
      </w:r>
      <w:r>
        <w:rPr>
          <w:rFonts w:ascii="Times New Roman" w:eastAsia="DengXian" w:hAnsi="Times New Roman" w:cs="Times New Roman"/>
          <w:sz w:val="28"/>
          <w:szCs w:val="28"/>
        </w:rPr>
        <w:t>.</w:t>
      </w:r>
      <w:r>
        <w:rPr>
          <w:rFonts w:ascii="Times New Roman" w:eastAsia="DengXian" w:hAnsi="Times New Roman" w:cs="Times New Roman"/>
          <w:sz w:val="28"/>
          <w:szCs w:val="28"/>
          <w:lang w:val="kk-KZ"/>
        </w:rPr>
        <w:t xml:space="preserve"> – Алматы: Экономика, 2003. – 163 с.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rPr>
        <w:t xml:space="preserve">24 Фатхутдинов Р.А. Инновационный менеджмент. </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Изд. 4-е</w:t>
      </w:r>
      <w:r>
        <w:rPr>
          <w:rFonts w:ascii="Times New Roman" w:eastAsia="DengXian" w:hAnsi="Times New Roman" w:cs="Times New Roman"/>
          <w:sz w:val="28"/>
          <w:szCs w:val="28"/>
        </w:rPr>
        <w:t>.</w:t>
      </w:r>
      <w:r>
        <w:rPr>
          <w:rFonts w:ascii="Times New Roman" w:eastAsia="DengXian" w:hAnsi="Times New Roman" w:cs="Times New Roman"/>
          <w:sz w:val="28"/>
          <w:szCs w:val="28"/>
          <w:lang w:val="kk-KZ"/>
        </w:rPr>
        <w:t xml:space="preserve"> </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 xml:space="preserve">СПб.: Питер, 2003. </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400 с.</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eastAsia="zh-CN"/>
        </w:rPr>
        <w:t xml:space="preserve">25 </w:t>
      </w:r>
      <w:r>
        <w:rPr>
          <w:rFonts w:ascii="Times New Roman" w:eastAsia="DengXian" w:hAnsi="Times New Roman" w:cs="Times New Roman"/>
          <w:sz w:val="28"/>
          <w:szCs w:val="28"/>
          <w:lang w:val="en-US" w:eastAsia="zh-CN"/>
        </w:rPr>
        <w:t xml:space="preserve">Qiu L.D. et al. </w:t>
      </w:r>
      <w:r>
        <w:rPr>
          <w:rFonts w:ascii="Times New Roman" w:eastAsia="DengXian" w:hAnsi="Times New Roman" w:cs="Times New Roman"/>
          <w:sz w:val="28"/>
          <w:szCs w:val="28"/>
          <w:lang w:val="kk-KZ"/>
        </w:rPr>
        <w:t xml:space="preserve">Regulation, innovation, and firm selection: The </w:t>
      </w:r>
      <w:r>
        <w:rPr>
          <w:rFonts w:ascii="Times New Roman" w:eastAsia="DengXian" w:hAnsi="Times New Roman" w:cs="Times New Roman"/>
          <w:sz w:val="28"/>
          <w:szCs w:val="28"/>
          <w:lang w:val="en-US"/>
        </w:rPr>
        <w:t>P</w:t>
      </w:r>
      <w:r>
        <w:rPr>
          <w:rFonts w:ascii="Times New Roman" w:eastAsia="DengXian" w:hAnsi="Times New Roman" w:cs="Times New Roman"/>
          <w:sz w:val="28"/>
          <w:szCs w:val="28"/>
          <w:lang w:val="kk-KZ"/>
        </w:rPr>
        <w:t>orter hypothesis under monopolistic competition</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en-US" w:eastAsia="zh-CN"/>
        </w:rPr>
        <w:t xml:space="preserve">// </w:t>
      </w:r>
      <w:hyperlink r:id="rId63" w:tooltip="Go to Journal of Environmental Economics and Management on ScienceDirect" w:history="1">
        <w:r>
          <w:rPr>
            <w:rFonts w:ascii="Times New Roman" w:eastAsia="DengXian" w:hAnsi="Times New Roman" w:cs="Times New Roman"/>
            <w:sz w:val="28"/>
            <w:szCs w:val="28"/>
            <w:lang w:val="kk-KZ"/>
          </w:rPr>
          <w:t>Journal of Environmental Economics and Management</w:t>
        </w:r>
      </w:hyperlink>
      <w:r>
        <w:rPr>
          <w:rFonts w:ascii="Times New Roman" w:eastAsia="DengXian" w:hAnsi="Times New Roman" w:cs="Times New Roman"/>
          <w:sz w:val="28"/>
          <w:szCs w:val="28"/>
          <w:lang w:val="en-US"/>
        </w:rPr>
        <w:t xml:space="preserve">. – 2018. – </w:t>
      </w:r>
      <w:hyperlink r:id="rId64" w:history="1">
        <w:r>
          <w:rPr>
            <w:rStyle w:val="ab"/>
            <w:rFonts w:ascii="Times New Roman" w:eastAsia="DengXian" w:hAnsi="Times New Roman" w:cs="Times New Roman"/>
            <w:color w:val="auto"/>
            <w:sz w:val="28"/>
            <w:szCs w:val="28"/>
            <w:u w:val="none"/>
            <w:lang w:val="kk-KZ"/>
          </w:rPr>
          <w:t>Vol</w:t>
        </w:r>
        <w:r>
          <w:rPr>
            <w:rStyle w:val="ab"/>
            <w:rFonts w:ascii="Times New Roman" w:eastAsia="DengXian" w:hAnsi="Times New Roman" w:cs="Times New Roman"/>
            <w:color w:val="auto"/>
            <w:sz w:val="28"/>
            <w:szCs w:val="28"/>
            <w:u w:val="none"/>
            <w:lang w:val="en-US"/>
          </w:rPr>
          <w:t>.</w:t>
        </w:r>
        <w:r>
          <w:rPr>
            <w:rStyle w:val="ab"/>
            <w:rFonts w:ascii="Times New Roman" w:eastAsia="DengXian" w:hAnsi="Times New Roman" w:cs="Times New Roman"/>
            <w:color w:val="auto"/>
            <w:sz w:val="28"/>
            <w:szCs w:val="28"/>
            <w:u w:val="none"/>
            <w:lang w:val="kk-KZ"/>
          </w:rPr>
          <w:t xml:space="preserve"> 92</w:t>
        </w:r>
      </w:hyperlink>
      <w:r>
        <w:rPr>
          <w:rFonts w:ascii="Times New Roman" w:eastAsia="DengXian" w:hAnsi="Times New Roman" w:cs="Times New Roman"/>
          <w:sz w:val="28"/>
          <w:szCs w:val="28"/>
          <w:lang w:val="en-US"/>
        </w:rPr>
        <w:t>. – P.</w:t>
      </w:r>
      <w:r>
        <w:rPr>
          <w:rFonts w:ascii="Times New Roman" w:eastAsia="DengXian" w:hAnsi="Times New Roman" w:cs="Times New Roman"/>
          <w:sz w:val="28"/>
          <w:szCs w:val="28"/>
          <w:lang w:val="en-US" w:eastAsia="zh-CN"/>
        </w:rPr>
        <w:t xml:space="preserve"> 638-658.</w:t>
      </w:r>
      <w:r>
        <w:rPr>
          <w:rFonts w:ascii="Times New Roman" w:eastAsia="DengXian" w:hAnsi="Times New Roman" w:cs="Times New Roman"/>
          <w:color w:val="0000FF"/>
          <w:sz w:val="28"/>
          <w:szCs w:val="28"/>
          <w:lang w:val="en-US" w:eastAsia="zh-CN"/>
        </w:rPr>
        <w:t xml:space="preserve"> </w:t>
      </w:r>
    </w:p>
    <w:p w:rsidR="005118AF" w:rsidRDefault="00EF60C3">
      <w:pPr>
        <w:tabs>
          <w:tab w:val="left" w:pos="880"/>
          <w:tab w:val="left" w:pos="1276"/>
        </w:tabs>
        <w:spacing w:after="0" w:line="240" w:lineRule="auto"/>
        <w:ind w:firstLine="709"/>
        <w:jc w:val="both"/>
        <w:rPr>
          <w:rFonts w:ascii="Arial" w:eastAsia="Arial" w:hAnsi="Arial" w:cs="Arial"/>
          <w:color w:val="1F1F1F"/>
          <w:sz w:val="16"/>
          <w:szCs w:val="16"/>
          <w:lang w:val="en-US"/>
        </w:rPr>
      </w:pPr>
      <w:r>
        <w:rPr>
          <w:rFonts w:ascii="Times New Roman" w:eastAsia="DengXian" w:hAnsi="Times New Roman" w:cs="Times New Roman"/>
          <w:sz w:val="28"/>
          <w:szCs w:val="28"/>
          <w:lang w:val="kk-KZ"/>
        </w:rPr>
        <w:t>26 Marshall N.</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 xml:space="preserve"> Tsekouras </w:t>
      </w:r>
      <w:r>
        <w:rPr>
          <w:rFonts w:ascii="Times New Roman" w:eastAsia="DengXian" w:hAnsi="Times New Roman" w:cs="Times New Roman"/>
          <w:sz w:val="28"/>
          <w:szCs w:val="28"/>
          <w:lang w:val="en-US"/>
        </w:rPr>
        <w:t>G</w:t>
      </w:r>
      <w:r>
        <w:rPr>
          <w:rFonts w:ascii="Times New Roman" w:eastAsia="DengXian" w:hAnsi="Times New Roman" w:cs="Times New Roman"/>
          <w:sz w:val="28"/>
          <w:szCs w:val="28"/>
          <w:lang w:val="kk-KZ"/>
        </w:rPr>
        <w:t xml:space="preserve">. The interplay between formality and informality in managed learning </w:t>
      </w:r>
      <w:r>
        <w:rPr>
          <w:rFonts w:ascii="Times New Roman" w:eastAsia="DengXian" w:hAnsi="Times New Roman" w:cs="Times New Roman"/>
          <w:sz w:val="28"/>
          <w:szCs w:val="28"/>
          <w:lang w:val="kk-KZ"/>
        </w:rPr>
        <w:t>networks</w:t>
      </w:r>
      <w:r>
        <w:rPr>
          <w:rFonts w:ascii="Times New Roman" w:eastAsia="DengXian" w:hAnsi="Times New Roman" w:cs="Times New Roman"/>
          <w:sz w:val="28"/>
          <w:szCs w:val="28"/>
          <w:lang w:val="en-US"/>
        </w:rPr>
        <w:t xml:space="preserve"> // </w:t>
      </w:r>
      <w:r>
        <w:rPr>
          <w:rFonts w:ascii="Times New Roman" w:eastAsia="DengXian" w:hAnsi="Times New Roman" w:cs="Times New Roman"/>
          <w:sz w:val="28"/>
          <w:szCs w:val="28"/>
          <w:lang w:val="kk-KZ"/>
        </w:rPr>
        <w:t>International Journal of Strategic Business Alliances</w:t>
      </w:r>
      <w:r>
        <w:rPr>
          <w:rFonts w:ascii="Times New Roman" w:eastAsia="DengXian" w:hAnsi="Times New Roman" w:cs="Times New Roman"/>
          <w:sz w:val="28"/>
          <w:szCs w:val="28"/>
          <w:lang w:val="en-US"/>
        </w:rPr>
        <w:t>. -2009. – Vol.</w:t>
      </w:r>
      <w:r>
        <w:rPr>
          <w:rFonts w:ascii="Times New Roman" w:eastAsia="DengXian" w:hAnsi="Times New Roman" w:cs="Times New Roman"/>
          <w:sz w:val="28"/>
          <w:szCs w:val="28"/>
          <w:lang w:val="kk-KZ"/>
        </w:rPr>
        <w:t xml:space="preserve"> 1</w:t>
      </w:r>
      <w:r>
        <w:rPr>
          <w:rFonts w:ascii="Times New Roman" w:eastAsia="DengXian" w:hAnsi="Times New Roman" w:cs="Times New Roman"/>
          <w:sz w:val="28"/>
          <w:szCs w:val="28"/>
          <w:lang w:val="en-US"/>
        </w:rPr>
        <w:t xml:space="preserve">, Issue </w:t>
      </w:r>
      <w:r>
        <w:rPr>
          <w:rFonts w:ascii="Times New Roman" w:eastAsia="DengXian" w:hAnsi="Times New Roman" w:cs="Times New Roman"/>
          <w:sz w:val="28"/>
          <w:szCs w:val="28"/>
          <w:lang w:val="kk-KZ"/>
        </w:rPr>
        <w:t>3</w:t>
      </w:r>
      <w:r>
        <w:rPr>
          <w:rFonts w:ascii="Times New Roman" w:eastAsia="DengXian" w:hAnsi="Times New Roman" w:cs="Times New Roman"/>
          <w:sz w:val="28"/>
          <w:szCs w:val="28"/>
          <w:lang w:val="en-US"/>
        </w:rPr>
        <w:t>. – P.</w:t>
      </w:r>
      <w:r>
        <w:rPr>
          <w:rFonts w:ascii="Times New Roman" w:eastAsia="DengXian" w:hAnsi="Times New Roman" w:cs="Times New Roman"/>
          <w:sz w:val="28"/>
          <w:szCs w:val="28"/>
          <w:lang w:val="kk-KZ"/>
        </w:rPr>
        <w:t xml:space="preserve"> 291-308.</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rPr>
      </w:pPr>
      <w:r>
        <w:rPr>
          <w:rFonts w:ascii="Times New Roman" w:eastAsia="DengXian" w:hAnsi="Times New Roman" w:cs="Times New Roman"/>
          <w:sz w:val="28"/>
          <w:szCs w:val="28"/>
          <w:lang w:val="kk-KZ"/>
        </w:rPr>
        <w:t>27 П</w:t>
      </w:r>
      <w:r>
        <w:rPr>
          <w:rFonts w:ascii="Times New Roman" w:eastAsia="DengXian" w:hAnsi="Times New Roman" w:cs="Times New Roman"/>
          <w:sz w:val="28"/>
          <w:szCs w:val="28"/>
        </w:rPr>
        <w:t>алей</w:t>
      </w:r>
      <w:r>
        <w:rPr>
          <w:rFonts w:ascii="Times New Roman" w:eastAsia="DengXian" w:hAnsi="Times New Roman" w:cs="Times New Roman"/>
          <w:sz w:val="28"/>
          <w:szCs w:val="28"/>
          <w:lang w:val="kk-KZ"/>
        </w:rPr>
        <w:t xml:space="preserve"> Т.Ф. Инновационный менеджмент. </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Изд. 2-е, перер. доп. – Казань, 2011. – 162 с.</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28 Kilimova L</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 Cherkashin M</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 Pykhtin</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A</w:t>
      </w:r>
      <w:r>
        <w:rPr>
          <w:rFonts w:ascii="Times New Roman" w:eastAsia="DengXian" w:hAnsi="Times New Roman" w:cs="Times New Roman"/>
          <w:sz w:val="28"/>
          <w:szCs w:val="28"/>
          <w:lang w:val="en-US"/>
        </w:rPr>
        <w:t xml:space="preserve">. et al. </w:t>
      </w:r>
      <w:r>
        <w:rPr>
          <w:rFonts w:ascii="Times New Roman" w:eastAsia="DengXian" w:hAnsi="Times New Roman" w:cs="Times New Roman"/>
          <w:sz w:val="28"/>
          <w:szCs w:val="28"/>
          <w:lang w:val="kk-KZ"/>
        </w:rPr>
        <w:t>Managing th</w:t>
      </w:r>
      <w:r>
        <w:rPr>
          <w:rFonts w:ascii="Times New Roman" w:eastAsia="DengXian" w:hAnsi="Times New Roman" w:cs="Times New Roman"/>
          <w:sz w:val="28"/>
          <w:szCs w:val="28"/>
          <w:lang w:val="kk-KZ"/>
        </w:rPr>
        <w:t>e innovative development of the food industry</w:t>
      </w:r>
      <w:r>
        <w:rPr>
          <w:rFonts w:ascii="Times New Roman" w:eastAsia="DengXian" w:hAnsi="Times New Roman" w:cs="Times New Roman"/>
          <w:sz w:val="28"/>
          <w:szCs w:val="28"/>
          <w:lang w:val="en-US"/>
        </w:rPr>
        <w:t xml:space="preserve"> // </w:t>
      </w:r>
      <w:r>
        <w:rPr>
          <w:rFonts w:ascii="Times New Roman" w:hAnsi="Times New Roman" w:cs="Times New Roman"/>
          <w:sz w:val="28"/>
          <w:szCs w:val="28"/>
          <w:lang w:val="en-US"/>
        </w:rPr>
        <w:t>BIO Web Conf. – 2021. – Vol. 32, Issue 90. – P. 03017.</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29 </w:t>
      </w:r>
      <w:r>
        <w:rPr>
          <w:rFonts w:ascii="Times New Roman" w:eastAsia="DengXian" w:hAnsi="Times New Roman" w:cs="Times New Roman"/>
          <w:sz w:val="28"/>
          <w:szCs w:val="28"/>
          <w:lang w:val="en-US"/>
        </w:rPr>
        <w:t xml:space="preserve">Galanakis C.M. </w:t>
      </w:r>
      <w:r>
        <w:rPr>
          <w:rFonts w:ascii="Times New Roman" w:eastAsia="DengXian" w:hAnsi="Times New Roman" w:cs="Times New Roman"/>
          <w:sz w:val="28"/>
          <w:szCs w:val="28"/>
          <w:lang w:val="kk-KZ"/>
        </w:rPr>
        <w:t>Innovation Strategies in the Food Industry: Tools for Implementation</w:t>
      </w:r>
      <w:r>
        <w:rPr>
          <w:rFonts w:ascii="Times New Roman" w:eastAsia="DengXian" w:hAnsi="Times New Roman" w:cs="Times New Roman"/>
          <w:sz w:val="28"/>
          <w:szCs w:val="28"/>
          <w:lang w:val="en-US"/>
        </w:rPr>
        <w:t>. – Ed. 2</w:t>
      </w:r>
      <w:r>
        <w:rPr>
          <w:rFonts w:ascii="Times New Roman" w:eastAsia="DengXian" w:hAnsi="Times New Roman" w:cs="Times New Roman"/>
          <w:sz w:val="28"/>
          <w:szCs w:val="28"/>
          <w:lang w:val="kk-KZ"/>
        </w:rPr>
        <w:t>nd</w:t>
      </w:r>
      <w:r>
        <w:rPr>
          <w:rFonts w:ascii="Times New Roman" w:eastAsia="DengXian" w:hAnsi="Times New Roman" w:cs="Times New Roman"/>
          <w:sz w:val="28"/>
          <w:szCs w:val="28"/>
          <w:lang w:val="en-US"/>
        </w:rPr>
        <w:t>. – London, 2021. – 364 p.</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30 </w:t>
      </w:r>
      <w:r>
        <w:rPr>
          <w:rFonts w:ascii="Times New Roman" w:eastAsia="DengXian" w:hAnsi="Times New Roman"/>
          <w:sz w:val="28"/>
          <w:szCs w:val="28"/>
          <w:lang w:val="en-US"/>
        </w:rPr>
        <w:t xml:space="preserve">Sadyrova, Mansia &amp; </w:t>
      </w:r>
      <w:r>
        <w:rPr>
          <w:rFonts w:ascii="Times New Roman" w:eastAsia="DengXian" w:hAnsi="Times New Roman"/>
          <w:sz w:val="28"/>
          <w:szCs w:val="28"/>
          <w:lang w:val="en-US"/>
        </w:rPr>
        <w:t>Yusupov, Kuanish &amp; Imanbekova, Bibigul. (2021). Innovation processes in Kazakhstan: development factors. Journal of Innovation and Entrepreneurship. 10. 10.1186/s13731-021-00183-3.</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31 ISIC Rev. 3 Technology Intensity Definition Classification of </w:t>
      </w:r>
      <w:r>
        <w:rPr>
          <w:rFonts w:ascii="Times New Roman" w:eastAsia="DengXian" w:hAnsi="Times New Roman" w:cs="Times New Roman"/>
          <w:sz w:val="28"/>
          <w:szCs w:val="28"/>
          <w:lang w:val="kk-KZ"/>
        </w:rPr>
        <w:t>manufacturing industries into categories based on R&amp;D intensities</w:t>
      </w:r>
      <w:r>
        <w:rPr>
          <w:rFonts w:ascii="Times New Roman" w:eastAsia="DengXian" w:hAnsi="Times New Roman" w:cs="Times New Roman"/>
          <w:sz w:val="28"/>
          <w:szCs w:val="28"/>
          <w:lang w:val="en-US"/>
        </w:rPr>
        <w:t xml:space="preserve"> // </w:t>
      </w:r>
      <w:hyperlink r:id="rId65" w:history="1">
        <w:r>
          <w:rPr>
            <w:rStyle w:val="ab"/>
            <w:rFonts w:ascii="Times New Roman" w:eastAsia="DengXian" w:hAnsi="Times New Roman" w:cs="Times New Roman"/>
            <w:color w:val="auto"/>
            <w:sz w:val="28"/>
            <w:szCs w:val="28"/>
            <w:u w:val="none"/>
            <w:lang w:val="en-US"/>
          </w:rPr>
          <w:t>https://www.oecd.org/sti/ind/48350231.pdf</w:t>
        </w:r>
      </w:hyperlink>
      <w:r>
        <w:rPr>
          <w:rFonts w:ascii="Times New Roman" w:eastAsia="DengXian" w:hAnsi="Times New Roman" w:cs="Times New Roman"/>
          <w:sz w:val="28"/>
          <w:szCs w:val="28"/>
          <w:lang w:val="en-US"/>
        </w:rPr>
        <w:t>. 09.09.2025.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32 Hansen J.A. Innovation, ﬁrm</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size, ﬁrm age</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 xml:space="preserve"> Small Business Economics</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en-US"/>
        </w:rPr>
        <w:t xml:space="preserve">– 1992. – </w:t>
      </w:r>
      <w:r>
        <w:rPr>
          <w:rFonts w:ascii="Times New Roman" w:eastAsia="DengXian" w:hAnsi="Times New Roman" w:cs="Times New Roman"/>
          <w:sz w:val="28"/>
          <w:szCs w:val="28"/>
          <w:lang w:val="kk-KZ"/>
        </w:rPr>
        <w:t>Vol. 4</w:t>
      </w:r>
      <w:r>
        <w:rPr>
          <w:rFonts w:ascii="Times New Roman" w:eastAsia="DengXian" w:hAnsi="Times New Roman" w:cs="Times New Roman"/>
          <w:sz w:val="28"/>
          <w:szCs w:val="28"/>
          <w:lang w:val="en-US"/>
        </w:rPr>
        <w:t xml:space="preserve">, Issue </w:t>
      </w:r>
      <w:r>
        <w:rPr>
          <w:rFonts w:ascii="Times New Roman" w:eastAsia="DengXian" w:hAnsi="Times New Roman" w:cs="Times New Roman"/>
          <w:sz w:val="28"/>
          <w:szCs w:val="28"/>
          <w:lang w:val="kk-KZ"/>
        </w:rPr>
        <w:t>1</w:t>
      </w:r>
      <w:r>
        <w:rPr>
          <w:rFonts w:ascii="Times New Roman" w:eastAsia="DengXian" w:hAnsi="Times New Roman" w:cs="Times New Roman"/>
          <w:sz w:val="28"/>
          <w:szCs w:val="28"/>
          <w:lang w:val="en-US"/>
        </w:rPr>
        <w:t xml:space="preserve">. – P. </w:t>
      </w:r>
      <w:r>
        <w:rPr>
          <w:rFonts w:ascii="Times New Roman" w:eastAsia="DengXian" w:hAnsi="Times New Roman" w:cs="Times New Roman"/>
          <w:sz w:val="28"/>
          <w:szCs w:val="28"/>
          <w:lang w:val="kk-KZ"/>
        </w:rPr>
        <w:t>37-44.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33 Beckeman M.</w:t>
      </w:r>
      <w:r>
        <w:rPr>
          <w:rFonts w:ascii="Times New Roman" w:eastAsia="DengXian" w:hAnsi="Times New Roman" w:cs="Times New Roman"/>
          <w:sz w:val="28"/>
          <w:szCs w:val="28"/>
          <w:lang w:val="en-US"/>
        </w:rPr>
        <w:t xml:space="preserve"> et al.</w:t>
      </w:r>
      <w:r>
        <w:rPr>
          <w:rFonts w:ascii="Times New Roman" w:eastAsia="DengXian" w:hAnsi="Times New Roman" w:cs="Times New Roman"/>
          <w:sz w:val="28"/>
          <w:szCs w:val="28"/>
          <w:lang w:val="kk-KZ"/>
        </w:rPr>
        <w:t xml:space="preserve"> The role of manufacturers in food innovations in Sweden</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 xml:space="preserve"> British Food Journal</w:t>
      </w:r>
      <w:r>
        <w:rPr>
          <w:rFonts w:ascii="Times New Roman" w:eastAsia="DengXian" w:hAnsi="Times New Roman" w:cs="Times New Roman"/>
          <w:sz w:val="28"/>
          <w:szCs w:val="28"/>
          <w:lang w:val="en-US"/>
        </w:rPr>
        <w:t xml:space="preserve">. – 2013. – Vol. </w:t>
      </w:r>
      <w:r>
        <w:rPr>
          <w:rFonts w:ascii="Times New Roman" w:eastAsia="DengXian" w:hAnsi="Times New Roman" w:cs="Times New Roman"/>
          <w:sz w:val="28"/>
          <w:szCs w:val="28"/>
          <w:lang w:val="kk-KZ"/>
        </w:rPr>
        <w:t>115</w:t>
      </w:r>
      <w:r>
        <w:rPr>
          <w:rFonts w:ascii="Times New Roman" w:eastAsia="DengXian" w:hAnsi="Times New Roman" w:cs="Times New Roman"/>
          <w:sz w:val="28"/>
          <w:szCs w:val="28"/>
          <w:lang w:val="en-US"/>
        </w:rPr>
        <w:t xml:space="preserve">, Issue </w:t>
      </w:r>
      <w:r>
        <w:rPr>
          <w:rFonts w:ascii="Times New Roman" w:eastAsia="DengXian" w:hAnsi="Times New Roman" w:cs="Times New Roman"/>
          <w:sz w:val="28"/>
          <w:szCs w:val="28"/>
          <w:lang w:val="kk-KZ"/>
        </w:rPr>
        <w:t>7</w:t>
      </w:r>
      <w:r>
        <w:rPr>
          <w:rFonts w:ascii="Times New Roman" w:eastAsia="DengXian" w:hAnsi="Times New Roman" w:cs="Times New Roman"/>
          <w:sz w:val="28"/>
          <w:szCs w:val="28"/>
          <w:lang w:val="en-US"/>
        </w:rPr>
        <w:t>. – P.</w:t>
      </w:r>
      <w:r>
        <w:rPr>
          <w:rFonts w:ascii="Times New Roman" w:eastAsia="DengXian" w:hAnsi="Times New Roman" w:cs="Times New Roman"/>
          <w:sz w:val="28"/>
          <w:szCs w:val="28"/>
          <w:lang w:val="kk-KZ"/>
        </w:rPr>
        <w:t xml:space="preserve"> 953-974.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SimSun" w:hAnsi="Times New Roman" w:cs="Times New Roman"/>
          <w:sz w:val="27"/>
          <w:szCs w:val="27"/>
          <w:lang w:val="kk-KZ"/>
        </w:rPr>
        <w:t xml:space="preserve">34 </w:t>
      </w:r>
      <w:r>
        <w:rPr>
          <w:rFonts w:ascii="Times New Roman" w:eastAsia="SimSun" w:hAnsi="Times New Roman" w:cs="Times New Roman"/>
          <w:sz w:val="27"/>
          <w:szCs w:val="27"/>
          <w:lang w:val="en-US"/>
        </w:rPr>
        <w:t xml:space="preserve">Galati F., Bigliardi B., Petroni A. et al. A framework for avoiding </w:t>
      </w:r>
      <w:r>
        <w:rPr>
          <w:rFonts w:ascii="Times New Roman" w:eastAsia="SimSun" w:hAnsi="Times New Roman" w:cs="Times New Roman"/>
          <w:sz w:val="27"/>
          <w:szCs w:val="27"/>
          <w:lang w:val="en-US"/>
        </w:rPr>
        <w:t xml:space="preserve">knowledge leakage: evidence from engineering to order firms // </w:t>
      </w:r>
      <w:r>
        <w:rPr>
          <w:rStyle w:val="a6"/>
          <w:rFonts w:ascii="Times New Roman" w:eastAsia="SimSun" w:hAnsi="Times New Roman" w:cs="Times New Roman"/>
          <w:i w:val="0"/>
          <w:sz w:val="27"/>
          <w:szCs w:val="27"/>
          <w:lang w:val="en-US"/>
        </w:rPr>
        <w:t>Knowledge Management Research &amp; Practice. – 2019. – Vol. 17, Issue 1. – P. 1-13.</w:t>
      </w:r>
      <w:r>
        <w:rPr>
          <w:rFonts w:ascii="Times New Roman" w:eastAsia="SimSun" w:hAnsi="Times New Roman" w:cs="Times New Roman"/>
          <w:sz w:val="27"/>
          <w:szCs w:val="27"/>
          <w:lang w:val="en-US"/>
        </w:rPr>
        <w:t>]</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 xml:space="preserve">35 </w:t>
      </w:r>
      <w:r>
        <w:rPr>
          <w:rFonts w:ascii="Times New Roman" w:eastAsia="DengXian" w:hAnsi="Times New Roman"/>
          <w:sz w:val="28"/>
          <w:szCs w:val="28"/>
          <w:lang w:val="en-US" w:eastAsia="zh-CN"/>
        </w:rPr>
        <w:t>Costa A.A.I., Jongen W.M.F.</w:t>
      </w:r>
      <w:r>
        <w:rPr>
          <w:rFonts w:ascii="Times New Roman" w:eastAsia="DengXian" w:hAnsi="Times New Roman"/>
          <w:sz w:val="28"/>
          <w:szCs w:val="28"/>
          <w:lang w:val="kk-KZ" w:eastAsia="zh-CN"/>
        </w:rPr>
        <w:t xml:space="preserve"> </w:t>
      </w:r>
      <w:r>
        <w:rPr>
          <w:rFonts w:ascii="Times New Roman" w:eastAsia="DengXian" w:hAnsi="Times New Roman"/>
          <w:sz w:val="28"/>
          <w:szCs w:val="28"/>
          <w:lang w:val="en-US" w:eastAsia="zh-CN"/>
        </w:rPr>
        <w:t>New insights into consumer-led food product development //</w:t>
      </w:r>
      <w:r>
        <w:rPr>
          <w:rFonts w:ascii="Times New Roman" w:eastAsia="DengXian" w:hAnsi="Times New Roman"/>
          <w:sz w:val="28"/>
          <w:szCs w:val="28"/>
          <w:lang w:val="kk-KZ" w:eastAsia="zh-CN"/>
        </w:rPr>
        <w:t xml:space="preserve"> </w:t>
      </w:r>
      <w:r>
        <w:rPr>
          <w:rFonts w:ascii="Times New Roman" w:eastAsia="DengXian" w:hAnsi="Times New Roman"/>
          <w:sz w:val="28"/>
          <w:szCs w:val="28"/>
          <w:lang w:val="en-US" w:eastAsia="zh-CN"/>
        </w:rPr>
        <w:t xml:space="preserve">Trends in Food </w:t>
      </w:r>
      <w:r>
        <w:rPr>
          <w:rFonts w:ascii="Times New Roman" w:eastAsia="DengXian" w:hAnsi="Times New Roman"/>
          <w:sz w:val="28"/>
          <w:szCs w:val="28"/>
          <w:lang w:val="en-US" w:eastAsia="zh-CN"/>
        </w:rPr>
        <w:t>Science &amp; Technology. – 2006. – Vol. 17, Issue 8. – P. 457-465.</w:t>
      </w:r>
      <w:r>
        <w:rPr>
          <w:rFonts w:ascii="Times New Roman" w:eastAsia="DengXian" w:hAnsi="Times New Roman"/>
          <w:sz w:val="28"/>
          <w:szCs w:val="28"/>
          <w:lang w:val="kk-KZ" w:eastAsia="zh-CN"/>
        </w:rPr>
        <w:t xml:space="preserve">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36 </w:t>
      </w:r>
      <w:r>
        <w:rPr>
          <w:rFonts w:ascii="Times New Roman" w:eastAsia="DengXian" w:hAnsi="Times New Roman" w:cs="Times New Roman"/>
          <w:sz w:val="28"/>
          <w:szCs w:val="28"/>
          <w:lang w:val="en-US" w:eastAsia="zh-CN"/>
        </w:rPr>
        <w:t xml:space="preserve">Ramírez-Montoya M.S. Open and inclusive education: Innovation through networks // In book: Desafíos de investigación educativa durante la pandemia Covid19. – </w:t>
      </w:r>
      <w:r>
        <w:rPr>
          <w:rFonts w:ascii="Times New Roman" w:hAnsi="Times New Roman" w:cs="Times New Roman"/>
          <w:sz w:val="28"/>
          <w:szCs w:val="28"/>
          <w:lang w:val="en-US"/>
        </w:rPr>
        <w:t>Madrid, 2022. – P. 348-354.</w:t>
      </w:r>
      <w:r>
        <w:rPr>
          <w:rFonts w:ascii="Times New Roman" w:eastAsia="DengXian" w:hAnsi="Times New Roman" w:cs="Times New Roman"/>
          <w:sz w:val="28"/>
          <w:szCs w:val="28"/>
          <w:lang w:val="en-US" w:eastAsia="zh-CN"/>
        </w:rPr>
        <w:t xml:space="preserve">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3</w:t>
      </w:r>
      <w:r>
        <w:rPr>
          <w:rFonts w:ascii="Times New Roman" w:eastAsia="DengXian" w:hAnsi="Times New Roman"/>
          <w:sz w:val="28"/>
          <w:szCs w:val="28"/>
          <w:lang w:val="kk-KZ" w:eastAsia="zh-CN"/>
        </w:rPr>
        <w:t xml:space="preserve">7 </w:t>
      </w:r>
      <w:r>
        <w:rPr>
          <w:rFonts w:ascii="Times New Roman" w:eastAsia="DengXian" w:hAnsi="Times New Roman"/>
          <w:sz w:val="28"/>
          <w:szCs w:val="28"/>
          <w:lang w:val="en-US" w:eastAsia="zh-CN"/>
        </w:rPr>
        <w:t>Martínez-García C.G. et al. Factors influencing adoption of improved grassland management by small-scale dairy farmers in central Mexico and the implications for future research on smallholder adoption in developing countries // Livestock Science. – 2013</w:t>
      </w:r>
      <w:r>
        <w:rPr>
          <w:rFonts w:ascii="Times New Roman" w:eastAsia="DengXian" w:hAnsi="Times New Roman"/>
          <w:sz w:val="28"/>
          <w:szCs w:val="28"/>
          <w:lang w:val="en-US" w:eastAsia="zh-CN"/>
        </w:rPr>
        <w:t xml:space="preserve">. – Vol. 152. – P. 228-238.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 xml:space="preserve">38 </w:t>
      </w:r>
      <w:r>
        <w:rPr>
          <w:rFonts w:ascii="Times New Roman" w:eastAsia="DengXian" w:hAnsi="Times New Roman"/>
          <w:sz w:val="28"/>
          <w:szCs w:val="28"/>
          <w:lang w:val="en-US" w:eastAsia="zh-CN"/>
        </w:rPr>
        <w:t>Ingram J. et al. How do we enact co-innovation with stakeholders in agricultural research projects? Managing the complex interplay between contextual and facilitation processes // Journal of Rural Studies. – 2020. – Vol. 78.</w:t>
      </w:r>
      <w:r>
        <w:rPr>
          <w:rFonts w:ascii="Times New Roman" w:eastAsia="DengXian" w:hAnsi="Times New Roman"/>
          <w:sz w:val="28"/>
          <w:szCs w:val="28"/>
          <w:lang w:val="en-US" w:eastAsia="zh-CN"/>
        </w:rPr>
        <w:t xml:space="preserve"> – P. 65-77.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39 </w:t>
      </w:r>
      <w:r>
        <w:rPr>
          <w:rFonts w:ascii="Times New Roman" w:eastAsia="DengXian" w:hAnsi="Times New Roman" w:cs="Times New Roman"/>
          <w:sz w:val="28"/>
          <w:szCs w:val="28"/>
          <w:lang w:val="en-US" w:eastAsia="zh-CN"/>
        </w:rPr>
        <w:t>Caporgno M.P., Mathys A. Trends in Microalgae Incorporation Into Innovative Food Products With Potential Health Benefits // Front. Nutr</w:t>
      </w:r>
      <w:r>
        <w:rPr>
          <w:rFonts w:ascii="Times New Roman" w:eastAsia="DengXian" w:hAnsi="Times New Roman" w:cs="Times New Roman"/>
          <w:sz w:val="28"/>
          <w:szCs w:val="28"/>
          <w:lang w:eastAsia="zh-CN"/>
        </w:rPr>
        <w:t xml:space="preserve">. – 2018. – </w:t>
      </w:r>
      <w:r>
        <w:rPr>
          <w:rFonts w:ascii="Times New Roman" w:eastAsia="DengXian" w:hAnsi="Times New Roman" w:cs="Times New Roman"/>
          <w:sz w:val="28"/>
          <w:szCs w:val="28"/>
          <w:lang w:val="en-US" w:eastAsia="zh-CN"/>
        </w:rPr>
        <w:t>Vol</w:t>
      </w:r>
      <w:r>
        <w:rPr>
          <w:rFonts w:ascii="Times New Roman" w:eastAsia="DengXian" w:hAnsi="Times New Roman" w:cs="Times New Roman"/>
          <w:sz w:val="28"/>
          <w:szCs w:val="28"/>
          <w:lang w:eastAsia="zh-CN"/>
        </w:rPr>
        <w:t xml:space="preserve">. 5. – </w:t>
      </w:r>
      <w:r>
        <w:rPr>
          <w:rFonts w:ascii="Times New Roman" w:eastAsia="DengXian" w:hAnsi="Times New Roman" w:cs="Times New Roman"/>
          <w:sz w:val="28"/>
          <w:szCs w:val="28"/>
          <w:lang w:val="en-US" w:eastAsia="zh-CN"/>
        </w:rPr>
        <w:t>P</w:t>
      </w:r>
      <w:r>
        <w:rPr>
          <w:rFonts w:ascii="Times New Roman" w:eastAsia="DengXian" w:hAnsi="Times New Roman" w:cs="Times New Roman"/>
          <w:sz w:val="28"/>
          <w:szCs w:val="28"/>
          <w:lang w:eastAsia="zh-CN"/>
        </w:rPr>
        <w:t xml:space="preserve">. 58-1-58-10.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rPr>
        <w:t>40 Олейник Л., Каркинбаева Ш., Ауезова К. Инновации в пищевой пром</w:t>
      </w:r>
      <w:r>
        <w:rPr>
          <w:rFonts w:ascii="Times New Roman" w:eastAsia="DengXian" w:hAnsi="Times New Roman" w:cs="Times New Roman"/>
          <w:sz w:val="28"/>
          <w:szCs w:val="28"/>
          <w:lang w:val="kk-KZ"/>
        </w:rPr>
        <w:t>ышленности</w:t>
      </w:r>
      <w:r>
        <w:rPr>
          <w:rFonts w:ascii="Times New Roman" w:eastAsia="DengXian" w:hAnsi="Times New Roman" w:cs="Times New Roman"/>
          <w:sz w:val="28"/>
          <w:szCs w:val="28"/>
        </w:rPr>
        <w:t xml:space="preserve"> // </w:t>
      </w:r>
      <w:r>
        <w:rPr>
          <w:rFonts w:ascii="Times New Roman" w:eastAsia="DengXian" w:hAnsi="Times New Roman" w:cs="Times New Roman"/>
          <w:sz w:val="28"/>
          <w:szCs w:val="28"/>
          <w:lang w:val="kk-KZ"/>
        </w:rPr>
        <w:t>Статистика, учет и аудит</w:t>
      </w:r>
      <w:r>
        <w:rPr>
          <w:rFonts w:ascii="Times New Roman" w:eastAsia="DengXian" w:hAnsi="Times New Roman" w:cs="Times New Roman"/>
          <w:sz w:val="28"/>
          <w:szCs w:val="28"/>
        </w:rPr>
        <w:t xml:space="preserve">. – 2024. – </w:t>
      </w:r>
      <w:r>
        <w:rPr>
          <w:rFonts w:ascii="Times New Roman" w:hAnsi="Times New Roman"/>
          <w:sz w:val="28"/>
          <w:szCs w:val="28"/>
          <w:lang w:val="kk-KZ"/>
        </w:rPr>
        <w:t>№</w:t>
      </w:r>
      <w:r>
        <w:rPr>
          <w:rFonts w:ascii="Times New Roman" w:eastAsia="DengXian" w:hAnsi="Times New Roman" w:cs="Times New Roman"/>
          <w:sz w:val="28"/>
          <w:szCs w:val="28"/>
          <w:lang w:val="kk-KZ"/>
        </w:rPr>
        <w:t>80(1)</w:t>
      </w:r>
      <w:r>
        <w:rPr>
          <w:rFonts w:ascii="Times New Roman" w:eastAsia="DengXian" w:hAnsi="Times New Roman" w:cs="Times New Roman"/>
          <w:sz w:val="28"/>
          <w:szCs w:val="28"/>
        </w:rPr>
        <w:t xml:space="preserve">. – </w:t>
      </w:r>
      <w:r>
        <w:rPr>
          <w:rFonts w:ascii="Times New Roman" w:eastAsia="DengXian" w:hAnsi="Times New Roman" w:cs="Times New Roman"/>
          <w:sz w:val="28"/>
          <w:szCs w:val="28"/>
          <w:lang w:val="en-US"/>
        </w:rPr>
        <w:t>C</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182</w:t>
      </w:r>
      <w:r>
        <w:rPr>
          <w:rFonts w:ascii="Times New Roman" w:eastAsia="DengXian" w:hAnsi="Times New Roman" w:cs="Times New Roman"/>
          <w:sz w:val="28"/>
          <w:szCs w:val="28"/>
        </w:rPr>
        <w:t>-</w:t>
      </w:r>
      <w:r>
        <w:rPr>
          <w:rFonts w:ascii="Times New Roman" w:eastAsia="DengXian" w:hAnsi="Times New Roman" w:cs="Times New Roman"/>
          <w:sz w:val="28"/>
          <w:szCs w:val="28"/>
          <w:lang w:val="kk-KZ"/>
        </w:rPr>
        <w:t xml:space="preserve">186.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rPr>
        <w:t>41 Уталиева Р</w:t>
      </w:r>
      <w:r>
        <w:rPr>
          <w:rFonts w:ascii="Times New Roman" w:eastAsia="DengXian" w:hAnsi="Times New Roman" w:cs="Times New Roman"/>
          <w:sz w:val="28"/>
          <w:szCs w:val="28"/>
        </w:rPr>
        <w:t>.С.</w:t>
      </w:r>
      <w:r>
        <w:rPr>
          <w:rFonts w:ascii="Times New Roman" w:eastAsia="DengXian" w:hAnsi="Times New Roman" w:cs="Times New Roman"/>
          <w:sz w:val="28"/>
          <w:szCs w:val="28"/>
          <w:lang w:val="kk-KZ"/>
        </w:rPr>
        <w:t xml:space="preserve">, Карамулдина </w:t>
      </w:r>
      <w:r>
        <w:rPr>
          <w:rFonts w:ascii="Times New Roman" w:eastAsia="DengXian" w:hAnsi="Times New Roman" w:cs="Times New Roman"/>
          <w:sz w:val="28"/>
          <w:szCs w:val="28"/>
        </w:rPr>
        <w:t>А.А.</w:t>
      </w:r>
      <w:r>
        <w:rPr>
          <w:rFonts w:ascii="Times New Roman" w:eastAsia="DengXian" w:hAnsi="Times New Roman" w:cs="Times New Roman"/>
          <w:sz w:val="28"/>
          <w:szCs w:val="28"/>
          <w:lang w:val="kk-KZ"/>
        </w:rPr>
        <w:t xml:space="preserve">, Тагайбекова </w:t>
      </w:r>
      <w:r>
        <w:rPr>
          <w:rFonts w:ascii="Times New Roman" w:eastAsia="DengXian" w:hAnsi="Times New Roman" w:cs="Times New Roman"/>
          <w:sz w:val="28"/>
          <w:szCs w:val="28"/>
        </w:rPr>
        <w:t>Н.П.,</w:t>
      </w:r>
      <w:r>
        <w:rPr>
          <w:rFonts w:ascii="Times New Roman" w:eastAsia="DengXian" w:hAnsi="Times New Roman" w:cs="Times New Roman"/>
          <w:sz w:val="28"/>
          <w:szCs w:val="28"/>
          <w:lang w:val="kk-KZ"/>
        </w:rPr>
        <w:t xml:space="preserve"> </w:t>
      </w:r>
      <w:r>
        <w:rPr>
          <w:rFonts w:ascii="Times New Roman" w:eastAsia="DengXian" w:hAnsi="Times New Roman" w:cs="Times New Roman"/>
          <w:sz w:val="28"/>
          <w:szCs w:val="28"/>
        </w:rPr>
        <w:t>П</w:t>
      </w:r>
      <w:r>
        <w:rPr>
          <w:rFonts w:ascii="Times New Roman" w:eastAsia="DengXian" w:hAnsi="Times New Roman" w:cs="Times New Roman"/>
          <w:sz w:val="28"/>
          <w:szCs w:val="28"/>
          <w:lang w:val="kk-KZ"/>
        </w:rPr>
        <w:t xml:space="preserve">роблемы развития интелектуальной собственности в моделях открытых инноваций (на примере </w:t>
      </w:r>
      <w:r>
        <w:rPr>
          <w:rFonts w:ascii="Times New Roman" w:eastAsia="DengXian" w:hAnsi="Times New Roman" w:cs="Times New Roman"/>
          <w:sz w:val="28"/>
          <w:szCs w:val="28"/>
        </w:rPr>
        <w:t>Р</w:t>
      </w:r>
      <w:r>
        <w:rPr>
          <w:rFonts w:ascii="Times New Roman" w:eastAsia="DengXian" w:hAnsi="Times New Roman" w:cs="Times New Roman"/>
          <w:sz w:val="28"/>
          <w:szCs w:val="28"/>
          <w:lang w:val="kk-KZ"/>
        </w:rPr>
        <w:t xml:space="preserve">еспублики </w:t>
      </w:r>
      <w:r>
        <w:rPr>
          <w:rFonts w:ascii="Times New Roman" w:eastAsia="DengXian" w:hAnsi="Times New Roman" w:cs="Times New Roman"/>
          <w:sz w:val="28"/>
          <w:szCs w:val="28"/>
        </w:rPr>
        <w:t>К</w:t>
      </w:r>
      <w:r>
        <w:rPr>
          <w:rFonts w:ascii="Times New Roman" w:eastAsia="DengXian" w:hAnsi="Times New Roman" w:cs="Times New Roman"/>
          <w:sz w:val="28"/>
          <w:szCs w:val="28"/>
          <w:lang w:val="kk-KZ"/>
        </w:rPr>
        <w:t>азахстан)</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 xml:space="preserve"> Евразийский Союз Ученых</w:t>
      </w:r>
      <w:r>
        <w:rPr>
          <w:rFonts w:ascii="Times New Roman" w:eastAsia="DengXian" w:hAnsi="Times New Roman" w:cs="Times New Roman"/>
          <w:sz w:val="28"/>
          <w:szCs w:val="28"/>
        </w:rPr>
        <w:t xml:space="preserve">. – 2015. – </w:t>
      </w:r>
      <w:r>
        <w:rPr>
          <w:rFonts w:ascii="Times New Roman" w:hAnsi="Times New Roman"/>
          <w:sz w:val="28"/>
          <w:szCs w:val="28"/>
          <w:lang w:val="kk-KZ"/>
        </w:rPr>
        <w:t>№</w:t>
      </w:r>
      <w:r>
        <w:rPr>
          <w:rFonts w:ascii="Times New Roman" w:eastAsia="DengXian" w:hAnsi="Times New Roman" w:cs="Times New Roman"/>
          <w:sz w:val="28"/>
          <w:szCs w:val="28"/>
          <w:lang w:val="kk-KZ"/>
        </w:rPr>
        <w:t>12(21)</w:t>
      </w:r>
      <w:r>
        <w:rPr>
          <w:rFonts w:ascii="Times New Roman" w:eastAsia="DengXian" w:hAnsi="Times New Roman" w:cs="Times New Roman"/>
          <w:sz w:val="28"/>
          <w:szCs w:val="28"/>
        </w:rPr>
        <w:t>. – С. 125-128.</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42 Popa S</w:t>
      </w:r>
      <w:r>
        <w:rPr>
          <w:rFonts w:ascii="Times New Roman" w:eastAsia="DengXian" w:hAnsi="Times New Roman" w:cs="Times New Roman"/>
          <w:sz w:val="28"/>
          <w:szCs w:val="28"/>
          <w:lang w:val="en-US"/>
        </w:rPr>
        <w:t>. et al.</w:t>
      </w:r>
      <w:r>
        <w:rPr>
          <w:rFonts w:ascii="Times New Roman" w:eastAsia="DengXian" w:hAnsi="Times New Roman" w:cs="Times New Roman"/>
          <w:sz w:val="28"/>
          <w:szCs w:val="28"/>
          <w:lang w:val="kk-KZ"/>
        </w:rPr>
        <w:t xml:space="preserve"> Antecedents, moderators, and outcomes of innovation climate and OI: An empirical study in SMEs</w:t>
      </w:r>
      <w:r>
        <w:rPr>
          <w:rFonts w:ascii="Times New Roman" w:eastAsia="DengXian" w:hAnsi="Times New Roman" w:cs="Times New Roman"/>
          <w:sz w:val="28"/>
          <w:szCs w:val="28"/>
          <w:lang w:val="en-US"/>
        </w:rPr>
        <w:t xml:space="preserve"> // </w:t>
      </w:r>
      <w:r>
        <w:rPr>
          <w:rFonts w:ascii="Times New Roman" w:eastAsia="DengXian" w:hAnsi="Times New Roman" w:cs="Times New Roman"/>
          <w:sz w:val="28"/>
          <w:szCs w:val="28"/>
          <w:lang w:val="kk-KZ"/>
        </w:rPr>
        <w:t>Technological Forecasting and Social Change</w:t>
      </w:r>
      <w:r>
        <w:rPr>
          <w:rFonts w:ascii="Times New Roman" w:eastAsia="DengXian" w:hAnsi="Times New Roman" w:cs="Times New Roman"/>
          <w:sz w:val="28"/>
          <w:szCs w:val="28"/>
          <w:lang w:val="en-US"/>
        </w:rPr>
        <w:t xml:space="preserve">. – 2017. – Vol. </w:t>
      </w:r>
      <w:r>
        <w:rPr>
          <w:rFonts w:ascii="Times New Roman" w:eastAsia="DengXian" w:hAnsi="Times New Roman" w:cs="Times New Roman"/>
          <w:sz w:val="28"/>
          <w:szCs w:val="28"/>
          <w:lang w:val="kk-KZ"/>
        </w:rPr>
        <w:t>118</w:t>
      </w:r>
      <w:r>
        <w:rPr>
          <w:rFonts w:ascii="Times New Roman" w:eastAsia="DengXian" w:hAnsi="Times New Roman" w:cs="Times New Roman"/>
          <w:sz w:val="28"/>
          <w:szCs w:val="28"/>
          <w:lang w:val="en-US"/>
        </w:rPr>
        <w:t>. – P.</w:t>
      </w:r>
      <w:r>
        <w:rPr>
          <w:rFonts w:ascii="Times New Roman" w:eastAsia="DengXian" w:hAnsi="Times New Roman" w:cs="Times New Roman"/>
          <w:sz w:val="28"/>
          <w:szCs w:val="28"/>
          <w:lang w:val="kk-KZ"/>
        </w:rPr>
        <w:t xml:space="preserve"> 134</w:t>
      </w:r>
      <w:r>
        <w:rPr>
          <w:rFonts w:ascii="Times New Roman" w:eastAsia="DengXian" w:hAnsi="Times New Roman" w:cs="Times New Roman"/>
          <w:sz w:val="28"/>
          <w:szCs w:val="28"/>
          <w:lang w:val="en-US"/>
        </w:rPr>
        <w:t>-</w:t>
      </w:r>
      <w:r>
        <w:rPr>
          <w:rFonts w:ascii="Times New Roman" w:eastAsia="DengXian" w:hAnsi="Times New Roman" w:cs="Times New Roman"/>
          <w:sz w:val="28"/>
          <w:szCs w:val="28"/>
          <w:lang w:val="kk-KZ"/>
        </w:rPr>
        <w:t>142.</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43</w:t>
      </w:r>
      <w:r>
        <w:rPr>
          <w:rFonts w:ascii="Times New Roman" w:eastAsia="DengXian" w:hAnsi="Times New Roman" w:cs="Times New Roman"/>
          <w:sz w:val="28"/>
          <w:szCs w:val="28"/>
          <w:lang w:val="kk-KZ"/>
        </w:rPr>
        <w:t xml:space="preserve"> Chesbrough H. To recover faster from Covid-19, open up: managerial implications from an open innovation perspective</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 xml:space="preserve"> Industrial Marketing Management</w:t>
      </w:r>
      <w:r>
        <w:rPr>
          <w:rFonts w:ascii="Times New Roman" w:eastAsia="DengXian" w:hAnsi="Times New Roman" w:cs="Times New Roman"/>
          <w:sz w:val="28"/>
          <w:szCs w:val="28"/>
          <w:lang w:val="en-US"/>
        </w:rPr>
        <w:t xml:space="preserve">. – 2020. – </w:t>
      </w:r>
      <w:r>
        <w:rPr>
          <w:rFonts w:ascii="Times New Roman" w:eastAsia="DengXian" w:hAnsi="Times New Roman" w:cs="Times New Roman"/>
          <w:sz w:val="28"/>
          <w:szCs w:val="28"/>
          <w:lang w:val="kk-KZ"/>
        </w:rPr>
        <w:t>Vol. 88</w:t>
      </w:r>
      <w:r>
        <w:rPr>
          <w:rFonts w:ascii="Times New Roman" w:eastAsia="DengXian" w:hAnsi="Times New Roman" w:cs="Times New Roman"/>
          <w:sz w:val="28"/>
          <w:szCs w:val="28"/>
          <w:lang w:val="en-US"/>
        </w:rPr>
        <w:t xml:space="preserve">. – P. </w:t>
      </w:r>
      <w:r>
        <w:rPr>
          <w:rFonts w:ascii="Times New Roman" w:eastAsia="DengXian" w:hAnsi="Times New Roman" w:cs="Times New Roman"/>
          <w:sz w:val="28"/>
          <w:szCs w:val="28"/>
          <w:lang w:val="kk-KZ"/>
        </w:rPr>
        <w:t>410-413.</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eastAsia="zh-CN"/>
        </w:rPr>
        <w:t xml:space="preserve">44 </w:t>
      </w:r>
      <w:r>
        <w:rPr>
          <w:rFonts w:ascii="Times New Roman" w:eastAsia="DengXian" w:hAnsi="Times New Roman" w:cs="Times New Roman"/>
          <w:sz w:val="28"/>
          <w:szCs w:val="28"/>
          <w:lang w:val="en-US" w:eastAsia="zh-CN"/>
        </w:rPr>
        <w:t xml:space="preserve">Enkel E. et al. Open R&amp;D and open innovation: exploring the </w:t>
      </w:r>
      <w:r>
        <w:rPr>
          <w:rFonts w:ascii="Times New Roman" w:eastAsia="DengXian" w:hAnsi="Times New Roman" w:cs="Times New Roman"/>
          <w:sz w:val="28"/>
          <w:szCs w:val="28"/>
          <w:lang w:val="en-US" w:eastAsia="zh-CN"/>
        </w:rPr>
        <w:t>phenomenon // R&amp;D Management. – 2009. – Vol. 39. – P. 311-316.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eastAsia="zh-CN"/>
        </w:rPr>
        <w:t xml:space="preserve">45 </w:t>
      </w:r>
      <w:r>
        <w:rPr>
          <w:rFonts w:ascii="Times New Roman" w:eastAsia="DengXian" w:hAnsi="Times New Roman" w:cs="Times New Roman"/>
          <w:sz w:val="28"/>
          <w:szCs w:val="28"/>
          <w:lang w:val="en-US" w:eastAsia="zh-CN"/>
        </w:rPr>
        <w:t xml:space="preserve">Castillo Y., Álvarez I., Salazar-Elena J.C. Open innovation and appropriation in the manufacturing sector in Colombia/Innovar: Rev // Cienc. Adm. Soc. 2023. – Vol. 33, Issue 89. – P. 21-36.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46 </w:t>
      </w:r>
      <w:r>
        <w:rPr>
          <w:rFonts w:ascii="Times New Roman" w:eastAsia="DengXian" w:hAnsi="Times New Roman" w:cs="Times New Roman"/>
          <w:sz w:val="28"/>
          <w:szCs w:val="28"/>
          <w:lang w:val="en-US" w:eastAsia="zh-CN"/>
        </w:rPr>
        <w:t>Solarte-Montufar J.G. et al. Open Innovation in the Agri-Food Sector: Perspectives from a Systematic Literature Review and a Structured Survey in MSMEs // J. Open Innov. Technol. Mark. Comp. – 2021. – Vol. 7. – P. 161</w:t>
      </w:r>
      <w:r>
        <w:rPr>
          <w:rFonts w:ascii="Times New Roman" w:eastAsia="DengXian" w:hAnsi="Times New Roman" w:cs="Times New Roman"/>
          <w:sz w:val="28"/>
          <w:szCs w:val="28"/>
          <w:lang w:val="kk-KZ" w:eastAsia="zh-CN"/>
        </w:rPr>
        <w:t>-1-161-27.</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47 </w:t>
      </w:r>
      <w:r>
        <w:rPr>
          <w:rFonts w:ascii="Times New Roman" w:eastAsia="DengXian" w:hAnsi="Times New Roman" w:cs="Times New Roman"/>
          <w:sz w:val="28"/>
          <w:szCs w:val="28"/>
          <w:lang w:val="en-US" w:eastAsia="zh-CN"/>
        </w:rPr>
        <w:t xml:space="preserve">Delgado Fernández M. </w:t>
      </w:r>
      <w:r>
        <w:rPr>
          <w:rFonts w:ascii="Times New Roman" w:eastAsia="DengXian" w:hAnsi="Times New Roman" w:cs="Times New Roman"/>
          <w:sz w:val="28"/>
          <w:szCs w:val="28"/>
          <w:lang w:val="en-US" w:eastAsia="zh-CN"/>
        </w:rPr>
        <w:t xml:space="preserve">Innovation management models: concepts, approaches, standards, and trends // Ind. Eng. – 2024. – Vol. 45, Issue 1. – P. 1-10.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48 </w:t>
      </w:r>
      <w:r>
        <w:rPr>
          <w:rFonts w:ascii="Times New Roman" w:eastAsia="DengXian" w:hAnsi="Times New Roman" w:cs="Times New Roman"/>
          <w:sz w:val="28"/>
          <w:szCs w:val="28"/>
          <w:lang w:val="en-US" w:eastAsia="zh-CN"/>
        </w:rPr>
        <w:t>Elmquist M., Fredberg T., Ollila S. Exploring the field of open innovation // European J of Innovation Management. – 2009. – V</w:t>
      </w:r>
      <w:r>
        <w:rPr>
          <w:rFonts w:ascii="Times New Roman" w:eastAsia="DengXian" w:hAnsi="Times New Roman" w:cs="Times New Roman"/>
          <w:sz w:val="28"/>
          <w:szCs w:val="28"/>
          <w:lang w:val="en-US" w:eastAsia="zh-CN"/>
        </w:rPr>
        <w:t xml:space="preserve">ol. 12, Issue 3. – P. 326-345.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49 </w:t>
      </w:r>
      <w:r>
        <w:rPr>
          <w:rFonts w:ascii="Times New Roman" w:eastAsia="DengXian" w:hAnsi="Times New Roman" w:cs="Times New Roman"/>
          <w:sz w:val="28"/>
          <w:szCs w:val="28"/>
          <w:lang w:val="en-US"/>
        </w:rPr>
        <w:t xml:space="preserve">Huston L., Sakkab N. Connect and develop // </w:t>
      </w:r>
      <w:r>
        <w:rPr>
          <w:rFonts w:ascii="Times New Roman" w:eastAsia="DengXian" w:hAnsi="Times New Roman" w:cs="Times New Roman"/>
          <w:iCs/>
          <w:sz w:val="28"/>
          <w:szCs w:val="28"/>
          <w:lang w:val="en-US"/>
        </w:rPr>
        <w:t xml:space="preserve">Harvard Business Review. – 2006. – Vol. </w:t>
      </w:r>
      <w:r>
        <w:rPr>
          <w:rFonts w:ascii="Times New Roman" w:eastAsia="DengXian" w:hAnsi="Times New Roman" w:cs="Times New Roman"/>
          <w:sz w:val="28"/>
          <w:szCs w:val="28"/>
          <w:lang w:val="en-US"/>
        </w:rPr>
        <w:t>84, Issue 3. – P. 58-66.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50 </w:t>
      </w:r>
      <w:r>
        <w:rPr>
          <w:rFonts w:ascii="Times New Roman" w:eastAsia="DengXian" w:hAnsi="Times New Roman" w:cs="Times New Roman"/>
          <w:sz w:val="28"/>
          <w:szCs w:val="28"/>
          <w:lang w:val="en-US"/>
        </w:rPr>
        <w:t xml:space="preserve">Traitler H., Saguy L.S. Creating successful: innovation partnerships // </w:t>
      </w:r>
      <w:r>
        <w:rPr>
          <w:rFonts w:ascii="Times New Roman" w:eastAsia="DengXian" w:hAnsi="Times New Roman" w:cs="Times New Roman"/>
          <w:iCs/>
          <w:sz w:val="28"/>
          <w:szCs w:val="28"/>
          <w:lang w:val="en-US"/>
        </w:rPr>
        <w:t>Food Technology. – 2009. – Vol. 63, I</w:t>
      </w:r>
      <w:r>
        <w:rPr>
          <w:rFonts w:ascii="Times New Roman" w:eastAsia="DengXian" w:hAnsi="Times New Roman" w:cs="Times New Roman"/>
          <w:iCs/>
          <w:sz w:val="28"/>
          <w:szCs w:val="28"/>
          <w:lang w:val="en-US"/>
        </w:rPr>
        <w:t>ssue 3. – P. 23-35.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51 </w:t>
      </w:r>
      <w:r>
        <w:rPr>
          <w:rFonts w:ascii="Times New Roman" w:eastAsia="DengXian" w:hAnsi="Times New Roman" w:cs="Times New Roman"/>
          <w:sz w:val="28"/>
          <w:szCs w:val="28"/>
          <w:lang w:val="en-US"/>
        </w:rPr>
        <w:t>Bigliardi B., Galati F. Models of adoption of open innovation within the food industry // Trends in Food Science &amp; Technology. – 2013. – Vol. 30. – P. 16-26.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52 </w:t>
      </w:r>
      <w:r>
        <w:rPr>
          <w:rFonts w:ascii="Times New Roman" w:eastAsia="DengXian" w:hAnsi="Times New Roman" w:cs="Times New Roman"/>
          <w:sz w:val="28"/>
          <w:szCs w:val="28"/>
          <w:lang w:val="en-US"/>
        </w:rPr>
        <w:t>Traitler H., Watzke H.J., Saguy I.S. Reinventing R&amp;D in an open innovati</w:t>
      </w:r>
      <w:r>
        <w:rPr>
          <w:rFonts w:ascii="Times New Roman" w:eastAsia="DengXian" w:hAnsi="Times New Roman" w:cs="Times New Roman"/>
          <w:sz w:val="28"/>
          <w:szCs w:val="28"/>
          <w:lang w:val="en-US"/>
        </w:rPr>
        <w:t>on ecosystem // Journal of Food Science. – 2011. – Vol. 76, Issue 2. – P. R62-R68.</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53 </w:t>
      </w:r>
      <w:r>
        <w:rPr>
          <w:rFonts w:ascii="Times New Roman" w:eastAsia="DengXian" w:hAnsi="Times New Roman" w:cs="Times New Roman"/>
          <w:sz w:val="28"/>
          <w:szCs w:val="28"/>
          <w:lang w:val="en-US"/>
        </w:rPr>
        <w:t>Mehlman S.K., Uribe-Saucedo S., Taylor R.P. et al. Better practices for managing intellectual assets in collaborations // Research Technology Management. – 2010. – Vol. 5</w:t>
      </w:r>
      <w:r>
        <w:rPr>
          <w:rFonts w:ascii="Times New Roman" w:eastAsia="DengXian" w:hAnsi="Times New Roman" w:cs="Times New Roman"/>
          <w:sz w:val="28"/>
          <w:szCs w:val="28"/>
          <w:lang w:val="en-US"/>
        </w:rPr>
        <w:t>3, Issue 1. – P. 55-66.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rPr>
        <w:t xml:space="preserve">54 </w:t>
      </w:r>
      <w:r>
        <w:rPr>
          <w:rFonts w:ascii="Times New Roman" w:eastAsia="DengXian" w:hAnsi="Times New Roman" w:cs="Times New Roman"/>
          <w:sz w:val="28"/>
          <w:szCs w:val="28"/>
          <w:lang w:val="en-US"/>
        </w:rPr>
        <w:t>Slowinski G., Sagal M.W. Good practices in open innovation // Research Technology Management. – 2010. – Vol. 53, Issue 5. – P. 38-45.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55 </w:t>
      </w:r>
      <w:r>
        <w:rPr>
          <w:rFonts w:ascii="Times New Roman" w:eastAsia="DengXian" w:hAnsi="Times New Roman" w:cs="Times New Roman"/>
          <w:sz w:val="28"/>
          <w:szCs w:val="28"/>
          <w:lang w:val="en-US" w:eastAsia="zh-CN"/>
        </w:rPr>
        <w:t>Carayannis E.G., Campbell D.F.J. Democracy of Climate and Climate for Democracy: the Evoluti</w:t>
      </w:r>
      <w:r>
        <w:rPr>
          <w:rFonts w:ascii="Times New Roman" w:eastAsia="DengXian" w:hAnsi="Times New Roman" w:cs="Times New Roman"/>
          <w:sz w:val="28"/>
          <w:szCs w:val="28"/>
          <w:lang w:val="en-US" w:eastAsia="zh-CN"/>
        </w:rPr>
        <w:t xml:space="preserve">on of Quadruple and Quintuple Helix Innovation Systems // J Knowl Econ. – 2021. – Vol. 12. – P. 2050-2082.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56 </w:t>
      </w:r>
      <w:r>
        <w:rPr>
          <w:rFonts w:ascii="Times New Roman" w:eastAsia="DengXian" w:hAnsi="Times New Roman" w:cs="Times New Roman"/>
          <w:sz w:val="28"/>
          <w:szCs w:val="28"/>
          <w:lang w:val="en-US" w:eastAsia="zh-CN"/>
        </w:rPr>
        <w:t>Natalicchio A., Messeni Petruzzelli A., Garavelli A.C. Innovation problems and search for solutions in crowdsourcing platforms – A simulation app</w:t>
      </w:r>
      <w:r>
        <w:rPr>
          <w:rFonts w:ascii="Times New Roman" w:eastAsia="DengXian" w:hAnsi="Times New Roman" w:cs="Times New Roman"/>
          <w:sz w:val="28"/>
          <w:szCs w:val="28"/>
          <w:lang w:val="en-US" w:eastAsia="zh-CN"/>
        </w:rPr>
        <w:t xml:space="preserve">roach // Technovation. – 2017. – Vol. 64-65. – P. 28-42.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57 </w:t>
      </w:r>
      <w:r>
        <w:rPr>
          <w:rFonts w:ascii="Times New Roman" w:eastAsia="DengXian" w:hAnsi="Times New Roman" w:cs="Times New Roman"/>
          <w:sz w:val="28"/>
          <w:szCs w:val="28"/>
          <w:lang w:val="en-US" w:eastAsia="zh-CN"/>
        </w:rPr>
        <w:t xml:space="preserve">Díaz-García M., Moreno A., Saez-Martinez F. Eco-Innovation: Insights from a Literature Review // Innovation: Management, Policy and Practice. – 2015. – Vol. 17. – P. 6-23.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58 </w:t>
      </w:r>
      <w:r>
        <w:rPr>
          <w:rFonts w:ascii="Times New Roman" w:eastAsia="DengXian" w:hAnsi="Times New Roman" w:cs="Times New Roman"/>
          <w:sz w:val="28"/>
          <w:szCs w:val="28"/>
          <w:lang w:val="en-US" w:eastAsia="zh-CN"/>
        </w:rPr>
        <w:t xml:space="preserve">Frankenberger J. et al. Drainage Water Management: A Review of Nutrient Load Reductions and Cost Effectiveness // Journal of the ASABE. – 2024. – Vol. 67. – P. 1077-1092.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59 </w:t>
      </w:r>
      <w:r>
        <w:rPr>
          <w:rFonts w:ascii="Times New Roman" w:eastAsia="DengXian" w:hAnsi="Times New Roman" w:cs="Times New Roman"/>
          <w:sz w:val="28"/>
          <w:szCs w:val="28"/>
          <w:lang w:val="en-US" w:eastAsia="zh-CN"/>
        </w:rPr>
        <w:t xml:space="preserve">Oliveira-Dias D., Kneipp J.M., Bichueti R.S. et al. Fostering business model innovation for sustainability: a dynamic capabilities perspective // Management Decision. – 2022. – Vol. 60, Issue 13. – P. 105-129.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60 </w:t>
      </w:r>
      <w:r>
        <w:rPr>
          <w:rFonts w:ascii="Times New Roman" w:eastAsia="DengXian" w:hAnsi="Times New Roman" w:cs="Times New Roman"/>
          <w:sz w:val="28"/>
          <w:szCs w:val="28"/>
          <w:lang w:val="en-US" w:eastAsia="zh-CN"/>
        </w:rPr>
        <w:t>Bogers M., Chesbrough H., Strand P. Susta</w:t>
      </w:r>
      <w:r>
        <w:rPr>
          <w:rFonts w:ascii="Times New Roman" w:eastAsia="DengXian" w:hAnsi="Times New Roman" w:cs="Times New Roman"/>
          <w:sz w:val="28"/>
          <w:szCs w:val="28"/>
          <w:lang w:val="en-US" w:eastAsia="zh-CN"/>
        </w:rPr>
        <w:t>inable open innovation to address a grand challenge: Lessons from Carlsberg and the Green Fiber Bottle // British Food Journal. – 2020. – Vol. 122, Issue 5. – P. 1505-1517.</w:t>
      </w:r>
      <w:hyperlink r:id="rId66" w:tgtFrame="https://www.emerald.com/bfj/article-abstract/122/5/1505/15370/_blank" w:history="1"/>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61 </w:t>
      </w:r>
      <w:r>
        <w:rPr>
          <w:rFonts w:ascii="Times New Roman" w:eastAsia="DengXian" w:hAnsi="Times New Roman" w:cs="Times New Roman"/>
          <w:sz w:val="28"/>
          <w:szCs w:val="28"/>
          <w:lang w:val="en-US" w:eastAsia="zh-CN"/>
        </w:rPr>
        <w:t>Venturelli A., Caputo A., Pizzi S. et al. A dynamic framework for sustainable open innovation in the food industry // British Food Journal. – 2022. – Vol. 124, Issue 6. – P. 1895-1911.</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62 </w:t>
      </w:r>
      <w:r>
        <w:rPr>
          <w:rFonts w:ascii="Times New Roman" w:eastAsia="DengXian" w:hAnsi="Times New Roman" w:cs="Times New Roman"/>
          <w:sz w:val="28"/>
          <w:szCs w:val="28"/>
          <w:lang w:val="en-US" w:eastAsia="zh-CN"/>
        </w:rPr>
        <w:t>Bigliardi B., Ferr</w:t>
      </w:r>
      <w:r>
        <w:rPr>
          <w:rFonts w:ascii="Times New Roman" w:eastAsia="DengXian" w:hAnsi="Times New Roman" w:cs="Times New Roman"/>
          <w:sz w:val="28"/>
          <w:szCs w:val="28"/>
          <w:lang w:val="en-US" w:eastAsia="zh-CN"/>
        </w:rPr>
        <w:t xml:space="preserve">aro G., Filippelli S. et al. The influence of open innovation on firm performance // International Journal of Engineering Business Management. – 2020. – Vol. 12. </w:t>
      </w:r>
      <w:r>
        <w:rPr>
          <w:rFonts w:ascii="Times New Roman" w:eastAsia="DengXian" w:hAnsi="Times New Roman" w:cs="Times New Roman"/>
          <w:sz w:val="28"/>
          <w:szCs w:val="28"/>
          <w:lang w:val="kk-KZ" w:eastAsia="zh-CN"/>
        </w:rPr>
        <w:t>– Р. 1-14.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63 </w:t>
      </w:r>
      <w:r>
        <w:rPr>
          <w:rFonts w:ascii="Times New Roman" w:eastAsia="DengXian" w:hAnsi="Times New Roman" w:cs="Times New Roman"/>
          <w:sz w:val="28"/>
          <w:szCs w:val="28"/>
          <w:lang w:val="en-US" w:eastAsia="zh-CN"/>
        </w:rPr>
        <w:t>Bogers M., Chesbrough H., Moedas C. Open Innovation: Research, Practices, and Po</w:t>
      </w:r>
      <w:r>
        <w:rPr>
          <w:rFonts w:ascii="Times New Roman" w:eastAsia="DengXian" w:hAnsi="Times New Roman" w:cs="Times New Roman"/>
          <w:sz w:val="28"/>
          <w:szCs w:val="28"/>
          <w:lang w:val="en-US" w:eastAsia="zh-CN"/>
        </w:rPr>
        <w:t xml:space="preserve">licies // California Management Review. – 2018. – Vol. 60, Issue 2. – P. 5-16. </w:t>
      </w:r>
    </w:p>
    <w:p w:rsidR="005118AF" w:rsidRDefault="00EF60C3">
      <w:pPr>
        <w:tabs>
          <w:tab w:val="left" w:pos="880"/>
          <w:tab w:val="left" w:pos="1276"/>
        </w:tabs>
        <w:spacing w:after="0" w:line="240" w:lineRule="auto"/>
        <w:ind w:firstLine="709"/>
        <w:jc w:val="both"/>
        <w:rPr>
          <w:lang w:val="en-US"/>
        </w:rPr>
      </w:pPr>
      <w:r>
        <w:rPr>
          <w:rFonts w:ascii="Times New Roman" w:eastAsia="DengXian" w:hAnsi="Times New Roman" w:cs="Times New Roman"/>
          <w:sz w:val="28"/>
          <w:szCs w:val="28"/>
          <w:lang w:val="kk-KZ" w:eastAsia="zh-CN"/>
        </w:rPr>
        <w:t xml:space="preserve">64 </w:t>
      </w:r>
      <w:r>
        <w:rPr>
          <w:rFonts w:ascii="Times New Roman" w:eastAsia="DengXian" w:hAnsi="Times New Roman" w:cs="Times New Roman"/>
          <w:sz w:val="28"/>
          <w:szCs w:val="28"/>
          <w:lang w:eastAsia="zh-CN"/>
        </w:rPr>
        <w:t xml:space="preserve">Международный опыт развития цифровизации в АПК: государственная поддержка, регулирование, практика // </w:t>
      </w:r>
      <w:hyperlink r:id="rId67" w:history="1">
        <w:r>
          <w:rPr>
            <w:rStyle w:val="ab"/>
            <w:rFonts w:ascii="Times New Roman" w:eastAsia="DengXian" w:hAnsi="Times New Roman" w:cs="Times New Roman"/>
            <w:color w:val="auto"/>
            <w:sz w:val="28"/>
            <w:szCs w:val="28"/>
            <w:u w:val="none"/>
            <w:lang w:eastAsia="zh-CN"/>
          </w:rPr>
          <w:t>https://docs.yandex.kz/docs/view?tm=1770824453&amp;tld=kz&amp;lang=</w:t>
        </w:r>
      </w:hyperlink>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10.11.2025.</w:t>
      </w:r>
    </w:p>
    <w:p w:rsidR="005118AF" w:rsidRDefault="00EF60C3">
      <w:pPr>
        <w:tabs>
          <w:tab w:val="left" w:pos="880"/>
          <w:tab w:val="left" w:pos="1276"/>
        </w:tabs>
        <w:spacing w:after="0" w:line="240" w:lineRule="auto"/>
        <w:ind w:firstLine="709"/>
        <w:jc w:val="both"/>
        <w:rPr>
          <w:lang w:val="en-US"/>
        </w:rPr>
      </w:pPr>
      <w:r>
        <w:rPr>
          <w:rFonts w:ascii="Times New Roman" w:eastAsia="DengXian" w:hAnsi="Times New Roman" w:cs="Times New Roman"/>
          <w:sz w:val="28"/>
          <w:szCs w:val="28"/>
          <w:lang w:val="kk-KZ"/>
        </w:rPr>
        <w:t>65 A World Leader in Agriculture</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PHAB takes place in the Netherlands, the pioneer in cutting-edge &amp; innovative agriculture education &amp; research</w:t>
      </w:r>
      <w:r>
        <w:rPr>
          <w:rFonts w:ascii="Times New Roman" w:eastAsia="DengXian" w:hAnsi="Times New Roman" w:cs="Times New Roman"/>
          <w:sz w:val="28"/>
          <w:szCs w:val="28"/>
          <w:lang w:val="en-US"/>
        </w:rPr>
        <w:t xml:space="preserve"> </w:t>
      </w:r>
      <w:r>
        <w:rPr>
          <w:rFonts w:ascii="Times New Roman" w:eastAsia="DengXian" w:hAnsi="Times New Roman" w:cs="Times New Roman"/>
          <w:sz w:val="28"/>
          <w:szCs w:val="28"/>
          <w:lang w:val="kk-KZ"/>
        </w:rPr>
        <w:t>//</w:t>
      </w:r>
      <w:r>
        <w:rPr>
          <w:rFonts w:ascii="Calibri" w:eastAsia="DengXian" w:hAnsi="Calibri" w:cs="Times New Roman"/>
          <w:lang w:val="en-US"/>
        </w:rPr>
        <w:t xml:space="preserve"> </w:t>
      </w:r>
      <w:hyperlink r:id="rId68" w:history="1">
        <w:r>
          <w:rPr>
            <w:rStyle w:val="ab"/>
            <w:rFonts w:ascii="Times New Roman" w:eastAsia="DengXian" w:hAnsi="Times New Roman" w:cs="Times New Roman"/>
            <w:color w:val="auto"/>
            <w:sz w:val="28"/>
            <w:szCs w:val="28"/>
            <w:u w:val="none"/>
            <w:lang w:val="kk-KZ"/>
          </w:rPr>
          <w:t>https://phab-conference.com/a-world-leader-in-agriculture/</w:t>
        </w:r>
      </w:hyperlink>
      <w:r>
        <w:rPr>
          <w:rStyle w:val="ab"/>
          <w:rFonts w:ascii="Times New Roman" w:eastAsia="DengXian" w:hAnsi="Times New Roman" w:cs="Times New Roman"/>
          <w:color w:val="auto"/>
          <w:sz w:val="28"/>
          <w:szCs w:val="28"/>
          <w:u w:val="none"/>
          <w:lang w:val="en-US"/>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66 </w:t>
      </w:r>
      <w:hyperlink r:id="rId69" w:history="1">
        <w:r>
          <w:rPr>
            <w:rFonts w:ascii="Times New Roman" w:eastAsia="DengXian" w:hAnsi="Times New Roman" w:cs="Times New Roman"/>
            <w:sz w:val="28"/>
            <w:szCs w:val="28"/>
            <w:lang w:val="en-US" w:eastAsia="zh-CN"/>
          </w:rPr>
          <w:t>Zadegan</w:t>
        </w:r>
      </w:hyperlink>
      <w:r>
        <w:rPr>
          <w:lang w:val="en-US"/>
        </w:rPr>
        <w:t xml:space="preserve"> </w:t>
      </w:r>
      <w:r>
        <w:rPr>
          <w:rFonts w:ascii="Times New Roman" w:eastAsia="DengXian" w:hAnsi="Times New Roman" w:cs="Times New Roman"/>
          <w:sz w:val="28"/>
          <w:szCs w:val="28"/>
          <w:lang w:val="en-US" w:eastAsia="zh-CN"/>
        </w:rPr>
        <w:t>M.G.,</w:t>
      </w:r>
      <w:hyperlink r:id="rId70" w:history="1">
        <w:r>
          <w:rPr>
            <w:rFonts w:ascii="Times New Roman" w:eastAsia="DengXian" w:hAnsi="Times New Roman" w:cs="Times New Roman"/>
            <w:sz w:val="28"/>
            <w:szCs w:val="28"/>
            <w:lang w:val="en-US" w:eastAsia="zh-CN"/>
          </w:rPr>
          <w:t xml:space="preserve"> Ghazinoory</w:t>
        </w:r>
      </w:hyperlink>
      <w:r>
        <w:rPr>
          <w:lang w:val="en-US"/>
        </w:rPr>
        <w:t xml:space="preserve"> </w:t>
      </w:r>
      <w:r>
        <w:rPr>
          <w:rFonts w:ascii="Times New Roman" w:eastAsia="DengXian" w:hAnsi="Times New Roman" w:cs="Times New Roman"/>
          <w:sz w:val="28"/>
          <w:szCs w:val="28"/>
          <w:lang w:val="en-US" w:eastAsia="zh-CN"/>
        </w:rPr>
        <w:t xml:space="preserve">S., </w:t>
      </w:r>
      <w:hyperlink r:id="rId71" w:history="1">
        <w:r>
          <w:rPr>
            <w:rFonts w:ascii="Times New Roman" w:eastAsia="DengXian" w:hAnsi="Times New Roman" w:cs="Times New Roman"/>
            <w:sz w:val="28"/>
            <w:szCs w:val="28"/>
            <w:lang w:val="en-US" w:eastAsia="zh-CN"/>
          </w:rPr>
          <w:t>Nasri</w:t>
        </w:r>
      </w:hyperlink>
      <w:r>
        <w:rPr>
          <w:rFonts w:ascii="Times New Roman" w:eastAsia="DengXian" w:hAnsi="Times New Roman" w:cs="Times New Roman"/>
          <w:sz w:val="28"/>
          <w:szCs w:val="28"/>
          <w:lang w:val="en-US" w:eastAsia="zh-CN"/>
        </w:rPr>
        <w:t xml:space="preserve"> S. The Triple Helix Model of Innovation and Sustainable Development Goals: A Literature Review // Sustainabl</w:t>
      </w:r>
      <w:r>
        <w:rPr>
          <w:rFonts w:ascii="Times New Roman" w:eastAsia="DengXian" w:hAnsi="Times New Roman" w:cs="Times New Roman"/>
          <w:sz w:val="28"/>
          <w:szCs w:val="28"/>
          <w:lang w:val="en-US" w:eastAsia="zh-CN"/>
        </w:rPr>
        <w:t>e Development. – 2025. – Vol. 33, Issue S1. – P. 1482-1497.</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sz w:val="28"/>
          <w:szCs w:val="28"/>
          <w:lang w:val="kk-KZ" w:eastAsia="zh-CN"/>
        </w:rPr>
        <w:t xml:space="preserve">67 </w:t>
      </w:r>
      <w:r>
        <w:rPr>
          <w:rFonts w:ascii="Times New Roman" w:eastAsia="DengXian" w:hAnsi="Times New Roman"/>
          <w:sz w:val="28"/>
          <w:szCs w:val="28"/>
          <w:lang w:val="en-US" w:eastAsia="zh-CN"/>
        </w:rPr>
        <w:t>Andriani</w:t>
      </w:r>
      <w:r>
        <w:rPr>
          <w:rFonts w:ascii="Times New Roman" w:eastAsia="DengXian" w:hAnsi="Times New Roman"/>
          <w:sz w:val="28"/>
          <w:szCs w:val="28"/>
          <w:lang w:val="kk-KZ" w:eastAsia="zh-CN"/>
        </w:rPr>
        <w:t xml:space="preserve"> </w:t>
      </w:r>
      <w:r>
        <w:rPr>
          <w:rFonts w:ascii="Times New Roman" w:eastAsia="DengXian" w:hAnsi="Times New Roman"/>
          <w:sz w:val="28"/>
          <w:szCs w:val="28"/>
          <w:lang w:val="en-US" w:eastAsia="zh-CN"/>
        </w:rPr>
        <w:t>SPA</w:t>
      </w:r>
      <w:r>
        <w:rPr>
          <w:rFonts w:ascii="Times New Roman" w:eastAsia="DengXian" w:hAnsi="Times New Roman"/>
          <w:sz w:val="28"/>
          <w:szCs w:val="28"/>
          <w:lang w:eastAsia="zh-CN"/>
        </w:rPr>
        <w:t xml:space="preserve"> </w:t>
      </w:r>
      <w:r>
        <w:rPr>
          <w:rFonts w:ascii="Times New Roman" w:eastAsia="DengXian" w:hAnsi="Times New Roman"/>
          <w:sz w:val="28"/>
          <w:szCs w:val="28"/>
          <w:lang w:val="kk-KZ" w:eastAsia="zh-CN"/>
        </w:rPr>
        <w:t>компания</w:t>
      </w:r>
      <w:r>
        <w:rPr>
          <w:rFonts w:ascii="Times New Roman" w:eastAsia="DengXian" w:hAnsi="Times New Roman"/>
          <w:sz w:val="28"/>
          <w:szCs w:val="28"/>
          <w:lang w:eastAsia="zh-CN"/>
        </w:rPr>
        <w:t xml:space="preserve"> //</w:t>
      </w:r>
      <w:r>
        <w:rPr>
          <w:rFonts w:ascii="Times New Roman" w:eastAsia="DengXian" w:hAnsi="Times New Roman"/>
          <w:sz w:val="28"/>
          <w:szCs w:val="28"/>
          <w:lang w:val="kk-KZ" w:eastAsia="zh-CN"/>
        </w:rPr>
        <w:t xml:space="preserve"> </w:t>
      </w:r>
      <w:hyperlink r:id="rId72" w:history="1">
        <w:r>
          <w:rPr>
            <w:rStyle w:val="ab"/>
            <w:rFonts w:ascii="Times New Roman" w:eastAsia="DengXian" w:hAnsi="Times New Roman"/>
            <w:color w:val="auto"/>
            <w:sz w:val="28"/>
            <w:szCs w:val="28"/>
            <w:u w:val="none"/>
            <w:lang w:val="en-US" w:eastAsia="zh-CN"/>
          </w:rPr>
          <w:t>https</w:t>
        </w:r>
        <w:r>
          <w:rPr>
            <w:rStyle w:val="ab"/>
            <w:rFonts w:ascii="Times New Roman" w:eastAsia="DengXian" w:hAnsi="Times New Roman"/>
            <w:color w:val="auto"/>
            <w:sz w:val="28"/>
            <w:szCs w:val="28"/>
            <w:u w:val="none"/>
            <w:lang w:eastAsia="zh-CN"/>
          </w:rPr>
          <w:t>://</w:t>
        </w:r>
        <w:r>
          <w:rPr>
            <w:rStyle w:val="ab"/>
            <w:rFonts w:ascii="Times New Roman" w:eastAsia="DengXian" w:hAnsi="Times New Roman"/>
            <w:color w:val="auto"/>
            <w:sz w:val="28"/>
            <w:szCs w:val="28"/>
            <w:u w:val="none"/>
            <w:lang w:val="en-US" w:eastAsia="zh-CN"/>
          </w:rPr>
          <w:t>www</w:t>
        </w:r>
        <w:r>
          <w:rPr>
            <w:rStyle w:val="ab"/>
            <w:rFonts w:ascii="Times New Roman" w:eastAsia="DengXian" w:hAnsi="Times New Roman"/>
            <w:color w:val="auto"/>
            <w:sz w:val="28"/>
            <w:szCs w:val="28"/>
            <w:u w:val="none"/>
            <w:lang w:eastAsia="zh-CN"/>
          </w:rPr>
          <w:t>.</w:t>
        </w:r>
        <w:r>
          <w:rPr>
            <w:rStyle w:val="ab"/>
            <w:rFonts w:ascii="Times New Roman" w:eastAsia="DengXian" w:hAnsi="Times New Roman"/>
            <w:color w:val="auto"/>
            <w:sz w:val="28"/>
            <w:szCs w:val="28"/>
            <w:u w:val="none"/>
            <w:lang w:val="en-US" w:eastAsia="zh-CN"/>
          </w:rPr>
          <w:t>andrianispa</w:t>
        </w:r>
        <w:r>
          <w:rPr>
            <w:rStyle w:val="ab"/>
            <w:rFonts w:ascii="Times New Roman" w:eastAsia="DengXian" w:hAnsi="Times New Roman"/>
            <w:color w:val="auto"/>
            <w:sz w:val="28"/>
            <w:szCs w:val="28"/>
            <w:u w:val="none"/>
            <w:lang w:eastAsia="zh-CN"/>
          </w:rPr>
          <w:t>.</w:t>
        </w:r>
        <w:r>
          <w:rPr>
            <w:rStyle w:val="ab"/>
            <w:rFonts w:ascii="Times New Roman" w:eastAsia="DengXian" w:hAnsi="Times New Roman"/>
            <w:color w:val="auto"/>
            <w:sz w:val="28"/>
            <w:szCs w:val="28"/>
            <w:u w:val="none"/>
            <w:lang w:val="en-US" w:eastAsia="zh-CN"/>
          </w:rPr>
          <w:t>com</w:t>
        </w:r>
        <w:r>
          <w:rPr>
            <w:rStyle w:val="ab"/>
            <w:rFonts w:ascii="Times New Roman" w:eastAsia="DengXian" w:hAnsi="Times New Roman"/>
            <w:color w:val="auto"/>
            <w:sz w:val="28"/>
            <w:szCs w:val="28"/>
            <w:u w:val="none"/>
            <w:lang w:eastAsia="zh-CN"/>
          </w:rPr>
          <w:t>/</w:t>
        </w:r>
        <w:r>
          <w:rPr>
            <w:rStyle w:val="ab"/>
            <w:rFonts w:ascii="Times New Roman" w:eastAsia="DengXian" w:hAnsi="Times New Roman"/>
            <w:color w:val="auto"/>
            <w:sz w:val="28"/>
            <w:szCs w:val="28"/>
            <w:u w:val="none"/>
            <w:lang w:val="en-US" w:eastAsia="zh-CN"/>
          </w:rPr>
          <w:t>en</w:t>
        </w:r>
        <w:r>
          <w:rPr>
            <w:rStyle w:val="ab"/>
            <w:rFonts w:ascii="Times New Roman" w:eastAsia="DengXian" w:hAnsi="Times New Roman"/>
            <w:color w:val="auto"/>
            <w:sz w:val="28"/>
            <w:szCs w:val="28"/>
            <w:u w:val="none"/>
            <w:lang w:eastAsia="zh-CN"/>
          </w:rPr>
          <w:t>/</w:t>
        </w:r>
      </w:hyperlink>
      <w:r>
        <w:rPr>
          <w:rStyle w:val="ab"/>
          <w:rFonts w:ascii="Times New Roman" w:eastAsia="DengXian" w:hAnsi="Times New Roman"/>
          <w:color w:val="auto"/>
          <w:sz w:val="28"/>
          <w:szCs w:val="28"/>
          <w:u w:val="none"/>
          <w:lang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 xml:space="preserve">68 </w:t>
      </w:r>
      <w:r>
        <w:rPr>
          <w:rFonts w:ascii="Times New Roman" w:eastAsia="DengXian" w:hAnsi="Times New Roman"/>
          <w:sz w:val="28"/>
          <w:szCs w:val="28"/>
          <w:lang w:val="en-US" w:eastAsia="zh-CN"/>
        </w:rPr>
        <w:t xml:space="preserve">The Sustainability Report of Andriani Company 2022 // </w:t>
      </w:r>
      <w:hyperlink r:id="rId73" w:history="1">
        <w:r>
          <w:rPr>
            <w:rStyle w:val="ab"/>
            <w:rFonts w:ascii="Times New Roman" w:eastAsia="DengXian" w:hAnsi="Times New Roman"/>
            <w:color w:val="auto"/>
            <w:sz w:val="28"/>
            <w:szCs w:val="28"/>
            <w:u w:val="none"/>
            <w:lang w:val="en-US" w:eastAsia="zh-CN"/>
          </w:rPr>
          <w:t>https://cop.unglobalcompact.org/2023/files/8902_.</w:t>
        </w:r>
      </w:hyperlink>
      <w:r>
        <w:rPr>
          <w:rStyle w:val="ab"/>
          <w:rFonts w:ascii="Times New Roman" w:eastAsia="DengXian" w:hAnsi="Times New Roman"/>
          <w:color w:val="auto"/>
          <w:sz w:val="28"/>
          <w:szCs w:val="28"/>
          <w:u w:val="none"/>
          <w:lang w:val="en-US" w:eastAsia="zh-CN"/>
        </w:rPr>
        <w:t xml:space="preserve">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hAnsi="Times New Roman" w:cs="Times New Roman"/>
          <w:sz w:val="28"/>
          <w:szCs w:val="28"/>
          <w:lang w:val="kk-KZ"/>
        </w:rPr>
        <w:t>69 Supporting policy with scientific evidence</w:t>
      </w:r>
      <w:r>
        <w:rPr>
          <w:rFonts w:ascii="Times New Roman" w:hAnsi="Times New Roman" w:cs="Times New Roman"/>
          <w:sz w:val="28"/>
          <w:szCs w:val="28"/>
          <w:lang w:val="en-US"/>
        </w:rPr>
        <w:t>: We mobilise people and resources to create, curate, make sense of and use knowledge to inform</w:t>
      </w:r>
      <w:r>
        <w:rPr>
          <w:rFonts w:ascii="Times New Roman" w:hAnsi="Times New Roman" w:cs="Times New Roman"/>
          <w:sz w:val="28"/>
          <w:szCs w:val="28"/>
          <w:lang w:val="en-US"/>
        </w:rPr>
        <w:t xml:space="preserve"> policymaking across Europe // https://knowledge4policy.ec.europa.eu/home_en.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hAnsi="Times New Roman" w:cs="Times New Roman"/>
          <w:sz w:val="28"/>
          <w:szCs w:val="28"/>
          <w:lang w:val="kk-KZ"/>
        </w:rPr>
        <w:t>70 91 new EU-funded projects to deliver innovative research on sustainable food, bioeconomy, natural resources, agriculture, and environment </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The EU is investing €50</w:t>
      </w:r>
      <w:r>
        <w:rPr>
          <w:rFonts w:ascii="Times New Roman" w:hAnsi="Times New Roman" w:cs="Times New Roman"/>
          <w:sz w:val="28"/>
          <w:szCs w:val="28"/>
          <w:lang w:val="kk-KZ"/>
        </w:rPr>
        <w:t>0 million in new projects that will advance the Green Deal objectives for sustainable transformation of the EU economy and society</w:t>
      </w:r>
      <w:r>
        <w:rPr>
          <w:rFonts w:ascii="Times New Roman" w:hAnsi="Times New Roman" w:cs="Times New Roman"/>
          <w:sz w:val="28"/>
          <w:szCs w:val="28"/>
          <w:lang w:val="en-US"/>
        </w:rPr>
        <w:t xml:space="preserve"> // </w:t>
      </w:r>
      <w:hyperlink r:id="rId74" w:history="1">
        <w:r>
          <w:rPr>
            <w:rStyle w:val="ab"/>
            <w:rFonts w:ascii="Times New Roman" w:eastAsia="DengXian" w:hAnsi="Times New Roman" w:cs="Times New Roman"/>
            <w:color w:val="auto"/>
            <w:sz w:val="28"/>
            <w:szCs w:val="28"/>
            <w:u w:val="none"/>
            <w:lang w:val="en-US" w:eastAsia="zh-CN"/>
          </w:rPr>
          <w:t>https://rea.ec.europa.eu/news/91-new-eu-fun</w:t>
        </w:r>
        <w:r>
          <w:rPr>
            <w:rStyle w:val="ab"/>
            <w:rFonts w:ascii="Times New Roman" w:eastAsia="DengXian" w:hAnsi="Times New Roman" w:cs="Times New Roman"/>
            <w:color w:val="auto"/>
            <w:sz w:val="28"/>
            <w:szCs w:val="28"/>
            <w:u w:val="none"/>
            <w:lang w:val="en-US" w:eastAsia="zh-CN"/>
          </w:rPr>
          <w:t>ded-projects-deliver-.</w:t>
        </w:r>
      </w:hyperlink>
      <w:r>
        <w:rPr>
          <w:rFonts w:ascii="Times New Roman" w:eastAsia="DengXian" w:hAnsi="Times New Roman" w:cs="Times New Roman"/>
          <w:sz w:val="28"/>
          <w:szCs w:val="28"/>
          <w:lang w:val="en-US" w:eastAsia="zh-CN"/>
        </w:rPr>
        <w:t xml:space="preserve">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Times New Roman" w:hAnsi="Times New Roman" w:cs="Times New Roman"/>
          <w:sz w:val="28"/>
          <w:szCs w:val="28"/>
          <w:lang w:val="kk-KZ"/>
        </w:rPr>
        <w:t>71 CORDIS - EU research results</w:t>
      </w:r>
      <w:r>
        <w:rPr>
          <w:rFonts w:ascii="Times New Roman" w:eastAsia="Times New Roman" w:hAnsi="Times New Roman" w:cs="Times New Roman"/>
          <w:sz w:val="28"/>
          <w:szCs w:val="28"/>
          <w:lang w:val="en-US"/>
        </w:rPr>
        <w:t xml:space="preserve"> // </w:t>
      </w:r>
      <w:hyperlink r:id="rId75" w:history="1">
        <w:r>
          <w:rPr>
            <w:rStyle w:val="ab"/>
            <w:rFonts w:ascii="Times New Roman" w:eastAsia="Times New Roman" w:hAnsi="Times New Roman" w:cs="Times New Roman"/>
            <w:color w:val="auto"/>
            <w:sz w:val="28"/>
            <w:szCs w:val="28"/>
            <w:u w:val="none"/>
            <w:lang w:val="kk-KZ"/>
          </w:rPr>
          <w:t>https://cordis.europa.eu</w:t>
        </w:r>
      </w:hyperlink>
      <w:r>
        <w:rPr>
          <w:rFonts w:ascii="Times New Roman" w:eastAsia="Times New Roman" w:hAnsi="Times New Roman" w:cs="Times New Roman"/>
          <w:sz w:val="28"/>
          <w:szCs w:val="28"/>
          <w:lang w:val="en-US"/>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72 </w:t>
      </w:r>
      <w:r>
        <w:rPr>
          <w:rFonts w:ascii="Times New Roman" w:eastAsia="DengXian" w:hAnsi="Times New Roman" w:cs="Times New Roman"/>
          <w:sz w:val="28"/>
          <w:szCs w:val="28"/>
          <w:lang w:val="en-US" w:eastAsia="zh-CN"/>
        </w:rPr>
        <w:t xml:space="preserve">Arora A., Belenzon S., Patacconi A. et al. The Changing Structure of American Innovation: Some Cautionary Remarks for Economic Growth // </w:t>
      </w:r>
      <w:hyperlink r:id="rId76" w:history="1">
        <w:r>
          <w:rPr>
            <w:rStyle w:val="ab"/>
            <w:rFonts w:ascii="Times New Roman" w:eastAsia="DengXian" w:hAnsi="Times New Roman" w:cs="Times New Roman"/>
            <w:color w:val="auto"/>
            <w:sz w:val="28"/>
            <w:szCs w:val="28"/>
            <w:u w:val="none"/>
            <w:lang w:val="en-US" w:eastAsia="zh-CN"/>
          </w:rPr>
          <w:t>https://papers.ssrn.com/sol3/papers.cfm?abstra</w:t>
        </w:r>
        <w:r>
          <w:rPr>
            <w:rStyle w:val="ab"/>
            <w:rFonts w:ascii="Times New Roman" w:eastAsia="DengXian" w:hAnsi="Times New Roman" w:cs="Times New Roman"/>
            <w:color w:val="auto"/>
            <w:sz w:val="28"/>
            <w:szCs w:val="28"/>
            <w:u w:val="none"/>
            <w:lang w:val="en-US" w:eastAsia="zh-CN"/>
          </w:rPr>
          <w:t>ct_id=3398063</w:t>
        </w:r>
      </w:hyperlink>
      <w:r>
        <w:rPr>
          <w:rFonts w:ascii="Times New Roman" w:eastAsia="DengXian" w:hAnsi="Times New Roman" w:cs="Times New Roman"/>
          <w:sz w:val="28"/>
          <w:szCs w:val="28"/>
          <w:lang w:val="en-US"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hAnsi="Times New Roman" w:cs="Times New Roman"/>
          <w:sz w:val="28"/>
          <w:szCs w:val="28"/>
          <w:lang w:val="kk-KZ"/>
        </w:rPr>
        <w:t>73 How Chobani Incubator supports natural entrepreneurs</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The Greek yogurt giant's incubator has a strong focus on founders from diverse backgrounds</w:t>
      </w:r>
      <w:r>
        <w:rPr>
          <w:rFonts w:ascii="Times New Roman" w:hAnsi="Times New Roman" w:cs="Times New Roman"/>
          <w:sz w:val="28"/>
          <w:szCs w:val="28"/>
          <w:lang w:val="en-US"/>
        </w:rPr>
        <w:t xml:space="preserve"> // </w:t>
      </w:r>
      <w:hyperlink r:id="rId77" w:history="1">
        <w:r>
          <w:rPr>
            <w:rStyle w:val="ab"/>
            <w:rFonts w:ascii="Times New Roman" w:eastAsia="DengXian" w:hAnsi="Times New Roman" w:cs="Times New Roman"/>
            <w:color w:val="auto"/>
            <w:sz w:val="28"/>
            <w:szCs w:val="28"/>
            <w:u w:val="none"/>
            <w:lang w:val="en-US" w:eastAsia="zh-CN"/>
          </w:rPr>
          <w:t>https://www.newhope.com/investors-service-providers/how-chobani.</w:t>
        </w:r>
      </w:hyperlink>
      <w:r>
        <w:rPr>
          <w:rStyle w:val="ab"/>
          <w:rFonts w:ascii="Times New Roman" w:eastAsia="DengXian" w:hAnsi="Times New Roman" w:cs="Times New Roman"/>
          <w:color w:val="auto"/>
          <w:sz w:val="28"/>
          <w:szCs w:val="28"/>
          <w:u w:val="none"/>
          <w:lang w:val="en-US" w:eastAsia="zh-CN"/>
        </w:rPr>
        <w:t xml:space="preserve"> 10.02.2026.</w:t>
      </w:r>
    </w:p>
    <w:p w:rsidR="005118AF" w:rsidRDefault="00EF60C3">
      <w:pPr>
        <w:pStyle w:val="2"/>
        <w:spacing w:beforeAutospacing="0" w:afterAutospacing="0"/>
        <w:ind w:firstLine="709"/>
        <w:jc w:val="both"/>
        <w:rPr>
          <w:rFonts w:ascii="Times New Roman" w:eastAsia="DengXian" w:hAnsi="Times New Roman" w:hint="default"/>
          <w:b w:val="0"/>
          <w:sz w:val="28"/>
          <w:szCs w:val="28"/>
        </w:rPr>
      </w:pPr>
      <w:r>
        <w:rPr>
          <w:rFonts w:ascii="Times New Roman" w:hAnsi="Times New Roman" w:hint="default"/>
          <w:b w:val="0"/>
          <w:sz w:val="28"/>
          <w:szCs w:val="28"/>
          <w:lang w:val="kk-KZ"/>
        </w:rPr>
        <w:t xml:space="preserve">74 </w:t>
      </w:r>
      <w:r>
        <w:rPr>
          <w:rFonts w:ascii="Times New Roman" w:hAnsi="Times New Roman"/>
          <w:b w:val="0"/>
          <w:sz w:val="28"/>
          <w:szCs w:val="28"/>
          <w:lang w:val="kk-KZ"/>
        </w:rPr>
        <w:t>Watson E</w:t>
      </w:r>
      <w:r>
        <w:rPr>
          <w:rFonts w:ascii="Times New Roman" w:hAnsi="Times New Roman" w:hint="default"/>
          <w:b w:val="0"/>
          <w:sz w:val="28"/>
          <w:szCs w:val="28"/>
        </w:rPr>
        <w:t>.</w:t>
      </w:r>
      <w:r>
        <w:rPr>
          <w:rFonts w:ascii="Times New Roman" w:hAnsi="Times New Roman" w:hint="default"/>
          <w:b w:val="0"/>
          <w:sz w:val="28"/>
          <w:szCs w:val="28"/>
          <w:lang w:val="kk-KZ"/>
        </w:rPr>
        <w:t xml:space="preserve"> </w:t>
      </w:r>
      <w:hyperlink r:id="rId78" w:tgtFrame="_blank" w:history="1">
        <w:r>
          <w:rPr>
            <w:rStyle w:val="ab"/>
            <w:rFonts w:ascii="Times New Roman" w:hAnsi="Times New Roman" w:hint="default"/>
            <w:b w:val="0"/>
            <w:color w:val="auto"/>
            <w:sz w:val="28"/>
            <w:szCs w:val="28"/>
            <w:u w:val="none"/>
          </w:rPr>
          <w:t>Chobani CEO unveils 2016-17 incubator class: ‘I don’t think there’s ever been a better time to be a food start up’ //</w:t>
        </w:r>
      </w:hyperlink>
      <w:r>
        <w:rPr>
          <w:rFonts w:ascii="Times New Roman" w:hAnsi="Times New Roman" w:hint="default"/>
          <w:b w:val="0"/>
          <w:sz w:val="28"/>
          <w:szCs w:val="28"/>
        </w:rPr>
        <w:t xml:space="preserve"> </w:t>
      </w:r>
      <w:hyperlink r:id="rId79" w:history="1">
        <w:r>
          <w:rPr>
            <w:rStyle w:val="ab"/>
            <w:rFonts w:ascii="Times New Roman" w:eastAsia="DengXian" w:hAnsi="Times New Roman"/>
            <w:b w:val="0"/>
            <w:color w:val="auto"/>
            <w:sz w:val="28"/>
            <w:szCs w:val="28"/>
            <w:u w:val="none"/>
          </w:rPr>
          <w:t>https://www.dairyreporter.com/</w:t>
        </w:r>
      </w:hyperlink>
      <w:r>
        <w:rPr>
          <w:rFonts w:ascii="Times New Roman" w:eastAsia="DengXian" w:hAnsi="Times New Roman" w:hint="default"/>
          <w:b w:val="0"/>
          <w:sz w:val="28"/>
          <w:szCs w:val="28"/>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hAnsi="Times New Roman" w:cs="Times New Roman"/>
          <w:sz w:val="28"/>
          <w:szCs w:val="28"/>
          <w:lang w:val="en-US"/>
        </w:rPr>
        <w:t xml:space="preserve">75 Shup M.E. </w:t>
      </w:r>
      <w:r>
        <w:rPr>
          <w:rFonts w:ascii="Times New Roman" w:hAnsi="Times New Roman" w:cs="Times New Roman"/>
          <w:sz w:val="28"/>
          <w:szCs w:val="28"/>
          <w:lang w:val="kk-KZ"/>
        </w:rPr>
        <w:t>Chobani</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reveals</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its</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largest</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incubator</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class </w:t>
      </w:r>
      <w:r>
        <w:rPr>
          <w:rFonts w:ascii="Times New Roman" w:hAnsi="Times New Roman" w:cs="Times New Roman"/>
          <w:sz w:val="28"/>
          <w:szCs w:val="28"/>
          <w:lang w:val="en-US"/>
        </w:rPr>
        <w:t xml:space="preserve">// </w:t>
      </w:r>
      <w:hyperlink r:id="rId80" w:history="1">
        <w:r>
          <w:rPr>
            <w:rStyle w:val="ab"/>
            <w:rFonts w:ascii="Times New Roman" w:eastAsia="DengXian" w:hAnsi="Times New Roman" w:cs="Times New Roman"/>
            <w:color w:val="auto"/>
            <w:sz w:val="28"/>
            <w:szCs w:val="28"/>
            <w:u w:val="none"/>
            <w:lang w:val="en-US"/>
          </w:rPr>
          <w:t xml:space="preserve">https://www.dairyreporter.com/Article/2018/03/12/Chobani-reveals-its. 10.02.2026. </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rPr>
      </w:pPr>
      <w:r>
        <w:rPr>
          <w:rFonts w:ascii="Times New Roman" w:hAnsi="Times New Roman" w:cs="Times New Roman"/>
          <w:sz w:val="28"/>
          <w:szCs w:val="28"/>
          <w:lang w:val="kk-KZ"/>
        </w:rPr>
        <w:t xml:space="preserve">76 </w:t>
      </w:r>
      <w:hyperlink r:id="rId81" w:history="1">
        <w:r>
          <w:rPr>
            <w:rFonts w:ascii="Times New Roman" w:eastAsia="DengXian" w:hAnsi="Times New Roman" w:cs="Times New Roman"/>
            <w:sz w:val="28"/>
            <w:szCs w:val="28"/>
            <w:lang w:val="en-US" w:eastAsia="zh-CN"/>
          </w:rPr>
          <w:t>Anoop G.M</w:t>
        </w:r>
      </w:hyperlink>
      <w:r>
        <w:rPr>
          <w:rFonts w:ascii="Times New Roman" w:eastAsia="DengXian" w:hAnsi="Times New Roman" w:cs="Times New Roman"/>
          <w:sz w:val="28"/>
          <w:szCs w:val="28"/>
          <w:lang w:val="en-US" w:eastAsia="zh-CN"/>
        </w:rPr>
        <w:t xml:space="preserve">. A Brief Overview on Toyota Production System (TPS) // </w:t>
      </w:r>
      <w:hyperlink r:id="rId82" w:history="1">
        <w:r>
          <w:rPr>
            <w:rFonts w:ascii="Times New Roman" w:eastAsia="DengXian" w:hAnsi="Times New Roman" w:cs="Times New Roman"/>
            <w:sz w:val="28"/>
            <w:szCs w:val="28"/>
            <w:lang w:val="en-US" w:eastAsia="zh-CN"/>
          </w:rPr>
          <w:t>International Journal for Research in Applied Science and Engineering Technology</w:t>
        </w:r>
      </w:hyperlink>
      <w:r>
        <w:rPr>
          <w:rFonts w:ascii="Times New Roman" w:eastAsia="DengXian" w:hAnsi="Times New Roman" w:cs="Times New Roman"/>
          <w:sz w:val="28"/>
          <w:szCs w:val="28"/>
          <w:lang w:val="en-US" w:eastAsia="zh-CN"/>
        </w:rPr>
        <w:t xml:space="preserve">. – 2020. – Vol. 8, Issue 5. – P. 2505-2509.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77 </w:t>
      </w:r>
      <w:r>
        <w:rPr>
          <w:rFonts w:ascii="Times New Roman" w:eastAsia="DengXian" w:hAnsi="Times New Roman" w:cs="Times New Roman"/>
          <w:sz w:val="28"/>
          <w:szCs w:val="28"/>
          <w:lang w:val="en-US" w:eastAsia="zh-CN"/>
        </w:rPr>
        <w:t xml:space="preserve">White Paper on Science, Technology, and Innovation 2024 // </w:t>
      </w:r>
      <w:hyperlink r:id="rId83" w:history="1">
        <w:r>
          <w:rPr>
            <w:rStyle w:val="ab"/>
            <w:rFonts w:ascii="Times New Roman" w:eastAsia="DengXian" w:hAnsi="Times New Roman" w:cs="Times New Roman"/>
            <w:color w:val="auto"/>
            <w:sz w:val="28"/>
            <w:szCs w:val="28"/>
            <w:u w:val="none"/>
            <w:lang w:val="en-US" w:eastAsia="zh-CN"/>
          </w:rPr>
          <w:t>https://www.mext.go.jp/en/publication/whitepaper/title03/detail03/mext</w:t>
        </w:r>
      </w:hyperlink>
      <w:r>
        <w:rPr>
          <w:rStyle w:val="ab"/>
          <w:rFonts w:ascii="Times New Roman" w:eastAsia="DengXian" w:hAnsi="Times New Roman" w:cs="Times New Roman"/>
          <w:color w:val="auto"/>
          <w:sz w:val="28"/>
          <w:szCs w:val="28"/>
          <w:u w:val="none"/>
          <w:lang w:val="en-US"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78 </w:t>
      </w:r>
      <w:r>
        <w:rPr>
          <w:rFonts w:ascii="Times New Roman" w:eastAsia="DengXian" w:hAnsi="Times New Roman" w:cs="Times New Roman"/>
          <w:sz w:val="28"/>
          <w:szCs w:val="28"/>
          <w:lang w:val="en-US" w:eastAsia="zh-CN"/>
        </w:rPr>
        <w:t xml:space="preserve">Nature to Nature: CJ CheilJedang Sustainability Report 2022 // </w:t>
      </w:r>
      <w:hyperlink r:id="rId84" w:history="1">
        <w:r>
          <w:rPr>
            <w:rStyle w:val="ab"/>
            <w:rFonts w:ascii="Times New Roman" w:eastAsia="DengXian" w:hAnsi="Times New Roman" w:cs="Times New Roman"/>
            <w:color w:val="auto"/>
            <w:sz w:val="28"/>
            <w:szCs w:val="28"/>
            <w:u w:val="none"/>
            <w:lang w:val="en-US" w:eastAsia="zh-CN"/>
          </w:rPr>
          <w:t>https://www.cj.co.kr/cj_files/2022%20Sustainability%20Report.pdf</w:t>
        </w:r>
      </w:hyperlink>
      <w:r>
        <w:rPr>
          <w:rStyle w:val="ab"/>
          <w:rFonts w:ascii="Times New Roman" w:eastAsia="DengXian" w:hAnsi="Times New Roman" w:cs="Times New Roman"/>
          <w:color w:val="auto"/>
          <w:sz w:val="28"/>
          <w:szCs w:val="28"/>
          <w:u w:val="none"/>
          <w:lang w:val="en-US"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79 OECD Reviews of Innovation Policy: Korea 2023 / OECD. – Paris</w:t>
      </w:r>
      <w:r>
        <w:rPr>
          <w:rFonts w:ascii="Times New Roman" w:eastAsia="SimSun" w:hAnsi="Times New Roman" w:cs="Times New Roman"/>
          <w:sz w:val="28"/>
          <w:szCs w:val="28"/>
          <w:lang w:val="en-US"/>
        </w:rPr>
        <w:t>, 2023. – 308 p.</w:t>
      </w:r>
      <w:r>
        <w:rPr>
          <w:rFonts w:ascii="Times New Roman" w:eastAsia="DengXian" w:hAnsi="Times New Roman" w:cs="Times New Roman"/>
          <w:sz w:val="28"/>
          <w:szCs w:val="28"/>
          <w:lang w:val="en-US" w:eastAsia="zh-CN"/>
        </w:rPr>
        <w:t xml:space="preserve">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80 </w:t>
      </w:r>
      <w:r>
        <w:rPr>
          <w:rFonts w:ascii="Times New Roman" w:eastAsia="DengXian" w:hAnsi="Times New Roman" w:cs="Times New Roman"/>
          <w:sz w:val="28"/>
          <w:szCs w:val="28"/>
          <w:lang w:val="en-US" w:eastAsia="zh-CN"/>
        </w:rPr>
        <w:t xml:space="preserve">Pulmuone Integrated Report 2020 // </w:t>
      </w:r>
      <w:hyperlink r:id="rId85" w:history="1">
        <w:r>
          <w:rPr>
            <w:rStyle w:val="ab"/>
            <w:rFonts w:ascii="Times New Roman" w:eastAsia="DengXian" w:hAnsi="Times New Roman" w:cs="Times New Roman"/>
            <w:color w:val="auto"/>
            <w:sz w:val="28"/>
            <w:szCs w:val="28"/>
            <w:u w:val="none"/>
            <w:lang w:val="en-US" w:eastAsia="zh-CN"/>
          </w:rPr>
          <w:t>https://www.pulmuone.co.</w:t>
        </w:r>
      </w:hyperlink>
      <w:r>
        <w:rPr>
          <w:rStyle w:val="ab"/>
          <w:rFonts w:ascii="Times New Roman" w:eastAsia="DengXian" w:hAnsi="Times New Roman" w:cs="Times New Roman"/>
          <w:color w:val="auto"/>
          <w:sz w:val="28"/>
          <w:szCs w:val="28"/>
          <w:u w:val="none"/>
          <w:lang w:val="en-US" w:eastAsia="zh-CN"/>
        </w:rPr>
        <w:t xml:space="preserve"> 10.08.2024.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81 </w:t>
      </w:r>
      <w:r>
        <w:rPr>
          <w:rFonts w:ascii="Times New Roman" w:eastAsia="DengXian" w:hAnsi="Times New Roman" w:cs="Times New Roman"/>
          <w:sz w:val="28"/>
          <w:szCs w:val="28"/>
          <w:lang w:val="en-US" w:eastAsia="zh-CN"/>
        </w:rPr>
        <w:t xml:space="preserve">Tian D., Guo X., Wang P. Innovation Vouchers and the Sustainable Growth of High-Tech SMEs: Evidence from China // Sustainability. – 2021. – Vol. 13. – P. 11176. </w:t>
      </w:r>
    </w:p>
    <w:p w:rsidR="005118AF" w:rsidRDefault="00EF60C3">
      <w:pPr>
        <w:tabs>
          <w:tab w:val="left" w:pos="880"/>
          <w:tab w:val="left" w:pos="1276"/>
        </w:tabs>
        <w:spacing w:after="0" w:line="240" w:lineRule="auto"/>
        <w:ind w:firstLine="709"/>
        <w:jc w:val="both"/>
        <w:rPr>
          <w:rFonts w:ascii="Arial" w:eastAsia="Arial" w:hAnsi="Arial" w:cs="Arial"/>
          <w:sz w:val="16"/>
          <w:szCs w:val="16"/>
          <w:lang w:val="en-US"/>
        </w:rPr>
      </w:pPr>
      <w:r>
        <w:rPr>
          <w:rFonts w:ascii="Times New Roman" w:eastAsia="DengXian" w:hAnsi="Times New Roman" w:cs="Times New Roman"/>
          <w:sz w:val="28"/>
          <w:szCs w:val="28"/>
          <w:lang w:val="kk-KZ" w:eastAsia="zh-CN"/>
        </w:rPr>
        <w:t xml:space="preserve">82 </w:t>
      </w:r>
      <w:r>
        <w:rPr>
          <w:rFonts w:ascii="Times New Roman" w:eastAsia="DengXian" w:hAnsi="Times New Roman" w:cs="Times New Roman"/>
          <w:sz w:val="28"/>
          <w:szCs w:val="28"/>
          <w:lang w:val="en-US" w:eastAsia="zh-CN"/>
        </w:rPr>
        <w:t xml:space="preserve">Zhang Y., Lu S. Food politics in China: How strengthened accountability enhances food security // </w:t>
      </w:r>
      <w:hyperlink r:id="rId86" w:tooltip="Go to Food Policy on ScienceDirect" w:history="1">
        <w:r>
          <w:rPr>
            <w:rFonts w:ascii="Times New Roman" w:eastAsia="DengXian" w:hAnsi="Times New Roman" w:cs="Times New Roman"/>
            <w:sz w:val="28"/>
            <w:szCs w:val="28"/>
            <w:lang w:val="en-US" w:eastAsia="zh-CN"/>
          </w:rPr>
          <w:t>Food Policy</w:t>
        </w:r>
      </w:hyperlink>
      <w:r>
        <w:rPr>
          <w:rFonts w:ascii="Times New Roman" w:eastAsia="DengXian" w:hAnsi="Times New Roman" w:cs="Times New Roman"/>
          <w:sz w:val="28"/>
          <w:szCs w:val="28"/>
          <w:lang w:val="en-US" w:eastAsia="zh-CN"/>
        </w:rPr>
        <w:t xml:space="preserve">. – 2024. – </w:t>
      </w:r>
      <w:hyperlink r:id="rId87" w:tooltip="Go to table of contents for this volume/issue" w:history="1">
        <w:r>
          <w:rPr>
            <w:rFonts w:ascii="Times New Roman" w:eastAsia="DengXian" w:hAnsi="Times New Roman" w:cs="Times New Roman"/>
            <w:sz w:val="28"/>
            <w:szCs w:val="28"/>
            <w:lang w:val="en-US" w:eastAsia="zh-CN"/>
          </w:rPr>
          <w:t>Vol. 128</w:t>
        </w:r>
      </w:hyperlink>
      <w:r>
        <w:rPr>
          <w:rFonts w:ascii="Times New Roman" w:eastAsia="DengXian" w:hAnsi="Times New Roman" w:cs="Times New Roman"/>
          <w:sz w:val="28"/>
          <w:szCs w:val="28"/>
          <w:lang w:val="en-US" w:eastAsia="zh-CN"/>
        </w:rPr>
        <w:t>. – P. 102692.</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rPr>
      </w:pPr>
      <w:r>
        <w:rPr>
          <w:rFonts w:ascii="Times New Roman" w:eastAsia="DengXian" w:hAnsi="Times New Roman" w:cs="Times New Roman"/>
          <w:sz w:val="28"/>
          <w:szCs w:val="28"/>
          <w:lang w:val="kk-KZ" w:eastAsia="zh-CN"/>
        </w:rPr>
        <w:t xml:space="preserve">83 </w:t>
      </w:r>
      <w:r>
        <w:rPr>
          <w:rFonts w:ascii="Times New Roman" w:eastAsia="DengXian" w:hAnsi="Times New Roman" w:cs="Times New Roman"/>
          <w:sz w:val="28"/>
          <w:szCs w:val="28"/>
          <w:lang w:val="en-US" w:eastAsia="zh-CN"/>
        </w:rPr>
        <w:t xml:space="preserve">Du M., Lei J., Li S. Navigating the Path to Food Securityin China: Challenges, Policies, andFuture Directions // Foods. – 2025. – Vol. 14. – P. 644.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hAnsi="Times New Roman" w:cs="Times New Roman"/>
          <w:sz w:val="28"/>
          <w:szCs w:val="28"/>
          <w:lang w:val="kk-KZ"/>
        </w:rPr>
        <w:t>84 China’s Starfield Raises Largest Ever Plant-Based Protein Round With $100M Series B</w:t>
      </w:r>
      <w:r>
        <w:rPr>
          <w:rFonts w:ascii="Times New Roman" w:hAnsi="Times New Roman" w:cs="Times New Roman"/>
          <w:sz w:val="28"/>
          <w:szCs w:val="28"/>
          <w:lang w:val="en-US"/>
        </w:rPr>
        <w:t xml:space="preserve"> // </w:t>
      </w:r>
      <w:hyperlink r:id="rId88" w:history="1">
        <w:r>
          <w:rPr>
            <w:rStyle w:val="ab"/>
            <w:rFonts w:ascii="Times New Roman" w:eastAsia="DengXian" w:hAnsi="Times New Roman" w:cs="Times New Roman"/>
            <w:color w:val="auto"/>
            <w:sz w:val="28"/>
            <w:szCs w:val="28"/>
            <w:u w:val="none"/>
            <w:lang w:val="en-US" w:eastAsia="zh-CN"/>
          </w:rPr>
          <w:t>https://globalaginvesting.com/chinas-starfield-raises.</w:t>
        </w:r>
      </w:hyperlink>
      <w:r>
        <w:rPr>
          <w:rStyle w:val="ab"/>
          <w:rFonts w:ascii="Times New Roman" w:eastAsia="DengXian" w:hAnsi="Times New Roman" w:cs="Times New Roman"/>
          <w:color w:val="auto"/>
          <w:sz w:val="28"/>
          <w:szCs w:val="28"/>
          <w:u w:val="none"/>
          <w:lang w:val="en-US" w:eastAsia="zh-CN"/>
        </w:rPr>
        <w:t xml:space="preserve">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85 </w:t>
      </w:r>
      <w:r>
        <w:rPr>
          <w:rFonts w:ascii="Times New Roman" w:eastAsia="DengXian" w:hAnsi="Times New Roman" w:cs="Times New Roman"/>
          <w:sz w:val="28"/>
          <w:szCs w:val="28"/>
          <w:lang w:val="en-US" w:eastAsia="zh-CN"/>
        </w:rPr>
        <w:t xml:space="preserve">Find, Explore and Reuse Australia’s Public Data / Australian Government // </w:t>
      </w:r>
      <w:hyperlink r:id="rId89" w:tgtFrame="https://www.mdpi.com/2673-4060/3/1/_blank" w:history="1">
        <w:r>
          <w:rPr>
            <w:rFonts w:ascii="Times New Roman" w:eastAsia="DengXian" w:hAnsi="Times New Roman" w:cs="Times New Roman"/>
            <w:sz w:val="28"/>
            <w:szCs w:val="28"/>
            <w:lang w:val="en-US" w:eastAsia="zh-CN"/>
          </w:rPr>
          <w:t>https://data.gov.au</w:t>
        </w:r>
      </w:hyperlink>
      <w:r>
        <w:rPr>
          <w:rFonts w:ascii="Times New Roman" w:eastAsia="DengXian" w:hAnsi="Times New Roman" w:cs="Times New Roman"/>
          <w:sz w:val="28"/>
          <w:szCs w:val="28"/>
          <w:lang w:val="en-US" w:eastAsia="zh-CN"/>
        </w:rPr>
        <w:t>. 01.08.2021.</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86 </w:t>
      </w:r>
      <w:r>
        <w:rPr>
          <w:rFonts w:ascii="Times New Roman" w:eastAsia="DengXian" w:hAnsi="Times New Roman" w:cs="Times New Roman"/>
          <w:sz w:val="28"/>
          <w:szCs w:val="28"/>
          <w:lang w:val="en-US" w:eastAsia="zh-CN"/>
        </w:rPr>
        <w:t xml:space="preserve">Australia. Food Regulation System / Department of Health // </w:t>
      </w:r>
      <w:hyperlink r:id="rId90" w:history="1">
        <w:r>
          <w:rPr>
            <w:rStyle w:val="ab"/>
            <w:rFonts w:ascii="Times New Roman" w:eastAsia="DengXian" w:hAnsi="Times New Roman" w:cs="Times New Roman"/>
            <w:color w:val="auto"/>
            <w:sz w:val="28"/>
            <w:szCs w:val="28"/>
            <w:u w:val="none"/>
            <w:lang w:val="en-US" w:eastAsia="zh-CN"/>
          </w:rPr>
          <w:t>https://www1.health.go</w:t>
        </w:r>
        <w:r>
          <w:rPr>
            <w:rStyle w:val="ab"/>
            <w:rFonts w:ascii="Times New Roman" w:eastAsia="DengXian" w:hAnsi="Times New Roman" w:cs="Times New Roman"/>
            <w:color w:val="auto"/>
            <w:sz w:val="28"/>
            <w:szCs w:val="28"/>
            <w:u w:val="none"/>
            <w:lang w:val="en-US" w:eastAsia="zh-CN"/>
          </w:rPr>
          <w:t>v.au/internet/publications/publishing.nsf. 01.08.2021.</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87 </w:t>
      </w:r>
      <w:r>
        <w:rPr>
          <w:rFonts w:ascii="Times New Roman" w:eastAsia="DengXian" w:hAnsi="Times New Roman" w:cs="Times New Roman"/>
          <w:sz w:val="28"/>
          <w:szCs w:val="28"/>
          <w:lang w:val="en-US" w:eastAsia="zh-CN"/>
        </w:rPr>
        <w:t xml:space="preserve">Canadian Environmental Protection Act Registry / Environment and Climate Change Canada. 2007 // </w:t>
      </w:r>
      <w:hyperlink r:id="rId91" w:history="1">
        <w:r>
          <w:rPr>
            <w:rStyle w:val="ab"/>
            <w:rFonts w:ascii="Times New Roman" w:eastAsia="DengXian" w:hAnsi="Times New Roman" w:cs="Times New Roman"/>
            <w:color w:val="auto"/>
            <w:sz w:val="28"/>
            <w:szCs w:val="28"/>
            <w:u w:val="none"/>
            <w:lang w:val="en-US" w:eastAsia="zh-CN"/>
          </w:rPr>
          <w:t>https://www.canada.ca/en/environment.</w:t>
        </w:r>
      </w:hyperlink>
      <w:r>
        <w:rPr>
          <w:rFonts w:ascii="Times New Roman" w:eastAsia="DengXian" w:hAnsi="Times New Roman" w:cs="Times New Roman"/>
          <w:sz w:val="28"/>
          <w:szCs w:val="28"/>
          <w:lang w:val="en-US" w:eastAsia="zh-CN"/>
        </w:rPr>
        <w:t xml:space="preserve"> 01.08.2</w:t>
      </w:r>
      <w:r>
        <w:rPr>
          <w:rFonts w:ascii="Times New Roman" w:eastAsia="DengXian" w:hAnsi="Times New Roman" w:cs="Times New Roman"/>
          <w:sz w:val="28"/>
          <w:szCs w:val="28"/>
          <w:lang w:val="en-US" w:eastAsia="zh-CN"/>
        </w:rPr>
        <w:t>021.</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88 </w:t>
      </w:r>
      <w:r>
        <w:rPr>
          <w:rFonts w:ascii="Times New Roman" w:eastAsia="DengXian" w:hAnsi="Times New Roman" w:cs="Times New Roman"/>
          <w:sz w:val="28"/>
          <w:szCs w:val="28"/>
          <w:lang w:val="en-US" w:eastAsia="zh-CN"/>
        </w:rPr>
        <w:t>Vanderlee L. et al. Policies to Create Healthier Food Environments in Canada: Experts’ Evaluation and Prioritized Actions Using the Healthy Food Environment Policy Index (Food-EPI) // Environ. Res. Public Health. – 2019. – Vol. 16. – P. 4473.</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89 </w:t>
      </w:r>
      <w:r>
        <w:rPr>
          <w:rFonts w:ascii="Times New Roman" w:eastAsia="DengXian" w:hAnsi="Times New Roman" w:cs="Times New Roman"/>
          <w:sz w:val="28"/>
          <w:szCs w:val="28"/>
          <w:lang w:val="en-US" w:eastAsia="zh-CN"/>
        </w:rPr>
        <w:t>Ch</w:t>
      </w:r>
      <w:r>
        <w:rPr>
          <w:rFonts w:ascii="Times New Roman" w:eastAsia="DengXian" w:hAnsi="Times New Roman" w:cs="Times New Roman"/>
          <w:sz w:val="28"/>
          <w:szCs w:val="28"/>
          <w:lang w:val="en-US" w:eastAsia="zh-CN"/>
        </w:rPr>
        <w:t xml:space="preserve">arlebois S., Hill A., Vezeau J. et al. Assessing a Nation’s Competitiveness in Global Food Innovation: Creating a Global Food Innovation Index // World. – 2022. – Vol. 3. – P. 27-66.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90 Oslo Manual 2018: Guidelines for Collecting, Reporting and Using Data</w:t>
      </w:r>
      <w:r>
        <w:rPr>
          <w:rFonts w:ascii="Times New Roman" w:eastAsia="DengXian" w:hAnsi="Times New Roman" w:cs="Times New Roman"/>
          <w:sz w:val="28"/>
          <w:szCs w:val="28"/>
          <w:lang w:val="en-US" w:eastAsia="zh-CN"/>
        </w:rPr>
        <w:t xml:space="preserve"> on Innovation / OECD. – Ed. 4th. – Paris, 2018. – 258 p.</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91 </w:t>
      </w:r>
      <w:r>
        <w:rPr>
          <w:rFonts w:ascii="Times New Roman" w:eastAsia="DengXian" w:hAnsi="Times New Roman" w:cs="Times New Roman"/>
          <w:sz w:val="28"/>
          <w:szCs w:val="28"/>
          <w:lang w:val="en-US" w:eastAsia="zh-CN"/>
        </w:rPr>
        <w:t xml:space="preserve">Global Innovation Index 2023 / World Intellectual Property Organization. – Geneva, 2023. – 250 p.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92 </w:t>
      </w:r>
      <w:r>
        <w:rPr>
          <w:rFonts w:ascii="Times New Roman" w:eastAsia="DengXian" w:hAnsi="Times New Roman" w:cs="Times New Roman"/>
          <w:sz w:val="28"/>
          <w:szCs w:val="28"/>
          <w:lang w:val="en-US" w:eastAsia="zh-CN"/>
        </w:rPr>
        <w:t>Pinar M. Sensitivity of environmental performance index based on stochastic dominance // Jour</w:t>
      </w:r>
      <w:r>
        <w:rPr>
          <w:rFonts w:ascii="Times New Roman" w:eastAsia="DengXian" w:hAnsi="Times New Roman" w:cs="Times New Roman"/>
          <w:sz w:val="28"/>
          <w:szCs w:val="28"/>
          <w:lang w:val="en-US" w:eastAsia="zh-CN"/>
        </w:rPr>
        <w:t xml:space="preserve">nal of Environmental Management. – 2022. – Vol. 310. – P. 114767.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 xml:space="preserve">93 </w:t>
      </w:r>
      <w:r>
        <w:rPr>
          <w:rFonts w:ascii="Times New Roman" w:eastAsia="DengXian" w:hAnsi="Times New Roman"/>
          <w:sz w:val="28"/>
          <w:szCs w:val="28"/>
          <w:lang w:val="en-US" w:eastAsia="zh-CN"/>
        </w:rPr>
        <w:t xml:space="preserve">Welch S., Mann R. The development of a benchmarking and performance improvement resource // Benchmarking: An International Journal. – 2001. – Vol. 8. – P. 431-452.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94 </w:t>
      </w:r>
      <w:r>
        <w:rPr>
          <w:rFonts w:ascii="Times New Roman" w:eastAsia="DengXian" w:hAnsi="Times New Roman" w:cs="Times New Roman"/>
          <w:sz w:val="28"/>
          <w:szCs w:val="28"/>
          <w:lang w:val="en-US" w:eastAsia="zh-CN"/>
        </w:rPr>
        <w:t xml:space="preserve">Rauter R., </w:t>
      </w:r>
      <w:r>
        <w:rPr>
          <w:rFonts w:ascii="Times New Roman" w:eastAsia="DengXian" w:hAnsi="Times New Roman" w:cs="Times New Roman"/>
          <w:sz w:val="28"/>
          <w:szCs w:val="28"/>
          <w:lang w:val="en-US" w:eastAsia="zh-CN"/>
        </w:rPr>
        <w:t>Globocnik D., Perl-Vorbach E. et al. Open innovation and its effects on economic and sustainability innovation performance // J. Innov. Knowl. – 2019. – Vol. 4. – P. 226-233.</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95 </w:t>
      </w:r>
      <w:r>
        <w:rPr>
          <w:rFonts w:ascii="Times New Roman" w:eastAsia="DengXian" w:hAnsi="Times New Roman" w:cs="Times New Roman"/>
          <w:sz w:val="28"/>
          <w:szCs w:val="28"/>
          <w:lang w:val="en-US" w:eastAsia="zh-CN"/>
        </w:rPr>
        <w:t>Aguinis H., Edwards J.R., Bradley K.J. Improving our understanding of moderati</w:t>
      </w:r>
      <w:r>
        <w:rPr>
          <w:rFonts w:ascii="Times New Roman" w:eastAsia="DengXian" w:hAnsi="Times New Roman" w:cs="Times New Roman"/>
          <w:sz w:val="28"/>
          <w:szCs w:val="28"/>
          <w:lang w:val="en-US" w:eastAsia="zh-CN"/>
        </w:rPr>
        <w:t xml:space="preserve">on and mediation in strategic management research // Organizational Research Methods. – 2017. – Vol. 20, Issue 4. – P. 665-685.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 xml:space="preserve">96 </w:t>
      </w:r>
      <w:r>
        <w:rPr>
          <w:rFonts w:ascii="Times New Roman" w:eastAsia="DengXian" w:hAnsi="Times New Roman"/>
          <w:sz w:val="28"/>
          <w:szCs w:val="28"/>
          <w:lang w:val="en-US" w:eastAsia="zh-CN"/>
        </w:rPr>
        <w:t>Zhang J., Song C., Lan Y. Workaholism and Subjective Well-being: Examining a Mediation Model // Journal of Human Resource Ma</w:t>
      </w:r>
      <w:r>
        <w:rPr>
          <w:rFonts w:ascii="Times New Roman" w:eastAsia="DengXian" w:hAnsi="Times New Roman"/>
          <w:sz w:val="28"/>
          <w:szCs w:val="28"/>
          <w:lang w:val="en-US" w:eastAsia="zh-CN"/>
        </w:rPr>
        <w:t>nagement. – 2020. – Vol. 8, Issue 1. – P. 32-38.</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sz w:val="28"/>
          <w:szCs w:val="28"/>
          <w:lang w:val="kk-KZ" w:eastAsia="zh-CN"/>
        </w:rPr>
        <w:t xml:space="preserve">97 </w:t>
      </w:r>
      <w:r>
        <w:rPr>
          <w:rFonts w:ascii="Times New Roman" w:eastAsia="DengXian" w:hAnsi="Times New Roman"/>
          <w:sz w:val="28"/>
          <w:szCs w:val="28"/>
          <w:lang w:val="en-US" w:eastAsia="zh-CN"/>
        </w:rPr>
        <w:t xml:space="preserve">Scaringella L., Scaringella M. Disentangling the human aspects of open innovation: the mediation of absorptive capacity and the moderation of knowledge tacitness // Journal of </w:t>
      </w:r>
      <w:r>
        <w:rPr>
          <w:rFonts w:ascii="Times New Roman" w:eastAsia="DengXian" w:hAnsi="Times New Roman" w:cs="Times New Roman"/>
          <w:sz w:val="28"/>
          <w:szCs w:val="28"/>
          <w:lang w:val="en-US" w:eastAsia="zh-CN"/>
        </w:rPr>
        <w:t>Knowledge Management. – 2025</w:t>
      </w:r>
      <w:r>
        <w:rPr>
          <w:rFonts w:ascii="Times New Roman" w:eastAsia="DengXian" w:hAnsi="Times New Roman" w:cs="Times New Roman"/>
          <w:sz w:val="28"/>
          <w:szCs w:val="28"/>
          <w:lang w:val="en-US" w:eastAsia="zh-CN"/>
        </w:rPr>
        <w:t>. – Vol. 29. – P. 1914-1950.</w:t>
      </w:r>
    </w:p>
    <w:p w:rsidR="005118AF" w:rsidRDefault="00EF60C3">
      <w:pPr>
        <w:tabs>
          <w:tab w:val="left" w:pos="880"/>
          <w:tab w:val="left" w:pos="110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98 </w:t>
      </w:r>
      <w:r>
        <w:rPr>
          <w:rFonts w:ascii="Times New Roman" w:eastAsia="DengXian" w:hAnsi="Times New Roman" w:cs="Times New Roman"/>
          <w:sz w:val="28"/>
          <w:szCs w:val="28"/>
          <w:lang w:val="en-US" w:eastAsia="zh-CN"/>
        </w:rPr>
        <w:t>Yang F. et al. Oligosaccharides in straw hydrolysate could improve the production of single-cell protein with Saccharomyces cerevisiae // J Sci Food Agric. – 2022. – Vol. 102, Issue 7. – P. 2928-2936.</w:t>
      </w:r>
    </w:p>
    <w:p w:rsidR="005118AF" w:rsidRDefault="00EF60C3">
      <w:pPr>
        <w:tabs>
          <w:tab w:val="left" w:pos="880"/>
          <w:tab w:val="left" w:pos="110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hAnsi="Times New Roman"/>
          <w:sz w:val="28"/>
          <w:szCs w:val="28"/>
          <w:lang w:val="kk-KZ"/>
        </w:rPr>
        <w:t>99 Қазақстан Республика</w:t>
      </w:r>
      <w:r>
        <w:rPr>
          <w:rFonts w:ascii="Times New Roman" w:hAnsi="Times New Roman"/>
          <w:sz w:val="28"/>
          <w:szCs w:val="28"/>
          <w:lang w:val="kk-KZ"/>
        </w:rPr>
        <w:t>сының Үкіметінің қаулысы. Елішілік құндылықты және экспортқа бағдарланған өндірістерді дамыту бағдарламасын бекіту туралы: 2022 жылды 30 маусымда, №452 бекітілген //</w:t>
      </w:r>
      <w:r>
        <w:rPr>
          <w:rFonts w:ascii="Times New Roman" w:eastAsia="DengXian" w:hAnsi="Times New Roman" w:cs="Times New Roman"/>
          <w:sz w:val="28"/>
          <w:szCs w:val="28"/>
          <w:lang w:val="kk-KZ" w:eastAsia="zh-CN"/>
        </w:rPr>
        <w:t xml:space="preserve"> </w:t>
      </w:r>
      <w:hyperlink r:id="rId92" w:history="1">
        <w:r>
          <w:rPr>
            <w:rStyle w:val="ab"/>
            <w:rFonts w:ascii="Times New Roman" w:eastAsia="DengXian" w:hAnsi="Times New Roman" w:cs="Times New Roman"/>
            <w:color w:val="auto"/>
            <w:sz w:val="28"/>
            <w:szCs w:val="28"/>
            <w:u w:val="none"/>
            <w:lang w:val="kk-KZ" w:eastAsia="zh-CN"/>
          </w:rPr>
          <w:t>https://adilet.zan.kz/kaz/</w:t>
        </w:r>
        <w:r>
          <w:rPr>
            <w:rStyle w:val="ab"/>
            <w:rFonts w:ascii="Times New Roman" w:eastAsia="DengXian" w:hAnsi="Times New Roman" w:cs="Times New Roman"/>
            <w:color w:val="auto"/>
            <w:sz w:val="28"/>
            <w:szCs w:val="28"/>
            <w:u w:val="none"/>
            <w:lang w:val="kk-KZ" w:eastAsia="zh-CN"/>
          </w:rPr>
          <w:t>docs/P2200000452/compare</w:t>
        </w:r>
      </w:hyperlink>
      <w:r>
        <w:rPr>
          <w:rStyle w:val="ab"/>
          <w:rFonts w:ascii="Times New Roman" w:eastAsia="DengXian" w:hAnsi="Times New Roman" w:cs="Times New Roman"/>
          <w:color w:val="auto"/>
          <w:sz w:val="28"/>
          <w:szCs w:val="28"/>
          <w:u w:val="none"/>
          <w:lang w:val="kk-KZ"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hAnsi="Times New Roman"/>
          <w:sz w:val="28"/>
          <w:szCs w:val="28"/>
          <w:lang w:val="kk-KZ"/>
        </w:rPr>
        <w:t xml:space="preserve">100 Қазақстан Республикасы Үкіметінің Қаулысы. Ауыл шаруашылығы өнімдерін өңдеуді дамыту жөніндегі 2024-2028 жылдарға арналған кешенді жоспарды бекіту туралы: 2024 жылдың 28 маусымда, №512 бекітілген // </w:t>
      </w:r>
      <w:hyperlink r:id="rId93" w:history="1">
        <w:r>
          <w:rPr>
            <w:rStyle w:val="ab"/>
            <w:rFonts w:ascii="Times New Roman" w:hAnsi="Times New Roman"/>
            <w:color w:val="auto"/>
            <w:sz w:val="28"/>
            <w:szCs w:val="28"/>
            <w:u w:val="none"/>
            <w:lang w:val="kk-KZ"/>
          </w:rPr>
          <w:t>https://adilet.zan.kz/kaz/docs/P2400000512</w:t>
        </w:r>
      </w:hyperlink>
      <w:r>
        <w:rPr>
          <w:rFonts w:ascii="Times New Roman" w:eastAsia="DengXian" w:hAnsi="Times New Roman" w:cs="Times New Roman"/>
          <w:sz w:val="28"/>
          <w:szCs w:val="28"/>
          <w:lang w:val="kk-KZ"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101 </w:t>
      </w:r>
      <w:r>
        <w:rPr>
          <w:rFonts w:ascii="Times New Roman" w:eastAsia="DengXian" w:hAnsi="Times New Roman" w:cs="Times New Roman"/>
          <w:sz w:val="28"/>
          <w:szCs w:val="28"/>
          <w:lang w:eastAsia="zh-CN"/>
        </w:rPr>
        <w:t>Новый Нацпроект «Сильный АПК». Полный текст документа</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https</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en-US" w:eastAsia="zh-CN"/>
        </w:rPr>
        <w:t>apk</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en-US" w:eastAsia="zh-CN"/>
        </w:rPr>
        <w:t>news</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en-US" w:eastAsia="zh-CN"/>
        </w:rPr>
        <w:t>kz</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en-US" w:eastAsia="zh-CN"/>
        </w:rPr>
        <w:t>statyi</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en-US" w:eastAsia="zh-CN"/>
        </w:rPr>
        <w:t>item</w:t>
      </w:r>
      <w:r>
        <w:rPr>
          <w:rFonts w:ascii="Times New Roman" w:eastAsia="DengXian" w:hAnsi="Times New Roman" w:cs="Times New Roman"/>
          <w:sz w:val="28"/>
          <w:szCs w:val="28"/>
          <w:lang w:eastAsia="zh-CN"/>
        </w:rPr>
        <w:t>-3702.</w:t>
      </w:r>
      <w:r>
        <w:rPr>
          <w:rFonts w:ascii="Times New Roman" w:eastAsia="DengXian" w:hAnsi="Times New Roman" w:cs="Times New Roman"/>
          <w:sz w:val="28"/>
          <w:szCs w:val="28"/>
          <w:lang w:val="kk-KZ"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Times New Roman" w:hAnsi="Times New Roman" w:cs="Times New Roman"/>
          <w:sz w:val="28"/>
          <w:szCs w:val="28"/>
          <w:lang w:val="kk-KZ"/>
        </w:rPr>
        <w:t>102 Қазақстан Республикасы Стратегиялық ж</w:t>
      </w:r>
      <w:r>
        <w:rPr>
          <w:rFonts w:ascii="Times New Roman" w:eastAsia="Times New Roman" w:hAnsi="Times New Roman" w:cs="Times New Roman"/>
          <w:sz w:val="28"/>
          <w:szCs w:val="28"/>
          <w:lang w:val="kk-KZ"/>
        </w:rPr>
        <w:t xml:space="preserve">оспарлау және реформалар агенттігінің Ұлттық статистика бюросы // </w:t>
      </w:r>
      <w:hyperlink r:id="rId94" w:history="1">
        <w:r>
          <w:rPr>
            <w:rStyle w:val="ab"/>
            <w:rFonts w:ascii="Times New Roman" w:eastAsia="DengXian" w:hAnsi="Times New Roman" w:cs="Times New Roman"/>
            <w:color w:val="auto"/>
            <w:sz w:val="28"/>
            <w:szCs w:val="28"/>
            <w:u w:val="none"/>
            <w:lang w:val="kk-KZ"/>
          </w:rPr>
          <w:t>https://stat.gov.kz/</w:t>
        </w:r>
      </w:hyperlink>
      <w:r>
        <w:rPr>
          <w:rStyle w:val="ab"/>
          <w:rFonts w:ascii="Times New Roman" w:eastAsia="DengXian" w:hAnsi="Times New Roman" w:cs="Times New Roman"/>
          <w:color w:val="auto"/>
          <w:sz w:val="28"/>
          <w:szCs w:val="28"/>
          <w:u w:val="none"/>
          <w:lang w:val="kk-KZ"/>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eastAsia="zh-CN"/>
        </w:rPr>
        <w:t xml:space="preserve">103 Қазақстан Республикасын индустриалық-инновациялық дамуының көрсеткіштері (2025) / ҚР Ұлттық статистика бюросының </w:t>
      </w:r>
      <w:r>
        <w:rPr>
          <w:rFonts w:ascii="Times New Roman" w:eastAsia="DengXian" w:hAnsi="Times New Roman" w:cs="Times New Roman"/>
          <w:sz w:val="28"/>
          <w:szCs w:val="28"/>
          <w:lang w:val="kk-KZ" w:eastAsia="zh-CN"/>
        </w:rPr>
        <w:t>мәліметтері //</w:t>
      </w:r>
      <w:r>
        <w:rPr>
          <w:rFonts w:ascii="Times New Roman" w:eastAsia="DengXian" w:hAnsi="Times New Roman" w:cs="Times New Roman"/>
          <w:sz w:val="24"/>
          <w:szCs w:val="24"/>
          <w:lang w:val="kk-KZ"/>
        </w:rPr>
        <w:t xml:space="preserve"> </w:t>
      </w:r>
      <w:hyperlink r:id="rId95" w:history="1">
        <w:r>
          <w:rPr>
            <w:rStyle w:val="ab"/>
            <w:rFonts w:ascii="Times New Roman" w:eastAsia="DengXian" w:hAnsi="Times New Roman" w:cs="Times New Roman"/>
            <w:color w:val="auto"/>
            <w:sz w:val="28"/>
            <w:szCs w:val="28"/>
            <w:u w:val="none"/>
            <w:lang w:val="kk-KZ"/>
          </w:rPr>
          <w:t>https://stat.gov.kz/</w:t>
        </w:r>
      </w:hyperlink>
      <w:r>
        <w:rPr>
          <w:rStyle w:val="ab"/>
          <w:rFonts w:ascii="Times New Roman" w:eastAsia="DengXian" w:hAnsi="Times New Roman" w:cs="Times New Roman"/>
          <w:color w:val="auto"/>
          <w:sz w:val="28"/>
          <w:szCs w:val="28"/>
          <w:u w:val="none"/>
          <w:lang w:val="kk-KZ"/>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sans-serif" w:hAnsi="Times New Roman" w:cs="Times New Roman"/>
          <w:sz w:val="28"/>
          <w:szCs w:val="28"/>
          <w:shd w:val="clear" w:color="auto" w:fill="FFFFFF"/>
          <w:lang w:val="kk-KZ"/>
        </w:rPr>
        <w:t xml:space="preserve">104 </w:t>
      </w:r>
      <w:r>
        <w:rPr>
          <w:rFonts w:ascii="Times New Roman" w:eastAsia="sans-serif" w:hAnsi="Times New Roman" w:cs="Times New Roman"/>
          <w:sz w:val="28"/>
          <w:szCs w:val="28"/>
          <w:shd w:val="clear" w:color="auto" w:fill="FFFFFF"/>
        </w:rPr>
        <w:t>Сейсинбинова А.А. Пищевая промышленность Казахстана: современное состояние и пути повышения эффективности деятельности предприятий // Проблемы агрорынка. –</w:t>
      </w:r>
      <w:r>
        <w:rPr>
          <w:rFonts w:ascii="Times New Roman" w:eastAsia="sans-serif" w:hAnsi="Times New Roman" w:cs="Times New Roman"/>
          <w:sz w:val="28"/>
          <w:szCs w:val="28"/>
          <w:shd w:val="clear" w:color="auto" w:fill="FFFFFF"/>
          <w:lang w:val="kk-KZ"/>
        </w:rPr>
        <w:t xml:space="preserve"> 2025. – №</w:t>
      </w:r>
      <w:r>
        <w:rPr>
          <w:rFonts w:ascii="Times New Roman" w:eastAsia="sans-serif" w:hAnsi="Times New Roman" w:cs="Times New Roman"/>
          <w:sz w:val="28"/>
          <w:szCs w:val="28"/>
          <w:shd w:val="clear" w:color="auto" w:fill="FFFFFF"/>
        </w:rPr>
        <w:t>1</w:t>
      </w:r>
      <w:r>
        <w:rPr>
          <w:rFonts w:ascii="Times New Roman" w:eastAsia="sans-serif" w:hAnsi="Times New Roman" w:cs="Times New Roman"/>
          <w:sz w:val="28"/>
          <w:szCs w:val="28"/>
          <w:shd w:val="clear" w:color="auto" w:fill="FFFFFF"/>
          <w:lang w:val="kk-KZ"/>
        </w:rPr>
        <w:t xml:space="preserve">. – С. </w:t>
      </w:r>
      <w:r>
        <w:rPr>
          <w:rFonts w:ascii="Times New Roman" w:eastAsia="sans-serif" w:hAnsi="Times New Roman" w:cs="Times New Roman"/>
          <w:sz w:val="28"/>
          <w:szCs w:val="28"/>
          <w:shd w:val="clear" w:color="auto" w:fill="FFFFFF"/>
        </w:rPr>
        <w:t>234-243.</w:t>
      </w:r>
      <w:r>
        <w:rPr>
          <w:rFonts w:ascii="Times New Roman" w:eastAsia="DengXian" w:hAnsi="Times New Roman" w:cs="Times New Roman"/>
          <w:sz w:val="28"/>
          <w:szCs w:val="28"/>
          <w:lang w:val="kk-KZ"/>
        </w:rPr>
        <w:t xml:space="preserve">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rPr>
        <w:t xml:space="preserve">105 </w:t>
      </w:r>
      <w:r>
        <w:rPr>
          <w:rFonts w:ascii="Times New Roman" w:eastAsia="DengXian" w:hAnsi="Times New Roman" w:cs="Times New Roman"/>
          <w:sz w:val="28"/>
          <w:szCs w:val="28"/>
          <w:lang w:val="kk-KZ" w:eastAsia="zh-CN"/>
        </w:rPr>
        <w:t>Қазақстан</w:t>
      </w:r>
      <w:r>
        <w:rPr>
          <w:rFonts w:ascii="Times New Roman" w:eastAsia="DengXian" w:hAnsi="Times New Roman" w:cs="Times New Roman"/>
          <w:sz w:val="28"/>
          <w:szCs w:val="28"/>
          <w:lang w:val="kk-KZ" w:eastAsia="zh-CN"/>
        </w:rPr>
        <w:t xml:space="preserve"> Республикасының өнеркәсібінің жай-күйі туралы: ұлттық баяндама (2024) // </w:t>
      </w:r>
      <w:hyperlink r:id="rId96" w:history="1">
        <w:r>
          <w:rPr>
            <w:rStyle w:val="ab"/>
            <w:rFonts w:ascii="Times New Roman" w:eastAsia="DengXian" w:hAnsi="Times New Roman" w:cs="Times New Roman"/>
            <w:color w:val="auto"/>
            <w:sz w:val="28"/>
            <w:szCs w:val="28"/>
            <w:u w:val="none"/>
            <w:lang w:val="kk-KZ" w:eastAsia="zh-CN"/>
          </w:rPr>
          <w:t>https://qazindustry.gov.kz/kk/nationalreportindustry</w:t>
        </w:r>
      </w:hyperlink>
      <w:r>
        <w:rPr>
          <w:rStyle w:val="ab"/>
          <w:rFonts w:ascii="Times New Roman" w:eastAsia="DengXian" w:hAnsi="Times New Roman" w:cs="Times New Roman"/>
          <w:color w:val="auto"/>
          <w:sz w:val="28"/>
          <w:szCs w:val="28"/>
          <w:u w:val="none"/>
          <w:lang w:val="kk-KZ"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eastAsia="zh-CN"/>
        </w:rPr>
        <w:t xml:space="preserve">106 Қазақстан Республикасының өнеркәсібінің жай-күйі туралы: ұлттық баяндама (2025) // </w:t>
      </w:r>
      <w:hyperlink r:id="rId97" w:history="1">
        <w:r>
          <w:rPr>
            <w:rStyle w:val="ab"/>
            <w:rFonts w:ascii="Times New Roman" w:hAnsi="Times New Roman" w:cs="Times New Roman"/>
            <w:color w:val="auto"/>
            <w:sz w:val="28"/>
            <w:szCs w:val="28"/>
            <w:u w:val="none"/>
            <w:lang w:val="kk-KZ"/>
          </w:rPr>
          <w:t>https://qazindustry.gov.kz/images/docs//regdoc_ru</w:t>
        </w:r>
      </w:hyperlink>
      <w:r>
        <w:rPr>
          <w:rStyle w:val="ab"/>
          <w:rFonts w:ascii="Times New Roman" w:hAnsi="Times New Roman" w:cs="Times New Roman"/>
          <w:color w:val="auto"/>
          <w:sz w:val="28"/>
          <w:szCs w:val="28"/>
          <w:u w:val="none"/>
          <w:lang w:val="kk-KZ"/>
        </w:rPr>
        <w:t xml:space="preserve"> 10.10.2025.</w:t>
      </w:r>
    </w:p>
    <w:p w:rsidR="005118AF" w:rsidRDefault="00EF60C3">
      <w:pPr>
        <w:tabs>
          <w:tab w:val="left" w:pos="880"/>
          <w:tab w:val="left" w:pos="110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Times New Roman" w:hAnsi="Times New Roman" w:cs="Times New Roman"/>
          <w:sz w:val="28"/>
          <w:szCs w:val="28"/>
          <w:lang w:val="kk-KZ"/>
        </w:rPr>
        <w:t>107 Israfilov N.,</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kk-KZ"/>
        </w:rPr>
        <w:t>Ablaev I.,</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kk-KZ"/>
        </w:rPr>
        <w:t>Seisinbinova</w:t>
      </w:r>
      <w:r>
        <w:rPr>
          <w:rFonts w:ascii="Times New Roman" w:eastAsia="Times New Roman" w:hAnsi="Times New Roman" w:cs="Times New Roman"/>
          <w:sz w:val="28"/>
          <w:szCs w:val="28"/>
          <w:lang w:val="kk-KZ"/>
        </w:rPr>
        <w:t xml:space="preserve"> A.</w:t>
      </w:r>
      <w:r>
        <w:rPr>
          <w:rFonts w:ascii="Times New Roman" w:eastAsia="Times New Roman" w:hAnsi="Times New Roman" w:cs="Times New Roman"/>
          <w:sz w:val="28"/>
          <w:szCs w:val="28"/>
          <w:lang w:val="en-US"/>
        </w:rPr>
        <w:t xml:space="preserve"> Impact of Supply Chain Management Strategies on the Performance Indicators of Small and Medium-Sized Businesses // International Journal of Supply Chain Management. – 2020. – Vol. 9, Issue 4. – P. 544-552. </w:t>
      </w:r>
    </w:p>
    <w:p w:rsidR="005118AF" w:rsidRDefault="00EF60C3">
      <w:pPr>
        <w:tabs>
          <w:tab w:val="left" w:pos="880"/>
          <w:tab w:val="left" w:pos="110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Times New Roman" w:hAnsi="Times New Roman" w:cs="Times New Roman"/>
          <w:sz w:val="28"/>
          <w:szCs w:val="28"/>
          <w:lang w:val="kk-KZ"/>
        </w:rPr>
        <w:t xml:space="preserve">108 </w:t>
      </w:r>
      <w:r>
        <w:rPr>
          <w:rFonts w:ascii="Times New Roman" w:eastAsia="Times New Roman" w:hAnsi="Times New Roman" w:cs="Times New Roman"/>
          <w:sz w:val="28"/>
          <w:szCs w:val="28"/>
          <w:lang w:val="en-US"/>
        </w:rPr>
        <w:t xml:space="preserve">Saiymova M. et al. Complex Innovation </w:t>
      </w:r>
      <w:r>
        <w:rPr>
          <w:rFonts w:ascii="Times New Roman" w:eastAsia="Times New Roman" w:hAnsi="Times New Roman" w:cs="Times New Roman"/>
          <w:sz w:val="28"/>
          <w:szCs w:val="28"/>
          <w:lang w:val="en-US"/>
        </w:rPr>
        <w:t>Policy in Kazakhstan with the New Legal Regulations: Key Issues and Challenges // Journal of Advanced Research in Law and Economics. – 2019. – Vol. 9, Issue 8. – P. 2790-2797.</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rPr>
      </w:pPr>
      <w:r>
        <w:rPr>
          <w:rFonts w:ascii="Times New Roman" w:eastAsia="DengXian" w:hAnsi="Times New Roman" w:cs="Times New Roman"/>
          <w:sz w:val="28"/>
          <w:szCs w:val="28"/>
          <w:lang w:val="kk-KZ"/>
        </w:rPr>
        <w:t>109 Талдау</w:t>
      </w:r>
      <w:r>
        <w:rPr>
          <w:rFonts w:ascii="Times New Roman" w:eastAsia="DengXian" w:hAnsi="Times New Roman" w:cs="Times New Roman"/>
          <w:sz w:val="28"/>
          <w:szCs w:val="28"/>
        </w:rPr>
        <w:t xml:space="preserve"> </w:t>
      </w:r>
      <w:r>
        <w:rPr>
          <w:rFonts w:ascii="Times New Roman" w:eastAsia="DengXian" w:hAnsi="Times New Roman" w:cs="Times New Roman"/>
          <w:sz w:val="28"/>
          <w:szCs w:val="28"/>
          <w:lang w:val="kk-KZ"/>
        </w:rPr>
        <w:t xml:space="preserve">статистика </w:t>
      </w:r>
      <w:r>
        <w:rPr>
          <w:rFonts w:ascii="Times New Roman" w:eastAsia="DengXian" w:hAnsi="Times New Roman" w:cs="Times New Roman"/>
          <w:sz w:val="28"/>
          <w:szCs w:val="28"/>
        </w:rPr>
        <w:t xml:space="preserve">// </w:t>
      </w:r>
      <w:hyperlink r:id="rId98" w:history="1">
        <w:r>
          <w:rPr>
            <w:rStyle w:val="ab"/>
            <w:rFonts w:ascii="Times New Roman" w:eastAsia="DengXian" w:hAnsi="Times New Roman" w:cs="Times New Roman"/>
            <w:color w:val="auto"/>
            <w:sz w:val="28"/>
            <w:szCs w:val="28"/>
            <w:u w:val="none"/>
            <w:lang w:val="kk-KZ"/>
          </w:rPr>
          <w:t>https://taldau.stat.gov.kz/kk</w:t>
        </w:r>
        <w:r>
          <w:rPr>
            <w:rStyle w:val="ab"/>
            <w:rFonts w:ascii="Times New Roman" w:eastAsia="DengXian" w:hAnsi="Times New Roman" w:cs="Times New Roman"/>
            <w:color w:val="auto"/>
            <w:sz w:val="28"/>
            <w:szCs w:val="28"/>
            <w:u w:val="none"/>
          </w:rPr>
          <w:t>.</w:t>
        </w:r>
      </w:hyperlink>
      <w:r>
        <w:rPr>
          <w:rStyle w:val="ab"/>
          <w:rFonts w:ascii="Times New Roman" w:eastAsia="DengXian" w:hAnsi="Times New Roman" w:cs="Times New Roman"/>
          <w:color w:val="auto"/>
          <w:sz w:val="28"/>
          <w:szCs w:val="28"/>
          <w:u w:val="none"/>
        </w:rPr>
        <w:t xml:space="preserve"> 01.02.2026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4"/>
          <w:szCs w:val="24"/>
          <w:lang w:val="kk-KZ"/>
        </w:rPr>
      </w:pPr>
      <w:r>
        <w:rPr>
          <w:rFonts w:ascii="Times New Roman" w:hAnsi="Times New Roman"/>
          <w:sz w:val="28"/>
          <w:szCs w:val="28"/>
          <w:lang w:val="kk-KZ"/>
        </w:rPr>
        <w:t xml:space="preserve">110 Қазақстан Республикасы Үкіметінің Қаулысы. "Қазақстан Республикасын индустриялық-инновациялық дамытудың 2021-2025 жылдарға арналған тұжырымдамасын бекіту туралы" Қазақстан Республикасы Үкіметінің 2018 жылғы </w:t>
      </w:r>
      <w:r>
        <w:rPr>
          <w:rFonts w:ascii="Times New Roman" w:hAnsi="Times New Roman"/>
          <w:sz w:val="28"/>
          <w:szCs w:val="28"/>
          <w:lang w:val="kk-KZ"/>
        </w:rPr>
        <w:t xml:space="preserve">20 желтоқсандағы №846 қаулысына өзгерістер енгізу туралы: 2023 жылдың 28 наурызда, №259 бекітілген // </w:t>
      </w:r>
      <w:hyperlink r:id="rId99" w:history="1">
        <w:r>
          <w:rPr>
            <w:rStyle w:val="ab"/>
            <w:rFonts w:ascii="Times New Roman" w:eastAsia="DengXian" w:hAnsi="Times New Roman" w:cs="Times New Roman"/>
            <w:color w:val="auto"/>
            <w:sz w:val="28"/>
            <w:szCs w:val="28"/>
            <w:u w:val="none"/>
            <w:lang w:val="kk-KZ" w:eastAsia="zh-CN"/>
          </w:rPr>
          <w:t>https://adilet.zan.kz/kaz/docs</w:t>
        </w:r>
      </w:hyperlink>
      <w:r>
        <w:rPr>
          <w:rStyle w:val="ab"/>
          <w:rFonts w:ascii="Times New Roman" w:eastAsia="DengXian" w:hAnsi="Times New Roman" w:cs="Times New Roman"/>
          <w:color w:val="auto"/>
          <w:sz w:val="28"/>
          <w:szCs w:val="28"/>
          <w:u w:val="none"/>
          <w:lang w:val="kk-KZ" w:eastAsia="zh-CN"/>
        </w:rPr>
        <w:t>. 01.02.2026.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hAnsi="Times New Roman"/>
          <w:sz w:val="28"/>
          <w:szCs w:val="28"/>
          <w:lang w:val="kk-KZ"/>
        </w:rPr>
        <w:t xml:space="preserve">111 Қазақстан Республикасы Президентінің Жарлығы. Мемлекет басшысының 2025 жылғы 8 қыркүйектегі "Жасанды интеллект дәуіріндегі </w:t>
      </w:r>
      <w:r>
        <w:rPr>
          <w:rFonts w:ascii="Times New Roman" w:hAnsi="Times New Roman" w:cs="Times New Roman"/>
          <w:sz w:val="28"/>
          <w:szCs w:val="28"/>
          <w:lang w:val="kk-KZ"/>
        </w:rPr>
        <w:t>Қазақстан</w:t>
      </w:r>
      <w:r>
        <w:rPr>
          <w:rFonts w:ascii="Times New Roman" w:hAnsi="Times New Roman" w:cs="Times New Roman"/>
          <w:sz w:val="28"/>
          <w:szCs w:val="28"/>
          <w:lang w:val="kk-KZ"/>
        </w:rPr>
        <w:t>: өзекті мәселелер және оны түбегейлі цифрлық өзгерістер арқылы шешу" атты Қазақстан халқына Жолдауын іске асыру жөнінде</w:t>
      </w:r>
      <w:r>
        <w:rPr>
          <w:rFonts w:ascii="Times New Roman" w:hAnsi="Times New Roman" w:cs="Times New Roman"/>
          <w:sz w:val="28"/>
          <w:szCs w:val="28"/>
          <w:lang w:val="kk-KZ"/>
        </w:rPr>
        <w:t>гі шаралар туралы: 2025 жылдың 13 қазанда, №1042 бекітілген //</w:t>
      </w:r>
      <w:r>
        <w:rPr>
          <w:rFonts w:ascii="Times New Roman" w:eastAsia="DengXian" w:hAnsi="Times New Roman" w:cs="Times New Roman"/>
          <w:sz w:val="28"/>
          <w:szCs w:val="28"/>
          <w:lang w:val="kk-KZ" w:eastAsia="zh-CN"/>
        </w:rPr>
        <w:t xml:space="preserve"> </w:t>
      </w:r>
      <w:hyperlink r:id="rId100" w:history="1">
        <w:r>
          <w:rPr>
            <w:rStyle w:val="ab"/>
            <w:rFonts w:ascii="Times New Roman" w:eastAsia="DengXian" w:hAnsi="Times New Roman" w:cs="Times New Roman"/>
            <w:color w:val="auto"/>
            <w:sz w:val="28"/>
            <w:szCs w:val="28"/>
            <w:u w:val="none"/>
            <w:lang w:val="kk-KZ" w:eastAsia="zh-CN"/>
          </w:rPr>
          <w:t>https://adilet.zan.kz/kaz/docs/U2500001042</w:t>
        </w:r>
      </w:hyperlink>
      <w:r>
        <w:rPr>
          <w:rStyle w:val="ab"/>
          <w:rFonts w:ascii="Times New Roman" w:eastAsia="DengXian" w:hAnsi="Times New Roman" w:cs="Times New Roman"/>
          <w:color w:val="auto"/>
          <w:sz w:val="28"/>
          <w:szCs w:val="28"/>
          <w:u w:val="none"/>
          <w:lang w:val="kk-KZ" w:eastAsia="zh-CN"/>
        </w:rPr>
        <w:t>. 01.02.2026.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rPr>
      </w:pPr>
      <w:r>
        <w:rPr>
          <w:rFonts w:ascii="Times New Roman" w:eastAsia="DengXian" w:hAnsi="Times New Roman" w:cs="Times New Roman"/>
          <w:sz w:val="28"/>
          <w:szCs w:val="28"/>
          <w:lang w:val="kk-KZ" w:eastAsia="zh-CN"/>
        </w:rPr>
        <w:t xml:space="preserve">112 Аlem.AI халықаралық жасанды интеллект орталығы жұмысын бастады // </w:t>
      </w:r>
      <w:hyperlink r:id="rId101" w:history="1">
        <w:r>
          <w:rPr>
            <w:rStyle w:val="ab"/>
            <w:rFonts w:ascii="Times New Roman" w:eastAsia="DengXian" w:hAnsi="Times New Roman" w:cs="Times New Roman"/>
            <w:color w:val="auto"/>
            <w:sz w:val="28"/>
            <w:szCs w:val="28"/>
            <w:u w:val="none"/>
            <w:lang w:val="kk-KZ"/>
          </w:rPr>
          <w:t>https://qazaqstan.tv/news/218215</w:t>
        </w:r>
      </w:hyperlink>
      <w:r>
        <w:rPr>
          <w:rStyle w:val="ab"/>
          <w:rFonts w:ascii="Times New Roman" w:eastAsia="DengXian" w:hAnsi="Times New Roman" w:cs="Times New Roman"/>
          <w:color w:val="auto"/>
          <w:sz w:val="28"/>
          <w:szCs w:val="28"/>
          <w:u w:val="none"/>
          <w:lang w:val="kk-KZ"/>
        </w:rPr>
        <w:t xml:space="preserve">. </w:t>
      </w:r>
      <w:r>
        <w:rPr>
          <w:rStyle w:val="ab"/>
          <w:rFonts w:ascii="Times New Roman" w:eastAsia="DengXian" w:hAnsi="Times New Roman" w:cs="Times New Roman"/>
          <w:color w:val="auto"/>
          <w:sz w:val="28"/>
          <w:szCs w:val="28"/>
          <w:u w:val="none"/>
        </w:rPr>
        <w:t>01.08.2025.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rPr>
      </w:pPr>
      <w:r>
        <w:rPr>
          <w:rFonts w:ascii="Times New Roman" w:eastAsia="DengXian" w:hAnsi="Times New Roman" w:cs="Times New Roman"/>
          <w:sz w:val="28"/>
          <w:szCs w:val="28"/>
          <w:lang w:val="kk-KZ" w:eastAsia="zh-CN"/>
        </w:rPr>
        <w:t>113 Рахимбеков Т</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kk-KZ" w:eastAsia="zh-CN"/>
        </w:rPr>
        <w:t xml:space="preserve"> Новый Нацпроект «Сильный АПК» – это утопия </w:t>
      </w:r>
      <w:r>
        <w:rPr>
          <w:rFonts w:ascii="Times New Roman" w:eastAsia="DengXian" w:hAnsi="Times New Roman" w:cs="Times New Roman"/>
          <w:sz w:val="28"/>
          <w:szCs w:val="28"/>
          <w:lang w:eastAsia="zh-CN"/>
        </w:rPr>
        <w:t xml:space="preserve">// </w:t>
      </w:r>
      <w:hyperlink r:id="rId102" w:history="1">
        <w:r>
          <w:rPr>
            <w:rStyle w:val="ab"/>
            <w:rFonts w:ascii="Times New Roman" w:eastAsia="DengXian" w:hAnsi="Times New Roman" w:cs="Times New Roman"/>
            <w:color w:val="auto"/>
            <w:sz w:val="28"/>
            <w:szCs w:val="28"/>
            <w:u w:val="none"/>
            <w:lang w:val="kk-KZ"/>
          </w:rPr>
          <w:t>https://apk-news.kz/news/item-3734</w:t>
        </w:r>
      </w:hyperlink>
      <w:r>
        <w:rPr>
          <w:rStyle w:val="ab"/>
          <w:rFonts w:ascii="Times New Roman" w:eastAsia="DengXian" w:hAnsi="Times New Roman" w:cs="Times New Roman"/>
          <w:color w:val="auto"/>
          <w:sz w:val="28"/>
          <w:szCs w:val="28"/>
          <w:u w:val="none"/>
        </w:rPr>
        <w:t>. 01.08.2025.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114 Толысбаев Б.С., Сейсинбинова А.А. Қазақстан республикасындағы тамақ өнеркәсібі кәсіпорындарының инновациялық дамуы: проблемалары мен перспективалары // Экономика: стратегия и практика. </w:t>
      </w:r>
      <w:r>
        <w:rPr>
          <w:rFonts w:ascii="Times New Roman" w:eastAsia="DengXian" w:hAnsi="Times New Roman" w:cs="Times New Roman"/>
          <w:sz w:val="28"/>
          <w:szCs w:val="28"/>
          <w:lang w:val="en-US" w:eastAsia="zh-CN"/>
        </w:rPr>
        <w:t xml:space="preserve">2019. – </w:t>
      </w:r>
      <w:r>
        <w:rPr>
          <w:rFonts w:ascii="Times New Roman" w:eastAsia="DengXian" w:hAnsi="Times New Roman" w:cs="Times New Roman"/>
          <w:sz w:val="28"/>
          <w:szCs w:val="28"/>
          <w:lang w:val="kk-KZ" w:eastAsia="zh-CN"/>
        </w:rPr>
        <w:t>№1(14)</w:t>
      </w:r>
      <w:r>
        <w:rPr>
          <w:rFonts w:ascii="Times New Roman" w:eastAsia="DengXian" w:hAnsi="Times New Roman" w:cs="Times New Roman"/>
          <w:sz w:val="28"/>
          <w:szCs w:val="28"/>
          <w:lang w:val="en-US" w:eastAsia="zh-CN"/>
        </w:rPr>
        <w:t xml:space="preserve">. – C. </w:t>
      </w:r>
      <w:r>
        <w:rPr>
          <w:rFonts w:ascii="Times New Roman" w:eastAsia="DengXian" w:hAnsi="Times New Roman" w:cs="Times New Roman"/>
          <w:sz w:val="28"/>
          <w:szCs w:val="28"/>
          <w:lang w:val="kk-KZ" w:eastAsia="zh-CN"/>
        </w:rPr>
        <w:t>109-122.</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en-US" w:eastAsia="zh-CN"/>
        </w:rPr>
        <w:t>115 Health and Food Safety 2023: Annu</w:t>
      </w:r>
      <w:r>
        <w:rPr>
          <w:rFonts w:ascii="Times New Roman" w:eastAsia="DengXian" w:hAnsi="Times New Roman" w:cs="Times New Roman"/>
          <w:sz w:val="28"/>
          <w:szCs w:val="28"/>
          <w:lang w:val="en-US" w:eastAsia="zh-CN"/>
        </w:rPr>
        <w:t xml:space="preserve">al Report on monitoring the application of EU law - Infringement cases by policy area / European Comission // </w:t>
      </w:r>
      <w:hyperlink r:id="rId103" w:history="1">
        <w:r>
          <w:rPr>
            <w:rStyle w:val="ab"/>
            <w:rFonts w:ascii="Times New Roman" w:eastAsia="DengXian" w:hAnsi="Times New Roman" w:cs="Times New Roman"/>
            <w:color w:val="auto"/>
            <w:sz w:val="28"/>
            <w:szCs w:val="28"/>
            <w:u w:val="none"/>
            <w:lang w:val="en-US" w:eastAsia="zh-CN"/>
          </w:rPr>
          <w:t>https://commission.europa.eu/law/application-eu-law/implementin</w:t>
        </w:r>
        <w:r>
          <w:rPr>
            <w:rStyle w:val="ab"/>
            <w:rFonts w:ascii="Times New Roman" w:eastAsia="DengXian" w:hAnsi="Times New Roman" w:cs="Times New Roman"/>
            <w:color w:val="auto"/>
            <w:sz w:val="28"/>
            <w:szCs w:val="28"/>
            <w:u w:val="none"/>
            <w:lang w:val="en-US" w:eastAsia="zh-CN"/>
          </w:rPr>
          <w:t>g-eu-.</w:t>
        </w:r>
      </w:hyperlink>
      <w:r>
        <w:rPr>
          <w:rFonts w:ascii="Times New Roman" w:eastAsia="DengXian" w:hAnsi="Times New Roman" w:cs="Times New Roman"/>
          <w:sz w:val="28"/>
          <w:szCs w:val="28"/>
          <w:lang w:val="en-US" w:eastAsia="zh-CN"/>
        </w:rPr>
        <w:t xml:space="preserve"> 01.08.2025.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116 </w:t>
      </w:r>
      <w:r>
        <w:rPr>
          <w:rFonts w:ascii="Times New Roman" w:eastAsia="DengXian" w:hAnsi="Times New Roman" w:cs="Times New Roman"/>
          <w:sz w:val="28"/>
          <w:szCs w:val="28"/>
          <w:lang w:val="en-US" w:eastAsia="zh-CN"/>
        </w:rPr>
        <w:t xml:space="preserve">Improving Regulatory Delivery in Food Safety: Mitigating Old and New Risks, and Fostering Recovery / OECD. – Paris, 2021. – </w:t>
      </w:r>
      <w:r>
        <w:rPr>
          <w:rFonts w:ascii="Times New Roman" w:eastAsia="DengXian" w:hAnsi="Times New Roman" w:cs="Times New Roman"/>
          <w:sz w:val="28"/>
          <w:szCs w:val="28"/>
          <w:lang w:val="kk-KZ" w:eastAsia="zh-CN"/>
        </w:rPr>
        <w:t xml:space="preserve">72 р.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117 </w:t>
      </w:r>
      <w:r>
        <w:rPr>
          <w:rFonts w:ascii="Times New Roman" w:eastAsia="DengXian" w:hAnsi="Times New Roman" w:cs="Times New Roman"/>
          <w:sz w:val="28"/>
          <w:szCs w:val="28"/>
          <w:lang w:val="en-US" w:eastAsia="zh-CN"/>
        </w:rPr>
        <w:t xml:space="preserve">Hallagan J.B. et al. The GRAS provision-the FEMA GRAS program and the safety and regulation of </w:t>
      </w:r>
      <w:r>
        <w:rPr>
          <w:rFonts w:ascii="Times New Roman" w:eastAsia="DengXian" w:hAnsi="Times New Roman" w:cs="Times New Roman"/>
          <w:sz w:val="28"/>
          <w:szCs w:val="28"/>
          <w:lang w:val="en-US" w:eastAsia="zh-CN"/>
        </w:rPr>
        <w:t>flavors in the United States // Food and Chemical Toxicology. – 2020. – Vol. 138. – P. 111236.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118 </w:t>
      </w:r>
      <w:r>
        <w:rPr>
          <w:rFonts w:ascii="Times New Roman" w:eastAsia="DengXian" w:hAnsi="Times New Roman" w:cs="Times New Roman"/>
          <w:sz w:val="28"/>
          <w:szCs w:val="28"/>
          <w:lang w:val="en-US" w:eastAsia="zh-CN"/>
        </w:rPr>
        <w:t>Korean Ministry of Food and Drug Safety (MFDS) Approval Processes //</w:t>
      </w:r>
      <w:r>
        <w:rPr>
          <w:rFonts w:ascii="Times New Roman" w:eastAsia="DengXian" w:hAnsi="Times New Roman" w:cs="Times New Roman"/>
          <w:sz w:val="28"/>
          <w:szCs w:val="28"/>
          <w:lang w:val="kk-KZ" w:eastAsia="zh-CN"/>
        </w:rPr>
        <w:t xml:space="preserve"> </w:t>
      </w:r>
      <w:hyperlink r:id="rId104" w:history="1">
        <w:r>
          <w:rPr>
            <w:rStyle w:val="ab"/>
            <w:rFonts w:ascii="Times New Roman" w:eastAsia="DengXian" w:hAnsi="Times New Roman" w:cs="Times New Roman"/>
            <w:color w:val="auto"/>
            <w:sz w:val="28"/>
            <w:szCs w:val="28"/>
            <w:u w:val="none"/>
            <w:lang w:val="kk-KZ"/>
          </w:rPr>
          <w:t>https://omcmedical.com/korean-ministry-of-food-drug-safety-approval</w:t>
        </w:r>
        <w:r>
          <w:rPr>
            <w:rStyle w:val="ab"/>
            <w:rFonts w:ascii="Times New Roman" w:eastAsia="DengXian" w:hAnsi="Times New Roman" w:cs="Times New Roman"/>
            <w:color w:val="auto"/>
            <w:sz w:val="28"/>
            <w:szCs w:val="28"/>
            <w:u w:val="none"/>
            <w:lang w:val="en-US"/>
          </w:rPr>
          <w:t>. 09.09.2025.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119 </w:t>
      </w:r>
      <w:r>
        <w:rPr>
          <w:rFonts w:ascii="Times New Roman" w:eastAsia="DengXian" w:hAnsi="Times New Roman" w:cs="Times New Roman"/>
          <w:sz w:val="28"/>
          <w:szCs w:val="28"/>
          <w:lang w:val="en-US" w:eastAsia="zh-CN"/>
        </w:rPr>
        <w:t xml:space="preserve">Lu Y. et al. Experiences and Lessons from Agri-Food System Transformation for Sustainable Food Security: A Review of China’s Practices // Foods. – 2022. – Vol. </w:t>
      </w:r>
      <w:r>
        <w:rPr>
          <w:rFonts w:ascii="Times New Roman" w:eastAsia="DengXian" w:hAnsi="Times New Roman" w:cs="Times New Roman"/>
          <w:sz w:val="28"/>
          <w:szCs w:val="28"/>
          <w:lang w:val="en-US" w:eastAsia="zh-CN"/>
        </w:rPr>
        <w:t>11, Issue 2. – P. 137.</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120 Қазақстан Республикасының Кодексі. Халық денсаулығы және денсаулық сақтау жүйесі туралы: 2020 жылдың 7 шiлдесi, №360-VI ҚРЗ қабылданған // </w:t>
      </w:r>
      <w:r>
        <w:rPr>
          <w:rFonts w:ascii="Times New Roman" w:hAnsi="Times New Roman" w:cs="Times New Roman"/>
          <w:sz w:val="28"/>
          <w:szCs w:val="28"/>
          <w:lang w:val="kk-KZ"/>
        </w:rPr>
        <w:t>https://adilet.zan.kz/kaz/docs/K2000000360</w:t>
      </w:r>
      <w:r>
        <w:rPr>
          <w:rFonts w:ascii="Times New Roman" w:eastAsia="DengXian" w:hAnsi="Times New Roman" w:cs="Times New Roman"/>
          <w:sz w:val="28"/>
          <w:szCs w:val="28"/>
          <w:lang w:val="kk-KZ" w:eastAsia="zh-CN"/>
        </w:rPr>
        <w:t>. 09.09.2025.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121 Pettoello-Mantovani C., </w:t>
      </w:r>
      <w:r>
        <w:rPr>
          <w:rFonts w:ascii="Times New Roman" w:eastAsia="DengXian" w:hAnsi="Times New Roman" w:cs="Times New Roman"/>
          <w:sz w:val="28"/>
          <w:szCs w:val="28"/>
          <w:lang w:val="kk-KZ" w:eastAsia="zh-CN"/>
        </w:rPr>
        <w:t>Olivieri B.</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val="kk-KZ" w:eastAsia="zh-CN"/>
        </w:rPr>
        <w:t>Food safety and public health within the frame of the EU legislation //</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val="kk-KZ" w:eastAsia="zh-CN"/>
        </w:rPr>
        <w:t>Global Pediatrics. – 2022. –</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val="kk-KZ" w:eastAsia="zh-CN"/>
        </w:rPr>
        <w:t>Vol. 2. – Р.</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val="kk-KZ" w:eastAsia="zh-CN"/>
        </w:rPr>
        <w:t>100020.</w:t>
      </w:r>
      <w:r>
        <w:rPr>
          <w:rFonts w:ascii="Times New Roman" w:eastAsia="DengXian" w:hAnsi="Times New Roman" w:cs="Times New Roman"/>
          <w:sz w:val="28"/>
          <w:szCs w:val="28"/>
          <w:lang w:val="en-US" w:eastAsia="zh-CN"/>
        </w:rPr>
        <w:t xml:space="preserve">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122 Food Safety Modernization Act (FSMA) /</w:t>
      </w:r>
      <w:r>
        <w:rPr>
          <w:rFonts w:ascii="Times New Roman" w:eastAsia="DengXian" w:hAnsi="Times New Roman" w:cs="Times New Roman"/>
          <w:sz w:val="28"/>
          <w:szCs w:val="28"/>
          <w:lang w:val="en-US" w:eastAsia="zh-CN"/>
        </w:rPr>
        <w:t xml:space="preserve">/ </w:t>
      </w:r>
      <w:hyperlink r:id="rId105" w:history="1">
        <w:r>
          <w:rPr>
            <w:rStyle w:val="ab"/>
            <w:rFonts w:ascii="Times New Roman" w:eastAsia="DengXian" w:hAnsi="Times New Roman" w:cs="Times New Roman"/>
            <w:color w:val="auto"/>
            <w:sz w:val="28"/>
            <w:szCs w:val="28"/>
            <w:u w:val="none"/>
            <w:lang w:val="en-US" w:eastAsia="zh-CN"/>
          </w:rPr>
          <w:t>https://www.fda.</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123 Food safety</w:t>
      </w:r>
      <w:r>
        <w:rPr>
          <w:rFonts w:ascii="Times New Roman" w:eastAsia="DengXian" w:hAnsi="Times New Roman" w:cs="Times New Roman"/>
          <w:sz w:val="28"/>
          <w:szCs w:val="28"/>
          <w:lang w:val="kk-KZ" w:eastAsia="zh-CN"/>
        </w:rPr>
        <w:t xml:space="preserve"> standards and guidelines //</w:t>
      </w:r>
      <w:r>
        <w:rPr>
          <w:rFonts w:ascii="Times New Roman" w:eastAsia="DengXian" w:hAnsi="Times New Roman" w:cs="Times New Roman"/>
          <w:sz w:val="28"/>
          <w:szCs w:val="28"/>
          <w:lang w:val="en-US" w:eastAsia="zh-CN"/>
        </w:rPr>
        <w:t xml:space="preserve"> </w:t>
      </w:r>
      <w:hyperlink w:history="1">
        <w:r>
          <w:rPr>
            <w:rStyle w:val="ab"/>
            <w:rFonts w:ascii="Times New Roman" w:eastAsia="DengXian" w:hAnsi="Times New Roman" w:cs="Times New Roman"/>
            <w:color w:val="auto"/>
            <w:sz w:val="28"/>
            <w:szCs w:val="28"/>
            <w:u w:val="none"/>
            <w:lang w:val="en-US" w:eastAsia="zh-CN"/>
          </w:rPr>
          <w:t>https://inspection.canada.ca</w:t>
        </w:r>
        <w:r>
          <w:rPr>
            <w:rStyle w:val="ab"/>
            <w:rFonts w:ascii="Times New Roman" w:eastAsia="DengXian" w:hAnsi="Times New Roman" w:cs="Times New Roman"/>
            <w:color w:val="auto"/>
            <w:sz w:val="28"/>
            <w:szCs w:val="28"/>
            <w:u w:val="none"/>
            <w:lang w:val="kk-KZ" w:eastAsia="zh-CN"/>
          </w:rPr>
          <w:t xml:space="preserve"> </w:t>
        </w:r>
        <w:r>
          <w:rPr>
            <w:rStyle w:val="ab"/>
            <w:rFonts w:ascii="Times New Roman" w:eastAsia="DengXian" w:hAnsi="Times New Roman" w:cs="Times New Roman"/>
            <w:color w:val="auto"/>
            <w:sz w:val="28"/>
            <w:szCs w:val="28"/>
            <w:u w:val="none"/>
            <w:lang w:val="en-US" w:eastAsia="zh-CN"/>
          </w:rPr>
          <w:t>/en/food-safety-industry/food-safety-standards-guidelines</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124 Food standards </w:t>
      </w:r>
      <w:r>
        <w:rPr>
          <w:rFonts w:ascii="Times New Roman" w:eastAsia="DengXian" w:hAnsi="Times New Roman" w:cs="Times New Roman"/>
          <w:sz w:val="28"/>
          <w:szCs w:val="28"/>
          <w:lang w:val="en-US" w:eastAsia="zh-CN"/>
        </w:rPr>
        <w:t>A</w:t>
      </w:r>
      <w:r>
        <w:rPr>
          <w:rFonts w:ascii="Times New Roman" w:eastAsia="DengXian" w:hAnsi="Times New Roman" w:cs="Times New Roman"/>
          <w:sz w:val="28"/>
          <w:szCs w:val="28"/>
          <w:lang w:val="kk-KZ" w:eastAsia="zh-CN"/>
        </w:rPr>
        <w:t xml:space="preserve">ustralia </w:t>
      </w:r>
      <w:r>
        <w:rPr>
          <w:rFonts w:ascii="Times New Roman" w:eastAsia="DengXian" w:hAnsi="Times New Roman" w:cs="Times New Roman"/>
          <w:sz w:val="28"/>
          <w:szCs w:val="28"/>
          <w:lang w:val="en-US" w:eastAsia="zh-CN"/>
        </w:rPr>
        <w:t>N</w:t>
      </w:r>
      <w:r>
        <w:rPr>
          <w:rFonts w:ascii="Times New Roman" w:eastAsia="DengXian" w:hAnsi="Times New Roman" w:cs="Times New Roman"/>
          <w:sz w:val="28"/>
          <w:szCs w:val="28"/>
          <w:lang w:val="kk-KZ" w:eastAsia="zh-CN"/>
        </w:rPr>
        <w:t xml:space="preserve">ew </w:t>
      </w:r>
      <w:r>
        <w:rPr>
          <w:rFonts w:ascii="Times New Roman" w:eastAsia="DengXian" w:hAnsi="Times New Roman" w:cs="Times New Roman"/>
          <w:sz w:val="28"/>
          <w:szCs w:val="28"/>
          <w:lang w:val="en-US" w:eastAsia="zh-CN"/>
        </w:rPr>
        <w:t>Z</w:t>
      </w:r>
      <w:r>
        <w:rPr>
          <w:rFonts w:ascii="Times New Roman" w:eastAsia="DengXian" w:hAnsi="Times New Roman" w:cs="Times New Roman"/>
          <w:sz w:val="28"/>
          <w:szCs w:val="28"/>
          <w:lang w:val="kk-KZ" w:eastAsia="zh-CN"/>
        </w:rPr>
        <w:t xml:space="preserve">ealand </w:t>
      </w:r>
      <w:r>
        <w:rPr>
          <w:rFonts w:ascii="Times New Roman" w:eastAsia="DengXian" w:hAnsi="Times New Roman" w:cs="Times New Roman"/>
          <w:sz w:val="28"/>
          <w:szCs w:val="28"/>
          <w:lang w:val="en-US" w:eastAsia="zh-CN"/>
        </w:rPr>
        <w:t>A</w:t>
      </w:r>
      <w:r>
        <w:rPr>
          <w:rFonts w:ascii="Times New Roman" w:eastAsia="DengXian" w:hAnsi="Times New Roman" w:cs="Times New Roman"/>
          <w:sz w:val="28"/>
          <w:szCs w:val="28"/>
          <w:lang w:val="kk-KZ" w:eastAsia="zh-CN"/>
        </w:rPr>
        <w:t xml:space="preserve">nnual </w:t>
      </w:r>
      <w:r>
        <w:rPr>
          <w:rFonts w:ascii="Times New Roman" w:eastAsia="DengXian" w:hAnsi="Times New Roman" w:cs="Times New Roman"/>
          <w:sz w:val="28"/>
          <w:szCs w:val="28"/>
          <w:lang w:val="en-US" w:eastAsia="zh-CN"/>
        </w:rPr>
        <w:t>R</w:t>
      </w:r>
      <w:r>
        <w:rPr>
          <w:rFonts w:ascii="Times New Roman" w:eastAsia="DengXian" w:hAnsi="Times New Roman" w:cs="Times New Roman"/>
          <w:sz w:val="28"/>
          <w:szCs w:val="28"/>
          <w:lang w:val="kk-KZ" w:eastAsia="zh-CN"/>
        </w:rPr>
        <w:t>eport 2023</w:t>
      </w:r>
      <w:r>
        <w:rPr>
          <w:rFonts w:ascii="Times New Roman" w:eastAsia="DengXian" w:hAnsi="Times New Roman" w:cs="Times New Roman"/>
          <w:sz w:val="28"/>
          <w:szCs w:val="28"/>
          <w:lang w:val="en-US" w:eastAsia="zh-CN"/>
        </w:rPr>
        <w:t>-2024</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06" w:history="1">
        <w:r>
          <w:rPr>
            <w:rStyle w:val="ab"/>
            <w:rFonts w:ascii="Times New Roman" w:eastAsia="DengXian" w:hAnsi="Times New Roman" w:cs="Times New Roman"/>
            <w:color w:val="auto"/>
            <w:sz w:val="28"/>
            <w:szCs w:val="28"/>
            <w:u w:val="none"/>
            <w:lang w:val="en-US" w:eastAsia="zh-CN"/>
          </w:rPr>
          <w:t>https://www.foodstandards.gov.au/</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125 Summary of the Annual Report on Food, Agriculture and Rural Areas in Japan /</w:t>
      </w:r>
      <w:r>
        <w:rPr>
          <w:rFonts w:ascii="Times New Roman" w:eastAsia="DengXian" w:hAnsi="Times New Roman" w:cs="Times New Roman"/>
          <w:sz w:val="28"/>
          <w:szCs w:val="28"/>
          <w:lang w:val="en-US" w:eastAsia="zh-CN"/>
        </w:rPr>
        <w:t xml:space="preserve">/ </w:t>
      </w:r>
      <w:hyperlink r:id="rId107" w:history="1">
        <w:r>
          <w:rPr>
            <w:rStyle w:val="ab"/>
            <w:rFonts w:ascii="Times New Roman" w:eastAsia="DengXian" w:hAnsi="Times New Roman" w:cs="Times New Roman"/>
            <w:color w:val="auto"/>
            <w:sz w:val="28"/>
            <w:szCs w:val="28"/>
            <w:u w:val="none"/>
            <w:lang w:val="en-US" w:eastAsia="zh-CN"/>
          </w:rPr>
          <w:t>https://www.maff.go.jp/e/data/publish/Annual_Repor</w:t>
        </w:r>
        <w:r>
          <w:rPr>
            <w:rStyle w:val="ab"/>
            <w:rFonts w:ascii="Times New Roman" w:eastAsia="DengXian" w:hAnsi="Times New Roman" w:cs="Times New Roman"/>
            <w:color w:val="auto"/>
            <w:sz w:val="28"/>
            <w:szCs w:val="28"/>
            <w:u w:val="none"/>
            <w:lang w:val="en-US" w:eastAsia="zh-CN"/>
          </w:rPr>
          <w:t>t/Annual</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126 MFDS NAMs Report: Regulatory Acceptance and Research Outcomes // </w:t>
      </w:r>
      <w:hyperlink r:id="rId108" w:history="1">
        <w:r>
          <w:rPr>
            <w:rStyle w:val="ab"/>
            <w:rFonts w:ascii="Times New Roman" w:eastAsia="DengXian" w:hAnsi="Times New Roman" w:cs="Times New Roman"/>
            <w:color w:val="auto"/>
            <w:sz w:val="28"/>
            <w:szCs w:val="28"/>
            <w:u w:val="none"/>
            <w:lang w:val="en-US" w:eastAsia="zh-CN"/>
          </w:rPr>
          <w:t>https://www.jacvam.go.jp/files/news/MFDS%20NAMs%20Report_2023.</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127 </w:t>
      </w:r>
      <w:r>
        <w:rPr>
          <w:rFonts w:ascii="Times New Roman" w:eastAsia="DengXian" w:hAnsi="Times New Roman" w:cs="Times New Roman"/>
          <w:sz w:val="28"/>
          <w:szCs w:val="28"/>
          <w:lang w:val="en-US" w:eastAsia="zh-CN"/>
        </w:rPr>
        <w:t>Reca</w:t>
      </w:r>
      <w:r>
        <w:rPr>
          <w:rFonts w:ascii="Times New Roman" w:eastAsia="DengXian" w:hAnsi="Times New Roman" w:cs="Times New Roman"/>
          <w:sz w:val="28"/>
          <w:szCs w:val="28"/>
          <w:lang w:val="en-US" w:eastAsia="zh-CN"/>
        </w:rPr>
        <w:t>lls, Market Withdrawals, &amp; Safety Alerts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09" w:history="1">
        <w:r>
          <w:rPr>
            <w:rStyle w:val="ab"/>
            <w:rFonts w:ascii="Times New Roman" w:eastAsia="DengXian" w:hAnsi="Times New Roman" w:cs="Times New Roman"/>
            <w:color w:val="auto"/>
            <w:sz w:val="28"/>
            <w:szCs w:val="28"/>
            <w:u w:val="none"/>
            <w:lang w:val="en-US" w:eastAsia="zh-CN"/>
          </w:rPr>
          <w:t>https://www.fda.gov/safety/recalls-market-withdrawals-safety-alerts</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128 </w:t>
      </w:r>
      <w:r>
        <w:rPr>
          <w:rFonts w:ascii="Times New Roman" w:eastAsia="DengXian" w:hAnsi="Times New Roman" w:cs="Times New Roman"/>
          <w:sz w:val="28"/>
          <w:szCs w:val="28"/>
          <w:lang w:val="en-US" w:eastAsia="zh-CN"/>
        </w:rPr>
        <w:t>Health Canada (2023)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Food Safety</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10" w:history="1">
        <w:r>
          <w:rPr>
            <w:rFonts w:ascii="Times New Roman" w:eastAsia="DengXian" w:hAnsi="Times New Roman" w:cs="Times New Roman"/>
            <w:sz w:val="28"/>
            <w:szCs w:val="28"/>
            <w:lang w:val="en-US" w:eastAsia="zh-CN"/>
          </w:rPr>
          <w:t>https://www.canada.ca</w:t>
        </w:r>
      </w:hyperlink>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129 </w:t>
      </w:r>
      <w:r>
        <w:rPr>
          <w:rFonts w:ascii="Times New Roman" w:eastAsia="DengXian" w:hAnsi="Times New Roman" w:cs="Times New Roman"/>
          <w:sz w:val="28"/>
          <w:szCs w:val="28"/>
          <w:lang w:val="en-US" w:eastAsia="zh-CN"/>
        </w:rPr>
        <w:t>Food Standards Australia New Zealand (2023)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11" w:history="1">
        <w:r>
          <w:rPr>
            <w:rStyle w:val="ab"/>
            <w:rFonts w:ascii="Times New Roman" w:eastAsia="DengXian" w:hAnsi="Times New Roman" w:cs="Times New Roman"/>
            <w:color w:val="auto"/>
            <w:sz w:val="28"/>
            <w:szCs w:val="28"/>
            <w:u w:val="none"/>
            <w:lang w:val="en-US" w:eastAsia="zh-CN"/>
          </w:rPr>
          <w:t>https://www.foodstandards.gov.au</w:t>
        </w:r>
      </w:hyperlink>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130 </w:t>
      </w:r>
      <w:r>
        <w:rPr>
          <w:rFonts w:ascii="Times New Roman" w:eastAsia="DengXian" w:hAnsi="Times New Roman" w:cs="Times New Roman"/>
          <w:sz w:val="28"/>
          <w:szCs w:val="28"/>
          <w:lang w:val="en-US" w:eastAsia="zh-CN"/>
        </w:rPr>
        <w:t>Transparency Regulation / Europea</w:t>
      </w:r>
      <w:r>
        <w:rPr>
          <w:rFonts w:ascii="Times New Roman" w:eastAsia="DengXian" w:hAnsi="Times New Roman" w:cs="Times New Roman"/>
          <w:sz w:val="28"/>
          <w:szCs w:val="28"/>
          <w:lang w:val="en-US" w:eastAsia="zh-CN"/>
        </w:rPr>
        <w:t xml:space="preserve">n Food Safety Authority (EFSA) (2022)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112" w:history="1">
        <w:r>
          <w:rPr>
            <w:rStyle w:val="ab"/>
            <w:rFonts w:ascii="Times New Roman" w:eastAsia="SimSun" w:hAnsi="Times New Roman" w:cs="Times New Roman"/>
            <w:color w:val="auto"/>
            <w:sz w:val="28"/>
            <w:szCs w:val="28"/>
            <w:u w:val="none"/>
            <w:lang w:val="en-US" w:eastAsia="zh-CN"/>
          </w:rPr>
          <w:t>https://www.efsa.europa.eu</w:t>
        </w:r>
      </w:hyperlink>
      <w:r>
        <w:rPr>
          <w:rStyle w:val="ab"/>
          <w:rFonts w:ascii="Times New Roman" w:eastAsia="SimSu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131 </w:t>
      </w:r>
      <w:r>
        <w:rPr>
          <w:rFonts w:ascii="Times New Roman" w:eastAsia="DengXian" w:hAnsi="Times New Roman" w:cs="Times New Roman"/>
          <w:sz w:val="28"/>
          <w:szCs w:val="28"/>
          <w:lang w:val="en-US" w:eastAsia="zh-CN"/>
        </w:rPr>
        <w:t>Korean Ministry of Food and Drug Safety (2023)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13" w:history="1">
        <w:r>
          <w:rPr>
            <w:rStyle w:val="ab"/>
            <w:rFonts w:ascii="Times New Roman" w:eastAsia="DengXian" w:hAnsi="Times New Roman" w:cs="Times New Roman"/>
            <w:color w:val="auto"/>
            <w:sz w:val="28"/>
            <w:szCs w:val="28"/>
            <w:u w:val="none"/>
            <w:lang w:val="en-US" w:eastAsia="zh-CN"/>
          </w:rPr>
          <w:t>https://www.mfds.go.kr</w:t>
        </w:r>
      </w:hyperlink>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Style w:val="ab"/>
          <w:rFonts w:ascii="Calibri" w:eastAsia="DengXian" w:hAnsi="Calibri" w:cs="Times New Roman"/>
        </w:rPr>
      </w:pPr>
      <w:r>
        <w:rPr>
          <w:rFonts w:ascii="Times New Roman" w:eastAsia="DengXian" w:hAnsi="Times New Roman" w:cs="Times New Roman"/>
          <w:sz w:val="28"/>
          <w:szCs w:val="28"/>
          <w:lang w:val="kk-KZ" w:eastAsia="zh-CN"/>
        </w:rPr>
        <w:t xml:space="preserve">132 </w:t>
      </w:r>
      <w:r>
        <w:rPr>
          <w:rFonts w:ascii="Times New Roman" w:eastAsia="DengXian" w:hAnsi="Times New Roman" w:cs="Times New Roman"/>
          <w:sz w:val="28"/>
          <w:szCs w:val="28"/>
          <w:lang w:val="en-US" w:eastAsia="zh-CN"/>
        </w:rPr>
        <w:t>National Health Commission of China (2022)</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14" w:history="1">
        <w:r>
          <w:rPr>
            <w:rStyle w:val="ab"/>
            <w:rFonts w:ascii="Times New Roman" w:eastAsia="DengXian" w:hAnsi="Times New Roman" w:cs="Times New Roman"/>
            <w:color w:val="auto"/>
            <w:sz w:val="28"/>
            <w:szCs w:val="28"/>
            <w:u w:val="none"/>
            <w:lang w:val="en-US" w:eastAsia="zh-CN"/>
          </w:rPr>
          <w:t>http://en.nhc.gov.cn</w:t>
        </w:r>
      </w:hyperlink>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10.10.2024.</w:t>
      </w:r>
      <w:r>
        <w:rPr>
          <w:rFonts w:ascii="Calibri" w:eastAsia="DengXian" w:hAnsi="Calibri" w:cs="Times New Roman"/>
        </w:rPr>
        <w:fldChar w:fldCharType="begin"/>
      </w:r>
      <w:r w:rsidR="008D1DAE">
        <w:rPr>
          <w:rFonts w:ascii="Calibri" w:eastAsia="DengXian" w:hAnsi="Calibri" w:cs="Times New Roman"/>
        </w:rPr>
        <w:instrText>HYPERLINK "C:\\Users\\user\\Downloads\\133 Қазақстан Республикасы Денсаулық сақтау министрлігі \\ https:\\www.gov.kz\\memleket\\entities\\dsm?lang=kk. 10.10.2024"</w:instrText>
      </w:r>
      <w:r w:rsidR="008D1DAE">
        <w:rPr>
          <w:rFonts w:ascii="Calibri" w:eastAsia="DengXian" w:hAnsi="Calibri" w:cs="Times New Roman"/>
        </w:rPr>
      </w:r>
      <w:r>
        <w:rPr>
          <w:rFonts w:ascii="Calibri" w:eastAsia="DengXian" w:hAnsi="Calibri" w:cs="Times New Roman"/>
        </w:rPr>
        <w:fldChar w:fldCharType="separate"/>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Style w:val="ab"/>
          <w:rFonts w:ascii="Times New Roman" w:eastAsia="DengXian" w:hAnsi="Times New Roman" w:cs="Times New Roman"/>
          <w:sz w:val="28"/>
          <w:szCs w:val="28"/>
          <w:lang w:val="kk-KZ" w:eastAsia="zh-CN"/>
        </w:rPr>
        <w:t xml:space="preserve">133 </w:t>
      </w:r>
      <w:r>
        <w:rPr>
          <w:rStyle w:val="ab"/>
          <w:rFonts w:ascii="Times New Roman" w:eastAsia="DengXian" w:hAnsi="Times New Roman" w:cs="Times New Roman"/>
          <w:sz w:val="28"/>
          <w:szCs w:val="28"/>
          <w:lang w:eastAsia="zh-CN"/>
        </w:rPr>
        <w:t>Қазақстан</w:t>
      </w:r>
      <w:r>
        <w:rPr>
          <w:rStyle w:val="ab"/>
          <w:rFonts w:ascii="Times New Roman" w:eastAsia="DengXian" w:hAnsi="Times New Roman" w:cs="Times New Roman"/>
          <w:sz w:val="28"/>
          <w:szCs w:val="28"/>
          <w:lang w:eastAsia="zh-CN"/>
        </w:rPr>
        <w:t xml:space="preserve"> Республикасы Денсаулық сақтау министрлігі</w:t>
      </w:r>
      <w:r>
        <w:rPr>
          <w:rStyle w:val="ab"/>
          <w:rFonts w:ascii="Times New Roman" w:eastAsia="DengXian" w:hAnsi="Times New Roman" w:cs="Times New Roman"/>
          <w:sz w:val="28"/>
          <w:szCs w:val="28"/>
          <w:lang w:val="kk-KZ" w:eastAsia="zh-CN"/>
        </w:rPr>
        <w:t xml:space="preserve"> /</w:t>
      </w:r>
      <w:r>
        <w:rPr>
          <w:rStyle w:val="ab"/>
          <w:rFonts w:ascii="Times New Roman" w:eastAsia="DengXian" w:hAnsi="Times New Roman" w:cs="Times New Roman"/>
          <w:sz w:val="28"/>
          <w:szCs w:val="28"/>
          <w:lang w:eastAsia="zh-CN"/>
        </w:rPr>
        <w:t xml:space="preserve">/ </w:t>
      </w:r>
      <w:r>
        <w:rPr>
          <w:rStyle w:val="ab"/>
          <w:rFonts w:ascii="Times New Roman" w:eastAsia="DengXian" w:hAnsi="Times New Roman" w:cs="Times New Roman"/>
          <w:sz w:val="28"/>
          <w:szCs w:val="28"/>
          <w:lang w:val="en-US" w:eastAsia="zh-CN"/>
        </w:rPr>
        <w:t>https</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www</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gov</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kz</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memleket</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entities</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dsm</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lang</w:t>
      </w:r>
      <w:r>
        <w:rPr>
          <w:rStyle w:val="ab"/>
          <w:rFonts w:ascii="Times New Roman" w:eastAsia="DengXian" w:hAnsi="Times New Roman" w:cs="Times New Roman"/>
          <w:sz w:val="28"/>
          <w:szCs w:val="28"/>
          <w:lang w:eastAsia="zh-CN"/>
        </w:rPr>
        <w:t>=</w:t>
      </w:r>
      <w:r>
        <w:rPr>
          <w:rStyle w:val="ab"/>
          <w:rFonts w:ascii="Times New Roman" w:eastAsia="DengXian" w:hAnsi="Times New Roman" w:cs="Times New Roman"/>
          <w:sz w:val="28"/>
          <w:szCs w:val="28"/>
          <w:lang w:val="en-US" w:eastAsia="zh-CN"/>
        </w:rPr>
        <w:t>kk</w:t>
      </w:r>
      <w:r>
        <w:rPr>
          <w:rStyle w:val="ab"/>
          <w:rFonts w:ascii="Times New Roman" w:eastAsia="DengXian" w:hAnsi="Times New Roman" w:cs="Times New Roman"/>
          <w:sz w:val="28"/>
          <w:szCs w:val="28"/>
          <w:lang w:val="kk-KZ" w:eastAsia="zh-CN"/>
        </w:rPr>
        <w:t xml:space="preserve">. </w:t>
      </w:r>
      <w:r>
        <w:rPr>
          <w:rStyle w:val="ab"/>
          <w:rFonts w:ascii="Times New Roman" w:eastAsia="DengXian" w:hAnsi="Times New Roman" w:cs="Times New Roman"/>
          <w:sz w:val="28"/>
          <w:szCs w:val="28"/>
          <w:lang w:eastAsia="zh-CN"/>
        </w:rPr>
        <w:t xml:space="preserve">10.10.2024. </w:t>
      </w:r>
      <w:r>
        <w:rPr>
          <w:rFonts w:ascii="Calibri" w:eastAsia="DengXian" w:hAnsi="Calibri" w:cs="Times New Roman"/>
        </w:rPr>
        <w:fldChar w:fldCharType="end"/>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134 “Ашық НҚА” порталы</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eastAsia="zh-CN"/>
        </w:rPr>
        <w:t xml:space="preserve">/ </w:t>
      </w:r>
      <w:hyperlink r:id="rId115"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legalacts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egov</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r>
          <w:rPr>
            <w:rStyle w:val="ab"/>
            <w:rFonts w:ascii="Times New Roman" w:eastAsia="DengXian" w:hAnsi="Times New Roman" w:cs="Times New Roman"/>
            <w:color w:val="auto"/>
            <w:sz w:val="28"/>
            <w:szCs w:val="28"/>
            <w:u w:val="none"/>
            <w:lang w:eastAsia="zh-CN"/>
          </w:rPr>
          <w:t>/</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135 </w:t>
      </w:r>
      <w:r>
        <w:rPr>
          <w:rFonts w:ascii="Times New Roman" w:eastAsia="DengXian" w:hAnsi="Times New Roman" w:cs="Times New Roman"/>
          <w:sz w:val="28"/>
          <w:szCs w:val="28"/>
          <w:lang w:val="en-US" w:eastAsia="zh-CN"/>
        </w:rPr>
        <w:t xml:space="preserve">Circular Economy </w:t>
      </w:r>
      <w:r>
        <w:rPr>
          <w:rFonts w:ascii="Times New Roman" w:eastAsia="DengXian" w:hAnsi="Times New Roman" w:cs="Times New Roman"/>
          <w:sz w:val="28"/>
          <w:szCs w:val="28"/>
          <w:lang w:val="en-US" w:eastAsia="zh-CN"/>
        </w:rPr>
        <w:t>Act</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(2023)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Federal Ministry for the Environment, Germany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116" w:history="1">
        <w:r>
          <w:rPr>
            <w:rStyle w:val="ab"/>
            <w:rFonts w:ascii="Times New Roman" w:eastAsia="DengXian" w:hAnsi="Times New Roman" w:cs="Times New Roman"/>
            <w:color w:val="auto"/>
            <w:sz w:val="28"/>
            <w:szCs w:val="28"/>
            <w:u w:val="none"/>
            <w:lang w:val="en-US" w:eastAsia="zh-CN"/>
          </w:rPr>
          <w:t>https://www.bmuv.de</w:t>
        </w:r>
      </w:hyperlink>
      <w:r>
        <w:rPr>
          <w:rStyle w:val="ab"/>
          <w:rFonts w:ascii="Times New Roman" w:eastAsia="DengXian" w:hAnsi="Times New Roman" w:cs="Times New Roman"/>
          <w:color w:val="auto"/>
          <w:sz w:val="28"/>
          <w:szCs w:val="28"/>
          <w:u w:val="none"/>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136 </w:t>
      </w:r>
      <w:r>
        <w:rPr>
          <w:rFonts w:ascii="Times New Roman" w:eastAsia="DengXian" w:hAnsi="Times New Roman" w:cs="Times New Roman"/>
          <w:sz w:val="28"/>
          <w:szCs w:val="28"/>
          <w:lang w:val="en-US" w:eastAsia="zh-CN"/>
        </w:rPr>
        <w:t>Waste Management</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(2023)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Government of Canada</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https://www.canada.ca</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137 </w:t>
      </w:r>
      <w:r>
        <w:rPr>
          <w:rFonts w:ascii="Times New Roman" w:eastAsia="DengXian" w:hAnsi="Times New Roman" w:cs="Times New Roman"/>
          <w:sz w:val="28"/>
          <w:szCs w:val="28"/>
          <w:lang w:val="en-US" w:eastAsia="zh-CN"/>
        </w:rPr>
        <w:t>National Waste Policy</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(2023)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Australian Government</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17" w:history="1">
        <w:r>
          <w:rPr>
            <w:rStyle w:val="ab"/>
            <w:rFonts w:ascii="Times New Roman" w:eastAsia="DengXian" w:hAnsi="Times New Roman" w:cs="Times New Roman"/>
            <w:color w:val="auto"/>
            <w:sz w:val="28"/>
            <w:szCs w:val="28"/>
            <w:u w:val="none"/>
            <w:lang w:val="en-US" w:eastAsia="zh-CN"/>
          </w:rPr>
          <w:t>https://www.dcceew.gov.au</w:t>
        </w:r>
      </w:hyperlink>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138 </w:t>
      </w:r>
      <w:r>
        <w:rPr>
          <w:rFonts w:ascii="Times New Roman" w:eastAsia="DengXian" w:hAnsi="Times New Roman" w:cs="Times New Roman"/>
          <w:sz w:val="28"/>
          <w:szCs w:val="28"/>
          <w:lang w:val="en-US" w:eastAsia="zh-CN"/>
        </w:rPr>
        <w:t>Sound Material-Cycle Society Act (2022)</w:t>
      </w:r>
      <w:r>
        <w:rPr>
          <w:rFonts w:ascii="Times New Roman" w:eastAsia="DengXian" w:hAnsi="Times New Roman" w:cs="Times New Roman"/>
          <w:sz w:val="28"/>
          <w:szCs w:val="28"/>
          <w:lang w:val="kk-KZ" w:eastAsia="zh-CN"/>
        </w:rPr>
        <w:t xml:space="preserve"> / </w:t>
      </w:r>
      <w:r>
        <w:rPr>
          <w:rFonts w:ascii="Times New Roman" w:eastAsia="DengXian" w:hAnsi="Times New Roman" w:cs="Times New Roman"/>
          <w:sz w:val="28"/>
          <w:szCs w:val="28"/>
          <w:lang w:val="en-US" w:eastAsia="zh-CN"/>
        </w:rPr>
        <w:t>Government of Japan</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118" w:history="1">
        <w:r>
          <w:rPr>
            <w:rStyle w:val="ab"/>
            <w:rFonts w:ascii="Times New Roman" w:eastAsia="DengXian" w:hAnsi="Times New Roman" w:cs="Times New Roman"/>
            <w:color w:val="auto"/>
            <w:sz w:val="28"/>
            <w:szCs w:val="28"/>
            <w:u w:val="none"/>
            <w:lang w:val="en-US" w:eastAsia="zh-CN"/>
          </w:rPr>
          <w:t>https://www.env.go.jp</w:t>
        </w:r>
      </w:hyperlink>
      <w:r>
        <w:rPr>
          <w:rFonts w:ascii="Times New Roman" w:eastAsia="DengXian" w:hAnsi="Times New Roman" w:cs="Times New Roman"/>
          <w:sz w:val="28"/>
          <w:szCs w:val="28"/>
          <w:lang w:val="en-US" w:eastAsia="zh-CN"/>
        </w:rPr>
        <w:t>. 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139 </w:t>
      </w:r>
      <w:r>
        <w:rPr>
          <w:rFonts w:ascii="Times New Roman" w:eastAsia="DengXian" w:hAnsi="Times New Roman" w:cs="Times New Roman"/>
          <w:sz w:val="28"/>
          <w:szCs w:val="28"/>
          <w:lang w:val="en-US" w:eastAsia="zh-CN"/>
        </w:rPr>
        <w:t>Kor</w:t>
      </w:r>
      <w:r>
        <w:rPr>
          <w:rFonts w:ascii="Times New Roman" w:eastAsia="DengXian" w:hAnsi="Times New Roman" w:cs="Times New Roman"/>
          <w:sz w:val="28"/>
          <w:szCs w:val="28"/>
          <w:lang w:val="en-US" w:eastAsia="zh-CN"/>
        </w:rPr>
        <w:t xml:space="preserve">ean Ministry of Environment (2023) // </w:t>
      </w:r>
      <w:hyperlink r:id="rId119" w:history="1">
        <w:r>
          <w:rPr>
            <w:rStyle w:val="ab"/>
            <w:rFonts w:ascii="Times New Roman" w:eastAsia="DengXian" w:hAnsi="Times New Roman" w:cs="Times New Roman"/>
            <w:color w:val="auto"/>
            <w:sz w:val="28"/>
            <w:szCs w:val="28"/>
            <w:u w:val="none"/>
            <w:lang w:val="en-US" w:eastAsia="zh-CN"/>
          </w:rPr>
          <w:t>https://www.me.go.</w:t>
        </w:r>
      </w:hyperlink>
      <w:r>
        <w:rPr>
          <w:rFonts w:ascii="Times New Roman" w:eastAsia="DengXian" w:hAnsi="Times New Roman" w:cs="Times New Roman"/>
          <w:sz w:val="28"/>
          <w:szCs w:val="28"/>
          <w:lang w:val="en-US" w:eastAsia="zh-CN"/>
        </w:rPr>
        <w:t xml:space="preserve"> 10.11.2024.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140 </w:t>
      </w:r>
      <w:r>
        <w:rPr>
          <w:rFonts w:ascii="Times New Roman" w:eastAsia="DengXian" w:hAnsi="Times New Roman" w:cs="Times New Roman"/>
          <w:sz w:val="28"/>
          <w:szCs w:val="28"/>
          <w:lang w:val="en-US" w:eastAsia="zh-CN"/>
        </w:rPr>
        <w:t xml:space="preserve">Ministry of Ecology and Environment of China (2022) // </w:t>
      </w:r>
      <w:hyperlink r:id="rId120" w:history="1">
        <w:r>
          <w:rPr>
            <w:rStyle w:val="ab"/>
            <w:rFonts w:ascii="Times New Roman" w:eastAsia="DengXian" w:hAnsi="Times New Roman" w:cs="Times New Roman"/>
            <w:color w:val="auto"/>
            <w:sz w:val="28"/>
            <w:szCs w:val="28"/>
            <w:u w:val="none"/>
            <w:lang w:val="en-US" w:eastAsia="zh-CN"/>
          </w:rPr>
          <w:t>http://english.mee.gov.cn</w:t>
        </w:r>
      </w:hyperlink>
      <w:r>
        <w:rPr>
          <w:rFonts w:ascii="Times New Roman" w:eastAsia="DengXian" w:hAnsi="Times New Roman" w:cs="Times New Roman"/>
          <w:sz w:val="28"/>
          <w:szCs w:val="28"/>
          <w:lang w:val="en-US" w:eastAsia="zh-CN"/>
        </w:rPr>
        <w:t>. 10.11.2024.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141 </w:t>
      </w:r>
      <w:r>
        <w:rPr>
          <w:rFonts w:ascii="Times New Roman" w:eastAsia="DengXian" w:hAnsi="Times New Roman" w:cs="Times New Roman"/>
          <w:sz w:val="28"/>
          <w:szCs w:val="28"/>
          <w:lang w:val="en-US" w:eastAsia="zh-CN"/>
        </w:rPr>
        <w:t>Waste Ma</w:t>
      </w:r>
      <w:r>
        <w:rPr>
          <w:rFonts w:ascii="Times New Roman" w:eastAsia="DengXian" w:hAnsi="Times New Roman" w:cs="Times New Roman"/>
          <w:sz w:val="28"/>
          <w:szCs w:val="28"/>
          <w:lang w:val="en-US" w:eastAsia="zh-CN"/>
        </w:rPr>
        <w:t xml:space="preserve">nagement Regulations (2023) / US EPA // </w:t>
      </w:r>
      <w:hyperlink r:id="rId121" w:tgtFrame="_new" w:history="1">
        <w:r>
          <w:rPr>
            <w:rFonts w:ascii="Times New Roman" w:eastAsia="DengXian" w:hAnsi="Times New Roman" w:cs="Times New Roman"/>
            <w:sz w:val="28"/>
            <w:szCs w:val="28"/>
            <w:lang w:val="en-US" w:eastAsia="zh-CN"/>
          </w:rPr>
          <w:t>https://www.epa.gov</w:t>
        </w:r>
      </w:hyperlink>
      <w:r>
        <w:rPr>
          <w:rFonts w:ascii="Times New Roman" w:eastAsia="DengXian" w:hAnsi="Times New Roman" w:cs="Times New Roman"/>
          <w:sz w:val="28"/>
          <w:szCs w:val="28"/>
          <w:lang w:val="en-US" w:eastAsia="zh-CN"/>
        </w:rPr>
        <w:t>. 09.09.2025.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142 </w:t>
      </w:r>
      <w:r>
        <w:rPr>
          <w:rFonts w:ascii="Times New Roman" w:eastAsia="DengXian" w:hAnsi="Times New Roman" w:cs="Times New Roman"/>
          <w:sz w:val="28"/>
          <w:szCs w:val="28"/>
          <w:lang w:eastAsia="zh-CN"/>
        </w:rPr>
        <w:t>Қазақстан</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Республикасының</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Экология</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val="kk-KZ" w:eastAsia="zh-CN"/>
        </w:rPr>
        <w:t>кодексі: 2021 жылдың 2 қантарда, №400 қабылданған //</w:t>
      </w:r>
      <w:r>
        <w:rPr>
          <w:rFonts w:ascii="Times New Roman" w:eastAsia="DengXian" w:hAnsi="Times New Roman" w:cs="Times New Roman"/>
          <w:sz w:val="28"/>
          <w:szCs w:val="28"/>
          <w:lang w:val="en-US" w:eastAsia="zh-CN"/>
        </w:rPr>
        <w:t xml:space="preserve"> </w:t>
      </w:r>
      <w:hyperlink r:id="rId122" w:tgtFrame="_new" w:history="1">
        <w:r>
          <w:rPr>
            <w:rFonts w:ascii="Times New Roman" w:eastAsia="DengXian" w:hAnsi="Times New Roman" w:cs="Times New Roman"/>
            <w:sz w:val="28"/>
            <w:szCs w:val="28"/>
            <w:lang w:val="en-US" w:eastAsia="zh-CN"/>
          </w:rPr>
          <w:t>https://adilet.zan.kz</w:t>
        </w:r>
      </w:hyperlink>
      <w:r>
        <w:rPr>
          <w:rFonts w:ascii="Times New Roman" w:eastAsia="DengXian" w:hAnsi="Times New Roman" w:cs="Times New Roman"/>
          <w:sz w:val="28"/>
          <w:szCs w:val="28"/>
          <w:lang w:val="en-US" w:eastAsia="zh-CN"/>
        </w:rPr>
        <w:t>. 09.09.2025.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143 </w:t>
      </w:r>
      <w:r>
        <w:rPr>
          <w:rFonts w:ascii="Times New Roman" w:eastAsia="DengXian" w:hAnsi="Times New Roman" w:cs="Times New Roman"/>
          <w:sz w:val="28"/>
          <w:szCs w:val="28"/>
          <w:lang w:val="en-US" w:eastAsia="zh-CN"/>
        </w:rPr>
        <w:t xml:space="preserve">Environmental Protection Agency – Environmental Risk (2023) / US EPA // </w:t>
      </w:r>
      <w:hyperlink r:id="rId123" w:tgtFrame="_new" w:history="1">
        <w:r>
          <w:rPr>
            <w:rFonts w:ascii="Times New Roman" w:eastAsia="DengXian" w:hAnsi="Times New Roman" w:cs="Times New Roman"/>
            <w:sz w:val="28"/>
            <w:szCs w:val="28"/>
            <w:lang w:val="en-US" w:eastAsia="zh-CN"/>
          </w:rPr>
          <w:t>https://www.epa.gov</w:t>
        </w:r>
      </w:hyperlink>
      <w:r>
        <w:rPr>
          <w:rFonts w:ascii="Times New Roman" w:eastAsia="DengXian" w:hAnsi="Times New Roman" w:cs="Times New Roman"/>
          <w:sz w:val="28"/>
          <w:szCs w:val="28"/>
          <w:lang w:val="en-US" w:eastAsia="zh-CN"/>
        </w:rPr>
        <w:t>. 07.08.2024.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144 </w:t>
      </w:r>
      <w:r>
        <w:rPr>
          <w:rFonts w:ascii="Times New Roman" w:eastAsia="DengXian" w:hAnsi="Times New Roman" w:cs="Times New Roman"/>
          <w:sz w:val="28"/>
          <w:szCs w:val="28"/>
          <w:lang w:val="en-US" w:eastAsia="zh-CN"/>
        </w:rPr>
        <w:t xml:space="preserve">European Commission (2022). Environmental Impact Assessment Directive. </w:t>
      </w:r>
      <w:hyperlink r:id="rId124" w:history="1">
        <w:r>
          <w:rPr>
            <w:rStyle w:val="ab"/>
            <w:rFonts w:ascii="Times New Roman" w:eastAsia="DengXian" w:hAnsi="Times New Roman" w:cs="Times New Roman"/>
            <w:color w:val="auto"/>
            <w:sz w:val="28"/>
            <w:szCs w:val="28"/>
            <w:u w:val="none"/>
            <w:lang w:val="en-US" w:eastAsia="zh-CN"/>
          </w:rPr>
          <w:t>https://environment.ec.europa.eu</w:t>
        </w:r>
      </w:hyperlink>
      <w:r>
        <w:rPr>
          <w:rStyle w:val="ab"/>
          <w:rFonts w:ascii="Times New Roman" w:eastAsia="DengXian" w:hAnsi="Times New Roman" w:cs="Times New Roman"/>
          <w:color w:val="auto"/>
          <w:sz w:val="28"/>
          <w:szCs w:val="28"/>
          <w:u w:val="none"/>
          <w:lang w:val="en-US" w:eastAsia="zh-CN"/>
        </w:rPr>
        <w:t>. 07.08.2024.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145 Impact Assessment Act (2023) / Government of Canada</w:t>
      </w:r>
      <w:r>
        <w:rPr>
          <w:lang w:val="en-US"/>
        </w:rPr>
        <w:t xml:space="preserve"> // </w:t>
      </w:r>
      <w:hyperlink r:id="rId125" w:history="1">
        <w:r>
          <w:rPr>
            <w:rStyle w:val="ab"/>
            <w:rFonts w:ascii="Times New Roman" w:eastAsia="DengXian" w:hAnsi="Times New Roman" w:cs="Times New Roman"/>
            <w:color w:val="auto"/>
            <w:sz w:val="28"/>
            <w:szCs w:val="28"/>
            <w:u w:val="none"/>
            <w:lang w:val="en-US" w:eastAsia="zh-CN"/>
          </w:rPr>
          <w:t>https://www.canada.ca</w:t>
        </w:r>
      </w:hyperlink>
      <w:r>
        <w:rPr>
          <w:rStyle w:val="ab"/>
          <w:rFonts w:ascii="Times New Roman" w:eastAsia="DengXian" w:hAnsi="Times New Roman" w:cs="Times New Roman"/>
          <w:color w:val="auto"/>
          <w:sz w:val="28"/>
          <w:szCs w:val="28"/>
          <w:u w:val="none"/>
          <w:lang w:val="en-US" w:eastAsia="zh-CN"/>
        </w:rPr>
        <w:t>. 07.08.2024.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 xml:space="preserve">146 Environment Protection and Biodiversity Conservation Act (2023) / Australian Government // </w:t>
      </w:r>
      <w:hyperlink r:id="rId126" w:history="1">
        <w:r>
          <w:rPr>
            <w:rStyle w:val="ab"/>
            <w:rFonts w:ascii="Times New Roman" w:eastAsia="DengXian" w:hAnsi="Times New Roman" w:cs="Times New Roman"/>
            <w:color w:val="auto"/>
            <w:sz w:val="28"/>
            <w:szCs w:val="28"/>
            <w:u w:val="none"/>
            <w:lang w:val="en-US" w:eastAsia="zh-CN"/>
          </w:rPr>
          <w:t>https://www.dcceew.gov.au</w:t>
        </w:r>
      </w:hyperlink>
      <w:r>
        <w:rPr>
          <w:rFonts w:ascii="Times New Roman" w:eastAsia="DengXian" w:hAnsi="Times New Roman" w:cs="Times New Roman"/>
          <w:sz w:val="28"/>
          <w:szCs w:val="28"/>
          <w:lang w:val="en-US" w:eastAsia="zh-CN"/>
        </w:rPr>
        <w:t>. 07.08.2024.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147 </w:t>
      </w:r>
      <w:r>
        <w:rPr>
          <w:rFonts w:ascii="Times New Roman" w:eastAsia="DengXian" w:hAnsi="Times New Roman" w:cs="Times New Roman"/>
          <w:sz w:val="28"/>
          <w:szCs w:val="28"/>
          <w:lang w:val="en-US" w:eastAsia="zh-CN"/>
        </w:rPr>
        <w:t xml:space="preserve">Environmental Impact Assessment Act (2022) / Government of Japan // </w:t>
      </w:r>
      <w:hyperlink r:id="rId127" w:history="1">
        <w:r>
          <w:rPr>
            <w:rStyle w:val="ab"/>
            <w:rFonts w:ascii="Times New Roman" w:eastAsia="DengXian" w:hAnsi="Times New Roman" w:cs="Times New Roman"/>
            <w:color w:val="auto"/>
            <w:sz w:val="28"/>
            <w:szCs w:val="28"/>
            <w:u w:val="none"/>
            <w:lang w:val="en-US" w:eastAsia="zh-CN"/>
          </w:rPr>
          <w:t>https://www.env.go.jp</w:t>
        </w:r>
      </w:hyperlink>
      <w:r>
        <w:rPr>
          <w:rFonts w:ascii="Times New Roman" w:eastAsia="DengXian" w:hAnsi="Times New Roman" w:cs="Times New Roman"/>
          <w:sz w:val="28"/>
          <w:szCs w:val="28"/>
          <w:lang w:val="en-US" w:eastAsia="zh-CN"/>
        </w:rPr>
        <w:t>. 07.08.2024.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148 </w:t>
      </w:r>
      <w:r>
        <w:rPr>
          <w:rFonts w:ascii="Times New Roman" w:eastAsia="DengXian" w:hAnsi="Times New Roman" w:cs="Times New Roman"/>
          <w:sz w:val="28"/>
          <w:szCs w:val="28"/>
          <w:lang w:val="en-US" w:eastAsia="zh-CN"/>
        </w:rPr>
        <w:t xml:space="preserve">Report on the State of the Ecology and Environment in Beijing (2022) // </w:t>
      </w:r>
      <w:hyperlink r:id="rId128" w:history="1">
        <w:r>
          <w:rPr>
            <w:rStyle w:val="ab"/>
            <w:rFonts w:ascii="Times New Roman" w:eastAsia="DengXian" w:hAnsi="Times New Roman" w:cs="Times New Roman"/>
            <w:color w:val="auto"/>
            <w:sz w:val="28"/>
            <w:szCs w:val="28"/>
            <w:u w:val="none"/>
            <w:lang w:val="en-US" w:eastAsia="zh-CN"/>
          </w:rPr>
          <w:t>https://sthjj.beijing.gov.cn/bjhrb/index/xxgk69/sthjlyzwg/.</w:t>
        </w:r>
      </w:hyperlink>
      <w:r>
        <w:rPr>
          <w:rStyle w:val="ab"/>
          <w:rFonts w:ascii="Times New Roman" w:eastAsia="DengXian" w:hAnsi="Times New Roman" w:cs="Times New Roman"/>
          <w:color w:val="auto"/>
          <w:sz w:val="28"/>
          <w:szCs w:val="28"/>
          <w:u w:val="none"/>
          <w:lang w:val="en-US" w:eastAsia="zh-CN"/>
        </w:rPr>
        <w:t xml:space="preserve"> 07.08.2024.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149 </w:t>
      </w:r>
      <w:r>
        <w:rPr>
          <w:rFonts w:ascii="Times New Roman" w:eastAsia="DengXian" w:hAnsi="Times New Roman" w:cs="Times New Roman"/>
          <w:sz w:val="28"/>
          <w:szCs w:val="28"/>
          <w:lang w:val="en-US" w:eastAsia="zh-CN"/>
        </w:rPr>
        <w:t xml:space="preserve">The State of Agricultural Commodity Markets (2023) / FAO // </w:t>
      </w:r>
      <w:hyperlink r:id="rId129" w:tgtFrame="_new" w:history="1">
        <w:r>
          <w:rPr>
            <w:rFonts w:ascii="Times New Roman" w:eastAsia="DengXian" w:hAnsi="Times New Roman" w:cs="Times New Roman"/>
            <w:sz w:val="28"/>
            <w:szCs w:val="28"/>
            <w:lang w:val="en-US" w:eastAsia="zh-CN"/>
          </w:rPr>
          <w:t>https://www.fao.o</w:t>
        </w:r>
        <w:r>
          <w:rPr>
            <w:rFonts w:ascii="Times New Roman" w:eastAsia="DengXian" w:hAnsi="Times New Roman" w:cs="Times New Roman"/>
            <w:sz w:val="28"/>
            <w:szCs w:val="28"/>
            <w:lang w:val="en-US" w:eastAsia="zh-CN"/>
          </w:rPr>
          <w:t>rg</w:t>
        </w:r>
      </w:hyperlink>
      <w:r>
        <w:rPr>
          <w:rFonts w:ascii="Times New Roman" w:eastAsia="DengXian" w:hAnsi="Times New Roman" w:cs="Times New Roman"/>
          <w:sz w:val="28"/>
          <w:szCs w:val="28"/>
          <w:lang w:val="en-US" w:eastAsia="zh-CN"/>
        </w:rPr>
        <w:t>. 06.07.2025.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150 </w:t>
      </w:r>
      <w:r>
        <w:rPr>
          <w:rFonts w:ascii="Times New Roman" w:eastAsia="DengXian" w:hAnsi="Times New Roman" w:cs="Times New Roman"/>
          <w:sz w:val="28"/>
          <w:szCs w:val="28"/>
          <w:lang w:val="en-US" w:eastAsia="zh-CN"/>
        </w:rPr>
        <w:t xml:space="preserve">U.S. Agricultural Trade (2023) / USDA // </w:t>
      </w:r>
      <w:hyperlink r:id="rId130" w:history="1">
        <w:r>
          <w:rPr>
            <w:rStyle w:val="ab"/>
            <w:rFonts w:ascii="Times New Roman" w:eastAsia="DengXian" w:hAnsi="Times New Roman" w:cs="Times New Roman"/>
            <w:color w:val="auto"/>
            <w:sz w:val="28"/>
            <w:szCs w:val="28"/>
            <w:u w:val="none"/>
            <w:lang w:val="en-US" w:eastAsia="zh-CN"/>
          </w:rPr>
          <w:t>https://www.usda.</w:t>
        </w:r>
      </w:hyperlink>
      <w:r>
        <w:rPr>
          <w:rFonts w:ascii="Times New Roman" w:eastAsia="DengXian" w:hAnsi="Times New Roman" w:cs="Times New Roman"/>
          <w:sz w:val="28"/>
          <w:szCs w:val="28"/>
          <w:lang w:val="en-US" w:eastAsia="zh-CN"/>
        </w:rPr>
        <w:t xml:space="preserve">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151 EU Agri-Food Trade Statistical Factsheet (2023) / European Commission</w:t>
      </w:r>
      <w:r>
        <w:rPr>
          <w:rFonts w:ascii="Times New Roman" w:hAnsi="Times New Roman" w:cs="Times New Roman"/>
          <w:sz w:val="28"/>
          <w:szCs w:val="28"/>
          <w:lang w:val="en-US"/>
        </w:rPr>
        <w:t xml:space="preserve"> // </w:t>
      </w:r>
      <w:hyperlink r:id="rId131" w:history="1">
        <w:r>
          <w:rPr>
            <w:rStyle w:val="ab"/>
            <w:rFonts w:ascii="Times New Roman" w:eastAsia="DengXian" w:hAnsi="Times New Roman" w:cs="Times New Roman"/>
            <w:color w:val="auto"/>
            <w:sz w:val="28"/>
            <w:szCs w:val="28"/>
            <w:u w:val="none"/>
            <w:lang w:val="en-US" w:eastAsia="zh-CN"/>
          </w:rPr>
          <w:t>https://agriculture.ec.europa.eu</w:t>
        </w:r>
      </w:hyperlink>
      <w:r>
        <w:rPr>
          <w:rStyle w:val="ab"/>
          <w:rFonts w:ascii="Times New Roman" w:eastAsia="DengXian" w:hAnsi="Times New Roman" w:cs="Times New Roman"/>
          <w:color w:val="auto"/>
          <w:sz w:val="28"/>
          <w:szCs w:val="28"/>
          <w:u w:val="none"/>
          <w:lang w:val="en-US" w:eastAsia="zh-CN"/>
        </w:rPr>
        <w:t>.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 xml:space="preserve">152 Food Security and Agricultural Trade (2022) / MAFF Japan // </w:t>
      </w:r>
      <w:hyperlink r:id="rId132" w:history="1">
        <w:r>
          <w:rPr>
            <w:rStyle w:val="ab"/>
            <w:rFonts w:ascii="Times New Roman" w:eastAsia="DengXian" w:hAnsi="Times New Roman" w:cs="Times New Roman"/>
            <w:color w:val="auto"/>
            <w:sz w:val="28"/>
            <w:szCs w:val="28"/>
            <w:u w:val="none"/>
            <w:lang w:val="en-US" w:eastAsia="zh-CN"/>
          </w:rPr>
          <w:t>https://www.maff.go.jp</w:t>
        </w:r>
      </w:hyperlink>
      <w:r>
        <w:rPr>
          <w:rFonts w:ascii="Times New Roman" w:eastAsia="DengXian" w:hAnsi="Times New Roman" w:cs="Times New Roman"/>
          <w:sz w:val="28"/>
          <w:szCs w:val="28"/>
          <w:lang w:val="en-US" w:eastAsia="zh-CN"/>
        </w:rPr>
        <w:t>.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153 </w:t>
      </w:r>
      <w:r>
        <w:rPr>
          <w:rFonts w:ascii="Times New Roman" w:eastAsia="DengXian" w:hAnsi="Times New Roman" w:cs="Times New Roman"/>
          <w:sz w:val="28"/>
          <w:szCs w:val="28"/>
          <w:lang w:val="en-US" w:eastAsia="zh-CN"/>
        </w:rPr>
        <w:t>Korea Rural Economic Institute – Agri-food Trade Trends (2023) /</w:t>
      </w:r>
      <w:r>
        <w:rPr>
          <w:rFonts w:ascii="Times New Roman" w:eastAsia="DengXian" w:hAnsi="Times New Roman" w:cs="Times New Roman"/>
          <w:sz w:val="28"/>
          <w:szCs w:val="28"/>
          <w:lang w:val="en-US" w:eastAsia="zh-CN"/>
        </w:rPr>
        <w:t xml:space="preserve"> KREI // </w:t>
      </w:r>
      <w:hyperlink r:id="rId133" w:history="1">
        <w:r>
          <w:rPr>
            <w:rStyle w:val="ab"/>
            <w:rFonts w:ascii="Times New Roman" w:eastAsia="DengXian" w:hAnsi="Times New Roman" w:cs="Times New Roman"/>
            <w:color w:val="auto"/>
            <w:sz w:val="28"/>
            <w:szCs w:val="28"/>
            <w:u w:val="none"/>
            <w:lang w:val="en-US" w:eastAsia="zh-CN"/>
          </w:rPr>
          <w:t>https://www.krei.re.kr</w:t>
        </w:r>
      </w:hyperlink>
      <w:r>
        <w:rPr>
          <w:rFonts w:ascii="Times New Roman" w:eastAsia="DengXian" w:hAnsi="Times New Roman" w:cs="Times New Roman"/>
          <w:sz w:val="28"/>
          <w:szCs w:val="28"/>
          <w:lang w:val="en-US" w:eastAsia="zh-CN"/>
        </w:rPr>
        <w:t>.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en-US" w:eastAsia="zh-CN"/>
        </w:rPr>
        <w:t xml:space="preserve">154 China Agricultural Outlook Report (2022) / Ministry of Ecology and Environment of China // </w:t>
      </w:r>
      <w:hyperlink r:id="rId134" w:history="1">
        <w:r>
          <w:rPr>
            <w:rStyle w:val="ab"/>
            <w:rFonts w:ascii="Times New Roman" w:eastAsia="DengXian" w:hAnsi="Times New Roman" w:cs="Times New Roman"/>
            <w:color w:val="auto"/>
            <w:sz w:val="28"/>
            <w:szCs w:val="28"/>
            <w:u w:val="none"/>
            <w:lang w:val="en-US" w:eastAsia="zh-CN"/>
          </w:rPr>
          <w:t>http://english.mee.gov.cn</w:t>
        </w:r>
      </w:hyperlink>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06.06.20</w:t>
      </w:r>
      <w:r>
        <w:rPr>
          <w:rFonts w:ascii="Times New Roman" w:eastAsia="DengXian" w:hAnsi="Times New Roman" w:cs="Times New Roman"/>
          <w:sz w:val="28"/>
          <w:szCs w:val="28"/>
          <w:lang w:eastAsia="zh-CN"/>
        </w:rPr>
        <w:t>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155 </w:t>
      </w:r>
      <w:r>
        <w:rPr>
          <w:rFonts w:ascii="Times New Roman" w:eastAsia="DengXian" w:hAnsi="Times New Roman" w:cs="Times New Roman"/>
          <w:sz w:val="28"/>
          <w:szCs w:val="28"/>
          <w:lang w:eastAsia="zh-CN"/>
        </w:rPr>
        <w:t>Қазақстанның</w:t>
      </w:r>
      <w:r>
        <w:rPr>
          <w:rFonts w:ascii="Times New Roman" w:eastAsia="DengXian" w:hAnsi="Times New Roman" w:cs="Times New Roman"/>
          <w:sz w:val="28"/>
          <w:szCs w:val="28"/>
          <w:lang w:eastAsia="zh-CN"/>
        </w:rPr>
        <w:t xml:space="preserve"> сыртқы саудасы (2023) / ҚР Ұлттық статистика бюросы // </w:t>
      </w:r>
      <w:hyperlink r:id="rId135"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stat</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gov</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hyperlink>
      <w:r>
        <w:rPr>
          <w:rStyle w:val="ab"/>
          <w:rFonts w:ascii="Times New Roman" w:eastAsia="DengXian" w:hAnsi="Times New Roman" w:cs="Times New Roman"/>
          <w:color w:val="auto"/>
          <w:sz w:val="28"/>
          <w:szCs w:val="28"/>
          <w:u w:val="none"/>
          <w:lang w:eastAsia="zh-CN"/>
        </w:rPr>
        <w:t>. 06.06.2025.</w:t>
      </w:r>
    </w:p>
    <w:p w:rsidR="005118AF" w:rsidRDefault="00EF60C3">
      <w:pPr>
        <w:tabs>
          <w:tab w:val="left" w:pos="880"/>
          <w:tab w:val="left" w:pos="1276"/>
        </w:tabs>
        <w:spacing w:after="0" w:line="240" w:lineRule="auto"/>
        <w:ind w:firstLine="709"/>
        <w:jc w:val="both"/>
        <w:rPr>
          <w:rFonts w:ascii="Times New Roman" w:eastAsia="Helvetica" w:hAnsi="Times New Roman" w:cs="Times New Roman"/>
          <w:spacing w:val="10"/>
          <w:sz w:val="28"/>
          <w:szCs w:val="28"/>
          <w:lang w:val="en-US"/>
        </w:rPr>
      </w:pPr>
      <w:r>
        <w:rPr>
          <w:rFonts w:ascii="Times New Roman" w:eastAsia="DengXian" w:hAnsi="Times New Roman" w:cs="Times New Roman"/>
          <w:sz w:val="28"/>
          <w:szCs w:val="28"/>
          <w:lang w:val="kk-KZ" w:eastAsia="zh-CN"/>
        </w:rPr>
        <w:t xml:space="preserve">156 </w:t>
      </w:r>
      <w:r>
        <w:rPr>
          <w:rFonts w:ascii="Times New Roman" w:eastAsia="DengXian" w:hAnsi="Times New Roman" w:cs="Times New Roman"/>
          <w:sz w:val="28"/>
          <w:szCs w:val="28"/>
          <w:lang w:eastAsia="zh-CN"/>
        </w:rPr>
        <w:t>Структура внешней торговли Казахстана в течение 20 лет остается несбалансированной /</w:t>
      </w:r>
      <w:r>
        <w:rPr>
          <w:rFonts w:ascii="Times New Roman" w:eastAsia="DengXian" w:hAnsi="Times New Roman" w:cs="Times New Roman"/>
          <w:sz w:val="28"/>
          <w:szCs w:val="28"/>
        </w:rPr>
        <w:t xml:space="preserve">/ </w:t>
      </w:r>
      <w:hyperlink r:id="rId136" w:history="1">
        <w:r>
          <w:rPr>
            <w:rStyle w:val="ab"/>
            <w:rFonts w:ascii="Times New Roman" w:eastAsia="DengXian" w:hAnsi="Times New Roman" w:cs="Times New Roman"/>
            <w:color w:val="auto"/>
            <w:sz w:val="28"/>
            <w:szCs w:val="28"/>
            <w:u w:val="none"/>
          </w:rPr>
          <w:t xml:space="preserve">https://kapital.kz/economic/137926/struktura. </w:t>
        </w:r>
        <w:r>
          <w:rPr>
            <w:rStyle w:val="ab"/>
            <w:rFonts w:ascii="Times New Roman" w:eastAsia="DengXian" w:hAnsi="Times New Roman" w:cs="Times New Roman"/>
            <w:color w:val="auto"/>
            <w:sz w:val="28"/>
            <w:szCs w:val="28"/>
            <w:u w:val="none"/>
            <w:lang w:val="en-US"/>
          </w:rPr>
          <w:t>06.06.2025.</w:t>
        </w:r>
      </w:hyperlink>
    </w:p>
    <w:p w:rsidR="005118AF" w:rsidRDefault="00EF60C3">
      <w:pPr>
        <w:tabs>
          <w:tab w:val="left" w:pos="880"/>
          <w:tab w:val="left" w:pos="1276"/>
        </w:tabs>
        <w:spacing w:after="0" w:line="240" w:lineRule="auto"/>
        <w:ind w:firstLine="709"/>
        <w:jc w:val="both"/>
        <w:rPr>
          <w:rFonts w:ascii="sans-serif" w:eastAsia="sans-serif" w:hAnsi="sans-serif" w:cs="sans-serif"/>
          <w:b/>
          <w:bCs/>
          <w:sz w:val="21"/>
          <w:szCs w:val="21"/>
          <w:lang w:val="en-US"/>
        </w:rPr>
      </w:pPr>
      <w:r>
        <w:rPr>
          <w:rFonts w:ascii="Times New Roman" w:eastAsia="DengXian" w:hAnsi="Times New Roman" w:cs="Times New Roman"/>
          <w:sz w:val="28"/>
          <w:szCs w:val="28"/>
          <w:lang w:val="kk-KZ" w:eastAsia="zh-CN"/>
        </w:rPr>
        <w:t xml:space="preserve">157 </w:t>
      </w:r>
      <w:r>
        <w:rPr>
          <w:rFonts w:ascii="Times New Roman" w:eastAsia="DengXian" w:hAnsi="Times New Roman" w:cs="Times New Roman"/>
          <w:sz w:val="28"/>
          <w:szCs w:val="28"/>
          <w:lang w:val="en-US" w:eastAsia="zh-CN"/>
        </w:rPr>
        <w:t xml:space="preserve">Inflation rate, average consumer prices / </w:t>
      </w:r>
      <w:hyperlink r:id="rId137" w:history="1">
        <w:r>
          <w:rPr>
            <w:rStyle w:val="ab"/>
            <w:rFonts w:ascii="Times New Roman" w:eastAsia="DengXian" w:hAnsi="Times New Roman" w:cs="Times New Roman"/>
            <w:color w:val="auto"/>
            <w:sz w:val="28"/>
            <w:szCs w:val="28"/>
            <w:u w:val="none"/>
            <w:lang w:val="en-US" w:eastAsia="zh-CN"/>
          </w:rPr>
          <w:t>https://www.imf.org/</w:t>
        </w:r>
      </w:hyperlink>
      <w:r>
        <w:rPr>
          <w:rStyle w:val="ab"/>
          <w:rFonts w:ascii="Times New Roman" w:eastAsia="DengXian" w:hAnsi="Times New Roman" w:cs="Times New Roman"/>
          <w:color w:val="auto"/>
          <w:sz w:val="28"/>
          <w:szCs w:val="28"/>
          <w:u w:val="none"/>
          <w:lang w:val="en-US" w:eastAsia="zh-CN"/>
        </w:rPr>
        <w:t>. 06.06.2025.</w:t>
      </w:r>
    </w:p>
    <w:p w:rsidR="005118AF" w:rsidRDefault="00EF60C3">
      <w:pPr>
        <w:tabs>
          <w:tab w:val="left" w:pos="880"/>
          <w:tab w:val="left" w:pos="1276"/>
        </w:tabs>
        <w:spacing w:after="0" w:line="240" w:lineRule="auto"/>
        <w:ind w:firstLine="709"/>
        <w:jc w:val="both"/>
        <w:rPr>
          <w:rFonts w:ascii="Times New Roman" w:eastAsia="sans-serif" w:hAnsi="Times New Roman" w:cs="Times New Roman"/>
          <w:b/>
          <w:bCs/>
          <w:sz w:val="28"/>
          <w:szCs w:val="28"/>
          <w:lang w:val="en-US"/>
        </w:rPr>
      </w:pPr>
      <w:r>
        <w:rPr>
          <w:rFonts w:ascii="Times New Roman" w:eastAsia="DengXian" w:hAnsi="Times New Roman" w:cs="Times New Roman"/>
          <w:sz w:val="28"/>
          <w:szCs w:val="28"/>
          <w:lang w:val="kk-KZ" w:eastAsia="zh-CN"/>
        </w:rPr>
        <w:t xml:space="preserve">158 </w:t>
      </w:r>
      <w:r>
        <w:rPr>
          <w:rFonts w:ascii="Times New Roman" w:eastAsia="DengXian" w:hAnsi="Times New Roman" w:cs="Times New Roman"/>
          <w:sz w:val="28"/>
          <w:szCs w:val="28"/>
          <w:lang w:val="en-US" w:eastAsia="zh-CN"/>
        </w:rPr>
        <w:t xml:space="preserve">Consumer Price Index (CPI) / Statistics Canada's primary measure of inflation // </w:t>
      </w:r>
      <w:hyperlink r:id="rId138" w:history="1">
        <w:r>
          <w:rPr>
            <w:rStyle w:val="ab"/>
            <w:rFonts w:ascii="Times New Roman" w:eastAsia="DengXian" w:hAnsi="Times New Roman" w:cs="Times New Roman"/>
            <w:color w:val="auto"/>
            <w:sz w:val="28"/>
            <w:szCs w:val="28"/>
            <w:u w:val="none"/>
            <w:lang w:val="en-US" w:eastAsia="zh-CN"/>
          </w:rPr>
          <w:t>https://www.statcan.gc.ca/en/topics-start/food-price?utm_</w:t>
        </w:r>
      </w:hyperlink>
      <w:r>
        <w:rPr>
          <w:rStyle w:val="ab"/>
          <w:rFonts w:ascii="Times New Roman" w:eastAsia="DengXian" w:hAnsi="Times New Roman" w:cs="Times New Roman"/>
          <w:color w:val="auto"/>
          <w:sz w:val="28"/>
          <w:szCs w:val="28"/>
          <w:u w:val="none"/>
          <w:lang w:val="en-US" w:eastAsia="zh-CN"/>
        </w:rPr>
        <w:t>.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159 </w:t>
      </w:r>
      <w:r>
        <w:rPr>
          <w:rFonts w:ascii="Times New Roman" w:eastAsia="DengXian" w:hAnsi="Times New Roman" w:cs="Times New Roman"/>
          <w:sz w:val="28"/>
          <w:szCs w:val="28"/>
          <w:lang w:val="en-US" w:eastAsia="zh-CN"/>
        </w:rPr>
        <w:t xml:space="preserve">Consumer Price Index December 2023 // </w:t>
      </w:r>
      <w:hyperlink w:history="1">
        <w:r>
          <w:rPr>
            <w:rStyle w:val="ab"/>
            <w:rFonts w:ascii="Times New Roman" w:eastAsia="DengXian" w:hAnsi="Times New Roman" w:cs="Times New Roman"/>
            <w:color w:val="auto"/>
            <w:sz w:val="28"/>
            <w:szCs w:val="28"/>
            <w:u w:val="none"/>
            <w:lang w:val="en-US" w:eastAsia="zh-CN"/>
          </w:rPr>
          <w:t>https://www.statsnwt. 06.06.2025.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160 </w:t>
      </w:r>
      <w:r>
        <w:rPr>
          <w:rFonts w:ascii="Times New Roman" w:eastAsia="DengXian" w:hAnsi="Times New Roman" w:cs="Times New Roman"/>
          <w:sz w:val="28"/>
          <w:szCs w:val="28"/>
          <w:lang w:val="en-US" w:eastAsia="zh-CN"/>
        </w:rPr>
        <w:t xml:space="preserve">Consumer Price Index: 2020 in review // </w:t>
      </w:r>
      <w:hyperlink r:id="rId139" w:history="1">
        <w:r>
          <w:rPr>
            <w:rStyle w:val="ab"/>
            <w:rFonts w:ascii="Times New Roman" w:eastAsia="DengXian" w:hAnsi="Times New Roman" w:cs="Times New Roman"/>
            <w:color w:val="auto"/>
            <w:sz w:val="28"/>
            <w:szCs w:val="28"/>
            <w:u w:val="none"/>
            <w:lang w:val="en-US" w:eastAsia="zh-CN"/>
          </w:rPr>
          <w:t>https://www.bls.gov/opub/ted/2021/consumer-price-index-2020-in.</w:t>
        </w:r>
      </w:hyperlink>
      <w:r>
        <w:rPr>
          <w:rStyle w:val="a7"/>
          <w:rFonts w:ascii="Times New Roman" w:eastAsia="DengXian" w:hAnsi="Times New Roman" w:cs="Times New Roman"/>
          <w:color w:val="auto"/>
          <w:sz w:val="28"/>
          <w:szCs w:val="28"/>
          <w:u w:val="none"/>
          <w:lang w:val="en-US" w:eastAsia="zh-CN"/>
        </w:rPr>
        <w:t xml:space="preserve">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hAnsi="Times New Roman" w:cs="Times New Roman"/>
          <w:sz w:val="28"/>
          <w:szCs w:val="28"/>
          <w:lang w:val="kk-KZ"/>
        </w:rPr>
        <w:t xml:space="preserve">161 </w:t>
      </w:r>
      <w:hyperlink r:id="rId140" w:history="1">
        <w:r>
          <w:rPr>
            <w:rFonts w:ascii="Times New Roman" w:eastAsia="DengXian" w:hAnsi="Times New Roman" w:cs="Times New Roman"/>
            <w:sz w:val="28"/>
            <w:szCs w:val="28"/>
            <w:lang w:val="en-US" w:eastAsia="zh-CN"/>
          </w:rPr>
          <w:t>Interest rates</w:t>
        </w:r>
      </w:hyperlink>
      <w:r>
        <w:rPr>
          <w:rFonts w:ascii="Times New Roman" w:eastAsia="DengXian" w:hAnsi="Times New Roman" w:cs="Times New Roman"/>
          <w:sz w:val="28"/>
          <w:szCs w:val="28"/>
          <w:lang w:val="en-US" w:eastAsia="zh-CN"/>
        </w:rPr>
        <w:t xml:space="preserve"> / </w:t>
      </w:r>
      <w:hyperlink r:id="rId141" w:history="1">
        <w:r>
          <w:rPr>
            <w:rStyle w:val="ab"/>
            <w:rFonts w:ascii="Times New Roman" w:eastAsia="DengXian" w:hAnsi="Times New Roman" w:cs="Times New Roman"/>
            <w:color w:val="auto"/>
            <w:sz w:val="28"/>
            <w:szCs w:val="28"/>
            <w:u w:val="none"/>
            <w:lang w:val="en-US" w:eastAsia="zh-CN"/>
          </w:rPr>
          <w:t>https://www.bankofcanada.ca/rates</w:t>
        </w:r>
        <w:r>
          <w:rPr>
            <w:rStyle w:val="ab"/>
            <w:rFonts w:ascii="Times New Roman" w:eastAsia="DengXian" w:hAnsi="Times New Roman" w:cs="Times New Roman"/>
            <w:color w:val="auto"/>
            <w:sz w:val="28"/>
            <w:szCs w:val="28"/>
            <w:u w:val="none"/>
            <w:lang w:val="en-US" w:eastAsia="zh-CN"/>
          </w:rPr>
          <w:t>/interest.</w:t>
        </w:r>
      </w:hyperlink>
      <w:r>
        <w:rPr>
          <w:rStyle w:val="ab"/>
          <w:rFonts w:ascii="Times New Roman" w:eastAsia="DengXian" w:hAnsi="Times New Roman" w:cs="Times New Roman"/>
          <w:color w:val="auto"/>
          <w:sz w:val="28"/>
          <w:szCs w:val="28"/>
          <w:u w:val="none"/>
          <w:lang w:val="en-US" w:eastAsia="zh-CN"/>
        </w:rPr>
        <w:t xml:space="preserve"> 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162 </w:t>
      </w:r>
      <w:r>
        <w:rPr>
          <w:rFonts w:ascii="Times New Roman" w:eastAsia="DengXian" w:hAnsi="Times New Roman" w:cs="Times New Roman"/>
          <w:sz w:val="28"/>
          <w:szCs w:val="28"/>
          <w:lang w:val="en-US" w:eastAsia="zh-CN"/>
        </w:rPr>
        <w:t xml:space="preserve">Interest Rates: Long-Term Government Bond Yields: 10-Year: Main (Including Benchmark) // </w:t>
      </w:r>
      <w:hyperlink r:id="rId142" w:history="1">
        <w:r>
          <w:rPr>
            <w:rStyle w:val="ab"/>
            <w:rFonts w:ascii="Times New Roman" w:eastAsia="DengXian" w:hAnsi="Times New Roman" w:cs="Times New Roman"/>
            <w:color w:val="auto"/>
            <w:sz w:val="28"/>
            <w:szCs w:val="28"/>
            <w:u w:val="none"/>
            <w:lang w:val="en-US" w:eastAsia="zh-CN"/>
          </w:rPr>
          <w:t>https://fred.stlouisfed.org/series/.</w:t>
        </w:r>
      </w:hyperlink>
      <w:r>
        <w:rPr>
          <w:rStyle w:val="ab"/>
          <w:rFonts w:ascii="Times New Roman" w:eastAsia="DengXian" w:hAnsi="Times New Roman" w:cs="Times New Roman"/>
          <w:color w:val="auto"/>
          <w:sz w:val="28"/>
          <w:szCs w:val="28"/>
          <w:u w:val="none"/>
          <w:lang w:val="en-US" w:eastAsia="zh-CN"/>
        </w:rPr>
        <w:t xml:space="preserve"> </w:t>
      </w:r>
      <w:r>
        <w:rPr>
          <w:rStyle w:val="ab"/>
          <w:rFonts w:ascii="Times New Roman" w:eastAsia="DengXian" w:hAnsi="Times New Roman" w:cs="Times New Roman"/>
          <w:color w:val="auto"/>
          <w:sz w:val="28"/>
          <w:szCs w:val="28"/>
          <w:u w:val="none"/>
          <w:lang w:eastAsia="zh-CN"/>
        </w:rPr>
        <w:t>06.06.2025.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163 </w:t>
      </w:r>
      <w:r>
        <w:rPr>
          <w:rFonts w:ascii="Times New Roman" w:eastAsia="DengXian" w:hAnsi="Times New Roman" w:cs="Times New Roman"/>
          <w:sz w:val="28"/>
          <w:szCs w:val="28"/>
          <w:lang w:eastAsia="zh-CN"/>
        </w:rPr>
        <w:t xml:space="preserve">Инфляция в Республике Казахстан </w:t>
      </w:r>
      <w:r>
        <w:rPr>
          <w:rFonts w:ascii="Times New Roman" w:eastAsia="DengXian" w:hAnsi="Times New Roman" w:cs="Times New Roman"/>
          <w:sz w:val="28"/>
          <w:szCs w:val="28"/>
          <w:lang w:val="kk-KZ" w:eastAsia="zh-CN"/>
        </w:rPr>
        <w:t xml:space="preserve">/ </w:t>
      </w:r>
      <w:hyperlink r:id="rId143" w:history="1">
        <w:r>
          <w:rPr>
            <w:rStyle w:val="ab"/>
            <w:rFonts w:ascii="Times New Roman" w:eastAsia="DengXian" w:hAnsi="Times New Roman" w:cs="Times New Roman"/>
            <w:color w:val="auto"/>
            <w:sz w:val="28"/>
            <w:szCs w:val="28"/>
            <w:u w:val="none"/>
            <w:lang w:val="kk-KZ" w:eastAsia="zh-CN"/>
          </w:rPr>
          <w:t>https://stat.gov.kz/ru/</w:t>
        </w:r>
        <w:r>
          <w:rPr>
            <w:rStyle w:val="ab"/>
            <w:rFonts w:ascii="Times New Roman" w:eastAsia="DengXian" w:hAnsi="Times New Roman" w:cs="Times New Roman"/>
            <w:color w:val="auto"/>
            <w:sz w:val="28"/>
            <w:szCs w:val="28"/>
            <w:u w:val="none"/>
            <w:lang w:eastAsia="zh-CN"/>
          </w:rPr>
          <w:t>.</w:t>
        </w:r>
      </w:hyperlink>
      <w:r>
        <w:rPr>
          <w:rStyle w:val="ab"/>
          <w:rFonts w:ascii="Times New Roman" w:eastAsia="DengXian" w:hAnsi="Times New Roman" w:cs="Times New Roman"/>
          <w:color w:val="auto"/>
          <w:sz w:val="28"/>
          <w:szCs w:val="28"/>
          <w:u w:val="none"/>
          <w:lang w:eastAsia="zh-CN"/>
        </w:rPr>
        <w:t xml:space="preserve"> 12.12.2025.</w:t>
      </w:r>
    </w:p>
    <w:p w:rsidR="005118AF" w:rsidRDefault="00EF60C3">
      <w:pPr>
        <w:tabs>
          <w:tab w:val="left" w:pos="880"/>
          <w:tab w:val="left" w:pos="1276"/>
        </w:tabs>
        <w:spacing w:after="0" w:line="240" w:lineRule="auto"/>
        <w:ind w:firstLine="709"/>
        <w:jc w:val="both"/>
        <w:rPr>
          <w:rFonts w:ascii="sans-serif" w:eastAsia="sans-serif" w:hAnsi="sans-serif" w:cs="sans-serif"/>
          <w:b/>
          <w:bCs/>
          <w:lang w:val="en-US"/>
        </w:rPr>
      </w:pPr>
      <w:r>
        <w:rPr>
          <w:rFonts w:ascii="Times New Roman" w:eastAsia="DengXian" w:hAnsi="Times New Roman" w:cs="Times New Roman"/>
          <w:sz w:val="28"/>
          <w:szCs w:val="28"/>
          <w:lang w:val="kk-KZ" w:eastAsia="zh-CN"/>
        </w:rPr>
        <w:t xml:space="preserve">164 </w:t>
      </w:r>
      <w:r>
        <w:rPr>
          <w:rFonts w:ascii="Times New Roman" w:eastAsia="DengXian" w:hAnsi="Times New Roman" w:cs="Times New Roman"/>
          <w:sz w:val="28"/>
          <w:szCs w:val="28"/>
          <w:lang w:val="en-US" w:eastAsia="zh-CN"/>
        </w:rPr>
        <w:t xml:space="preserve">Consumer prices // </w:t>
      </w:r>
      <w:hyperlink r:id="rId144" w:history="1">
        <w:r>
          <w:rPr>
            <w:rStyle w:val="ab"/>
            <w:rFonts w:ascii="Times New Roman" w:eastAsia="DengXian" w:hAnsi="Times New Roman" w:cs="Times New Roman"/>
            <w:color w:val="auto"/>
            <w:sz w:val="28"/>
            <w:szCs w:val="28"/>
            <w:u w:val="none"/>
            <w:lang w:val="en-US" w:eastAsia="zh-CN"/>
          </w:rPr>
          <w:t>https://www.istat.it/en/press-release.</w:t>
        </w:r>
      </w:hyperlink>
      <w:r>
        <w:rPr>
          <w:rStyle w:val="ab"/>
          <w:rFonts w:ascii="Times New Roman" w:eastAsia="DengXian" w:hAnsi="Times New Roman" w:cs="Times New Roman"/>
          <w:color w:val="auto"/>
          <w:sz w:val="28"/>
          <w:szCs w:val="28"/>
          <w:u w:val="none"/>
          <w:lang w:val="en-US" w:eastAsia="zh-CN"/>
        </w:rPr>
        <w:t xml:space="preserve"> 12.12.2025.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165 </w:t>
      </w:r>
      <w:r>
        <w:rPr>
          <w:rFonts w:ascii="Times New Roman" w:eastAsia="DengXian" w:hAnsi="Times New Roman" w:cs="Times New Roman"/>
          <w:sz w:val="28"/>
          <w:szCs w:val="28"/>
          <w:lang w:eastAsia="zh-CN"/>
        </w:rPr>
        <w:t xml:space="preserve">Уровень </w:t>
      </w:r>
      <w:r>
        <w:rPr>
          <w:rFonts w:ascii="Times New Roman" w:eastAsia="DengXian" w:hAnsi="Times New Roman" w:cs="Times New Roman"/>
          <w:sz w:val="28"/>
          <w:szCs w:val="28"/>
          <w:lang w:eastAsia="zh-CN"/>
        </w:rPr>
        <w:t>инфляции в Китае</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 xml:space="preserve">// </w:t>
      </w:r>
      <w:hyperlink r:id="rId145"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svspb</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net</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danmark</w:t>
        </w:r>
        <w:r>
          <w:rPr>
            <w:rStyle w:val="ab"/>
            <w:rFonts w:ascii="Times New Roman" w:eastAsia="DengXian" w:hAnsi="Times New Roman" w:cs="Times New Roman"/>
            <w:color w:val="auto"/>
            <w:sz w:val="28"/>
            <w:szCs w:val="28"/>
            <w:u w:val="none"/>
            <w:lang w:eastAsia="zh-CN"/>
          </w:rPr>
          <w:t>/.</w:t>
        </w:r>
      </w:hyperlink>
      <w:r>
        <w:rPr>
          <w:rStyle w:val="ab"/>
          <w:rFonts w:ascii="Times New Roman" w:eastAsia="DengXian" w:hAnsi="Times New Roman" w:cs="Times New Roman"/>
          <w:color w:val="auto"/>
          <w:sz w:val="28"/>
          <w:szCs w:val="28"/>
          <w:u w:val="none"/>
          <w:lang w:eastAsia="zh-CN"/>
        </w:rPr>
        <w:t xml:space="preserve"> </w:t>
      </w:r>
      <w:r>
        <w:rPr>
          <w:rStyle w:val="ab"/>
          <w:rFonts w:ascii="Times New Roman" w:eastAsia="DengXian" w:hAnsi="Times New Roman" w:cs="Times New Roman"/>
          <w:color w:val="auto"/>
          <w:sz w:val="28"/>
          <w:szCs w:val="28"/>
          <w:u w:val="none"/>
          <w:lang w:val="en-US" w:eastAsia="zh-CN"/>
        </w:rPr>
        <w:t>12.12.2025.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 xml:space="preserve">166 Agriculture and Food Research Initiative / United States, 2022 // </w:t>
      </w:r>
      <w:hyperlink r:id="rId146" w:history="1">
        <w:r>
          <w:rPr>
            <w:rStyle w:val="ab"/>
            <w:rFonts w:ascii="Times New Roman" w:eastAsia="DengXian" w:hAnsi="Times New Roman" w:cs="Times New Roman"/>
            <w:color w:val="auto"/>
            <w:sz w:val="28"/>
            <w:szCs w:val="28"/>
            <w:u w:val="none"/>
            <w:lang w:val="en-US" w:eastAsia="zh-CN"/>
          </w:rPr>
          <w:t>https://nifa.usda.gov/program/agriculture-and-food-research-initiative</w:t>
        </w:r>
      </w:hyperlink>
      <w:r>
        <w:rPr>
          <w:rFonts w:ascii="Times New Roman" w:eastAsia="DengXian" w:hAnsi="Times New Roman" w:cs="Times New Roman"/>
          <w:sz w:val="28"/>
          <w:szCs w:val="28"/>
          <w:lang w:val="en-US" w:eastAsia="zh-CN"/>
        </w:rPr>
        <w:t>. 12.12.2025.</w:t>
      </w:r>
    </w:p>
    <w:p w:rsidR="005118AF" w:rsidRDefault="00EF60C3">
      <w:pPr>
        <w:tabs>
          <w:tab w:val="left" w:pos="880"/>
          <w:tab w:val="left" w:pos="1276"/>
        </w:tabs>
        <w:spacing w:after="0" w:line="240" w:lineRule="auto"/>
        <w:ind w:firstLine="709"/>
        <w:jc w:val="both"/>
        <w:rPr>
          <w:rFonts w:ascii="Arial" w:eastAsia="Arial" w:hAnsi="Arial" w:cs="Arial"/>
          <w:sz w:val="24"/>
          <w:szCs w:val="24"/>
          <w:lang w:val="en-US"/>
        </w:rPr>
      </w:pPr>
      <w:r>
        <w:rPr>
          <w:rFonts w:ascii="Times New Roman" w:eastAsia="DengXian" w:hAnsi="Times New Roman" w:cs="Times New Roman"/>
          <w:sz w:val="28"/>
          <w:szCs w:val="28"/>
          <w:lang w:val="en-US" w:eastAsia="zh-CN"/>
        </w:rPr>
        <w:t xml:space="preserve">167 Beginning Farmer and Rancher Development Program / National Institute of Food and Agriculture, 2021 // </w:t>
      </w:r>
      <w:hyperlink r:id="rId147" w:history="1">
        <w:r>
          <w:rPr>
            <w:rStyle w:val="ab"/>
            <w:rFonts w:ascii="Times New Roman" w:eastAsia="DengXian" w:hAnsi="Times New Roman" w:cs="Times New Roman"/>
            <w:color w:val="auto"/>
            <w:sz w:val="28"/>
            <w:szCs w:val="28"/>
            <w:u w:val="none"/>
            <w:lang w:val="en-US" w:eastAsia="zh-CN"/>
          </w:rPr>
          <w:t>https://nifa.usda</w:t>
        </w:r>
        <w:r>
          <w:rPr>
            <w:rStyle w:val="ab"/>
            <w:rFonts w:ascii="Times New Roman" w:eastAsia="DengXian" w:hAnsi="Times New Roman" w:cs="Times New Roman"/>
            <w:color w:val="auto"/>
            <w:sz w:val="28"/>
            <w:szCs w:val="28"/>
            <w:u w:val="none"/>
            <w:lang w:val="en-US" w:eastAsia="zh-CN"/>
          </w:rPr>
          <w:t>.gov/funding</w:t>
        </w:r>
      </w:hyperlink>
      <w:r>
        <w:rPr>
          <w:rFonts w:ascii="Times New Roman" w:eastAsia="DengXian" w:hAnsi="Times New Roman" w:cs="Times New Roman"/>
          <w:sz w:val="28"/>
          <w:szCs w:val="28"/>
          <w:lang w:val="en-US" w:eastAsia="zh-CN"/>
        </w:rPr>
        <w:t>. 12.12.2025.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168 </w:t>
      </w:r>
      <w:r>
        <w:rPr>
          <w:rFonts w:ascii="Times New Roman" w:eastAsia="DengXian" w:hAnsi="Times New Roman" w:cs="Times New Roman"/>
          <w:sz w:val="28"/>
          <w:szCs w:val="28"/>
          <w:lang w:val="en-US" w:eastAsia="zh-CN"/>
        </w:rPr>
        <w:t xml:space="preserve">Canadian Agricultural Partnership / Agriculture and Agri-Food Canada, 2022 // </w:t>
      </w:r>
      <w:hyperlink r:id="rId148" w:history="1">
        <w:r>
          <w:rPr>
            <w:rStyle w:val="ab"/>
            <w:rFonts w:ascii="Times New Roman" w:eastAsia="DengXian" w:hAnsi="Times New Roman" w:cs="Times New Roman"/>
            <w:color w:val="auto"/>
            <w:sz w:val="28"/>
            <w:szCs w:val="28"/>
            <w:u w:val="none"/>
            <w:lang w:val="en-US" w:eastAsia="zh-CN"/>
          </w:rPr>
          <w:t>http://www.agr.gc.ca/eng/about-our-department/key</w:t>
        </w:r>
      </w:hyperlink>
      <w:r>
        <w:rPr>
          <w:rFonts w:ascii="Times New Roman" w:eastAsia="DengXian" w:hAnsi="Times New Roman" w:cs="Times New Roman"/>
          <w:sz w:val="28"/>
          <w:szCs w:val="28"/>
          <w:lang w:val="en-US" w:eastAsia="zh-CN"/>
        </w:rPr>
        <w:t>. 12.12.2025.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169 </w:t>
      </w:r>
      <w:r>
        <w:rPr>
          <w:rFonts w:ascii="Times New Roman" w:eastAsia="DengXian" w:hAnsi="Times New Roman" w:cs="Times New Roman"/>
          <w:sz w:val="28"/>
          <w:szCs w:val="28"/>
          <w:lang w:val="en-US" w:eastAsia="zh-CN"/>
        </w:rPr>
        <w:t xml:space="preserve">Strategic Innovation Fund: About the Program / Innovation, Science and Economic Development Canada. 2023 // </w:t>
      </w:r>
      <w:hyperlink r:id="rId149" w:history="1">
        <w:r>
          <w:rPr>
            <w:rStyle w:val="ab"/>
            <w:rFonts w:ascii="Times New Roman" w:eastAsia="DengXian" w:hAnsi="Times New Roman" w:cs="Times New Roman"/>
            <w:color w:val="auto"/>
            <w:sz w:val="28"/>
            <w:szCs w:val="28"/>
            <w:u w:val="none"/>
            <w:lang w:val="en-US" w:eastAsia="zh-CN"/>
          </w:rPr>
          <w:t>http://www.ic.gc.ca/eic/site/125</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170 </w:t>
      </w:r>
      <w:r>
        <w:rPr>
          <w:rFonts w:ascii="Times New Roman" w:eastAsia="DengXian" w:hAnsi="Times New Roman" w:cs="Times New Roman"/>
          <w:sz w:val="28"/>
          <w:szCs w:val="28"/>
          <w:lang w:val="en-US" w:eastAsia="zh-CN"/>
        </w:rPr>
        <w:t>The Government of Canada Invests in Innovation to</w:t>
      </w:r>
      <w:r>
        <w:rPr>
          <w:rFonts w:ascii="Times New Roman" w:eastAsia="DengXian" w:hAnsi="Times New Roman" w:cs="Times New Roman"/>
          <w:sz w:val="28"/>
          <w:szCs w:val="28"/>
          <w:lang w:val="en-US" w:eastAsia="zh-CN"/>
        </w:rPr>
        <w:t xml:space="preserve"> Advance Canada’s Food Processing. 2019 // </w:t>
      </w:r>
      <w:hyperlink r:id="rId150" w:history="1">
        <w:r>
          <w:rPr>
            <w:rStyle w:val="ab"/>
            <w:rFonts w:ascii="Times New Roman" w:eastAsia="DengXian" w:hAnsi="Times New Roman" w:cs="Times New Roman"/>
            <w:color w:val="auto"/>
            <w:sz w:val="28"/>
            <w:szCs w:val="28"/>
            <w:u w:val="none"/>
            <w:lang w:val="en-US" w:eastAsia="zh-CN"/>
          </w:rPr>
          <w:t>https://www.canada.ca/en/agriculture</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171 </w:t>
      </w:r>
      <w:r>
        <w:rPr>
          <w:rFonts w:ascii="Times New Roman" w:eastAsia="DengXian" w:hAnsi="Times New Roman" w:cs="Times New Roman"/>
          <w:sz w:val="28"/>
          <w:szCs w:val="28"/>
          <w:lang w:val="en-US" w:eastAsia="zh-CN"/>
        </w:rPr>
        <w:t xml:space="preserve">Australia. Current Grants and Assistance / Department of Agriculture, Water and the Environment, 2022 // </w:t>
      </w:r>
      <w:hyperlink r:id="rId151" w:history="1">
        <w:r>
          <w:rPr>
            <w:rStyle w:val="ab"/>
            <w:rFonts w:ascii="Times New Roman" w:eastAsia="DengXian" w:hAnsi="Times New Roman" w:cs="Times New Roman"/>
            <w:color w:val="auto"/>
            <w:sz w:val="28"/>
            <w:szCs w:val="28"/>
            <w:u w:val="none"/>
            <w:lang w:val="en-US" w:eastAsia="zh-CN"/>
          </w:rPr>
          <w:t>https://www.agriculture.gov.</w:t>
        </w:r>
      </w:hyperlink>
      <w:r>
        <w:rPr>
          <w:rStyle w:val="ab"/>
          <w:rFonts w:ascii="Times New Roman" w:eastAsia="DengXian" w:hAnsi="Times New Roman" w:cs="Times New Roman"/>
          <w:color w:val="auto"/>
          <w:sz w:val="28"/>
          <w:szCs w:val="28"/>
          <w:u w:val="none"/>
          <w:lang w:val="en-US" w:eastAsia="zh-CN"/>
        </w:rPr>
        <w:t xml:space="preserve">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172 </w:t>
      </w:r>
      <w:r>
        <w:rPr>
          <w:rFonts w:ascii="Times New Roman" w:eastAsia="DengXian" w:hAnsi="Times New Roman" w:cs="Times New Roman"/>
          <w:sz w:val="28"/>
          <w:szCs w:val="28"/>
          <w:lang w:val="en-US" w:eastAsia="zh-CN"/>
        </w:rPr>
        <w:t xml:space="preserve">Germany. 27th Subsidy Report: 2019–2022 / Federal Ministry of Finance. 2020 // </w:t>
      </w:r>
      <w:hyperlink r:id="rId152" w:history="1">
        <w:r>
          <w:rPr>
            <w:rStyle w:val="ab"/>
            <w:rFonts w:ascii="Times New Roman" w:eastAsia="DengXian" w:hAnsi="Times New Roman" w:cs="Times New Roman"/>
            <w:color w:val="auto"/>
            <w:sz w:val="28"/>
            <w:szCs w:val="28"/>
            <w:u w:val="none"/>
            <w:lang w:val="en-US" w:eastAsia="zh-CN"/>
          </w:rPr>
          <w:t>https://www.bundesfinanzministerium</w:t>
        </w:r>
        <w:r>
          <w:rPr>
            <w:rStyle w:val="ab"/>
            <w:rFonts w:ascii="Times New Roman" w:eastAsia="DengXian" w:hAnsi="Times New Roman" w:cs="Times New Roman"/>
            <w:color w:val="auto"/>
            <w:sz w:val="28"/>
            <w:szCs w:val="28"/>
            <w:u w:val="none"/>
            <w:lang w:val="en-US" w:eastAsia="zh-CN"/>
          </w:rPr>
          <w:t>.de/</w:t>
        </w:r>
      </w:hyperlink>
      <w:r>
        <w:rPr>
          <w:rFonts w:ascii="Times New Roman" w:eastAsia="DengXian" w:hAnsi="Times New Roman" w:cs="Times New Roman"/>
          <w:sz w:val="28"/>
          <w:szCs w:val="28"/>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173 </w:t>
      </w:r>
      <w:r>
        <w:rPr>
          <w:rFonts w:ascii="Times New Roman" w:eastAsia="DengXian" w:hAnsi="Times New Roman" w:cs="Times New Roman"/>
          <w:sz w:val="28"/>
          <w:szCs w:val="28"/>
          <w:lang w:val="en-US" w:eastAsia="zh-CN"/>
        </w:rPr>
        <w:t xml:space="preserve">Italy / Ministero delle Politiche Agricole Alimentary e Forestali // </w:t>
      </w:r>
      <w:hyperlink r:id="rId153" w:history="1">
        <w:r>
          <w:rPr>
            <w:rStyle w:val="ab"/>
            <w:rFonts w:ascii="Times New Roman" w:eastAsia="DengXian" w:hAnsi="Times New Roman" w:cs="Times New Roman"/>
            <w:color w:val="auto"/>
            <w:sz w:val="28"/>
            <w:szCs w:val="28"/>
            <w:u w:val="none"/>
            <w:lang w:val="en-US" w:eastAsia="zh-CN"/>
          </w:rPr>
          <w:t>https://www.politicheagricole.it/flex/cm/pages/ServeBLOB.php</w:t>
        </w:r>
      </w:hyperlink>
      <w:r>
        <w:rPr>
          <w:rFonts w:ascii="Times New Roman" w:eastAsia="DengXian" w:hAnsi="Times New Roman" w:cs="Times New Roman"/>
          <w:sz w:val="28"/>
          <w:szCs w:val="28"/>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174 </w:t>
      </w:r>
      <w:r>
        <w:rPr>
          <w:rFonts w:ascii="Times New Roman" w:eastAsia="DengXian" w:hAnsi="Times New Roman" w:cs="Times New Roman"/>
          <w:sz w:val="28"/>
          <w:szCs w:val="28"/>
          <w:lang w:val="en-US" w:eastAsia="zh-CN"/>
        </w:rPr>
        <w:t>Netherl</w:t>
      </w:r>
      <w:r>
        <w:rPr>
          <w:rFonts w:ascii="Times New Roman" w:eastAsia="DengXian" w:hAnsi="Times New Roman" w:cs="Times New Roman"/>
          <w:sz w:val="28"/>
          <w:szCs w:val="28"/>
          <w:lang w:val="en-US" w:eastAsia="zh-CN"/>
        </w:rPr>
        <w:t>ands. Funding of European Grants. Government of the Netherlands // https://www.government.nl/topi cs/european-grants</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175 </w:t>
      </w:r>
      <w:r>
        <w:rPr>
          <w:rFonts w:ascii="Times New Roman" w:eastAsia="DengXian" w:hAnsi="Times New Roman" w:cs="Times New Roman"/>
          <w:sz w:val="28"/>
          <w:szCs w:val="28"/>
          <w:lang w:val="en-US" w:eastAsia="zh-CN"/>
        </w:rPr>
        <w:t xml:space="preserve">A Guide to Japan’s Aid / Government of Japan // </w:t>
      </w:r>
      <w:hyperlink r:id="rId154" w:history="1">
        <w:r>
          <w:rPr>
            <w:rStyle w:val="ab"/>
            <w:rFonts w:ascii="Times New Roman" w:eastAsia="DengXian" w:hAnsi="Times New Roman" w:cs="Times New Roman"/>
            <w:color w:val="auto"/>
            <w:sz w:val="28"/>
            <w:szCs w:val="28"/>
            <w:u w:val="none"/>
            <w:lang w:val="en-US" w:eastAsia="zh-CN"/>
          </w:rPr>
          <w:t>https://www.mofa.go.</w:t>
        </w:r>
        <w:r>
          <w:rPr>
            <w:rStyle w:val="ab"/>
            <w:rFonts w:ascii="Times New Roman" w:eastAsia="DengXian" w:hAnsi="Times New Roman" w:cs="Times New Roman"/>
            <w:color w:val="auto"/>
            <w:sz w:val="28"/>
            <w:szCs w:val="28"/>
            <w:u w:val="none"/>
            <w:lang w:val="en-US" w:eastAsia="zh-CN"/>
          </w:rPr>
          <w:t>jp/policy/oda/guide/1998/1-6.html</w:t>
        </w:r>
      </w:hyperlink>
      <w:r>
        <w:rPr>
          <w:rFonts w:ascii="Times New Roman" w:eastAsia="DengXian" w:hAnsi="Times New Roman" w:cs="Times New Roman"/>
          <w:sz w:val="28"/>
          <w:szCs w:val="28"/>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176 </w:t>
      </w:r>
      <w:r>
        <w:rPr>
          <w:rFonts w:ascii="Times New Roman" w:eastAsia="DengXian" w:hAnsi="Times New Roman" w:cs="Times New Roman"/>
          <w:sz w:val="28"/>
          <w:szCs w:val="28"/>
          <w:lang w:val="en-US" w:eastAsia="zh-CN"/>
        </w:rPr>
        <w:t xml:space="preserve">What the World Food Programme is doing in China // </w:t>
      </w:r>
      <w:hyperlink r:id="rId155" w:history="1">
        <w:r>
          <w:rPr>
            <w:rStyle w:val="ab"/>
            <w:rFonts w:ascii="Times New Roman" w:eastAsia="DengXian" w:hAnsi="Times New Roman" w:cs="Times New Roman"/>
            <w:color w:val="auto"/>
            <w:sz w:val="28"/>
            <w:szCs w:val="28"/>
            <w:u w:val="none"/>
            <w:lang w:val="en-US" w:eastAsia="zh-CN"/>
          </w:rPr>
          <w:t>https://www.wfp.org/countries/china</w:t>
        </w:r>
      </w:hyperlink>
      <w:r>
        <w:rPr>
          <w:rStyle w:val="ab"/>
          <w:rFonts w:ascii="Times New Roman" w:eastAsia="DengXian" w:hAnsi="Times New Roman" w:cs="Times New Roman"/>
          <w:color w:val="auto"/>
          <w:sz w:val="28"/>
          <w:szCs w:val="28"/>
          <w:u w:val="none"/>
          <w:lang w:val="en-US" w:eastAsia="zh-CN"/>
        </w:rPr>
        <w:t>. 10.12.2025.</w:t>
      </w:r>
    </w:p>
    <w:p w:rsidR="005118AF" w:rsidRDefault="00EF60C3">
      <w:pPr>
        <w:tabs>
          <w:tab w:val="left" w:pos="880"/>
          <w:tab w:val="left" w:pos="1276"/>
        </w:tabs>
        <w:spacing w:after="0" w:line="240" w:lineRule="auto"/>
        <w:ind w:firstLine="709"/>
        <w:jc w:val="both"/>
        <w:rPr>
          <w:rFonts w:ascii="Segoe UI" w:eastAsia="Segoe UI" w:hAnsi="Segoe UI" w:cs="Segoe UI"/>
          <w:b/>
          <w:bCs/>
          <w:lang w:val="en-US"/>
        </w:rPr>
      </w:pPr>
      <w:r>
        <w:rPr>
          <w:rFonts w:ascii="Times New Roman" w:eastAsia="DengXian" w:hAnsi="Times New Roman" w:cs="Times New Roman"/>
          <w:sz w:val="28"/>
          <w:szCs w:val="28"/>
          <w:lang w:val="kk-KZ" w:eastAsia="zh-CN"/>
        </w:rPr>
        <w:t xml:space="preserve">177 </w:t>
      </w:r>
      <w:r>
        <w:rPr>
          <w:rFonts w:ascii="Times New Roman" w:eastAsia="DengXian" w:hAnsi="Times New Roman" w:cs="Times New Roman"/>
          <w:sz w:val="28"/>
          <w:szCs w:val="28"/>
          <w:lang w:val="en-US" w:eastAsia="zh-CN"/>
        </w:rPr>
        <w:t xml:space="preserve">The Republic of Korea contributes USD 37 million to WFP’s humanitarian assistance through the REACH initiative // </w:t>
      </w:r>
      <w:hyperlink r:id="rId156" w:history="1">
        <w:r>
          <w:rPr>
            <w:rStyle w:val="ab"/>
            <w:rFonts w:ascii="Times New Roman" w:eastAsia="DengXian" w:hAnsi="Times New Roman" w:cs="Times New Roman"/>
            <w:color w:val="auto"/>
            <w:sz w:val="28"/>
            <w:szCs w:val="28"/>
            <w:u w:val="none"/>
            <w:lang w:val="en-US" w:eastAsia="zh-CN"/>
          </w:rPr>
          <w:t>https://www.wfp.org/news.</w:t>
        </w:r>
      </w:hyperlink>
      <w:r>
        <w:rPr>
          <w:rStyle w:val="ab"/>
          <w:rFonts w:ascii="Times New Roman" w:eastAsia="DengXian" w:hAnsi="Times New Roman" w:cs="Times New Roman"/>
          <w:color w:val="auto"/>
          <w:sz w:val="28"/>
          <w:szCs w:val="28"/>
          <w:u w:val="none"/>
          <w:lang w:val="en-US" w:eastAsia="zh-CN"/>
        </w:rPr>
        <w:t xml:space="preserve"> 10.12.2025</w:t>
      </w:r>
    </w:p>
    <w:p w:rsidR="005118AF" w:rsidRDefault="00EF60C3">
      <w:pPr>
        <w:tabs>
          <w:tab w:val="left" w:pos="880"/>
          <w:tab w:val="left" w:pos="1276"/>
        </w:tabs>
        <w:spacing w:after="0" w:line="240" w:lineRule="auto"/>
        <w:ind w:firstLine="709"/>
        <w:jc w:val="both"/>
        <w:rPr>
          <w:rStyle w:val="ab"/>
          <w:rFonts w:ascii="Times New Roman" w:eastAsia="DengXian" w:hAnsi="Times New Roman" w:cs="Times New Roman"/>
          <w:color w:val="auto"/>
          <w:sz w:val="28"/>
          <w:szCs w:val="28"/>
          <w:u w:val="none"/>
          <w:lang w:val="en-US"/>
        </w:rPr>
      </w:pPr>
      <w:r>
        <w:rPr>
          <w:rFonts w:ascii="Times New Roman" w:eastAsia="DengXian" w:hAnsi="Times New Roman" w:cs="Times New Roman"/>
          <w:sz w:val="28"/>
          <w:szCs w:val="28"/>
          <w:lang w:val="kk-KZ" w:eastAsia="zh-CN"/>
        </w:rPr>
        <w:t xml:space="preserve">178 </w:t>
      </w:r>
      <w:r>
        <w:rPr>
          <w:rFonts w:ascii="Times New Roman" w:eastAsia="DengXian" w:hAnsi="Times New Roman" w:cs="Times New Roman"/>
          <w:sz w:val="28"/>
          <w:szCs w:val="28"/>
          <w:lang w:eastAsia="zh-CN"/>
        </w:rPr>
        <w:t>Мемлекеттік</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субсидиялар</w:t>
      </w:r>
      <w:r>
        <w:rPr>
          <w:rFonts w:ascii="Times New Roman" w:eastAsia="DengXian" w:hAnsi="Times New Roman" w:cs="Times New Roman"/>
          <w:sz w:val="28"/>
          <w:szCs w:val="28"/>
          <w:lang w:val="en-US" w:eastAsia="zh-CN"/>
        </w:rPr>
        <w:t xml:space="preserve"> / </w:t>
      </w:r>
      <w:hyperlink r:id="rId157" w:history="1">
        <w:r>
          <w:rPr>
            <w:rStyle w:val="ab"/>
            <w:rFonts w:ascii="Times New Roman" w:eastAsia="DengXian" w:hAnsi="Times New Roman" w:cs="Times New Roman"/>
            <w:color w:val="auto"/>
            <w:sz w:val="28"/>
            <w:szCs w:val="28"/>
            <w:u w:val="none"/>
            <w:lang w:val="en-US" w:eastAsia="zh-CN"/>
          </w:rPr>
          <w:t>https://www.kaf.kz/products/subsidies/</w:t>
        </w:r>
      </w:hyperlink>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val="en-US"/>
        </w:rPr>
        <w:fldChar w:fldCharType="begin"/>
      </w:r>
      <w:r w:rsidR="008D1DAE">
        <w:rPr>
          <w:rFonts w:ascii="Times New Roman" w:eastAsia="DengXian" w:hAnsi="Times New Roman" w:cs="Times New Roman"/>
          <w:sz w:val="28"/>
          <w:szCs w:val="28"/>
          <w:lang w:val="en-US"/>
        </w:rPr>
        <w:instrText>HYPERLINK "file://C:\\Users\\user\\Downloads\\179 Foreign direct investment, net inflows (BoP, current US$) \\ World Bank Open Data \\ https:\\data.worldbank.org\\indicator. 06.12.2024.180 Measuring foreign direct investment \\ OECD \\ https:\\www.oecd.org\\en\\topics\\foreign-direct-investment-fdi.html. 06.02.2024."</w:instrText>
      </w:r>
      <w:r w:rsidR="008D1DAE">
        <w:rPr>
          <w:rFonts w:ascii="Times New Roman" w:eastAsia="DengXian" w:hAnsi="Times New Roman" w:cs="Times New Roman"/>
          <w:sz w:val="28"/>
          <w:szCs w:val="28"/>
          <w:lang w:val="en-US"/>
        </w:rPr>
      </w:r>
      <w:r>
        <w:rPr>
          <w:rFonts w:ascii="Times New Roman" w:eastAsia="DengXian" w:hAnsi="Times New Roman" w:cs="Times New Roman"/>
          <w:sz w:val="28"/>
          <w:szCs w:val="28"/>
          <w:lang w:val="en-US"/>
        </w:rPr>
        <w:fldChar w:fldCharType="separate"/>
      </w:r>
    </w:p>
    <w:p w:rsidR="005118AF" w:rsidRDefault="00EF60C3">
      <w:pPr>
        <w:tabs>
          <w:tab w:val="left" w:pos="880"/>
          <w:tab w:val="left" w:pos="1276"/>
        </w:tabs>
        <w:spacing w:after="0" w:line="240" w:lineRule="auto"/>
        <w:ind w:firstLine="709"/>
        <w:jc w:val="both"/>
        <w:rPr>
          <w:rStyle w:val="ab"/>
          <w:rFonts w:ascii="Times New Roman" w:eastAsia="DengXian" w:hAnsi="Times New Roman" w:cs="Times New Roman"/>
          <w:color w:val="auto"/>
          <w:sz w:val="28"/>
          <w:szCs w:val="28"/>
          <w:u w:val="none"/>
          <w:lang w:val="en-US" w:eastAsia="zh-CN"/>
        </w:rPr>
      </w:pPr>
      <w:r>
        <w:rPr>
          <w:rStyle w:val="ab"/>
          <w:rFonts w:ascii="Times New Roman" w:eastAsia="DengXian" w:hAnsi="Times New Roman" w:cs="Times New Roman"/>
          <w:color w:val="auto"/>
          <w:sz w:val="28"/>
          <w:szCs w:val="28"/>
          <w:u w:val="none"/>
          <w:lang w:val="kk-KZ" w:eastAsia="zh-CN"/>
        </w:rPr>
        <w:t xml:space="preserve">179 </w:t>
      </w:r>
      <w:r>
        <w:rPr>
          <w:rStyle w:val="ab"/>
          <w:rFonts w:ascii="Times New Roman" w:eastAsia="DengXian" w:hAnsi="Times New Roman" w:cs="Times New Roman"/>
          <w:color w:val="auto"/>
          <w:sz w:val="28"/>
          <w:szCs w:val="28"/>
          <w:u w:val="none"/>
          <w:lang w:val="en-US" w:eastAsia="zh-CN"/>
        </w:rPr>
        <w:t>Foreign direct investment, net inflows (BoP, current US$) / World Bank Open Data / https://data.worldbank.org/indicator. 06.12.2024.</w:t>
      </w:r>
    </w:p>
    <w:p w:rsidR="005118AF" w:rsidRDefault="00EF60C3">
      <w:pPr>
        <w:tabs>
          <w:tab w:val="left" w:pos="880"/>
          <w:tab w:val="left" w:pos="1276"/>
        </w:tabs>
        <w:spacing w:after="0" w:line="240" w:lineRule="auto"/>
        <w:ind w:firstLine="709"/>
        <w:jc w:val="both"/>
        <w:rPr>
          <w:rStyle w:val="ab"/>
          <w:rFonts w:ascii="Times New Roman" w:eastAsia="DengXian" w:hAnsi="Times New Roman" w:cs="Times New Roman"/>
          <w:color w:val="auto"/>
          <w:sz w:val="28"/>
          <w:szCs w:val="28"/>
          <w:u w:val="none"/>
          <w:lang w:val="en-US" w:eastAsia="zh-CN"/>
        </w:rPr>
      </w:pPr>
      <w:r>
        <w:rPr>
          <w:rStyle w:val="ab"/>
          <w:rFonts w:ascii="Times New Roman" w:eastAsia="DengXian" w:hAnsi="Times New Roman" w:cs="Times New Roman"/>
          <w:color w:val="auto"/>
          <w:sz w:val="28"/>
          <w:szCs w:val="28"/>
          <w:u w:val="none"/>
          <w:lang w:val="kk-KZ" w:eastAsia="zh-CN"/>
        </w:rPr>
        <w:t xml:space="preserve">180 </w:t>
      </w:r>
      <w:r>
        <w:rPr>
          <w:rStyle w:val="ab"/>
          <w:rFonts w:ascii="Times New Roman" w:eastAsia="DengXian" w:hAnsi="Times New Roman" w:cs="Times New Roman"/>
          <w:color w:val="auto"/>
          <w:sz w:val="28"/>
          <w:szCs w:val="28"/>
          <w:u w:val="none"/>
          <w:lang w:val="en-US" w:eastAsia="zh-CN"/>
        </w:rPr>
        <w:t xml:space="preserve">Measuring foreign direct </w:t>
      </w:r>
      <w:r>
        <w:rPr>
          <w:rStyle w:val="ab"/>
          <w:rFonts w:ascii="Times New Roman" w:eastAsia="DengXian" w:hAnsi="Times New Roman" w:cs="Times New Roman"/>
          <w:color w:val="auto"/>
          <w:sz w:val="28"/>
          <w:szCs w:val="28"/>
          <w:u w:val="none"/>
          <w:lang w:val="en-US" w:eastAsia="zh-CN"/>
        </w:rPr>
        <w:t>investment / OECD // https://www.oecd.org/en/topics/foreign-direct-investment-fdi.html. 06.02.2024.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rPr>
        <w:fldChar w:fldCharType="end"/>
      </w:r>
      <w:r>
        <w:rPr>
          <w:rFonts w:ascii="Times New Roman" w:eastAsia="sans-serif" w:hAnsi="Times New Roman" w:cs="Times New Roman"/>
          <w:sz w:val="28"/>
          <w:szCs w:val="28"/>
          <w:lang w:val="kk-KZ" w:eastAsia="zh-CN" w:bidi="ar"/>
        </w:rPr>
        <w:t xml:space="preserve">181 </w:t>
      </w:r>
      <w:r>
        <w:rPr>
          <w:rFonts w:ascii="Times New Roman" w:eastAsia="DengXian" w:hAnsi="Times New Roman" w:cs="Times New Roman"/>
          <w:sz w:val="28"/>
          <w:szCs w:val="28"/>
          <w:lang w:val="en-US" w:eastAsia="zh-CN"/>
        </w:rPr>
        <w:t xml:space="preserve">Product Innovation: Just-for-Kids Own-Brand Line Baunches in US Brands / Ahold Delhaize, 2019 // </w:t>
      </w:r>
      <w:hyperlink r:id="rId158"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val="en-US" w:eastAsia="zh-CN"/>
          </w:rPr>
          <w:t>www.aholddelhaize.com.</w:t>
        </w:r>
      </w:hyperlink>
      <w:r>
        <w:rPr>
          <w:rStyle w:val="ab"/>
          <w:rFonts w:ascii="Times New Roman" w:eastAsia="DengXian" w:hAnsi="Times New Roman" w:cs="Times New Roman"/>
          <w:color w:val="auto"/>
          <w:sz w:val="28"/>
          <w:szCs w:val="28"/>
          <w:u w:val="none"/>
          <w:lang w:val="en-US" w:eastAsia="zh-CN"/>
        </w:rPr>
        <w:t xml:space="preserve"> 06.02.2024.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182 </w:t>
      </w:r>
      <w:r>
        <w:rPr>
          <w:rFonts w:ascii="Times New Roman" w:eastAsia="DengXian" w:hAnsi="Times New Roman" w:cs="Times New Roman"/>
          <w:sz w:val="28"/>
          <w:szCs w:val="28"/>
          <w:lang w:val="en-US" w:eastAsia="zh-CN"/>
        </w:rPr>
        <w:t xml:space="preserve">Our Quality Brands / Kroger // </w:t>
      </w:r>
      <w:hyperlink r:id="rId159" w:history="1">
        <w:r>
          <w:rPr>
            <w:rStyle w:val="ab"/>
            <w:rFonts w:ascii="Times New Roman" w:eastAsia="DengXian" w:hAnsi="Times New Roman" w:cs="Times New Roman"/>
            <w:color w:val="auto"/>
            <w:sz w:val="28"/>
            <w:szCs w:val="28"/>
            <w:u w:val="none"/>
            <w:lang w:val="en-US" w:eastAsia="zh-CN"/>
          </w:rPr>
          <w:t>https://www.kroger.com/b/</w:t>
        </w:r>
      </w:hyperlink>
      <w:r>
        <w:rPr>
          <w:rFonts w:ascii="Times New Roman" w:eastAsia="DengXian" w:hAnsi="Times New Roman" w:cs="Times New Roman"/>
          <w:sz w:val="28"/>
          <w:szCs w:val="28"/>
          <w:lang w:val="en-US" w:eastAsia="zh-CN"/>
        </w:rPr>
        <w:t>. 06.02.2024.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183 </w:t>
      </w:r>
      <w:r>
        <w:rPr>
          <w:rFonts w:ascii="Times New Roman" w:eastAsia="DengXian" w:hAnsi="Times New Roman" w:cs="Times New Roman"/>
          <w:sz w:val="28"/>
          <w:szCs w:val="28"/>
          <w:lang w:val="en-US" w:eastAsia="zh-CN"/>
        </w:rPr>
        <w:t xml:space="preserve">Great Value / Walmart Inc. // </w:t>
      </w:r>
      <w:hyperlink r:id="rId160" w:history="1">
        <w:r>
          <w:rPr>
            <w:rStyle w:val="ab"/>
            <w:rFonts w:ascii="Times New Roman" w:eastAsia="DengXian" w:hAnsi="Times New Roman" w:cs="Times New Roman"/>
            <w:color w:val="auto"/>
            <w:sz w:val="28"/>
            <w:szCs w:val="28"/>
            <w:u w:val="none"/>
            <w:lang w:val="en-US" w:eastAsia="zh-CN"/>
          </w:rPr>
          <w:t>https://www.walmart.ca/en/great</w:t>
        </w:r>
      </w:hyperlink>
      <w:r>
        <w:rPr>
          <w:rFonts w:ascii="Times New Roman" w:eastAsia="DengXian" w:hAnsi="Times New Roman" w:cs="Times New Roman"/>
          <w:sz w:val="28"/>
          <w:szCs w:val="28"/>
          <w:lang w:val="en-US" w:eastAsia="zh-CN"/>
        </w:rPr>
        <w:t>. 02.06.2024.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184 </w:t>
      </w:r>
      <w:r>
        <w:rPr>
          <w:rFonts w:ascii="Times New Roman" w:eastAsia="DengXian" w:hAnsi="Times New Roman" w:cs="Times New Roman"/>
          <w:sz w:val="28"/>
          <w:szCs w:val="28"/>
          <w:lang w:val="en-US" w:eastAsia="zh-CN"/>
        </w:rPr>
        <w:t xml:space="preserve">Own Brands / Asda Group Ltd. // </w:t>
      </w:r>
      <w:hyperlink r:id="rId161" w:history="1">
        <w:r>
          <w:rPr>
            <w:rStyle w:val="ab"/>
            <w:rFonts w:ascii="Times New Roman" w:eastAsia="DengXian" w:hAnsi="Times New Roman" w:cs="Times New Roman"/>
            <w:color w:val="auto"/>
            <w:sz w:val="28"/>
            <w:szCs w:val="28"/>
            <w:u w:val="none"/>
            <w:lang w:val="en-US" w:eastAsia="zh-CN"/>
          </w:rPr>
          <w:t>https://www.asda.com/about</w:t>
        </w:r>
      </w:hyperlink>
      <w:r>
        <w:rPr>
          <w:rFonts w:ascii="Times New Roman" w:eastAsia="DengXian" w:hAnsi="Times New Roman" w:cs="Times New Roman"/>
          <w:sz w:val="28"/>
          <w:szCs w:val="28"/>
          <w:lang w:val="en-US" w:eastAsia="zh-CN"/>
        </w:rPr>
        <w:t>. 02.06.2024.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185 </w:t>
      </w:r>
      <w:r>
        <w:rPr>
          <w:rFonts w:ascii="Times New Roman" w:eastAsia="DengXian" w:hAnsi="Times New Roman" w:cs="Times New Roman"/>
          <w:sz w:val="28"/>
          <w:szCs w:val="28"/>
          <w:lang w:val="en-US" w:eastAsia="zh-CN"/>
        </w:rPr>
        <w:t xml:space="preserve">About Our Products / Lidl GB // </w:t>
      </w:r>
      <w:hyperlink r:id="rId162" w:history="1">
        <w:r>
          <w:rPr>
            <w:rStyle w:val="ab"/>
            <w:rFonts w:ascii="Times New Roman" w:eastAsia="DengXian" w:hAnsi="Times New Roman" w:cs="Times New Roman"/>
            <w:color w:val="auto"/>
            <w:sz w:val="28"/>
            <w:szCs w:val="28"/>
            <w:u w:val="none"/>
            <w:lang w:val="en-US" w:eastAsia="zh-CN"/>
          </w:rPr>
          <w:t>https://www.l</w:t>
        </w:r>
        <w:r>
          <w:rPr>
            <w:rStyle w:val="ab"/>
            <w:rFonts w:ascii="Times New Roman" w:eastAsia="DengXian" w:hAnsi="Times New Roman" w:cs="Times New Roman"/>
            <w:color w:val="auto"/>
            <w:sz w:val="28"/>
            <w:szCs w:val="28"/>
            <w:u w:val="none"/>
            <w:lang w:val="en-US" w:eastAsia="zh-CN"/>
          </w:rPr>
          <w:t>idl.co.uk/our</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186 </w:t>
      </w:r>
      <w:r>
        <w:rPr>
          <w:rFonts w:ascii="Times New Roman" w:eastAsia="DengXian" w:hAnsi="Times New Roman" w:cs="Times New Roman"/>
          <w:sz w:val="28"/>
          <w:szCs w:val="28"/>
          <w:lang w:val="en-US" w:eastAsia="zh-CN"/>
        </w:rPr>
        <w:t xml:space="preserve">Ranges / Sainsbury’s // </w:t>
      </w:r>
      <w:hyperlink r:id="rId163" w:history="1">
        <w:r>
          <w:rPr>
            <w:rStyle w:val="ab"/>
            <w:rFonts w:ascii="Times New Roman" w:eastAsia="DengXian" w:hAnsi="Times New Roman" w:cs="Times New Roman"/>
            <w:color w:val="auto"/>
            <w:sz w:val="28"/>
            <w:szCs w:val="28"/>
            <w:u w:val="none"/>
            <w:lang w:val="en-US" w:eastAsia="zh-CN"/>
          </w:rPr>
          <w:t>https://www.sainsburys.co.uk</w:t>
        </w:r>
      </w:hyperlink>
      <w:r>
        <w:rPr>
          <w:rStyle w:val="ab"/>
          <w:rFonts w:ascii="Times New Roman" w:eastAsia="DengXian" w:hAnsi="Times New Roman" w:cs="Times New Roman"/>
          <w:color w:val="auto"/>
          <w:sz w:val="28"/>
          <w:szCs w:val="28"/>
          <w:u w:val="none"/>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187 </w:t>
      </w:r>
      <w:r>
        <w:rPr>
          <w:rFonts w:ascii="Times New Roman" w:eastAsia="DengXian" w:hAnsi="Times New Roman" w:cs="Times New Roman"/>
          <w:sz w:val="28"/>
          <w:szCs w:val="28"/>
          <w:lang w:val="en-US" w:eastAsia="zh-CN"/>
        </w:rPr>
        <w:t xml:space="preserve">Discover Our Exclusives / Waitrose // </w:t>
      </w:r>
      <w:hyperlink r:id="rId164" w:history="1">
        <w:r>
          <w:rPr>
            <w:rStyle w:val="ab"/>
            <w:rFonts w:ascii="Times New Roman" w:eastAsia="DengXian" w:hAnsi="Times New Roman" w:cs="Times New Roman"/>
            <w:color w:val="auto"/>
            <w:sz w:val="28"/>
            <w:szCs w:val="28"/>
            <w:u w:val="none"/>
            <w:lang w:val="en-US" w:eastAsia="zh-CN"/>
          </w:rPr>
          <w:t>https://www.waitrose.</w:t>
        </w:r>
      </w:hyperlink>
      <w:r>
        <w:rPr>
          <w:rFonts w:ascii="Times New Roman" w:eastAsia="DengXian" w:hAnsi="Times New Roman" w:cs="Times New Roman"/>
          <w:sz w:val="28"/>
          <w:szCs w:val="28"/>
          <w:lang w:val="en-US" w:eastAsia="zh-CN"/>
        </w:rPr>
        <w:t xml:space="preserve"> 10.10.202</w:t>
      </w:r>
      <w:r>
        <w:rPr>
          <w:rFonts w:ascii="Times New Roman" w:eastAsia="DengXian" w:hAnsi="Times New Roman" w:cs="Times New Roman"/>
          <w:sz w:val="28"/>
          <w:szCs w:val="28"/>
          <w:lang w:val="en-US" w:eastAsia="zh-CN"/>
        </w:rPr>
        <w:t>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188 </w:t>
      </w:r>
      <w:r>
        <w:rPr>
          <w:rFonts w:ascii="Times New Roman" w:eastAsia="DengXian" w:hAnsi="Times New Roman" w:cs="Times New Roman"/>
          <w:sz w:val="28"/>
          <w:szCs w:val="28"/>
          <w:lang w:val="en-US" w:eastAsia="zh-CN"/>
        </w:rPr>
        <w:t xml:space="preserve">Auchan Annual Financial Report and non-Financial Performance Statement / Auchan Retail, 2022 // </w:t>
      </w:r>
      <w:hyperlink r:id="rId165" w:history="1">
        <w:r>
          <w:rPr>
            <w:rStyle w:val="ab"/>
            <w:rFonts w:ascii="Times New Roman" w:eastAsia="DengXian" w:hAnsi="Times New Roman" w:cs="Times New Roman"/>
            <w:color w:val="auto"/>
            <w:sz w:val="28"/>
            <w:szCs w:val="28"/>
            <w:u w:val="none"/>
            <w:lang w:val="en-US" w:eastAsia="zh-CN"/>
          </w:rPr>
          <w:t>https://www.auchan-retail.com/en</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188 </w:t>
      </w:r>
      <w:r>
        <w:rPr>
          <w:rFonts w:ascii="Times New Roman" w:eastAsia="DengXian" w:hAnsi="Times New Roman" w:cs="Times New Roman"/>
          <w:sz w:val="28"/>
          <w:szCs w:val="28"/>
          <w:lang w:val="en-US" w:eastAsia="zh-CN"/>
        </w:rPr>
        <w:t xml:space="preserve">Key Dates in Carrefour group’s History / Carrefour Group // </w:t>
      </w:r>
      <w:hyperlink r:id="rId166" w:history="1">
        <w:r>
          <w:rPr>
            <w:rStyle w:val="ab"/>
            <w:rFonts w:ascii="Times New Roman" w:eastAsia="DengXian" w:hAnsi="Times New Roman" w:cs="Times New Roman"/>
            <w:color w:val="auto"/>
            <w:sz w:val="28"/>
            <w:szCs w:val="28"/>
            <w:u w:val="none"/>
            <w:lang w:val="en-US" w:eastAsia="zh-CN"/>
          </w:rPr>
          <w:t>https://www.carrefour.com/en/group/history</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189 </w:t>
      </w:r>
      <w:r>
        <w:rPr>
          <w:rFonts w:ascii="Times New Roman" w:eastAsia="DengXian" w:hAnsi="Times New Roman" w:cs="Times New Roman"/>
          <w:sz w:val="28"/>
          <w:szCs w:val="28"/>
          <w:lang w:val="en-US" w:eastAsia="zh-CN"/>
        </w:rPr>
        <w:t xml:space="preserve">Marques / E.Leclerc // </w:t>
      </w:r>
      <w:hyperlink r:id="rId167"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val="en-US" w:eastAsia="zh-CN"/>
          </w:rPr>
          <w:t>://www.e-leclerc.com/catalogue</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pacing w:val="-4"/>
          <w:sz w:val="28"/>
          <w:szCs w:val="28"/>
          <w:lang w:val="en-US" w:eastAsia="zh-CN"/>
        </w:rPr>
      </w:pPr>
      <w:r>
        <w:rPr>
          <w:rFonts w:ascii="Times New Roman" w:eastAsia="DengXian" w:hAnsi="Times New Roman" w:cs="Times New Roman"/>
          <w:spacing w:val="-4"/>
          <w:sz w:val="28"/>
          <w:szCs w:val="28"/>
          <w:lang w:val="en-US" w:eastAsia="zh-CN"/>
        </w:rPr>
        <w:t xml:space="preserve">190 Intermarché / Les Mousquetaires // </w:t>
      </w:r>
      <w:hyperlink r:id="rId168" w:history="1">
        <w:r>
          <w:rPr>
            <w:rStyle w:val="ab"/>
            <w:rFonts w:ascii="Times New Roman" w:eastAsia="DengXian" w:hAnsi="Times New Roman" w:cs="Times New Roman"/>
            <w:color w:val="auto"/>
            <w:spacing w:val="-4"/>
            <w:sz w:val="28"/>
            <w:szCs w:val="28"/>
            <w:u w:val="none"/>
            <w:lang w:val="en-US" w:eastAsia="zh-CN"/>
          </w:rPr>
          <w:t>https://www.mousquetaires.</w:t>
        </w:r>
      </w:hyperlink>
      <w:r>
        <w:rPr>
          <w:rFonts w:ascii="Times New Roman" w:eastAsia="DengXian" w:hAnsi="Times New Roman" w:cs="Times New Roman"/>
          <w:spacing w:val="-4"/>
          <w:sz w:val="28"/>
          <w:szCs w:val="28"/>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191 </w:t>
      </w:r>
      <w:r>
        <w:rPr>
          <w:rFonts w:ascii="Times New Roman" w:eastAsia="DengXian" w:hAnsi="Times New Roman" w:cs="Times New Roman"/>
          <w:sz w:val="28"/>
          <w:szCs w:val="28"/>
          <w:lang w:val="en-US" w:eastAsia="zh-CN"/>
        </w:rPr>
        <w:t xml:space="preserve">Toutes les Marques U / Système U // </w:t>
      </w:r>
      <w:hyperlink r:id="rId169" w:history="1">
        <w:r>
          <w:rPr>
            <w:rStyle w:val="ab"/>
            <w:rFonts w:ascii="Times New Roman" w:eastAsia="DengXian" w:hAnsi="Times New Roman" w:cs="Times New Roman"/>
            <w:color w:val="auto"/>
            <w:sz w:val="28"/>
            <w:szCs w:val="28"/>
            <w:u w:val="none"/>
            <w:lang w:val="en-US" w:eastAsia="zh-CN"/>
          </w:rPr>
          <w:t>https://www.magasins-u.</w:t>
        </w:r>
      </w:hyperlink>
      <w:r>
        <w:rPr>
          <w:rFonts w:ascii="Times New Roman" w:eastAsia="DengXian" w:hAnsi="Times New Roman" w:cs="Times New Roman"/>
          <w:sz w:val="28"/>
          <w:szCs w:val="28"/>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192 </w:t>
      </w:r>
      <w:r>
        <w:rPr>
          <w:rFonts w:ascii="Times New Roman" w:eastAsia="DengXian" w:hAnsi="Times New Roman" w:cs="Times New Roman"/>
          <w:sz w:val="28"/>
          <w:szCs w:val="28"/>
          <w:lang w:val="en-US" w:eastAsia="zh-CN"/>
        </w:rPr>
        <w:t xml:space="preserve">Pantry / Coles Group // </w:t>
      </w:r>
      <w:hyperlink r:id="rId170" w:history="1">
        <w:r>
          <w:rPr>
            <w:rStyle w:val="ab"/>
            <w:rFonts w:ascii="Times New Roman" w:eastAsia="DengXian" w:hAnsi="Times New Roman" w:cs="Times New Roman"/>
            <w:color w:val="auto"/>
            <w:sz w:val="28"/>
            <w:szCs w:val="28"/>
            <w:u w:val="none"/>
            <w:lang w:val="en-US" w:eastAsia="zh-CN"/>
          </w:rPr>
          <w:t>https://shop.coles.com.</w:t>
        </w:r>
      </w:hyperlink>
      <w:r>
        <w:rPr>
          <w:rStyle w:val="ab"/>
          <w:rFonts w:ascii="Times New Roman" w:eastAsia="DengXian" w:hAnsi="Times New Roman" w:cs="Times New Roman"/>
          <w:color w:val="auto"/>
          <w:sz w:val="28"/>
          <w:szCs w:val="28"/>
          <w:u w:val="none"/>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 xml:space="preserve">193 Our Brands / IGA // </w:t>
      </w:r>
      <w:hyperlink r:id="rId171" w:history="1">
        <w:r>
          <w:rPr>
            <w:rStyle w:val="ab"/>
            <w:rFonts w:ascii="Times New Roman" w:eastAsia="DengXian" w:hAnsi="Times New Roman" w:cs="Times New Roman"/>
            <w:color w:val="auto"/>
            <w:sz w:val="28"/>
            <w:szCs w:val="28"/>
            <w:u w:val="none"/>
            <w:lang w:val="en-US" w:eastAsia="zh-CN"/>
          </w:rPr>
          <w:t>https://www.iga.com.au/our-brands</w:t>
        </w:r>
      </w:hyperlink>
      <w:r>
        <w:rPr>
          <w:rFonts w:ascii="Times New Roman" w:eastAsia="DengXian" w:hAnsi="Times New Roman" w:cs="Times New Roman"/>
          <w:sz w:val="28"/>
          <w:szCs w:val="28"/>
          <w:lang w:val="en-US" w:eastAsia="zh-CN"/>
        </w:rPr>
        <w:t>. 10.1</w:t>
      </w:r>
      <w:r>
        <w:rPr>
          <w:rFonts w:ascii="Times New Roman" w:eastAsia="DengXian" w:hAnsi="Times New Roman" w:cs="Times New Roman"/>
          <w:sz w:val="28"/>
          <w:szCs w:val="28"/>
          <w:lang w:val="en-US" w:eastAsia="zh-CN"/>
        </w:rPr>
        <w:t>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194 </w:t>
      </w:r>
      <w:r>
        <w:rPr>
          <w:rFonts w:ascii="Times New Roman" w:eastAsia="DengXian" w:hAnsi="Times New Roman" w:cs="Times New Roman"/>
          <w:sz w:val="28"/>
          <w:szCs w:val="28"/>
          <w:lang w:val="en-US" w:eastAsia="zh-CN"/>
        </w:rPr>
        <w:t xml:space="preserve">Our brands / Woolworths Group // </w:t>
      </w:r>
      <w:hyperlink r:id="rId172" w:history="1">
        <w:r>
          <w:rPr>
            <w:rStyle w:val="ab"/>
            <w:rFonts w:ascii="Times New Roman" w:eastAsia="DengXian" w:hAnsi="Times New Roman" w:cs="Times New Roman"/>
            <w:color w:val="auto"/>
            <w:sz w:val="28"/>
            <w:szCs w:val="28"/>
            <w:u w:val="none"/>
            <w:lang w:val="en-US" w:eastAsia="zh-CN"/>
          </w:rPr>
          <w:t>https://www.woolworths.</w:t>
        </w:r>
      </w:hyperlink>
      <w:r>
        <w:rPr>
          <w:rFonts w:ascii="Times New Roman" w:eastAsia="DengXian" w:hAnsi="Times New Roman" w:cs="Times New Roman"/>
          <w:sz w:val="28"/>
          <w:szCs w:val="28"/>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195 </w:t>
      </w:r>
      <w:r>
        <w:rPr>
          <w:rFonts w:ascii="Times New Roman" w:eastAsia="DengXian" w:hAnsi="Times New Roman" w:cs="Times New Roman"/>
          <w:sz w:val="28"/>
          <w:szCs w:val="28"/>
          <w:lang w:val="en-US" w:eastAsia="zh-CN"/>
        </w:rPr>
        <w:t xml:space="preserve">Kirkland Signature / Costco Wholesale // </w:t>
      </w:r>
      <w:hyperlink r:id="rId173" w:history="1">
        <w:r>
          <w:rPr>
            <w:rStyle w:val="ab"/>
            <w:rFonts w:ascii="Times New Roman" w:eastAsia="DengXian" w:hAnsi="Times New Roman" w:cs="Times New Roman"/>
            <w:color w:val="auto"/>
            <w:sz w:val="28"/>
            <w:szCs w:val="28"/>
            <w:u w:val="none"/>
            <w:lang w:val="en-US" w:eastAsia="zh-CN"/>
          </w:rPr>
          <w:t>https://www.costco.</w:t>
        </w:r>
      </w:hyperlink>
      <w:r>
        <w:rPr>
          <w:rStyle w:val="ab"/>
          <w:rFonts w:ascii="Times New Roman" w:eastAsia="DengXian" w:hAnsi="Times New Roman" w:cs="Times New Roman"/>
          <w:color w:val="auto"/>
          <w:sz w:val="28"/>
          <w:szCs w:val="28"/>
          <w:u w:val="none"/>
          <w:lang w:val="en-US" w:eastAsia="zh-CN"/>
        </w:rPr>
        <w:t xml:space="preserve"> 10.06.2025.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196 </w:t>
      </w:r>
      <w:r>
        <w:rPr>
          <w:rFonts w:ascii="Times New Roman" w:eastAsia="DengXian" w:hAnsi="Times New Roman" w:cs="Times New Roman"/>
          <w:sz w:val="28"/>
          <w:szCs w:val="28"/>
          <w:lang w:val="en-US" w:eastAsia="zh-CN"/>
        </w:rPr>
        <w:t xml:space="preserve">Home / Loblaw Companies Ltd. // </w:t>
      </w:r>
      <w:hyperlink r:id="rId174" w:history="1">
        <w:r>
          <w:rPr>
            <w:rStyle w:val="ab"/>
            <w:rFonts w:ascii="Times New Roman" w:eastAsia="DengXian" w:hAnsi="Times New Roman" w:cs="Times New Roman"/>
            <w:color w:val="auto"/>
            <w:sz w:val="28"/>
            <w:szCs w:val="28"/>
            <w:u w:val="none"/>
            <w:lang w:val="en-US" w:eastAsia="zh-CN"/>
          </w:rPr>
          <w:t>https://www.loblaw.ca/en.</w:t>
        </w:r>
      </w:hyperlink>
      <w:r>
        <w:rPr>
          <w:rFonts w:ascii="Times New Roman" w:eastAsia="DengXian" w:hAnsi="Times New Roman" w:cs="Times New Roman"/>
          <w:sz w:val="28"/>
          <w:szCs w:val="28"/>
          <w:lang w:val="en-US" w:eastAsia="zh-CN"/>
        </w:rPr>
        <w:t xml:space="preserve"> 10.06.2025.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197 </w:t>
      </w:r>
      <w:r>
        <w:rPr>
          <w:rFonts w:ascii="Times New Roman" w:eastAsia="DengXian" w:hAnsi="Times New Roman" w:cs="Times New Roman"/>
          <w:sz w:val="28"/>
          <w:szCs w:val="28"/>
          <w:lang w:val="en-US" w:eastAsia="zh-CN"/>
        </w:rPr>
        <w:t xml:space="preserve">Our Products and Private Brands // </w:t>
      </w:r>
      <w:hyperlink r:id="rId175" w:history="1">
        <w:r>
          <w:rPr>
            <w:rStyle w:val="ab"/>
            <w:rFonts w:ascii="Times New Roman" w:eastAsia="DengXian" w:hAnsi="Times New Roman" w:cs="Times New Roman"/>
            <w:color w:val="auto"/>
            <w:sz w:val="28"/>
            <w:szCs w:val="28"/>
            <w:u w:val="none"/>
            <w:lang w:val="en-US" w:eastAsia="zh-CN"/>
          </w:rPr>
          <w:t>https://www.metro.ca/en</w:t>
        </w:r>
      </w:hyperlink>
      <w:r>
        <w:rPr>
          <w:rFonts w:ascii="Times New Roman" w:eastAsia="DengXian" w:hAnsi="Times New Roman" w:cs="Times New Roman"/>
          <w:sz w:val="28"/>
          <w:szCs w:val="28"/>
          <w:lang w:val="en-US" w:eastAsia="zh-CN"/>
        </w:rPr>
        <w:t>. 10.06.2025.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198 Sobeys Private Label Off</w:t>
      </w:r>
      <w:r>
        <w:rPr>
          <w:rFonts w:ascii="Times New Roman" w:eastAsia="DengXian" w:hAnsi="Times New Roman" w:cs="Times New Roman"/>
          <w:sz w:val="28"/>
          <w:szCs w:val="28"/>
          <w:lang w:val="en-US" w:eastAsia="zh-CN"/>
        </w:rPr>
        <w:t xml:space="preserve">ering / Sobeys Corporate // </w:t>
      </w:r>
      <w:hyperlink r:id="rId176" w:history="1">
        <w:r>
          <w:rPr>
            <w:rStyle w:val="ab"/>
            <w:rFonts w:ascii="Times New Roman" w:eastAsia="DengXian" w:hAnsi="Times New Roman" w:cs="Times New Roman"/>
            <w:color w:val="auto"/>
            <w:sz w:val="28"/>
            <w:szCs w:val="28"/>
            <w:u w:val="none"/>
            <w:lang w:val="en-US" w:eastAsia="zh-CN"/>
          </w:rPr>
          <w:t>https://corporate.sobeys.com/our-brands</w:t>
        </w:r>
      </w:hyperlink>
      <w:r>
        <w:rPr>
          <w:rFonts w:ascii="Times New Roman" w:eastAsia="DengXian" w:hAnsi="Times New Roman" w:cs="Times New Roman"/>
          <w:sz w:val="28"/>
          <w:szCs w:val="28"/>
          <w:lang w:val="en-US" w:eastAsia="zh-CN"/>
        </w:rPr>
        <w:t>. 12.09.2025.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199 </w:t>
      </w:r>
      <w:r>
        <w:rPr>
          <w:rFonts w:ascii="Times New Roman" w:eastAsia="DengXian" w:hAnsi="Times New Roman" w:cs="Times New Roman"/>
          <w:sz w:val="28"/>
          <w:szCs w:val="28"/>
          <w:lang w:val="en-US" w:eastAsia="zh-CN"/>
        </w:rPr>
        <w:t>Chedraui Monteblanco Selecto, Selecto Brand / Chedraui // https://www.chedraui.com.mx/Departam entos/Súper/. 10.10.</w:t>
      </w:r>
      <w:r>
        <w:rPr>
          <w:rFonts w:ascii="Times New Roman" w:eastAsia="DengXian" w:hAnsi="Times New Roman" w:cs="Times New Roman"/>
          <w:sz w:val="28"/>
          <w:szCs w:val="28"/>
          <w:lang w:val="en-US" w:eastAsia="zh-CN"/>
        </w:rPr>
        <w:t>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200 </w:t>
      </w:r>
      <w:r>
        <w:rPr>
          <w:rFonts w:ascii="Times New Roman" w:eastAsia="DengXian" w:hAnsi="Times New Roman" w:cs="Times New Roman"/>
          <w:sz w:val="28"/>
          <w:szCs w:val="28"/>
          <w:lang w:val="en-US" w:eastAsia="zh-CN"/>
        </w:rPr>
        <w:t xml:space="preserve">Great Value / Walmart Inc. // </w:t>
      </w:r>
      <w:hyperlink r:id="rId177" w:history="1">
        <w:r>
          <w:rPr>
            <w:rStyle w:val="ab"/>
            <w:rFonts w:ascii="Times New Roman" w:eastAsia="DengXian" w:hAnsi="Times New Roman" w:cs="Times New Roman"/>
            <w:color w:val="auto"/>
            <w:sz w:val="28"/>
            <w:szCs w:val="28"/>
            <w:u w:val="none"/>
            <w:lang w:val="en-US" w:eastAsia="zh-CN"/>
          </w:rPr>
          <w:t>https://www.walmart.com/</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201 </w:t>
      </w:r>
      <w:r>
        <w:rPr>
          <w:rFonts w:ascii="Times New Roman" w:eastAsia="DengXian" w:hAnsi="Times New Roman" w:cs="Times New Roman"/>
          <w:sz w:val="28"/>
          <w:szCs w:val="28"/>
          <w:lang w:val="en-US" w:eastAsia="zh-CN"/>
        </w:rPr>
        <w:t>Maruetsu. Happy Living: 2012 Corporate Profile // https://www.maruetsu.co.jp/corporate/pdf kaishaannai_english.pdf.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202 S</w:t>
      </w:r>
      <w:r>
        <w:rPr>
          <w:rFonts w:ascii="Times New Roman" w:eastAsia="DengXian" w:hAnsi="Times New Roman" w:cs="Times New Roman"/>
          <w:sz w:val="28"/>
          <w:szCs w:val="28"/>
          <w:lang w:val="en-US" w:eastAsia="zh-CN"/>
        </w:rPr>
        <w:t xml:space="preserve">eijo I. Philsophy: Quality Food for a Quality Life // </w:t>
      </w:r>
      <w:hyperlink r:id="rId178" w:history="1">
        <w:r>
          <w:rPr>
            <w:rStyle w:val="ab"/>
            <w:rFonts w:ascii="Times New Roman" w:eastAsia="DengXian" w:hAnsi="Times New Roman" w:cs="Times New Roman"/>
            <w:color w:val="auto"/>
            <w:sz w:val="28"/>
            <w:szCs w:val="28"/>
            <w:u w:val="none"/>
            <w:lang w:val="en-US" w:eastAsia="zh-CN"/>
          </w:rPr>
          <w:t>http://www.seijoishii.co.jp/en/about/</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203 </w:t>
      </w:r>
      <w:r>
        <w:rPr>
          <w:rFonts w:ascii="Times New Roman" w:eastAsia="DengXian" w:hAnsi="Times New Roman" w:cs="Times New Roman"/>
          <w:sz w:val="28"/>
          <w:szCs w:val="28"/>
          <w:lang w:val="en-US" w:eastAsia="zh-CN"/>
        </w:rPr>
        <w:t xml:space="preserve">Aldi. Produkte: Unsere Eigenmarken // </w:t>
      </w:r>
      <w:hyperlink r:id="rId179" w:history="1">
        <w:r>
          <w:rPr>
            <w:rStyle w:val="ab"/>
            <w:rFonts w:ascii="Times New Roman" w:eastAsia="DengXian" w:hAnsi="Times New Roman" w:cs="Times New Roman"/>
            <w:color w:val="auto"/>
            <w:sz w:val="28"/>
            <w:szCs w:val="28"/>
            <w:u w:val="none"/>
            <w:lang w:val="en-US" w:eastAsia="zh-CN"/>
          </w:rPr>
          <w:t>https://www.aldi-no</w:t>
        </w:r>
        <w:r>
          <w:rPr>
            <w:rStyle w:val="ab"/>
            <w:rFonts w:ascii="Times New Roman" w:eastAsia="DengXian" w:hAnsi="Times New Roman" w:cs="Times New Roman"/>
            <w:color w:val="auto"/>
            <w:sz w:val="28"/>
            <w:szCs w:val="28"/>
            <w:u w:val="none"/>
            <w:lang w:val="en-US" w:eastAsia="zh-CN"/>
          </w:rPr>
          <w:t>rd.</w:t>
        </w:r>
      </w:hyperlink>
      <w:r>
        <w:rPr>
          <w:rFonts w:ascii="Times New Roman" w:eastAsia="DengXian" w:hAnsi="Times New Roman" w:cs="Times New Roman"/>
          <w:sz w:val="28"/>
          <w:szCs w:val="28"/>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204</w:t>
      </w:r>
      <w:r>
        <w:rPr>
          <w:rFonts w:ascii="Times New Roman" w:eastAsia="DengXian" w:hAnsi="Times New Roman" w:cs="Times New Roman"/>
          <w:sz w:val="28"/>
          <w:szCs w:val="28"/>
          <w:lang w:val="en-US" w:eastAsia="zh-CN"/>
        </w:rPr>
        <w:t xml:space="preserve"> The Own Brands / Metro // </w:t>
      </w:r>
      <w:hyperlink r:id="rId180" w:history="1">
        <w:r>
          <w:rPr>
            <w:rStyle w:val="ab"/>
            <w:rFonts w:ascii="Times New Roman" w:eastAsia="DengXian" w:hAnsi="Times New Roman" w:cs="Times New Roman"/>
            <w:color w:val="auto"/>
            <w:sz w:val="28"/>
            <w:szCs w:val="28"/>
            <w:u w:val="none"/>
            <w:lang w:val="en-US" w:eastAsia="zh-CN"/>
          </w:rPr>
          <w:t>https://www.metroag.de/en/brands</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205 </w:t>
      </w:r>
      <w:r>
        <w:rPr>
          <w:rFonts w:ascii="Times New Roman" w:eastAsia="DengXian" w:hAnsi="Times New Roman" w:cs="Times New Roman"/>
          <w:sz w:val="28"/>
          <w:szCs w:val="28"/>
          <w:lang w:val="en-US" w:eastAsia="zh-CN"/>
        </w:rPr>
        <w:t xml:space="preserve">Die REWE Markenwelt ‒ Nur das Beste fur Dich // </w:t>
      </w:r>
      <w:hyperlink r:id="rId181" w:history="1">
        <w:r>
          <w:rPr>
            <w:rStyle w:val="ab"/>
            <w:rFonts w:ascii="Times New Roman" w:eastAsia="DengXian" w:hAnsi="Times New Roman" w:cs="Times New Roman"/>
            <w:color w:val="auto"/>
            <w:sz w:val="28"/>
            <w:szCs w:val="28"/>
            <w:u w:val="none"/>
            <w:lang w:val="en-US" w:eastAsia="zh-CN"/>
          </w:rPr>
          <w:t>https://www.rewe.de</w:t>
        </w:r>
      </w:hyperlink>
      <w:r>
        <w:rPr>
          <w:rFonts w:ascii="Times New Roman" w:eastAsia="DengXian" w:hAnsi="Times New Roman" w:cs="Times New Roman"/>
          <w:sz w:val="28"/>
          <w:szCs w:val="28"/>
          <w:lang w:val="en-US" w:eastAsia="zh-CN"/>
        </w:rPr>
        <w:t xml:space="preserve"> /marken/.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206 </w:t>
      </w:r>
      <w:r>
        <w:rPr>
          <w:rFonts w:ascii="Times New Roman" w:eastAsia="DengXian" w:hAnsi="Times New Roman" w:cs="Times New Roman"/>
          <w:sz w:val="28"/>
          <w:szCs w:val="28"/>
          <w:lang w:val="en-US" w:eastAsia="zh-CN"/>
        </w:rPr>
        <w:t xml:space="preserve">Heijn A. Belangrijke Informatie over Online Bestellen // </w:t>
      </w:r>
      <w:hyperlink r:id="rId182" w:history="1">
        <w:r>
          <w:rPr>
            <w:rStyle w:val="ab"/>
            <w:rFonts w:ascii="Times New Roman" w:eastAsia="DengXian" w:hAnsi="Times New Roman" w:cs="Times New Roman"/>
            <w:color w:val="auto"/>
            <w:sz w:val="28"/>
            <w:szCs w:val="28"/>
            <w:u w:val="none"/>
            <w:lang w:val="en-US" w:eastAsia="zh-CN"/>
          </w:rPr>
          <w:t>https://www.ah.nl/producten</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207 </w:t>
      </w:r>
      <w:r>
        <w:rPr>
          <w:rFonts w:ascii="Times New Roman" w:eastAsia="DengXian" w:hAnsi="Times New Roman" w:cs="Times New Roman"/>
          <w:sz w:val="28"/>
          <w:szCs w:val="28"/>
          <w:lang w:val="en-US" w:eastAsia="zh-CN"/>
        </w:rPr>
        <w:t>Conad. Logo Rosso. Conad. Available online: https://www.conad.it.</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208 </w:t>
      </w:r>
      <w:r>
        <w:rPr>
          <w:rFonts w:ascii="Times New Roman" w:eastAsia="DengXian" w:hAnsi="Times New Roman" w:cs="Times New Roman"/>
          <w:sz w:val="28"/>
          <w:szCs w:val="28"/>
          <w:lang w:val="en-US" w:eastAsia="zh-CN"/>
        </w:rPr>
        <w:t>Home / Gruppo</w:t>
      </w:r>
      <w:r>
        <w:rPr>
          <w:rFonts w:ascii="Times New Roman" w:eastAsia="DengXian" w:hAnsi="Times New Roman" w:cs="Times New Roman"/>
          <w:sz w:val="28"/>
          <w:szCs w:val="28"/>
          <w:lang w:val="en-US" w:eastAsia="zh-CN"/>
        </w:rPr>
        <w:t xml:space="preserve"> VéGé // </w:t>
      </w:r>
      <w:hyperlink r:id="rId183" w:history="1">
        <w:r>
          <w:rPr>
            <w:rStyle w:val="ab"/>
            <w:rFonts w:ascii="Times New Roman" w:eastAsia="DengXian" w:hAnsi="Times New Roman" w:cs="Times New Roman"/>
            <w:color w:val="auto"/>
            <w:sz w:val="28"/>
            <w:szCs w:val="28"/>
            <w:u w:val="none"/>
            <w:lang w:val="en-US" w:eastAsia="zh-CN"/>
          </w:rPr>
          <w:t>https://www.gruppovege.it</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209 </w:t>
      </w:r>
      <w:r>
        <w:rPr>
          <w:rFonts w:ascii="Times New Roman" w:eastAsia="DengXian" w:hAnsi="Times New Roman" w:cs="Times New Roman"/>
          <w:sz w:val="28"/>
          <w:szCs w:val="28"/>
          <w:lang w:val="en-US" w:eastAsia="zh-CN"/>
        </w:rPr>
        <w:t xml:space="preserve">Prodotti VéGé // </w:t>
      </w:r>
      <w:hyperlink r:id="rId184" w:history="1">
        <w:r>
          <w:rPr>
            <w:rStyle w:val="ab"/>
            <w:rFonts w:ascii="Times New Roman" w:eastAsia="DengXian" w:hAnsi="Times New Roman" w:cs="Times New Roman"/>
            <w:color w:val="auto"/>
            <w:sz w:val="28"/>
            <w:szCs w:val="28"/>
            <w:u w:val="none"/>
            <w:lang w:val="en-US" w:eastAsia="zh-CN"/>
          </w:rPr>
          <w:t>https://www.gruppovege.it/prodotti</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210 </w:t>
      </w:r>
      <w:r>
        <w:rPr>
          <w:rFonts w:ascii="Times New Roman" w:eastAsia="DengXian" w:hAnsi="Times New Roman" w:cs="Times New Roman"/>
          <w:sz w:val="28"/>
          <w:szCs w:val="28"/>
          <w:lang w:val="en-US" w:eastAsia="zh-CN"/>
        </w:rPr>
        <w:t xml:space="preserve">Maurizio C., Silvia C. Consumer stated preferences for dairy products with carbon footprint labels in Ital // Agricultural Food Econ. – 2020. – Vol. 8, Issue 1. – P. 4-1-4-16. </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211 </w:t>
      </w:r>
      <w:r>
        <w:rPr>
          <w:rFonts w:ascii="Times New Roman" w:eastAsia="DengXian" w:hAnsi="Times New Roman" w:cs="Times New Roman"/>
          <w:sz w:val="28"/>
          <w:szCs w:val="28"/>
          <w:lang w:val="en-US" w:eastAsia="zh-CN"/>
        </w:rPr>
        <w:t xml:space="preserve">Selex Gruppo Commerciale // </w:t>
      </w:r>
      <w:hyperlink r:id="rId185" w:history="1">
        <w:r>
          <w:rPr>
            <w:rStyle w:val="ab"/>
            <w:rFonts w:ascii="Times New Roman" w:eastAsia="DengXian" w:hAnsi="Times New Roman" w:cs="Times New Roman"/>
            <w:color w:val="auto"/>
            <w:sz w:val="28"/>
            <w:szCs w:val="28"/>
            <w:u w:val="none"/>
            <w:lang w:val="en-US" w:eastAsia="zh-CN"/>
          </w:rPr>
          <w:t>ht</w:t>
        </w:r>
        <w:r>
          <w:rPr>
            <w:rStyle w:val="ab"/>
            <w:rFonts w:ascii="Times New Roman" w:eastAsia="DengXian" w:hAnsi="Times New Roman" w:cs="Times New Roman"/>
            <w:color w:val="auto"/>
            <w:sz w:val="28"/>
            <w:szCs w:val="28"/>
            <w:u w:val="none"/>
            <w:lang w:val="en-US" w:eastAsia="zh-CN"/>
          </w:rPr>
          <w:t>tps://www.famila.it/le-nostre</w:t>
        </w:r>
      </w:hyperlink>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212 </w:t>
      </w:r>
      <w:r>
        <w:rPr>
          <w:rFonts w:ascii="Times New Roman" w:eastAsia="DengXian" w:hAnsi="Times New Roman" w:cs="Times New Roman"/>
          <w:sz w:val="28"/>
          <w:szCs w:val="28"/>
          <w:lang w:eastAsia="zh-CN"/>
        </w:rPr>
        <w:t xml:space="preserve">Доля собственных торговых марок в продажах казахстанских торговых сетей достигла рекордных 6% // </w:t>
      </w:r>
      <w:hyperlink r:id="rId186"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kursiv</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media</w:t>
        </w:r>
        <w:r>
          <w:rPr>
            <w:rStyle w:val="ab"/>
            <w:rFonts w:ascii="Times New Roman" w:eastAsia="DengXian" w:hAnsi="Times New Roman" w:cs="Times New Roman"/>
            <w:color w:val="auto"/>
            <w:sz w:val="28"/>
            <w:szCs w:val="28"/>
            <w:u w:val="none"/>
            <w:lang w:eastAsia="zh-CN"/>
          </w:rPr>
          <w:t xml:space="preserve">/. </w:t>
        </w:r>
        <w:r>
          <w:rPr>
            <w:rStyle w:val="ab"/>
            <w:rFonts w:ascii="Times New Roman" w:eastAsia="DengXian" w:hAnsi="Times New Roman" w:cs="Times New Roman"/>
            <w:color w:val="auto"/>
            <w:sz w:val="28"/>
            <w:szCs w:val="28"/>
            <w:u w:val="none"/>
            <w:lang w:val="en-US" w:eastAsia="zh-CN"/>
          </w:rPr>
          <w:t>10.10.2025.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213 </w:t>
      </w:r>
      <w:r>
        <w:rPr>
          <w:rFonts w:ascii="Times New Roman" w:eastAsia="DengXian" w:hAnsi="Times New Roman" w:cs="Times New Roman"/>
          <w:sz w:val="28"/>
          <w:szCs w:val="28"/>
          <w:lang w:val="en-US" w:eastAsia="zh-CN"/>
        </w:rPr>
        <w:t xml:space="preserve">Freight Rail Overview / US Department of Transportation, 2023 // </w:t>
      </w:r>
      <w:hyperlink r:id="rId187" w:history="1">
        <w:r>
          <w:rPr>
            <w:rStyle w:val="ab"/>
            <w:rFonts w:ascii="Times New Roman" w:eastAsia="DengXian" w:hAnsi="Times New Roman" w:cs="Times New Roman"/>
            <w:color w:val="auto"/>
            <w:sz w:val="28"/>
            <w:szCs w:val="28"/>
            <w:u w:val="none"/>
            <w:lang w:val="en-US" w:eastAsia="zh-CN"/>
          </w:rPr>
          <w:t>https://railroads.dot.gov/rail-network-development/freight-rail/freight</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214 </w:t>
      </w:r>
      <w:r>
        <w:rPr>
          <w:rFonts w:ascii="Times New Roman" w:eastAsia="DengXian" w:hAnsi="Times New Roman" w:cs="Times New Roman"/>
          <w:sz w:val="28"/>
          <w:szCs w:val="28"/>
          <w:lang w:val="en-US" w:eastAsia="zh-CN"/>
        </w:rPr>
        <w:t>Number of U.S</w:t>
      </w:r>
      <w:r>
        <w:rPr>
          <w:rFonts w:ascii="Times New Roman" w:eastAsia="DengXian" w:hAnsi="Times New Roman" w:cs="Times New Roman"/>
          <w:sz w:val="28"/>
          <w:szCs w:val="28"/>
          <w:lang w:val="en-US" w:eastAsia="zh-CN"/>
        </w:rPr>
        <w:t xml:space="preserve">. Airports / Bureau of Transportation Statistics, 2022 // </w:t>
      </w:r>
      <w:hyperlink r:id="rId188" w:history="1">
        <w:r>
          <w:rPr>
            <w:rStyle w:val="ab"/>
            <w:rFonts w:ascii="Times New Roman" w:eastAsia="DengXian" w:hAnsi="Times New Roman" w:cs="Times New Roman"/>
            <w:color w:val="auto"/>
            <w:sz w:val="28"/>
            <w:szCs w:val="28"/>
            <w:u w:val="none"/>
            <w:lang w:val="en-US" w:eastAsia="zh-CN"/>
          </w:rPr>
          <w:t>https://www.bts.gov/content/number-us-airportsa</w:t>
        </w:r>
      </w:hyperlink>
      <w:r>
        <w:rPr>
          <w:rFonts w:ascii="Times New Roman" w:eastAsia="DengXian" w:hAnsi="Times New Roman" w:cs="Times New Roman"/>
          <w:sz w:val="28"/>
          <w:szCs w:val="28"/>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215 </w:t>
      </w:r>
      <w:r>
        <w:rPr>
          <w:rFonts w:ascii="Times New Roman" w:eastAsia="DengXian" w:hAnsi="Times New Roman" w:cs="Times New Roman"/>
          <w:sz w:val="28"/>
          <w:szCs w:val="28"/>
          <w:lang w:val="en-US" w:eastAsia="zh-CN"/>
        </w:rPr>
        <w:t>Number of Stations Served by Amtrak and Rail Transit, Fiscal Year / B</w:t>
      </w:r>
      <w:r>
        <w:rPr>
          <w:rFonts w:ascii="Times New Roman" w:eastAsia="DengXian" w:hAnsi="Times New Roman" w:cs="Times New Roman"/>
          <w:sz w:val="28"/>
          <w:szCs w:val="28"/>
          <w:lang w:val="en-US" w:eastAsia="zh-CN"/>
        </w:rPr>
        <w:t xml:space="preserve">ureau of Transportation Statistics, 2022 // </w:t>
      </w:r>
      <w:hyperlink r:id="rId189" w:history="1">
        <w:r>
          <w:rPr>
            <w:rStyle w:val="ab"/>
            <w:rFonts w:ascii="Times New Roman" w:eastAsia="DengXian" w:hAnsi="Times New Roman" w:cs="Times New Roman"/>
            <w:color w:val="auto"/>
            <w:sz w:val="28"/>
            <w:szCs w:val="28"/>
            <w:u w:val="none"/>
            <w:lang w:val="en-US" w:eastAsia="zh-CN"/>
          </w:rPr>
          <w:t>https://www.bts.gov/content</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216 </w:t>
      </w:r>
      <w:r>
        <w:rPr>
          <w:rFonts w:ascii="Times New Roman" w:eastAsia="DengXian" w:hAnsi="Times New Roman" w:cs="Times New Roman"/>
          <w:sz w:val="28"/>
          <w:szCs w:val="28"/>
          <w:lang w:val="en-US" w:eastAsia="zh-CN"/>
        </w:rPr>
        <w:t xml:space="preserve">The Canadian Transportation System: Highway and Air Infrastructure / Statistics Canada, 2018 // </w:t>
      </w:r>
      <w:hyperlink r:id="rId190" w:history="1">
        <w:r>
          <w:rPr>
            <w:rStyle w:val="ab"/>
            <w:rFonts w:ascii="Times New Roman" w:eastAsia="DengXian" w:hAnsi="Times New Roman" w:cs="Times New Roman"/>
            <w:color w:val="auto"/>
            <w:sz w:val="28"/>
            <w:szCs w:val="28"/>
            <w:u w:val="none"/>
            <w:lang w:val="en-US" w:eastAsia="zh-CN"/>
          </w:rPr>
          <w:t>https://www144.statcan.gc.ca/tdih-cdit/cts-rtc.</w:t>
        </w:r>
      </w:hyperlink>
      <w:r>
        <w:rPr>
          <w:rStyle w:val="ab"/>
          <w:rFonts w:ascii="Times New Roman" w:eastAsia="DengXian" w:hAnsi="Times New Roman" w:cs="Times New Roman"/>
          <w:color w:val="auto"/>
          <w:sz w:val="28"/>
          <w:szCs w:val="28"/>
          <w:u w:val="none"/>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217 </w:t>
      </w:r>
      <w:r>
        <w:rPr>
          <w:rFonts w:ascii="Times New Roman" w:eastAsia="DengXian" w:hAnsi="Times New Roman" w:cs="Times New Roman"/>
          <w:sz w:val="28"/>
          <w:szCs w:val="28"/>
          <w:lang w:val="en-US" w:eastAsia="zh-CN"/>
        </w:rPr>
        <w:t xml:space="preserve">Canada. Rail Transportation / Transport Canada, 2012 // </w:t>
      </w:r>
      <w:hyperlink r:id="rId191" w:history="1">
        <w:r>
          <w:rPr>
            <w:rStyle w:val="ab"/>
            <w:rFonts w:ascii="Times New Roman" w:eastAsia="DengXian" w:hAnsi="Times New Roman" w:cs="Times New Roman"/>
            <w:color w:val="auto"/>
            <w:sz w:val="28"/>
            <w:szCs w:val="28"/>
            <w:u w:val="none"/>
            <w:lang w:val="en-US" w:eastAsia="zh-CN"/>
          </w:rPr>
          <w:t>https://www.tc.gc.ca</w:t>
        </w:r>
        <w:r>
          <w:rPr>
            <w:rStyle w:val="ab"/>
            <w:rFonts w:ascii="Times New Roman" w:eastAsia="DengXian" w:hAnsi="Times New Roman" w:cs="Times New Roman"/>
            <w:color w:val="auto"/>
            <w:sz w:val="28"/>
            <w:szCs w:val="28"/>
            <w:u w:val="none"/>
            <w:lang w:val="en-US" w:eastAsia="zh-CN"/>
          </w:rPr>
          <w:t>/eng/policy/anre-menu-3020.htm</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218 </w:t>
      </w:r>
      <w:r>
        <w:rPr>
          <w:rFonts w:ascii="Times New Roman" w:eastAsia="DengXian" w:hAnsi="Times New Roman" w:cs="Times New Roman"/>
          <w:sz w:val="28"/>
          <w:szCs w:val="28"/>
          <w:lang w:val="en-US" w:eastAsia="zh-CN"/>
        </w:rPr>
        <w:t xml:space="preserve">Italy. The New Italian Port System / Ministero delle Infrastrutture e dei Transporti, 2018 // </w:t>
      </w:r>
      <w:hyperlink r:id="rId192" w:history="1">
        <w:r>
          <w:rPr>
            <w:rStyle w:val="ab"/>
            <w:rFonts w:ascii="Times New Roman" w:eastAsia="DengXian" w:hAnsi="Times New Roman" w:cs="Times New Roman"/>
            <w:color w:val="auto"/>
            <w:sz w:val="28"/>
            <w:szCs w:val="28"/>
            <w:u w:val="none"/>
            <w:lang w:val="en-US" w:eastAsia="zh-CN"/>
          </w:rPr>
          <w:t>http://www.mit.gov.it/en/comunica</w:t>
        </w:r>
        <w:r>
          <w:rPr>
            <w:rStyle w:val="ab"/>
            <w:rFonts w:ascii="Times New Roman" w:eastAsia="DengXian" w:hAnsi="Times New Roman" w:cs="Times New Roman"/>
            <w:color w:val="auto"/>
            <w:sz w:val="28"/>
            <w:szCs w:val="28"/>
            <w:u w:val="none"/>
            <w:lang w:val="en-US" w:eastAsia="zh-CN"/>
          </w:rPr>
          <w:t>zione/news/porti. 10.02.2026.</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eastAsia="zh-CN"/>
        </w:rPr>
        <w:t xml:space="preserve">219 </w:t>
      </w:r>
      <w:r>
        <w:rPr>
          <w:rFonts w:ascii="Times New Roman" w:eastAsia="DengXian" w:hAnsi="Times New Roman" w:cs="Times New Roman"/>
          <w:sz w:val="28"/>
          <w:szCs w:val="28"/>
          <w:lang w:val="en-US" w:eastAsia="zh-CN"/>
        </w:rPr>
        <w:t>Italy. Rail Lines (Total Route-km) / World Bank, 2018 // https://data.worldbank.org/indicator/IS. RRS.TOTL.KM?locations=IT.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220 </w:t>
      </w:r>
      <w:r>
        <w:rPr>
          <w:rFonts w:ascii="Times New Roman" w:eastAsia="DengXian" w:hAnsi="Times New Roman" w:cs="Times New Roman"/>
          <w:sz w:val="28"/>
          <w:szCs w:val="28"/>
          <w:lang w:val="en-US" w:eastAsia="zh-CN"/>
        </w:rPr>
        <w:t xml:space="preserve">Designated International Airports in Australia / Department of Infrastructure, </w:t>
      </w:r>
      <w:r>
        <w:rPr>
          <w:rFonts w:ascii="Times New Roman" w:eastAsia="DengXian" w:hAnsi="Times New Roman" w:cs="Times New Roman"/>
          <w:sz w:val="28"/>
          <w:szCs w:val="28"/>
          <w:lang w:val="en-US" w:eastAsia="zh-CN"/>
        </w:rPr>
        <w:t xml:space="preserve">Transport, Regional Development and Communications. 2022 // </w:t>
      </w:r>
      <w:hyperlink r:id="rId193" w:history="1">
        <w:r>
          <w:rPr>
            <w:rStyle w:val="ab"/>
            <w:rFonts w:ascii="Times New Roman" w:eastAsia="DengXian" w:hAnsi="Times New Roman" w:cs="Times New Roman"/>
            <w:color w:val="auto"/>
            <w:sz w:val="28"/>
            <w:szCs w:val="28"/>
            <w:u w:val="none"/>
            <w:lang w:val="en-US" w:eastAsia="zh-CN"/>
          </w:rPr>
          <w:t>https://www.infrastructure.gov.au/aviation/international/icao/desig_.</w:t>
        </w:r>
      </w:hyperlink>
      <w:r>
        <w:rPr>
          <w:rStyle w:val="ab"/>
          <w:rFonts w:ascii="Times New Roman" w:eastAsia="DengXian" w:hAnsi="Times New Roman" w:cs="Times New Roman"/>
          <w:color w:val="auto"/>
          <w:sz w:val="28"/>
          <w:szCs w:val="28"/>
          <w:u w:val="none"/>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eastAsia="zh-CN"/>
        </w:rPr>
        <w:t xml:space="preserve">221 </w:t>
      </w:r>
      <w:r>
        <w:rPr>
          <w:rFonts w:ascii="Times New Roman" w:eastAsia="DengXian" w:hAnsi="Times New Roman" w:cs="Times New Roman"/>
          <w:sz w:val="28"/>
          <w:szCs w:val="28"/>
          <w:lang w:val="en-US" w:eastAsia="zh-CN"/>
        </w:rPr>
        <w:t>Australia. Rail Lines (T</w:t>
      </w:r>
      <w:r>
        <w:rPr>
          <w:rFonts w:ascii="Times New Roman" w:eastAsia="DengXian" w:hAnsi="Times New Roman" w:cs="Times New Roman"/>
          <w:sz w:val="28"/>
          <w:szCs w:val="28"/>
          <w:lang w:val="en-US" w:eastAsia="zh-CN"/>
        </w:rPr>
        <w:t xml:space="preserve">otal Route-km) / World Bank, 2021 // </w:t>
      </w:r>
      <w:hyperlink r:id="rId194" w:history="1">
        <w:r>
          <w:rPr>
            <w:rStyle w:val="ab"/>
            <w:rFonts w:ascii="Times New Roman" w:eastAsia="DengXian" w:hAnsi="Times New Roman" w:cs="Times New Roman"/>
            <w:color w:val="auto"/>
            <w:sz w:val="28"/>
            <w:szCs w:val="28"/>
            <w:u w:val="none"/>
            <w:lang w:val="en-US" w:eastAsia="zh-CN"/>
          </w:rPr>
          <w:t>https://data.worldbank.org/indicator/IS.RRS.TOTL.KM?locations=AU</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222 </w:t>
      </w:r>
      <w:r>
        <w:rPr>
          <w:rFonts w:ascii="Times New Roman" w:eastAsia="DengXian" w:hAnsi="Times New Roman" w:cs="Times New Roman"/>
          <w:sz w:val="28"/>
          <w:szCs w:val="28"/>
          <w:lang w:val="en-US" w:eastAsia="zh-CN"/>
        </w:rPr>
        <w:t>Netherlands. Rail Lines (Total Route-km) / World Bank, 2</w:t>
      </w:r>
      <w:r>
        <w:rPr>
          <w:rFonts w:ascii="Times New Roman" w:eastAsia="DengXian" w:hAnsi="Times New Roman" w:cs="Times New Roman"/>
          <w:sz w:val="28"/>
          <w:szCs w:val="28"/>
          <w:lang w:val="en-US" w:eastAsia="zh-CN"/>
        </w:rPr>
        <w:t>020 // https://data.worldbank.org/indic ator/IS.RRS.TOTL.KM?locations=NL.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223 </w:t>
      </w:r>
      <w:r>
        <w:rPr>
          <w:rFonts w:ascii="Times New Roman" w:eastAsia="DengXian" w:hAnsi="Times New Roman" w:cs="Times New Roman"/>
          <w:sz w:val="28"/>
          <w:szCs w:val="28"/>
          <w:lang w:val="en-US" w:eastAsia="zh-CN"/>
        </w:rPr>
        <w:t xml:space="preserve">Germany. Waterways as Transport Routes / Federal Ministry of Transport and Digital Infrastructure. 2020 // </w:t>
      </w:r>
      <w:hyperlink r:id="rId195" w:history="1">
        <w:r>
          <w:rPr>
            <w:rStyle w:val="ab"/>
            <w:rFonts w:ascii="Times New Roman" w:eastAsia="DengXian" w:hAnsi="Times New Roman" w:cs="Times New Roman"/>
            <w:color w:val="auto"/>
            <w:sz w:val="28"/>
            <w:szCs w:val="28"/>
            <w:u w:val="none"/>
            <w:lang w:val="en-US" w:eastAsia="zh-CN"/>
          </w:rPr>
          <w:t>https://www.bmvi.de/SharedDocs.</w:t>
        </w:r>
      </w:hyperlink>
      <w:r>
        <w:rPr>
          <w:rStyle w:val="ab"/>
          <w:rFonts w:ascii="Times New Roman" w:eastAsia="DengXian" w:hAnsi="Times New Roman" w:cs="Times New Roman"/>
          <w:color w:val="auto"/>
          <w:sz w:val="28"/>
          <w:szCs w:val="28"/>
          <w:u w:val="none"/>
          <w:lang w:val="en-US"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224 </w:t>
      </w:r>
      <w:r>
        <w:rPr>
          <w:rFonts w:ascii="Times New Roman" w:eastAsia="DengXian" w:hAnsi="Times New Roman" w:cs="Times New Roman"/>
          <w:sz w:val="28"/>
          <w:szCs w:val="28"/>
          <w:lang w:val="en-US" w:eastAsia="zh-CN"/>
        </w:rPr>
        <w:t>Rail lines (Total Route-km) – Germany / World Bank, 2018 // https://data.worldbank.org/indicator /IS.RRS.TOTL.KM?locations=DE. 10.11.02025.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225 </w:t>
      </w:r>
      <w:r>
        <w:rPr>
          <w:rFonts w:ascii="Times New Roman" w:eastAsia="DengXian" w:hAnsi="Times New Roman" w:cs="Times New Roman"/>
          <w:sz w:val="28"/>
          <w:szCs w:val="28"/>
          <w:lang w:val="en-US" w:eastAsia="zh-CN"/>
        </w:rPr>
        <w:t>Airports in Japan / MLIT 2007 // https: //www.mlit.go.jp/koku</w:t>
      </w:r>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226 </w:t>
      </w:r>
      <w:r>
        <w:rPr>
          <w:rFonts w:ascii="Times New Roman" w:eastAsia="DengXian" w:hAnsi="Times New Roman" w:cs="Times New Roman"/>
          <w:sz w:val="28"/>
          <w:szCs w:val="28"/>
          <w:lang w:val="en-US" w:eastAsia="zh-CN"/>
        </w:rPr>
        <w:t xml:space="preserve">Knoema. Japan – Total Route Rail Lines. 2018 // </w:t>
      </w:r>
      <w:hyperlink w:history="1">
        <w:r>
          <w:rPr>
            <w:rStyle w:val="ab"/>
            <w:rFonts w:ascii="Times New Roman" w:eastAsia="DengXian" w:hAnsi="Times New Roman" w:cs="Times New Roman"/>
            <w:color w:val="auto"/>
            <w:sz w:val="28"/>
            <w:szCs w:val="28"/>
            <w:u w:val="none"/>
            <w:lang w:val="en-US" w:eastAsia="zh-CN"/>
          </w:rPr>
          <w:t>https://knoema.com /atlas/Japan/Length-of-rail-lines</w:t>
        </w:r>
      </w:hyperlink>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227 </w:t>
      </w:r>
      <w:r>
        <w:rPr>
          <w:rFonts w:ascii="Times New Roman" w:eastAsia="DengXian" w:hAnsi="Times New Roman" w:cs="Times New Roman"/>
          <w:sz w:val="28"/>
          <w:szCs w:val="28"/>
          <w:lang w:val="en-US" w:eastAsia="zh-CN"/>
        </w:rPr>
        <w:t>Sea</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Rates</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Sea</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Ports</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of</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en-US" w:eastAsia="zh-CN"/>
        </w:rPr>
        <w:t>Japan</w:t>
      </w:r>
      <w:r>
        <w:rPr>
          <w:rFonts w:ascii="Times New Roman" w:eastAsia="DengXian" w:hAnsi="Times New Roman" w:cs="Times New Roman"/>
          <w:sz w:val="28"/>
          <w:szCs w:val="28"/>
          <w:lang w:eastAsia="zh-CN"/>
        </w:rPr>
        <w:t xml:space="preserve">. 2020 // </w:t>
      </w:r>
      <w:hyperlink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www</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searates</w:t>
        </w:r>
        <w:r>
          <w:rPr>
            <w:rStyle w:val="ab"/>
            <w:rFonts w:ascii="Times New Roman" w:eastAsia="DengXian" w:hAnsi="Times New Roman" w:cs="Times New Roman"/>
            <w:color w:val="auto"/>
            <w:sz w:val="28"/>
            <w:szCs w:val="28"/>
            <w:u w:val="none"/>
            <w:lang w:eastAsia="zh-CN"/>
          </w:rPr>
          <w:t>. 10.10.2025.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eastAsia="zh-CN"/>
        </w:rPr>
        <w:t xml:space="preserve">228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eastAsia="zh-CN"/>
        </w:rPr>
        <w:t>Транспортно-логистическая отрасль Казахстана</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eastAsia="zh-CN"/>
        </w:rPr>
        <w:t xml:space="preserve"> Апрель 2024 года:</w:t>
      </w:r>
      <w:r>
        <w:rPr>
          <w:rFonts w:ascii="Times New Roman" w:eastAsia="DengXian" w:hAnsi="Times New Roman" w:cs="Times New Roman"/>
          <w:sz w:val="28"/>
          <w:szCs w:val="28"/>
          <w:lang w:val="kk-KZ" w:eastAsia="zh-CN"/>
        </w:rPr>
        <w:t xml:space="preserve"> отчет</w:t>
      </w:r>
      <w:r>
        <w:rPr>
          <w:rFonts w:ascii="Times New Roman" w:eastAsia="DengXian" w:hAnsi="Times New Roman" w:cs="Times New Roman"/>
          <w:sz w:val="28"/>
          <w:szCs w:val="28"/>
          <w:lang w:eastAsia="zh-CN"/>
        </w:rPr>
        <w:t xml:space="preserve"> // </w:t>
      </w:r>
      <w:hyperlink r:id="rId196"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aifc</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wp</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content</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uploads</w:t>
        </w:r>
        <w:r>
          <w:rPr>
            <w:rStyle w:val="ab"/>
            <w:rFonts w:ascii="Times New Roman" w:eastAsia="DengXian" w:hAnsi="Times New Roman" w:cs="Times New Roman"/>
            <w:color w:val="auto"/>
            <w:sz w:val="28"/>
            <w:szCs w:val="28"/>
            <w:u w:val="none"/>
            <w:lang w:eastAsia="zh-CN"/>
          </w:rPr>
          <w:t>/2024/07/2.2-</w:t>
        </w:r>
        <w:r>
          <w:rPr>
            <w:rStyle w:val="ab"/>
            <w:rFonts w:ascii="Times New Roman" w:eastAsia="DengXian" w:hAnsi="Times New Roman" w:cs="Times New Roman"/>
            <w:color w:val="auto"/>
            <w:sz w:val="28"/>
            <w:szCs w:val="28"/>
            <w:u w:val="none"/>
            <w:lang w:val="en-US" w:eastAsia="zh-CN"/>
          </w:rPr>
          <w:t>transportno</w:t>
        </w:r>
        <w:r>
          <w:rPr>
            <w:rStyle w:val="ab"/>
            <w:rFonts w:ascii="Times New Roman" w:eastAsia="DengXian" w:hAnsi="Times New Roman" w:cs="Times New Roman"/>
            <w:color w:val="auto"/>
            <w:sz w:val="28"/>
            <w:szCs w:val="28"/>
            <w:u w:val="none"/>
            <w:lang w:eastAsia="zh-CN"/>
          </w:rPr>
          <w:t>.</w:t>
        </w:r>
      </w:hyperlink>
      <w:r>
        <w:rPr>
          <w:rStyle w:val="ab"/>
          <w:rFonts w:ascii="Times New Roman" w:eastAsia="DengXian" w:hAnsi="Times New Roman" w:cs="Times New Roman"/>
          <w:color w:val="auto"/>
          <w:sz w:val="28"/>
          <w:szCs w:val="28"/>
          <w:u w:val="none"/>
          <w:lang w:eastAsia="zh-CN"/>
        </w:rPr>
        <w:t xml:space="preserve"> </w:t>
      </w:r>
      <w:r>
        <w:rPr>
          <w:rStyle w:val="ab"/>
          <w:rFonts w:ascii="Times New Roman" w:eastAsia="DengXian" w:hAnsi="Times New Roman" w:cs="Times New Roman"/>
          <w:color w:val="auto"/>
          <w:sz w:val="28"/>
          <w:szCs w:val="28"/>
          <w:u w:val="none"/>
          <w:lang w:val="en-US" w:eastAsia="zh-CN"/>
        </w:rPr>
        <w:t>11.11.2025.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229 </w:t>
      </w:r>
      <w:r>
        <w:rPr>
          <w:rFonts w:ascii="Times New Roman" w:eastAsia="DengXian" w:hAnsi="Times New Roman" w:cs="Times New Roman"/>
          <w:sz w:val="28"/>
          <w:szCs w:val="28"/>
          <w:lang w:val="en-US" w:eastAsia="zh-CN"/>
        </w:rPr>
        <w:t>Canada. Studying in Food Techno</w:t>
      </w:r>
      <w:r>
        <w:rPr>
          <w:rFonts w:ascii="Times New Roman" w:eastAsia="DengXian" w:hAnsi="Times New Roman" w:cs="Times New Roman"/>
          <w:sz w:val="28"/>
          <w:szCs w:val="28"/>
          <w:lang w:val="en-US" w:eastAsia="zh-CN"/>
        </w:rPr>
        <w:t xml:space="preserve">logy and Processing College/CEGEP (01.1002). Job Bank // </w:t>
      </w:r>
      <w:hyperlink r:id="rId197" w:history="1">
        <w:r>
          <w:rPr>
            <w:rStyle w:val="ab"/>
            <w:rFonts w:ascii="Times New Roman" w:eastAsia="DengXian" w:hAnsi="Times New Roman" w:cs="Times New Roman"/>
            <w:color w:val="auto"/>
            <w:sz w:val="28"/>
            <w:szCs w:val="28"/>
            <w:u w:val="none"/>
            <w:lang w:val="en-US" w:eastAsia="zh-CN"/>
          </w:rPr>
          <w:t>https://www.jobbank.gc.ca/studentdashboard</w:t>
        </w:r>
      </w:hyperlink>
      <w:r>
        <w:rPr>
          <w:rFonts w:ascii="Times New Roman" w:eastAsia="DengXian" w:hAnsi="Times New Roman" w:cs="Times New Roman"/>
          <w:sz w:val="28"/>
          <w:szCs w:val="28"/>
          <w:lang w:val="en-US"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230 </w:t>
      </w:r>
      <w:r>
        <w:rPr>
          <w:rFonts w:ascii="Times New Roman" w:eastAsia="DengXian" w:hAnsi="Times New Roman" w:cs="Times New Roman"/>
          <w:sz w:val="28"/>
          <w:szCs w:val="28"/>
          <w:lang w:val="en-US" w:eastAsia="zh-CN"/>
        </w:rPr>
        <w:t xml:space="preserve">Australia. Student Payments. Study Assist // </w:t>
      </w:r>
      <w:hyperlink w:history="1">
        <w:r>
          <w:rPr>
            <w:rStyle w:val="ab"/>
            <w:rFonts w:ascii="Times New Roman" w:eastAsia="DengXian" w:hAnsi="Times New Roman" w:cs="Times New Roman"/>
            <w:color w:val="auto"/>
            <w:sz w:val="28"/>
            <w:szCs w:val="28"/>
            <w:u w:val="none"/>
            <w:lang w:val="en-US" w:eastAsia="zh-CN"/>
          </w:rPr>
          <w:t>https://www.studyassist.</w:t>
        </w:r>
        <w:r>
          <w:rPr>
            <w:rStyle w:val="ab"/>
            <w:rFonts w:ascii="Times New Roman" w:eastAsia="DengXian" w:hAnsi="Times New Roman" w:cs="Times New Roman"/>
            <w:color w:val="auto"/>
            <w:sz w:val="28"/>
            <w:szCs w:val="28"/>
            <w:u w:val="none"/>
            <w:lang w:val="en-US" w:eastAsia="zh-CN"/>
          </w:rPr>
          <w:t xml:space="preserve"> gov.au/support-while-you-study/support-students</w:t>
        </w:r>
      </w:hyperlink>
      <w:r>
        <w:rPr>
          <w:rFonts w:ascii="Times New Roman" w:eastAsia="DengXian" w:hAnsi="Times New Roman" w:cs="Times New Roman"/>
          <w:sz w:val="28"/>
          <w:szCs w:val="28"/>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231 </w:t>
      </w:r>
      <w:r>
        <w:rPr>
          <w:rFonts w:ascii="Times New Roman" w:eastAsia="DengXian" w:hAnsi="Times New Roman" w:cs="Times New Roman"/>
          <w:sz w:val="28"/>
          <w:szCs w:val="28"/>
          <w:lang w:val="en-US" w:eastAsia="zh-CN"/>
        </w:rPr>
        <w:t xml:space="preserve">United States. Agriculture and Food Research Initiative: Education and Workforce Development (2020) // </w:t>
      </w:r>
      <w:hyperlink r:id="rId198" w:history="1">
        <w:r>
          <w:rPr>
            <w:rStyle w:val="ab"/>
            <w:rFonts w:ascii="Times New Roman" w:eastAsia="DengXian" w:hAnsi="Times New Roman" w:cs="Times New Roman"/>
            <w:color w:val="auto"/>
            <w:sz w:val="28"/>
            <w:szCs w:val="28"/>
            <w:u w:val="none"/>
            <w:lang w:val="en-US" w:eastAsia="zh-CN"/>
          </w:rPr>
          <w:t>https://nifa.usda.gov/.</w:t>
        </w:r>
      </w:hyperlink>
      <w:r>
        <w:rPr>
          <w:rStyle w:val="ab"/>
          <w:rFonts w:ascii="Times New Roman" w:eastAsia="DengXian" w:hAnsi="Times New Roman" w:cs="Times New Roman"/>
          <w:color w:val="auto"/>
          <w:sz w:val="28"/>
          <w:szCs w:val="28"/>
          <w:u w:val="none"/>
          <w:lang w:val="en-US" w:eastAsia="zh-CN"/>
        </w:rPr>
        <w:t xml:space="preserve"> 10.11.2025</w:t>
      </w:r>
      <w:r>
        <w:rPr>
          <w:rFonts w:ascii="Times New Roman" w:eastAsia="DengXian" w:hAnsi="Times New Roman" w:cs="Times New Roman"/>
          <w:sz w:val="28"/>
          <w:szCs w:val="28"/>
          <w:lang w:val="en-US" w:eastAsia="zh-CN"/>
        </w:rPr>
        <w:t>.</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232 </w:t>
      </w:r>
      <w:r>
        <w:rPr>
          <w:rFonts w:ascii="Times New Roman" w:eastAsia="DengXian" w:hAnsi="Times New Roman" w:cs="Times New Roman"/>
          <w:sz w:val="28"/>
          <w:szCs w:val="28"/>
          <w:lang w:val="en-US" w:eastAsia="zh-CN"/>
        </w:rPr>
        <w:t>Germ</w:t>
      </w:r>
      <w:r>
        <w:rPr>
          <w:rFonts w:ascii="Times New Roman" w:eastAsia="DengXian" w:hAnsi="Times New Roman" w:cs="Times New Roman"/>
          <w:sz w:val="28"/>
          <w:szCs w:val="28"/>
          <w:lang w:val="en-US" w:eastAsia="zh-CN"/>
        </w:rPr>
        <w:t xml:space="preserve">any. The Cabinet Makes Social Cohesion and Modernisation Priorities / Federal Ministry of Finance. 2023 // </w:t>
      </w:r>
      <w:hyperlink r:id="rId199" w:history="1">
        <w:r>
          <w:rPr>
            <w:rStyle w:val="ab"/>
            <w:rFonts w:ascii="Times New Roman" w:eastAsia="DengXian" w:hAnsi="Times New Roman" w:cs="Times New Roman"/>
            <w:color w:val="auto"/>
            <w:sz w:val="28"/>
            <w:szCs w:val="28"/>
            <w:u w:val="none"/>
            <w:lang w:val="en-US" w:eastAsia="zh-CN"/>
          </w:rPr>
          <w:t>https://www</w:t>
        </w:r>
      </w:hyperlink>
      <w:r>
        <w:rPr>
          <w:rFonts w:ascii="Times New Roman" w:eastAsia="DengXian" w:hAnsi="Times New Roman" w:cs="Times New Roman"/>
          <w:sz w:val="28"/>
          <w:szCs w:val="28"/>
          <w:lang w:val="en-US" w:eastAsia="zh-CN"/>
        </w:rPr>
        <w:t>. bundesfinanzministerium.de/Web/EN/Issues/Public-Finances.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233 </w:t>
      </w:r>
      <w:r>
        <w:rPr>
          <w:rFonts w:ascii="Times New Roman" w:eastAsia="DengXian" w:hAnsi="Times New Roman" w:cs="Times New Roman"/>
          <w:sz w:val="28"/>
          <w:szCs w:val="28"/>
          <w:lang w:val="en-US" w:eastAsia="zh-CN"/>
        </w:rPr>
        <w:t>Italy. Employment Rate, Monthly Da</w:t>
      </w:r>
      <w:r>
        <w:rPr>
          <w:rFonts w:ascii="Times New Roman" w:eastAsia="DengXian" w:hAnsi="Times New Roman" w:cs="Times New Roman"/>
          <w:sz w:val="28"/>
          <w:szCs w:val="28"/>
          <w:lang w:val="en-US" w:eastAsia="zh-CN"/>
        </w:rPr>
        <w:t xml:space="preserve">ta / Italian National Institute of Statistics // </w:t>
      </w:r>
      <w:hyperlink r:id="rId200" w:history="1">
        <w:r>
          <w:rPr>
            <w:rStyle w:val="ab"/>
            <w:rFonts w:ascii="Times New Roman" w:eastAsia="DengXian" w:hAnsi="Times New Roman" w:cs="Times New Roman"/>
            <w:color w:val="auto"/>
            <w:sz w:val="28"/>
            <w:szCs w:val="28"/>
            <w:u w:val="none"/>
            <w:lang w:val="en-US" w:eastAsia="zh-CN"/>
          </w:rPr>
          <w:t>http://dati.istat.it/Index.aspx?QueryId=25132=en</w:t>
        </w:r>
      </w:hyperlink>
      <w:r>
        <w:rPr>
          <w:rFonts w:ascii="Times New Roman" w:eastAsia="DengXian" w:hAnsi="Times New Roman" w:cs="Times New Roman"/>
          <w:sz w:val="28"/>
          <w:szCs w:val="28"/>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234 </w:t>
      </w:r>
      <w:r>
        <w:rPr>
          <w:rFonts w:ascii="Times New Roman" w:eastAsia="DengXian" w:hAnsi="Times New Roman" w:cs="Times New Roman"/>
          <w:sz w:val="28"/>
          <w:szCs w:val="28"/>
          <w:lang w:val="en-US" w:eastAsia="zh-CN"/>
        </w:rPr>
        <w:t xml:space="preserve">Italy. University Graduates – Occupational Status: Degree Group and Monthly </w:t>
      </w:r>
      <w:r>
        <w:rPr>
          <w:rFonts w:ascii="Times New Roman" w:eastAsia="DengXian" w:hAnsi="Times New Roman" w:cs="Times New Roman"/>
          <w:sz w:val="28"/>
          <w:szCs w:val="28"/>
          <w:lang w:val="en-US" w:eastAsia="zh-CN"/>
        </w:rPr>
        <w:t xml:space="preserve">Income // </w:t>
      </w:r>
      <w:hyperlink r:id="rId201" w:history="1">
        <w:r>
          <w:rPr>
            <w:rStyle w:val="ab"/>
            <w:rFonts w:ascii="Times New Roman" w:eastAsia="DengXian" w:hAnsi="Times New Roman" w:cs="Times New Roman"/>
            <w:color w:val="auto"/>
            <w:sz w:val="28"/>
            <w:szCs w:val="28"/>
            <w:u w:val="none"/>
            <w:lang w:val="en-US" w:eastAsia="zh-CN"/>
          </w:rPr>
          <w:t>http://dati.istat.it/Index.aspx?QueryId=25981=en</w:t>
        </w:r>
      </w:hyperlink>
      <w:r>
        <w:rPr>
          <w:rStyle w:val="ab"/>
          <w:rFonts w:ascii="Times New Roman" w:eastAsia="DengXian" w:hAnsi="Times New Roman" w:cs="Times New Roman"/>
          <w:color w:val="auto"/>
          <w:sz w:val="28"/>
          <w:szCs w:val="28"/>
          <w:u w:val="none"/>
          <w:lang w:val="en-US"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235 </w:t>
      </w:r>
      <w:r>
        <w:rPr>
          <w:rFonts w:ascii="Times New Roman" w:eastAsia="DengXian" w:hAnsi="Times New Roman" w:cs="Times New Roman"/>
          <w:sz w:val="28"/>
          <w:szCs w:val="28"/>
          <w:lang w:val="en-US" w:eastAsia="zh-CN"/>
        </w:rPr>
        <w:t>Heo S., Lee G., Na H.E. et al. Current status of the novel food ingredient safety evaluation system // Food Sci Bio</w:t>
      </w:r>
      <w:r>
        <w:rPr>
          <w:rFonts w:ascii="Times New Roman" w:eastAsia="DengXian" w:hAnsi="Times New Roman" w:cs="Times New Roman"/>
          <w:sz w:val="28"/>
          <w:szCs w:val="28"/>
          <w:lang w:val="en-US" w:eastAsia="zh-CN"/>
        </w:rPr>
        <w:t xml:space="preserve">technol. – 2023. – Vol. 33, Issue 1. – P. 1-11. </w:t>
      </w:r>
    </w:p>
    <w:p w:rsidR="005118AF" w:rsidRDefault="00EF60C3">
      <w:pPr>
        <w:tabs>
          <w:tab w:val="left" w:pos="880"/>
          <w:tab w:val="left" w:pos="1276"/>
        </w:tabs>
        <w:spacing w:after="0" w:line="240" w:lineRule="auto"/>
        <w:ind w:firstLine="709"/>
        <w:jc w:val="both"/>
        <w:rPr>
          <w:rFonts w:ascii="Segoe UI" w:eastAsia="Segoe UI" w:hAnsi="Segoe UI" w:cs="Segoe UI"/>
          <w:lang w:val="kk-KZ"/>
        </w:rPr>
      </w:pPr>
      <w:r>
        <w:rPr>
          <w:rFonts w:ascii="Times New Roman" w:eastAsia="DengXian" w:hAnsi="Times New Roman" w:cs="Times New Roman"/>
          <w:sz w:val="28"/>
          <w:szCs w:val="28"/>
          <w:lang w:val="kk-KZ" w:eastAsia="zh-CN"/>
        </w:rPr>
        <w:t xml:space="preserve">236 </w:t>
      </w:r>
      <w:r>
        <w:rPr>
          <w:rFonts w:ascii="Times New Roman" w:eastAsia="DengXian" w:hAnsi="Times New Roman" w:cs="Times New Roman"/>
          <w:sz w:val="28"/>
          <w:szCs w:val="28"/>
          <w:lang w:val="en-US" w:eastAsia="zh-CN"/>
        </w:rPr>
        <w:t>FAO-China South-South Cooperation Programme - In brief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02" w:history="1">
        <w:r>
          <w:rPr>
            <w:rStyle w:val="ab"/>
            <w:rFonts w:ascii="Times New Roman" w:eastAsia="DengXian" w:hAnsi="Times New Roman" w:cs="Times New Roman"/>
            <w:color w:val="auto"/>
            <w:sz w:val="28"/>
            <w:szCs w:val="28"/>
            <w:u w:val="none"/>
            <w:lang w:val="en-US" w:eastAsia="zh-CN"/>
          </w:rPr>
          <w:t>https://openknowledge.fao.org/handle/20.500.14283/cc9429en</w:t>
        </w:r>
      </w:hyperlink>
      <w:r>
        <w:rPr>
          <w:rStyle w:val="ab"/>
          <w:rFonts w:ascii="Times New Roman" w:eastAsia="DengXian" w:hAnsi="Times New Roman" w:cs="Times New Roman"/>
          <w:color w:val="auto"/>
          <w:sz w:val="28"/>
          <w:szCs w:val="28"/>
          <w:u w:val="none"/>
          <w:lang w:val="kk-KZ" w:eastAsia="zh-CN"/>
        </w:rPr>
        <w:t xml:space="preserve">. </w:t>
      </w:r>
      <w:r>
        <w:rPr>
          <w:rStyle w:val="ab"/>
          <w:rFonts w:ascii="Times New Roman" w:eastAsia="DengXian" w:hAnsi="Times New Roman" w:cs="Times New Roman"/>
          <w:color w:val="auto"/>
          <w:sz w:val="28"/>
          <w:szCs w:val="28"/>
          <w:u w:val="none"/>
          <w:lang w:val="kk-KZ" w:eastAsia="zh-CN"/>
        </w:rPr>
        <w:t>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237 </w:t>
      </w:r>
      <w:r>
        <w:rPr>
          <w:rFonts w:ascii="Times New Roman" w:eastAsia="DengXian" w:hAnsi="Times New Roman" w:cs="Times New Roman" w:hint="eastAsia"/>
          <w:sz w:val="28"/>
          <w:szCs w:val="28"/>
          <w:lang w:val="en-US" w:eastAsia="zh-CN"/>
        </w:rPr>
        <w:t>Korea's employment rate of university grads ranks low among OECD: report</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03" w:history="1">
        <w:r>
          <w:rPr>
            <w:rStyle w:val="ab"/>
            <w:rFonts w:ascii="Times New Roman" w:eastAsia="DengXian" w:hAnsi="Times New Roman" w:cs="Times New Roman"/>
            <w:color w:val="auto"/>
            <w:sz w:val="28"/>
            <w:szCs w:val="28"/>
            <w:u w:val="none"/>
            <w:lang w:val="en-US" w:eastAsia="zh-CN"/>
          </w:rPr>
          <w:t>https://www.koreaherald.com/article/2727780?utm_source</w:t>
        </w:r>
      </w:hyperlink>
      <w:r>
        <w:rPr>
          <w:rStyle w:val="ab"/>
          <w:rFonts w:ascii="Times New Roman" w:eastAsia="DengXian" w:hAnsi="Times New Roman" w:cs="Times New Roman"/>
          <w:color w:val="auto"/>
          <w:sz w:val="28"/>
          <w:szCs w:val="28"/>
          <w:u w:val="none"/>
          <w:lang w:val="kk-KZ"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238 </w:t>
      </w:r>
      <w:r>
        <w:rPr>
          <w:rFonts w:ascii="Times New Roman" w:eastAsia="DengXian" w:hAnsi="Times New Roman" w:cs="Times New Roman"/>
          <w:sz w:val="28"/>
          <w:szCs w:val="28"/>
          <w:lang w:val="en-US" w:eastAsia="zh-CN"/>
        </w:rPr>
        <w:t>Germany. Employees by</w:t>
      </w:r>
      <w:r>
        <w:rPr>
          <w:rFonts w:ascii="Times New Roman" w:eastAsia="DengXian" w:hAnsi="Times New Roman" w:cs="Times New Roman"/>
          <w:sz w:val="28"/>
          <w:szCs w:val="28"/>
          <w:lang w:val="en-US" w:eastAsia="zh-CN"/>
        </w:rPr>
        <w:t xml:space="preserve"> Industries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Federal Office of Statistics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04" w:history="1">
        <w:r>
          <w:rPr>
            <w:rStyle w:val="ab"/>
            <w:rFonts w:ascii="Times New Roman" w:eastAsia="DengXian" w:hAnsi="Times New Roman" w:cs="Times New Roman"/>
            <w:color w:val="auto"/>
            <w:sz w:val="28"/>
            <w:szCs w:val="28"/>
            <w:u w:val="none"/>
            <w:lang w:val="en-US" w:eastAsia="zh-CN"/>
          </w:rPr>
          <w:t>https://www.destatis.de/EN/Themes/Economy/Short-Term-Indicators</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239 </w:t>
      </w:r>
      <w:r>
        <w:rPr>
          <w:rFonts w:ascii="Times New Roman" w:eastAsia="DengXian" w:hAnsi="Times New Roman" w:cs="Times New Roman"/>
          <w:sz w:val="28"/>
          <w:szCs w:val="28"/>
          <w:lang w:val="en-US" w:eastAsia="zh-CN"/>
        </w:rPr>
        <w:t>Netherlands. International Visitor</w:t>
      </w:r>
      <w:r>
        <w:rPr>
          <w:rFonts w:ascii="Times New Roman" w:eastAsia="DengXian" w:hAnsi="Times New Roman" w:cs="Times New Roman"/>
          <w:sz w:val="28"/>
          <w:szCs w:val="28"/>
          <w:lang w:val="kk-KZ" w:eastAsia="zh-CN"/>
        </w:rPr>
        <w:t xml:space="preserve"> – </w:t>
      </w:r>
      <w:r>
        <w:rPr>
          <w:rFonts w:ascii="Times New Roman" w:eastAsia="DengXian" w:hAnsi="Times New Roman" w:cs="Times New Roman"/>
          <w:sz w:val="28"/>
          <w:szCs w:val="28"/>
          <w:lang w:val="en-US" w:eastAsia="zh-CN"/>
        </w:rPr>
        <w:t>DUO</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Education Administration Service</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05" w:history="1">
        <w:r>
          <w:rPr>
            <w:rStyle w:val="ab"/>
            <w:rFonts w:ascii="Times New Roman" w:eastAsia="DengXian" w:hAnsi="Times New Roman" w:cs="Times New Roman"/>
            <w:color w:val="auto"/>
            <w:sz w:val="28"/>
            <w:szCs w:val="28"/>
            <w:u w:val="none"/>
            <w:lang w:val="en-US" w:eastAsia="zh-CN"/>
          </w:rPr>
          <w:t>https://www.duo.nl/particulier/international-visitor/index.jsp</w:t>
        </w:r>
      </w:hyperlink>
      <w:r>
        <w:rPr>
          <w:rFonts w:ascii="Times New Roman" w:eastAsia="DengXian" w:hAnsi="Times New Roman" w:cs="Times New Roman"/>
          <w:sz w:val="28"/>
          <w:szCs w:val="28"/>
          <w:lang w:val="kk-KZ"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240 </w:t>
      </w:r>
      <w:r>
        <w:rPr>
          <w:rFonts w:ascii="Times New Roman" w:eastAsia="DengXian" w:hAnsi="Times New Roman" w:cs="Times New Roman"/>
          <w:sz w:val="28"/>
          <w:szCs w:val="28"/>
          <w:lang w:val="en-US" w:eastAsia="zh-CN"/>
        </w:rPr>
        <w:t>Netherlands. Monthly Labour Participation and Unemployment</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CBS Statistics Netherlands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06" w:history="1">
        <w:r>
          <w:rPr>
            <w:rStyle w:val="ab"/>
            <w:rFonts w:ascii="Times New Roman" w:eastAsia="DengXian" w:hAnsi="Times New Roman" w:cs="Times New Roman"/>
            <w:color w:val="auto"/>
            <w:sz w:val="28"/>
            <w:szCs w:val="28"/>
            <w:u w:val="none"/>
            <w:lang w:val="en-US" w:eastAsia="zh-CN"/>
          </w:rPr>
          <w:t>https://www.cbs.nl/en-gb/figures/detail/80590</w:t>
        </w:r>
      </w:hyperlink>
      <w:r>
        <w:rPr>
          <w:rFonts w:ascii="Times New Roman" w:eastAsia="DengXian" w:hAnsi="Times New Roman" w:cs="Times New Roman"/>
          <w:sz w:val="28"/>
          <w:szCs w:val="28"/>
          <w:lang w:val="en-US" w:eastAsia="zh-CN"/>
        </w:rPr>
        <w:t>.</w:t>
      </w:r>
      <w:r>
        <w:rPr>
          <w:rFonts w:ascii="Times New Roman" w:eastAsia="DengXian" w:hAnsi="Times New Roman" w:cs="Times New Roman"/>
          <w:sz w:val="28"/>
          <w:szCs w:val="28"/>
          <w:lang w:val="kk-KZ" w:eastAsia="zh-CN"/>
        </w:rPr>
        <w:t xml:space="preserve">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241 </w:t>
      </w:r>
      <w:r>
        <w:rPr>
          <w:rFonts w:ascii="Times New Roman" w:eastAsia="DengXian" w:hAnsi="Times New Roman" w:cs="Times New Roman"/>
          <w:sz w:val="28"/>
          <w:szCs w:val="28"/>
          <w:lang w:val="en-US" w:eastAsia="zh-CN"/>
        </w:rPr>
        <w:t>Japan. Employed Person by Industry and Occupation 2019 Average. 2019</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https://www.e-stat.go.jp/en/stat-s earch/files?</w:t>
      </w:r>
      <w:r>
        <w:rPr>
          <w:rFonts w:ascii="Times New Roman" w:eastAsia="DengXian" w:hAnsi="Times New Roman" w:cs="Times New Roman"/>
          <w:sz w:val="28"/>
          <w:szCs w:val="28"/>
          <w:lang w:val="kk-KZ" w:eastAsia="zh-CN"/>
        </w:rPr>
        <w:t>. 10.11.2025.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242 </w:t>
      </w:r>
      <w:r>
        <w:rPr>
          <w:rFonts w:ascii="Times New Roman" w:eastAsia="DengXian" w:hAnsi="Times New Roman" w:cs="Times New Roman"/>
          <w:sz w:val="28"/>
          <w:szCs w:val="28"/>
          <w:lang w:val="en-US" w:eastAsia="zh-CN"/>
        </w:rPr>
        <w:t>Australia. Average Weekly Earnings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(6302.0)</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Australian Bureau of Statistics. 2019</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07" w:history="1">
        <w:r>
          <w:rPr>
            <w:rStyle w:val="ab"/>
            <w:rFonts w:ascii="Times New Roman" w:eastAsia="DengXian" w:hAnsi="Times New Roman" w:cs="Times New Roman"/>
            <w:color w:val="auto"/>
            <w:sz w:val="28"/>
            <w:szCs w:val="28"/>
            <w:u w:val="none"/>
            <w:lang w:val="en-US" w:eastAsia="zh-CN"/>
          </w:rPr>
          <w:t>https://www.abs.gov.au/AUSSTATS/abs</w:t>
        </w:r>
        <w:r>
          <w:rPr>
            <w:rStyle w:val="ab"/>
            <w:rFonts w:ascii="Times New Roman" w:eastAsia="DengXian" w:hAnsi="Times New Roman" w:cs="Times New Roman"/>
            <w:color w:val="auto"/>
            <w:sz w:val="28"/>
            <w:szCs w:val="28"/>
            <w:u w:val="none"/>
            <w:lang w:val="kk-KZ" w:eastAsia="zh-CN"/>
          </w:rPr>
          <w:t>. 10.</w:t>
        </w:r>
      </w:hyperlink>
      <w:r>
        <w:rPr>
          <w:rStyle w:val="ab"/>
          <w:rFonts w:ascii="Times New Roman" w:eastAsia="DengXian" w:hAnsi="Times New Roman" w:cs="Times New Roman"/>
          <w:color w:val="auto"/>
          <w:sz w:val="28"/>
          <w:szCs w:val="28"/>
          <w:u w:val="none"/>
          <w:lang w:val="kk-KZ" w:eastAsia="zh-CN"/>
        </w:rPr>
        <w:t>11.2</w:t>
      </w:r>
      <w:r>
        <w:rPr>
          <w:rStyle w:val="ab"/>
          <w:rFonts w:ascii="Times New Roman" w:eastAsia="DengXian" w:hAnsi="Times New Roman" w:cs="Times New Roman"/>
          <w:color w:val="auto"/>
          <w:sz w:val="28"/>
          <w:szCs w:val="28"/>
          <w:u w:val="none"/>
          <w:lang w:val="kk-KZ" w:eastAsia="zh-CN"/>
        </w:rPr>
        <w:t>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243 </w:t>
      </w:r>
      <w:r>
        <w:rPr>
          <w:rFonts w:ascii="Times New Roman" w:eastAsia="DengXian" w:hAnsi="Times New Roman" w:cs="Times New Roman"/>
          <w:sz w:val="28"/>
          <w:szCs w:val="28"/>
          <w:lang w:val="en-US" w:eastAsia="zh-CN"/>
        </w:rPr>
        <w:t>Australia. Employment by Industry 2019</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Parliament of Australia</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08" w:history="1">
        <w:r>
          <w:rPr>
            <w:rStyle w:val="ab"/>
            <w:rFonts w:ascii="Times New Roman" w:eastAsia="DengXian" w:hAnsi="Times New Roman" w:cs="Times New Roman"/>
            <w:color w:val="auto"/>
            <w:sz w:val="28"/>
            <w:szCs w:val="28"/>
            <w:u w:val="none"/>
            <w:lang w:val="en-US" w:eastAsia="zh-CN"/>
          </w:rPr>
          <w:t>https://www.aph.gov.au/</w:t>
        </w:r>
      </w:hyperlink>
      <w:r>
        <w:rPr>
          <w:rFonts w:ascii="Times New Roman" w:eastAsia="DengXian" w:hAnsi="Times New Roman" w:cs="Times New Roman"/>
          <w:sz w:val="28"/>
          <w:szCs w:val="28"/>
          <w:lang w:val="kk-KZ" w:eastAsia="zh-CN"/>
        </w:rPr>
        <w:t>. 11.11.2025.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244 Рейтинг образовательных программ ВУЗов</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 xml:space="preserve">2025 </w:t>
      </w:r>
      <w:r>
        <w:rPr>
          <w:rFonts w:ascii="Times New Roman" w:eastAsia="DengXian" w:hAnsi="Times New Roman" w:cs="Times New Roman"/>
          <w:sz w:val="28"/>
          <w:szCs w:val="28"/>
          <w:lang w:val="kk-KZ" w:eastAsia="zh-CN"/>
        </w:rPr>
        <w:t>год /</w:t>
      </w:r>
      <w:r>
        <w:rPr>
          <w:rFonts w:ascii="Times New Roman" w:eastAsia="DengXian" w:hAnsi="Times New Roman" w:cs="Times New Roman"/>
          <w:sz w:val="28"/>
          <w:szCs w:val="28"/>
          <w:lang w:eastAsia="zh-CN"/>
        </w:rPr>
        <w:t xml:space="preserve">/ </w:t>
      </w:r>
      <w:hyperlink r:id="rId209"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atameken</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ru</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university</w:t>
        </w:r>
        <w:r>
          <w:rPr>
            <w:rStyle w:val="ab"/>
            <w:rFonts w:ascii="Times New Roman" w:eastAsia="DengXian" w:hAnsi="Times New Roman" w:cs="Times New Roman"/>
            <w:color w:val="auto"/>
            <w:sz w:val="28"/>
            <w:szCs w:val="28"/>
            <w:u w:val="none"/>
            <w:lang w:eastAsia="zh-CN"/>
          </w:rPr>
          <w:t>_</w:t>
        </w:r>
        <w:r>
          <w:rPr>
            <w:rStyle w:val="ab"/>
            <w:rFonts w:ascii="Times New Roman" w:eastAsia="DengXian" w:hAnsi="Times New Roman" w:cs="Times New Roman"/>
            <w:color w:val="auto"/>
            <w:sz w:val="28"/>
            <w:szCs w:val="28"/>
            <w:u w:val="none"/>
            <w:lang w:val="en-US" w:eastAsia="zh-CN"/>
          </w:rPr>
          <w:t>ratings</w:t>
        </w:r>
      </w:hyperlink>
      <w:r>
        <w:rPr>
          <w:rStyle w:val="ab"/>
          <w:rFonts w:ascii="Times New Roman" w:eastAsia="DengXian" w:hAnsi="Times New Roman" w:cs="Times New Roman"/>
          <w:color w:val="auto"/>
          <w:sz w:val="28"/>
          <w:szCs w:val="28"/>
          <w:u w:val="none"/>
          <w:lang w:val="kk-KZ" w:eastAsia="zh-CN"/>
        </w:rPr>
        <w:t>. 11.11.2025.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245 </w:t>
      </w:r>
      <w:r>
        <w:rPr>
          <w:rFonts w:ascii="Times New Roman" w:eastAsia="DengXian" w:hAnsi="Times New Roman" w:cs="Times New Roman"/>
          <w:sz w:val="28"/>
          <w:szCs w:val="28"/>
          <w:lang w:val="en-US" w:eastAsia="zh-CN"/>
        </w:rPr>
        <w:t xml:space="preserve">China announces new financial support for youth employment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10" w:history="1">
        <w:r>
          <w:rPr>
            <w:rStyle w:val="ab"/>
            <w:rFonts w:ascii="Times New Roman" w:eastAsia="DengXian" w:hAnsi="Times New Roman" w:cs="Times New Roman"/>
            <w:color w:val="auto"/>
            <w:sz w:val="28"/>
            <w:szCs w:val="28"/>
            <w:u w:val="none"/>
            <w:lang w:val="en-US" w:eastAsia="zh-CN"/>
          </w:rPr>
          <w:t>https://www.chinadailyhk.com/hk/article/610420</w:t>
        </w:r>
      </w:hyperlink>
      <w:r>
        <w:rPr>
          <w:rStyle w:val="ab"/>
          <w:rFonts w:ascii="Times New Roman" w:eastAsia="DengXian" w:hAnsi="Times New Roman" w:cs="Times New Roman"/>
          <w:color w:val="auto"/>
          <w:sz w:val="28"/>
          <w:szCs w:val="28"/>
          <w:u w:val="none"/>
          <w:lang w:val="kk-KZ"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246 </w:t>
      </w:r>
      <w:r>
        <w:rPr>
          <w:rFonts w:ascii="Times New Roman" w:eastAsia="DengXian" w:hAnsi="Times New Roman" w:cs="Times New Roman"/>
          <w:sz w:val="28"/>
          <w:szCs w:val="28"/>
          <w:lang w:val="en-US" w:eastAsia="zh-CN"/>
        </w:rPr>
        <w:t>Japan. Higher Education in Japan 2013</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w:history="1">
        <w:r>
          <w:rPr>
            <w:rStyle w:val="ab"/>
            <w:rFonts w:ascii="Times New Roman" w:eastAsia="DengXian" w:hAnsi="Times New Roman" w:cs="Times New Roman"/>
            <w:color w:val="auto"/>
            <w:sz w:val="28"/>
            <w:szCs w:val="28"/>
            <w:u w:val="none"/>
            <w:lang w:val="en-US" w:eastAsia="zh-CN"/>
          </w:rPr>
          <w:t>https://www.mext.</w:t>
        </w:r>
        <w:r>
          <w:rPr>
            <w:rStyle w:val="ab"/>
            <w:rFonts w:ascii="Times New Roman" w:eastAsia="DengXian" w:hAnsi="Times New Roman" w:cs="Times New Roman"/>
            <w:color w:val="auto"/>
            <w:sz w:val="28"/>
            <w:szCs w:val="28"/>
            <w:u w:val="none"/>
            <w:lang w:val="kk-KZ" w:eastAsia="zh-CN"/>
          </w:rPr>
          <w:t xml:space="preserve"> 10.10.2025.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247 </w:t>
      </w:r>
      <w:r>
        <w:rPr>
          <w:rFonts w:ascii="Times New Roman" w:eastAsia="DengXian" w:hAnsi="Times New Roman" w:cs="Times New Roman"/>
          <w:sz w:val="28"/>
          <w:szCs w:val="28"/>
          <w:lang w:val="en-US" w:eastAsia="zh-CN"/>
        </w:rPr>
        <w:t xml:space="preserve">Australia. Australian Qualifications Framework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Australian Qualifications Framework Council</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11" w:history="1">
        <w:r>
          <w:rPr>
            <w:rStyle w:val="ab"/>
            <w:rFonts w:ascii="Times New Roman" w:eastAsia="DengXian" w:hAnsi="Times New Roman" w:cs="Times New Roman"/>
            <w:color w:val="auto"/>
            <w:sz w:val="28"/>
            <w:szCs w:val="28"/>
            <w:u w:val="none"/>
            <w:lang w:val="en-US" w:eastAsia="zh-CN"/>
          </w:rPr>
          <w:t>https://www.aqf.edu.au</w:t>
        </w:r>
      </w:hyperlink>
      <w:r>
        <w:rPr>
          <w:rStyle w:val="ab"/>
          <w:rFonts w:ascii="Times New Roman" w:eastAsia="DengXian" w:hAnsi="Times New Roman" w:cs="Times New Roman"/>
          <w:color w:val="auto"/>
          <w:sz w:val="28"/>
          <w:szCs w:val="28"/>
          <w:u w:val="none"/>
          <w:lang w:val="kk-KZ" w:eastAsia="zh-CN"/>
        </w:rPr>
        <w:t>. 10.10.2025.</w:t>
      </w:r>
    </w:p>
    <w:p w:rsidR="005118AF" w:rsidRDefault="00EF60C3">
      <w:pPr>
        <w:tabs>
          <w:tab w:val="left" w:pos="880"/>
          <w:tab w:val="left" w:pos="1276"/>
        </w:tabs>
        <w:spacing w:after="0" w:line="240" w:lineRule="auto"/>
        <w:ind w:firstLine="709"/>
        <w:jc w:val="both"/>
        <w:rPr>
          <w:rFonts w:ascii="Calibri" w:eastAsia="DengXian" w:hAnsi="Calibri" w:cs="Times New Roman"/>
          <w:lang w:val="en-US"/>
        </w:rPr>
      </w:pPr>
      <w:r>
        <w:rPr>
          <w:rFonts w:ascii="Times New Roman" w:eastAsia="DengXian" w:hAnsi="Times New Roman" w:cs="Times New Roman"/>
          <w:sz w:val="28"/>
          <w:szCs w:val="28"/>
          <w:lang w:val="kk-KZ" w:eastAsia="zh-CN"/>
        </w:rPr>
        <w:t xml:space="preserve">248 </w:t>
      </w:r>
      <w:r>
        <w:rPr>
          <w:rFonts w:ascii="Times New Roman" w:eastAsia="DengXian" w:hAnsi="Times New Roman" w:cs="Times New Roman"/>
          <w:sz w:val="28"/>
          <w:szCs w:val="28"/>
          <w:lang w:val="en-US" w:eastAsia="zh-CN"/>
        </w:rPr>
        <w:t>Canada. Fields of study. Job Bank</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12" w:history="1">
        <w:r>
          <w:rPr>
            <w:rStyle w:val="ab"/>
            <w:rFonts w:ascii="Times New Roman" w:eastAsia="DengXian" w:hAnsi="Times New Roman" w:cs="Times New Roman"/>
            <w:color w:val="auto"/>
            <w:sz w:val="28"/>
            <w:szCs w:val="28"/>
            <w:u w:val="none"/>
            <w:lang w:val="en-US" w:eastAsia="zh-CN"/>
          </w:rPr>
          <w:t>https://www.jobbank.gc</w:t>
        </w:r>
      </w:hyperlink>
      <w:r>
        <w:rPr>
          <w:rFonts w:ascii="Times New Roman" w:eastAsia="DengXian" w:hAnsi="Times New Roman" w:cs="Times New Roman"/>
          <w:sz w:val="28"/>
          <w:szCs w:val="28"/>
          <w:lang w:val="en-US" w:eastAsia="zh-CN"/>
        </w:rPr>
        <w:t>.</w:t>
      </w:r>
      <w:r>
        <w:rPr>
          <w:rFonts w:ascii="Times New Roman" w:eastAsia="DengXian" w:hAnsi="Times New Roman" w:cs="Times New Roman"/>
          <w:sz w:val="28"/>
          <w:szCs w:val="28"/>
          <w:lang w:val="kk-KZ"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en-US" w:eastAsia="zh-CN"/>
        </w:rPr>
        <w:t>249 Apprenticeship Review: Italy</w:t>
      </w:r>
      <w:r>
        <w:rPr>
          <w:rFonts w:ascii="Times New Roman" w:eastAsia="DengXian" w:hAnsi="Times New Roman" w:cs="Times New Roman"/>
          <w:sz w:val="28"/>
          <w:szCs w:val="28"/>
          <w:lang w:val="kk-KZ" w:eastAsia="zh-CN"/>
        </w:rPr>
        <w:t xml:space="preserve"> / </w:t>
      </w:r>
      <w:r>
        <w:rPr>
          <w:rFonts w:ascii="Times New Roman" w:eastAsia="DengXian" w:hAnsi="Times New Roman" w:cs="Times New Roman"/>
          <w:sz w:val="28"/>
          <w:szCs w:val="28"/>
          <w:lang w:val="en-US" w:eastAsia="zh-CN"/>
        </w:rPr>
        <w:t>European Centre for the Develo</w:t>
      </w:r>
      <w:r>
        <w:rPr>
          <w:rFonts w:ascii="Times New Roman" w:eastAsia="DengXian" w:hAnsi="Times New Roman" w:cs="Times New Roman"/>
          <w:sz w:val="28"/>
          <w:szCs w:val="28"/>
          <w:lang w:val="en-US" w:eastAsia="zh-CN"/>
        </w:rPr>
        <w:t>pment of Vocational Training. 2017</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13" w:history="1">
        <w:r>
          <w:rPr>
            <w:rStyle w:val="ab"/>
            <w:rFonts w:ascii="Times New Roman" w:eastAsia="DengXian" w:hAnsi="Times New Roman" w:cs="Times New Roman"/>
            <w:color w:val="auto"/>
            <w:sz w:val="28"/>
            <w:szCs w:val="28"/>
            <w:u w:val="none"/>
            <w:lang w:val="en-US" w:eastAsia="zh-CN"/>
          </w:rPr>
          <w:t>https://www.cedefop.europa.eu/en</w:t>
        </w:r>
      </w:hyperlink>
      <w:r>
        <w:rPr>
          <w:rFonts w:ascii="Times New Roman" w:eastAsia="DengXian" w:hAnsi="Times New Roman" w:cs="Times New Roman"/>
          <w:sz w:val="28"/>
          <w:szCs w:val="28"/>
          <w:lang w:val="kk-KZ" w:eastAsia="zh-CN"/>
        </w:rPr>
        <w:t>. 11.11.2025.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250 </w:t>
      </w:r>
      <w:r>
        <w:rPr>
          <w:rFonts w:ascii="Times New Roman" w:eastAsia="DengXian" w:hAnsi="Times New Roman" w:cs="Times New Roman"/>
          <w:sz w:val="28"/>
          <w:szCs w:val="28"/>
          <w:lang w:val="en-US" w:eastAsia="zh-CN"/>
        </w:rPr>
        <w:t>Netherlands. Continuing Vocational Training</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CBS Statistics Netherlands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14" w:history="1">
        <w:r>
          <w:rPr>
            <w:rStyle w:val="ab"/>
            <w:rFonts w:ascii="Times New Roman" w:eastAsia="DengXian" w:hAnsi="Times New Roman" w:cs="Times New Roman"/>
            <w:color w:val="auto"/>
            <w:sz w:val="28"/>
            <w:szCs w:val="28"/>
            <w:u w:val="none"/>
            <w:lang w:val="en-US" w:eastAsia="zh-CN"/>
          </w:rPr>
          <w:t>https://opendata.cbs.nl/statline/</w:t>
        </w:r>
      </w:hyperlink>
      <w:r>
        <w:rPr>
          <w:rFonts w:ascii="Times New Roman" w:eastAsia="DengXian" w:hAnsi="Times New Roman" w:cs="Times New Roman"/>
          <w:sz w:val="28"/>
          <w:szCs w:val="28"/>
          <w:lang w:val="kk-KZ" w:eastAsia="zh-CN"/>
        </w:rPr>
        <w:t>. 10.10.2025.</w:t>
      </w:r>
    </w:p>
    <w:p w:rsidR="005118AF" w:rsidRDefault="00EF60C3">
      <w:pPr>
        <w:tabs>
          <w:tab w:val="left" w:pos="880"/>
          <w:tab w:val="left" w:pos="1276"/>
        </w:tabs>
        <w:spacing w:after="0" w:line="240" w:lineRule="auto"/>
        <w:ind w:firstLine="709"/>
        <w:jc w:val="both"/>
        <w:rPr>
          <w:rFonts w:ascii="Calibri" w:eastAsia="DengXian" w:hAnsi="Calibri" w:cs="Times New Roman"/>
          <w:lang w:val="kk-KZ"/>
        </w:rPr>
      </w:pPr>
      <w:r>
        <w:rPr>
          <w:rFonts w:ascii="Times New Roman" w:eastAsia="DengXian" w:hAnsi="Times New Roman" w:cs="Times New Roman"/>
          <w:sz w:val="28"/>
          <w:szCs w:val="28"/>
          <w:lang w:val="kk-KZ" w:eastAsia="zh-CN"/>
        </w:rPr>
        <w:t xml:space="preserve">251 </w:t>
      </w:r>
      <w:r>
        <w:rPr>
          <w:rFonts w:ascii="Times New Roman" w:eastAsia="DengXian" w:hAnsi="Times New Roman" w:cs="Times New Roman"/>
          <w:sz w:val="28"/>
          <w:szCs w:val="28"/>
          <w:lang w:val="en-US" w:eastAsia="zh-CN"/>
        </w:rPr>
        <w:t xml:space="preserve">Maximus' National Defense Training Institute Visiting Career Help Program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15" w:history="1">
        <w:r>
          <w:rPr>
            <w:rStyle w:val="ab"/>
            <w:rFonts w:ascii="Times New Roman" w:eastAsia="DengXian" w:hAnsi="Times New Roman" w:cs="Times New Roman"/>
            <w:color w:val="auto"/>
            <w:sz w:val="28"/>
            <w:szCs w:val="28"/>
            <w:u w:val="none"/>
            <w:lang w:val="en-US" w:eastAsia="zh-CN"/>
          </w:rPr>
          <w:t>https://maximuskr.co.kr/en/career-support-program-for-youth</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10.10.2025.</w:t>
      </w:r>
    </w:p>
    <w:p w:rsidR="005118AF" w:rsidRDefault="00EF60C3">
      <w:pPr>
        <w:tabs>
          <w:tab w:val="left" w:pos="880"/>
          <w:tab w:val="left" w:pos="1276"/>
        </w:tabs>
        <w:spacing w:after="0" w:line="240" w:lineRule="auto"/>
        <w:ind w:firstLine="709"/>
        <w:jc w:val="both"/>
        <w:rPr>
          <w:rFonts w:ascii="Calibri" w:eastAsia="DengXian" w:hAnsi="Calibri" w:cs="Times New Roman"/>
          <w:lang w:val="en-US"/>
        </w:rPr>
      </w:pPr>
      <w:r>
        <w:rPr>
          <w:rFonts w:ascii="Times New Roman" w:eastAsia="DengXian" w:hAnsi="Times New Roman" w:cs="Times New Roman"/>
          <w:sz w:val="28"/>
          <w:szCs w:val="28"/>
          <w:lang w:val="kk-KZ" w:eastAsia="zh-CN"/>
        </w:rPr>
        <w:t xml:space="preserve">252 </w:t>
      </w:r>
      <w:r>
        <w:rPr>
          <w:rFonts w:ascii="Times New Roman" w:eastAsia="DengXian" w:hAnsi="Times New Roman" w:cs="Times New Roman"/>
          <w:sz w:val="28"/>
          <w:szCs w:val="28"/>
          <w:lang w:val="en-US" w:eastAsia="zh-CN"/>
        </w:rPr>
        <w:t>Food Scientists and Technologists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Career One Stop</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16" w:history="1">
        <w:r>
          <w:rPr>
            <w:rStyle w:val="ab"/>
            <w:rFonts w:ascii="Times New Roman" w:eastAsia="DengXian" w:hAnsi="Times New Roman" w:cs="Times New Roman"/>
            <w:color w:val="auto"/>
            <w:sz w:val="28"/>
            <w:szCs w:val="28"/>
            <w:u w:val="none"/>
            <w:lang w:val="en-US" w:eastAsia="zh-CN"/>
          </w:rPr>
          <w:t>https://www.careeronestop.org/toolkit/careers/occ</w:t>
        </w:r>
        <w:r>
          <w:rPr>
            <w:rStyle w:val="ab"/>
            <w:rFonts w:ascii="Times New Roman" w:eastAsia="DengXian" w:hAnsi="Times New Roman" w:cs="Times New Roman"/>
            <w:color w:val="auto"/>
            <w:sz w:val="28"/>
            <w:szCs w:val="28"/>
            <w:u w:val="none"/>
            <w:lang w:val="en-US" w:eastAsia="zh-CN"/>
          </w:rPr>
          <w:t>upations/</w:t>
        </w:r>
      </w:hyperlink>
      <w:r>
        <w:rPr>
          <w:rFonts w:ascii="Times New Roman" w:eastAsia="DengXian" w:hAnsi="Times New Roman" w:cs="Times New Roman"/>
          <w:sz w:val="28"/>
          <w:szCs w:val="28"/>
          <w:lang w:val="kk-KZ" w:eastAsia="zh-CN"/>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253 </w:t>
      </w:r>
      <w:r>
        <w:rPr>
          <w:rFonts w:ascii="Times New Roman" w:eastAsia="DengXian" w:hAnsi="Times New Roman" w:cs="Times New Roman"/>
          <w:sz w:val="28"/>
          <w:szCs w:val="28"/>
          <w:lang w:val="en-US" w:eastAsia="zh-CN"/>
        </w:rPr>
        <w:t xml:space="preserve">Enhancing Training Opportunities in SMEs in Korea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17" w:history="1">
        <w:r>
          <w:rPr>
            <w:rStyle w:val="ab"/>
            <w:rFonts w:ascii="Times New Roman" w:eastAsia="DengXian" w:hAnsi="Times New Roman" w:cs="Times New Roman"/>
            <w:color w:val="auto"/>
            <w:sz w:val="28"/>
            <w:szCs w:val="28"/>
            <w:u w:val="none"/>
            <w:lang w:val="en-US" w:eastAsia="zh-CN"/>
          </w:rPr>
          <w:t>https://www.oecd.org/content/dam/oecd/en/publications/reports/2020/06</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hAnsi="Times New Roman"/>
          <w:sz w:val="28"/>
          <w:szCs w:val="28"/>
          <w:lang w:val="kk-KZ"/>
        </w:rPr>
        <w:t>254</w:t>
      </w:r>
      <w:r>
        <w:rPr>
          <w:rFonts w:ascii="Times New Roman" w:hAnsi="Times New Roman"/>
          <w:sz w:val="28"/>
          <w:szCs w:val="28"/>
          <w:lang w:val="kk-KZ"/>
        </w:rPr>
        <w:t xml:space="preserve"> Қазақстан Республикасының Заңы. Ерлер мен әйелдердің тең құқықтарының және тең мүмкіндіктерінің мемлекеттік кепілдіктері туралы: 2009 жылдың 8 желтоқсанда, №223-IV қабылданған</w:t>
      </w:r>
      <w:r>
        <w:rPr>
          <w:rFonts w:ascii="Times New Roman" w:eastAsia="DengXian" w:hAnsi="Times New Roman" w:cs="Times New Roman"/>
          <w:sz w:val="28"/>
          <w:szCs w:val="28"/>
          <w:lang w:val="kk-KZ" w:eastAsia="zh-CN"/>
        </w:rPr>
        <w:t xml:space="preserve"> / </w:t>
      </w:r>
      <w:hyperlink r:id="rId218" w:history="1">
        <w:r>
          <w:rPr>
            <w:rStyle w:val="ab"/>
            <w:rFonts w:ascii="Times New Roman" w:eastAsia="DengXian" w:hAnsi="Times New Roman" w:cs="Times New Roman"/>
            <w:color w:val="auto"/>
            <w:sz w:val="28"/>
            <w:szCs w:val="28"/>
            <w:u w:val="none"/>
            <w:lang w:val="kk-KZ"/>
          </w:rPr>
          <w:t>https://adilet.zan.kz</w:t>
        </w:r>
        <w:r>
          <w:rPr>
            <w:rStyle w:val="ab"/>
            <w:rFonts w:ascii="Times New Roman" w:eastAsia="DengXian" w:hAnsi="Times New Roman" w:cs="Times New Roman"/>
            <w:color w:val="auto"/>
            <w:sz w:val="28"/>
            <w:szCs w:val="28"/>
            <w:u w:val="none"/>
            <w:lang w:val="kk-KZ"/>
          </w:rPr>
          <w:t>/kaz/docs/Z090000223_</w:t>
        </w:r>
      </w:hyperlink>
      <w:r>
        <w:rPr>
          <w:rStyle w:val="ab"/>
          <w:rFonts w:ascii="Times New Roman" w:eastAsia="DengXian" w:hAnsi="Times New Roman" w:cs="Times New Roman"/>
          <w:color w:val="auto"/>
          <w:sz w:val="28"/>
          <w:szCs w:val="28"/>
          <w:u w:val="none"/>
          <w:lang w:val="kk-KZ"/>
        </w:rPr>
        <w:t>. 10.02.2026.</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255 </w:t>
      </w:r>
      <w:r>
        <w:rPr>
          <w:rFonts w:ascii="Times New Roman" w:eastAsia="DengXian" w:hAnsi="Times New Roman" w:cs="Times New Roman"/>
          <w:sz w:val="28"/>
          <w:szCs w:val="28"/>
          <w:lang w:val="en-US" w:eastAsia="zh-CN"/>
        </w:rPr>
        <w:t xml:space="preserve">Kazakhstan Gender equality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19" w:history="1">
        <w:r>
          <w:rPr>
            <w:rStyle w:val="ab"/>
            <w:rFonts w:ascii="Times New Roman" w:eastAsia="DengXian" w:hAnsi="Times New Roman" w:cs="Times New Roman"/>
            <w:color w:val="auto"/>
            <w:sz w:val="28"/>
            <w:szCs w:val="28"/>
            <w:u w:val="none"/>
            <w:lang w:val="kk-KZ"/>
          </w:rPr>
          <w:t>https://www.undp.org.</w:t>
        </w:r>
      </w:hyperlink>
      <w:r>
        <w:rPr>
          <w:rStyle w:val="ab"/>
          <w:rFonts w:ascii="Times New Roman" w:eastAsia="DengXian" w:hAnsi="Times New Roman" w:cs="Times New Roman"/>
          <w:color w:val="auto"/>
          <w:sz w:val="28"/>
          <w:szCs w:val="28"/>
          <w:u w:val="none"/>
          <w:lang w:val="kk-KZ"/>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rPr>
      </w:pPr>
      <w:r>
        <w:rPr>
          <w:rFonts w:ascii="Times New Roman" w:eastAsia="DengXian" w:hAnsi="Times New Roman" w:cs="Times New Roman"/>
          <w:sz w:val="28"/>
          <w:szCs w:val="28"/>
          <w:lang w:val="kk-KZ" w:eastAsia="zh-CN"/>
        </w:rPr>
        <w:t xml:space="preserve">256 </w:t>
      </w:r>
      <w:r>
        <w:rPr>
          <w:rFonts w:ascii="Times New Roman" w:eastAsia="DengXian" w:hAnsi="Times New Roman" w:cs="Times New Roman"/>
          <w:sz w:val="28"/>
          <w:szCs w:val="28"/>
          <w:lang w:val="en-US" w:eastAsia="zh-CN"/>
        </w:rPr>
        <w:t xml:space="preserve">Average annual wages are the annual rates paid per employee in full-time equivalent unit in the total </w:t>
      </w:r>
      <w:r>
        <w:rPr>
          <w:rFonts w:ascii="Times New Roman" w:eastAsia="DengXian" w:hAnsi="Times New Roman" w:cs="Times New Roman"/>
          <w:sz w:val="28"/>
          <w:szCs w:val="28"/>
          <w:lang w:val="en-US" w:eastAsia="zh-CN"/>
        </w:rPr>
        <w:t>economy</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w:t>
      </w:r>
      <w:hyperlink r:id="rId220" w:history="1">
        <w:r>
          <w:rPr>
            <w:rStyle w:val="ab"/>
            <w:rFonts w:ascii="Times New Roman" w:eastAsia="DengXian" w:hAnsi="Times New Roman" w:cs="Times New Roman"/>
            <w:color w:val="auto"/>
            <w:sz w:val="28"/>
            <w:szCs w:val="28"/>
            <w:u w:val="none"/>
            <w:lang w:val="en-US" w:eastAsia="zh-CN"/>
          </w:rPr>
          <w:t>https://www.oecd.org/en</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257 </w:t>
      </w:r>
      <w:r>
        <w:rPr>
          <w:rFonts w:ascii="Times New Roman" w:eastAsia="DengXian" w:hAnsi="Times New Roman" w:cs="Times New Roman"/>
          <w:sz w:val="28"/>
          <w:szCs w:val="28"/>
          <w:lang w:eastAsia="zh-CN"/>
        </w:rPr>
        <w:t>Қазақстан</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Республикасындағы</w:t>
      </w:r>
      <w:r>
        <w:rPr>
          <w:rFonts w:ascii="Times New Roman" w:eastAsia="DengXian" w:hAnsi="Times New Roman" w:cs="Times New Roman"/>
          <w:sz w:val="28"/>
          <w:szCs w:val="28"/>
          <w:lang w:val="en-US" w:eastAsia="zh-CN"/>
        </w:rPr>
        <w:t xml:space="preserve"> </w:t>
      </w:r>
      <w:r>
        <w:rPr>
          <w:rFonts w:ascii="Times New Roman" w:eastAsia="DengXian" w:hAnsi="Times New Roman" w:cs="Times New Roman"/>
          <w:sz w:val="28"/>
          <w:szCs w:val="28"/>
          <w:lang w:eastAsia="zh-CN"/>
        </w:rPr>
        <w:t>жалақы</w:t>
      </w:r>
      <w:r>
        <w:rPr>
          <w:rFonts w:ascii="Arial" w:eastAsia="Arial" w:hAnsi="Arial" w:cs="Arial"/>
          <w:b/>
          <w:bCs/>
          <w:sz w:val="17"/>
          <w:szCs w:val="17"/>
          <w:shd w:val="clear" w:color="auto" w:fill="FFFFFF"/>
          <w:lang w:val="en-US"/>
        </w:rPr>
        <w:t xml:space="preserve"> </w:t>
      </w:r>
      <w:hyperlink r:id="rId221" w:history="1">
        <w:r>
          <w:rPr>
            <w:rStyle w:val="ab"/>
            <w:rFonts w:ascii="Times New Roman" w:eastAsia="DengXian" w:hAnsi="Times New Roman" w:cs="Times New Roman"/>
            <w:color w:val="auto"/>
            <w:sz w:val="28"/>
            <w:szCs w:val="28"/>
            <w:u w:val="none"/>
            <w:lang w:val="kk-KZ"/>
          </w:rPr>
          <w:t xml:space="preserve">https://stat.gov.kz/industries </w:t>
        </w:r>
        <w:r>
          <w:rPr>
            <w:rStyle w:val="ab"/>
            <w:rFonts w:ascii="Times New Roman" w:eastAsia="DengXian" w:hAnsi="Times New Roman" w:cs="Times New Roman"/>
            <w:color w:val="auto"/>
            <w:sz w:val="28"/>
            <w:szCs w:val="28"/>
            <w:u w:val="none"/>
            <w:lang w:val="kk-KZ"/>
          </w:rPr>
          <w:t>/labor-and-income/stat-wags/publications/182973/</w:t>
        </w:r>
      </w:hyperlink>
      <w:r>
        <w:rPr>
          <w:rStyle w:val="ab"/>
          <w:rFonts w:ascii="Times New Roman" w:eastAsia="DengXian" w:hAnsi="Times New Roman" w:cs="Times New Roman"/>
          <w:color w:val="auto"/>
          <w:sz w:val="28"/>
          <w:szCs w:val="28"/>
          <w:u w:val="none"/>
          <w:lang w:val="kk-KZ"/>
        </w:rPr>
        <w:t>. 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258 </w:t>
      </w:r>
      <w:r>
        <w:rPr>
          <w:rFonts w:ascii="Times New Roman" w:eastAsia="DengXian" w:hAnsi="Times New Roman" w:cs="Times New Roman"/>
          <w:sz w:val="28"/>
          <w:szCs w:val="28"/>
          <w:lang w:val="en-US" w:eastAsia="zh-CN"/>
        </w:rPr>
        <w:t>Intellectual property knowledge, data and services are adding value around the globe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22" w:history="1">
        <w:r>
          <w:rPr>
            <w:rStyle w:val="ab"/>
            <w:rFonts w:ascii="Times New Roman" w:eastAsia="DengXian" w:hAnsi="Times New Roman" w:cs="Times New Roman"/>
            <w:color w:val="auto"/>
            <w:sz w:val="28"/>
            <w:szCs w:val="28"/>
            <w:u w:val="none"/>
            <w:lang w:val="en-US" w:eastAsia="zh-CN"/>
          </w:rPr>
          <w:t>https://www.wipo.int/portal/en/index.html</w:t>
        </w:r>
      </w:hyperlink>
      <w:r>
        <w:rPr>
          <w:rStyle w:val="ab"/>
          <w:rFonts w:ascii="Times New Roman" w:eastAsia="DengXian" w:hAnsi="Times New Roman" w:cs="Times New Roman"/>
          <w:color w:val="auto"/>
          <w:sz w:val="28"/>
          <w:szCs w:val="28"/>
          <w:u w:val="none"/>
          <w:lang w:val="kk-KZ" w:eastAsia="zh-CN"/>
        </w:rPr>
        <w:t>. 10.10.2024.</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259 </w:t>
      </w:r>
      <w:r>
        <w:rPr>
          <w:rFonts w:ascii="Times New Roman" w:eastAsia="DengXian" w:hAnsi="Times New Roman" w:cs="Times New Roman"/>
          <w:sz w:val="28"/>
          <w:szCs w:val="28"/>
          <w:lang w:val="en-US" w:eastAsia="zh-CN"/>
        </w:rPr>
        <w:t xml:space="preserve">China National Intellectual Property Administration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23" w:history="1">
        <w:r>
          <w:rPr>
            <w:rStyle w:val="ab"/>
            <w:rFonts w:ascii="Times New Roman" w:eastAsia="DengXian" w:hAnsi="Times New Roman" w:cs="Times New Roman"/>
            <w:color w:val="auto"/>
            <w:sz w:val="28"/>
            <w:szCs w:val="28"/>
            <w:u w:val="none"/>
            <w:lang w:val="en-US" w:eastAsia="zh-CN"/>
          </w:rPr>
          <w:t>https://english.cnipa.gov.cn/col/col2995/index.html</w:t>
        </w:r>
      </w:hyperlink>
      <w:r>
        <w:rPr>
          <w:rStyle w:val="ab"/>
          <w:rFonts w:ascii="Times New Roman" w:eastAsia="DengXian" w:hAnsi="Times New Roman" w:cs="Times New Roman"/>
          <w:color w:val="auto"/>
          <w:sz w:val="28"/>
          <w:szCs w:val="28"/>
          <w:u w:val="none"/>
          <w:lang w:val="kk-KZ" w:eastAsia="zh-CN"/>
        </w:rPr>
        <w:t>. 10.06.2025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260 </w:t>
      </w:r>
      <w:r>
        <w:rPr>
          <w:rFonts w:ascii="Times New Roman" w:eastAsia="DengXian" w:hAnsi="Times New Roman" w:cs="Times New Roman"/>
          <w:sz w:val="28"/>
          <w:szCs w:val="28"/>
          <w:lang w:val="en-US" w:eastAsia="zh-CN"/>
        </w:rPr>
        <w:t>K-Patents Go Global: Patent Filing by Koreans I</w:t>
      </w:r>
      <w:r>
        <w:rPr>
          <w:rFonts w:ascii="Times New Roman" w:eastAsia="DengXian" w:hAnsi="Times New Roman" w:cs="Times New Roman"/>
          <w:sz w:val="28"/>
          <w:szCs w:val="28"/>
          <w:lang w:val="en-US" w:eastAsia="zh-CN"/>
        </w:rPr>
        <w:t xml:space="preserve">ncrease Both Domestically and Abroad in the First Half of 2025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24" w:history="1">
        <w:r>
          <w:rPr>
            <w:rStyle w:val="ab"/>
            <w:rFonts w:ascii="Times New Roman" w:eastAsia="DengXian" w:hAnsi="Times New Roman" w:cs="Times New Roman"/>
            <w:color w:val="auto"/>
            <w:sz w:val="28"/>
            <w:szCs w:val="28"/>
            <w:u w:val="none"/>
            <w:lang w:val="en-US" w:eastAsia="zh-CN"/>
          </w:rPr>
          <w:t>http://kipo.go.kr/en</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10.06.2025.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261 Qazpatent жұмысы туралы статистикалық мәліметтер 2024 жыл үшін 2022, 2023 жылдармен салыстырғанда // </w:t>
      </w:r>
      <w:hyperlink r:id="rId225" w:history="1">
        <w:r>
          <w:rPr>
            <w:rStyle w:val="ab"/>
            <w:rFonts w:ascii="Times New Roman" w:eastAsia="DengXian" w:hAnsi="Times New Roman" w:cs="Times New Roman"/>
            <w:color w:val="auto"/>
            <w:sz w:val="28"/>
            <w:szCs w:val="28"/>
            <w:u w:val="none"/>
            <w:lang w:val="kk-KZ" w:eastAsia="zh-CN"/>
          </w:rPr>
          <w:t>https://qazpatent.kz/storage.</w:t>
        </w:r>
      </w:hyperlink>
      <w:r>
        <w:rPr>
          <w:rFonts w:ascii="Times New Roman" w:eastAsia="DengXian" w:hAnsi="Times New Roman" w:cs="Times New Roman"/>
          <w:sz w:val="28"/>
          <w:szCs w:val="28"/>
          <w:lang w:val="kk-KZ" w:eastAsia="zh-CN"/>
        </w:rPr>
        <w:t xml:space="preserve"> 10.06.2025.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262 </w:t>
      </w:r>
      <w:r>
        <w:rPr>
          <w:rFonts w:ascii="Times New Roman" w:eastAsia="DengXian" w:hAnsi="Times New Roman" w:cs="Times New Roman"/>
          <w:sz w:val="28"/>
          <w:szCs w:val="28"/>
          <w:lang w:val="en-US" w:eastAsia="zh-CN"/>
        </w:rPr>
        <w:t>Grants. NIFA's Office of Grants and Financial Management provides support and guidance for award recipients during each of these phases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26" w:history="1">
        <w:r>
          <w:rPr>
            <w:rStyle w:val="ab"/>
            <w:rFonts w:ascii="Times New Roman" w:eastAsia="DengXian" w:hAnsi="Times New Roman" w:cs="Times New Roman"/>
            <w:color w:val="auto"/>
            <w:sz w:val="28"/>
            <w:szCs w:val="28"/>
            <w:u w:val="none"/>
            <w:lang w:val="en-US" w:eastAsia="zh-CN"/>
          </w:rPr>
          <w:t>https://www.nifa.usda.gov/</w:t>
        </w:r>
      </w:hyperlink>
      <w:r>
        <w:rPr>
          <w:rStyle w:val="ab"/>
          <w:rFonts w:ascii="Times New Roman" w:eastAsia="DengXian" w:hAnsi="Times New Roman" w:cs="Times New Roman"/>
          <w:color w:val="auto"/>
          <w:sz w:val="28"/>
          <w:szCs w:val="28"/>
          <w:u w:val="none"/>
          <w:lang w:val="kk-KZ" w:eastAsia="zh-CN"/>
        </w:rPr>
        <w:t>. 13.06.2025.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263 </w:t>
      </w:r>
      <w:r>
        <w:rPr>
          <w:rFonts w:ascii="Times New Roman" w:eastAsia="DengXian" w:hAnsi="Times New Roman" w:cs="Times New Roman"/>
          <w:sz w:val="28"/>
          <w:szCs w:val="28"/>
          <w:lang w:val="en-US" w:eastAsia="zh-CN"/>
        </w:rPr>
        <w:t>Agriculture and Food Research Initiative Competitive Grants Program Foundational and Applied Science Program</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 National Institute of Food and Agriculture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27" w:history="1">
        <w:r>
          <w:rPr>
            <w:rStyle w:val="ab"/>
            <w:rFonts w:ascii="Times New Roman" w:eastAsia="DengXian" w:hAnsi="Times New Roman" w:cs="Times New Roman"/>
            <w:color w:val="auto"/>
            <w:sz w:val="28"/>
            <w:szCs w:val="28"/>
            <w:u w:val="none"/>
            <w:lang w:val="en-US" w:eastAsia="zh-CN"/>
          </w:rPr>
          <w:t>https://grants.gov/search-results-detail/360205?utm_source</w:t>
        </w:r>
      </w:hyperlink>
      <w:r>
        <w:rPr>
          <w:rStyle w:val="ab"/>
          <w:rFonts w:ascii="Times New Roman" w:eastAsia="DengXian" w:hAnsi="Times New Roman" w:cs="Times New Roman"/>
          <w:color w:val="auto"/>
          <w:sz w:val="28"/>
          <w:szCs w:val="28"/>
          <w:u w:val="none"/>
          <w:lang w:val="kk-KZ" w:eastAsia="zh-CN"/>
        </w:rPr>
        <w:t>. 16.03.2025.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264 </w:t>
      </w:r>
      <w:hyperlink r:id="rId228" w:tooltip="Posts by Naoaki Eguchi" w:history="1">
        <w:r>
          <w:rPr>
            <w:rFonts w:ascii="Times New Roman" w:eastAsia="DengXian" w:hAnsi="Times New Roman" w:cs="Times New Roman"/>
            <w:sz w:val="28"/>
            <w:szCs w:val="28"/>
            <w:lang w:val="en-US" w:eastAsia="zh-CN"/>
          </w:rPr>
          <w:t>Naoak</w:t>
        </w:r>
        <w:r>
          <w:rPr>
            <w:rFonts w:ascii="Times New Roman" w:eastAsia="DengXian" w:hAnsi="Times New Roman" w:cs="Times New Roman"/>
            <w:sz w:val="28"/>
            <w:szCs w:val="28"/>
            <w:lang w:val="en-US" w:eastAsia="zh-CN"/>
          </w:rPr>
          <w:t>i E</w:t>
        </w:r>
        <w:r>
          <w:rPr>
            <w:rFonts w:ascii="Times New Roman" w:eastAsia="DengXian" w:hAnsi="Times New Roman" w:cs="Times New Roman"/>
            <w:sz w:val="28"/>
            <w:szCs w:val="28"/>
            <w:lang w:val="kk-KZ" w:eastAsia="zh-CN"/>
          </w:rPr>
          <w:t>.</w:t>
        </w:r>
      </w:hyperlink>
      <w:r>
        <w:rPr>
          <w:rFonts w:ascii="Times New Roman" w:eastAsia="DengXian" w:hAnsi="Times New Roman" w:cs="Times New Roman"/>
          <w:sz w:val="28"/>
          <w:szCs w:val="28"/>
          <w:lang w:val="kk-KZ" w:eastAsia="zh-CN"/>
        </w:rPr>
        <w:t xml:space="preserve">, </w:t>
      </w:r>
      <w:hyperlink r:id="rId229" w:tooltip="Posts by Shun Fukazawa" w:history="1">
        <w:r>
          <w:rPr>
            <w:rFonts w:ascii="Times New Roman" w:eastAsia="DengXian" w:hAnsi="Times New Roman" w:cs="Times New Roman"/>
            <w:sz w:val="28"/>
            <w:szCs w:val="28"/>
            <w:lang w:val="en-US" w:eastAsia="zh-CN"/>
          </w:rPr>
          <w:t>Fukazawa</w:t>
        </w:r>
      </w:hyperlink>
      <w:r>
        <w:rPr>
          <w:lang w:val="en-US"/>
        </w:rPr>
        <w:t xml:space="preserve"> </w:t>
      </w:r>
      <w:r>
        <w:rPr>
          <w:rFonts w:ascii="Times New Roman" w:eastAsia="DengXian" w:hAnsi="Times New Roman" w:cs="Times New Roman"/>
          <w:sz w:val="28"/>
          <w:szCs w:val="28"/>
          <w:lang w:val="en-US" w:eastAsia="zh-CN"/>
        </w:rPr>
        <w:t>S</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 xml:space="preserve">Japan: JPY 2 trillion (around USD 16 Billion) Green Innovation Fund under the Green Development Strategy for carbon neutrality in Japan by 2050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30" w:history="1">
        <w:r>
          <w:rPr>
            <w:rStyle w:val="ab"/>
            <w:rFonts w:ascii="Times New Roman" w:eastAsia="DengXian" w:hAnsi="Times New Roman" w:cs="Times New Roman"/>
            <w:color w:val="auto"/>
            <w:sz w:val="28"/>
            <w:szCs w:val="28"/>
            <w:u w:val="none"/>
            <w:lang w:val="en-US" w:eastAsia="zh-CN"/>
          </w:rPr>
          <w:t>https://www.globalcompliancenews.com/2022/04/28</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16.03.2025.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265 </w:t>
      </w:r>
      <w:r>
        <w:rPr>
          <w:rFonts w:ascii="Times New Roman" w:eastAsia="DengXian" w:hAnsi="Times New Roman" w:cs="Times New Roman"/>
          <w:sz w:val="28"/>
          <w:szCs w:val="28"/>
          <w:lang w:val="en-US" w:eastAsia="zh-CN"/>
        </w:rPr>
        <w:t xml:space="preserve">Innovations for Sustainable Nutrition – New BMEL Call to Battle Food Waste and Overconsumption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31" w:history="1">
        <w:r>
          <w:rPr>
            <w:rStyle w:val="ab"/>
            <w:rFonts w:ascii="Times New Roman" w:eastAsia="DengXian" w:hAnsi="Times New Roman" w:cs="Times New Roman"/>
            <w:color w:val="auto"/>
            <w:sz w:val="28"/>
            <w:szCs w:val="28"/>
            <w:u w:val="none"/>
            <w:lang w:val="en-US" w:eastAsia="zh-CN"/>
          </w:rPr>
          <w:t>https://myresearchconnect.com/</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16.03.2025.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266 </w:t>
      </w:r>
      <w:r>
        <w:rPr>
          <w:rFonts w:ascii="Times New Roman" w:eastAsia="DengXian" w:hAnsi="Times New Roman" w:cs="Times New Roman"/>
          <w:spacing w:val="-4"/>
          <w:sz w:val="28"/>
          <w:szCs w:val="28"/>
          <w:lang w:val="en-US" w:eastAsia="zh-CN"/>
        </w:rPr>
        <w:t xml:space="preserve">China’s agricultural priorities in 2025 </w:t>
      </w:r>
      <w:r>
        <w:rPr>
          <w:rFonts w:ascii="Times New Roman" w:eastAsia="DengXian" w:hAnsi="Times New Roman" w:cs="Times New Roman"/>
          <w:spacing w:val="-4"/>
          <w:sz w:val="28"/>
          <w:szCs w:val="28"/>
          <w:lang w:val="kk-KZ" w:eastAsia="zh-CN"/>
        </w:rPr>
        <w:t>/</w:t>
      </w:r>
      <w:r>
        <w:rPr>
          <w:rFonts w:ascii="Times New Roman" w:eastAsia="DengXian" w:hAnsi="Times New Roman" w:cs="Times New Roman"/>
          <w:spacing w:val="-4"/>
          <w:sz w:val="28"/>
          <w:szCs w:val="28"/>
          <w:lang w:val="en-US" w:eastAsia="zh-CN"/>
        </w:rPr>
        <w:t xml:space="preserve">/ </w:t>
      </w:r>
      <w:hyperlink r:id="rId232" w:history="1">
        <w:r>
          <w:rPr>
            <w:rStyle w:val="ab"/>
            <w:rFonts w:ascii="Times New Roman" w:eastAsia="DengXian" w:hAnsi="Times New Roman" w:cs="Times New Roman"/>
            <w:color w:val="auto"/>
            <w:spacing w:val="-4"/>
            <w:sz w:val="28"/>
            <w:szCs w:val="28"/>
            <w:u w:val="none"/>
            <w:lang w:val="en-US" w:eastAsia="zh-CN"/>
          </w:rPr>
          <w:t>https://moderndiplomacy.</w:t>
        </w:r>
      </w:hyperlink>
      <w:r>
        <w:rPr>
          <w:rStyle w:val="ab"/>
          <w:rFonts w:ascii="Times New Roman" w:eastAsia="DengXian" w:hAnsi="Times New Roman" w:cs="Times New Roman"/>
          <w:color w:val="auto"/>
          <w:spacing w:val="-4"/>
          <w:sz w:val="28"/>
          <w:szCs w:val="28"/>
          <w:u w:val="none"/>
          <w:lang w:val="kk-KZ" w:eastAsia="zh-CN"/>
        </w:rPr>
        <w:t xml:space="preserve"> 16.03.2025.</w:t>
      </w:r>
    </w:p>
    <w:p w:rsidR="005118AF" w:rsidRDefault="00EF60C3">
      <w:pPr>
        <w:tabs>
          <w:tab w:val="left" w:pos="880"/>
          <w:tab w:val="left" w:pos="1276"/>
        </w:tabs>
        <w:spacing w:after="0" w:line="240" w:lineRule="auto"/>
        <w:ind w:firstLine="709"/>
        <w:jc w:val="both"/>
        <w:rPr>
          <w:rFonts w:ascii="Times New Roman" w:eastAsia="Helvetica" w:hAnsi="Times New Roman" w:cs="Times New Roman"/>
          <w:bCs/>
          <w:sz w:val="28"/>
          <w:szCs w:val="28"/>
          <w:lang w:val="kk-KZ"/>
        </w:rPr>
      </w:pPr>
      <w:r>
        <w:rPr>
          <w:rFonts w:ascii="Times New Roman" w:eastAsia="DengXian" w:hAnsi="Times New Roman" w:cs="Times New Roman"/>
          <w:sz w:val="28"/>
          <w:szCs w:val="28"/>
          <w:lang w:val="kk-KZ" w:eastAsia="zh-CN"/>
        </w:rPr>
        <w:t xml:space="preserve">267 </w:t>
      </w:r>
      <w:r>
        <w:rPr>
          <w:rFonts w:ascii="Times New Roman" w:eastAsia="DengXian" w:hAnsi="Times New Roman" w:cs="Times New Roman"/>
          <w:sz w:val="28"/>
          <w:szCs w:val="28"/>
          <w:lang w:val="en-US" w:eastAsia="zh-CN"/>
        </w:rPr>
        <w:t xml:space="preserve">Korean Ministry of Agriculture Launches Agri-Food Venture Fund to Boost Agri-Tech Startups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33" w:history="1">
        <w:r>
          <w:rPr>
            <w:rStyle w:val="ab"/>
            <w:rFonts w:ascii="Times New Roman" w:eastAsia="DengXian" w:hAnsi="Times New Roman" w:cs="Times New Roman"/>
            <w:color w:val="auto"/>
            <w:sz w:val="28"/>
            <w:szCs w:val="28"/>
            <w:u w:val="none"/>
            <w:lang w:val="en-US" w:eastAsia="zh-CN"/>
          </w:rPr>
          <w:t>https://koreatechdesk.com/korean-ministry</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12.12.2025.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268 </w:t>
      </w:r>
      <w:r>
        <w:rPr>
          <w:rFonts w:ascii="Times New Roman" w:eastAsia="DengXian" w:hAnsi="Times New Roman" w:cs="Times New Roman"/>
          <w:sz w:val="28"/>
          <w:szCs w:val="28"/>
          <w:lang w:val="en-US" w:eastAsia="zh-CN"/>
        </w:rPr>
        <w:t xml:space="preserve">Public research funding / </w:t>
      </w:r>
      <w:hyperlink r:id="rId234" w:history="1">
        <w:r>
          <w:rPr>
            <w:rStyle w:val="ab"/>
            <w:rFonts w:ascii="Times New Roman" w:eastAsia="DengXian" w:hAnsi="Times New Roman" w:cs="Times New Roman"/>
            <w:color w:val="auto"/>
            <w:sz w:val="28"/>
            <w:szCs w:val="28"/>
            <w:u w:val="none"/>
            <w:lang w:val="en-US" w:eastAsia="zh-CN"/>
          </w:rPr>
          <w:t>https://gfieurope.org/policy/public</w:t>
        </w:r>
        <w:r>
          <w:rPr>
            <w:rStyle w:val="ab"/>
            <w:rFonts w:ascii="Times New Roman" w:eastAsia="DengXian" w:hAnsi="Times New Roman" w:cs="Times New Roman"/>
            <w:color w:val="auto"/>
            <w:sz w:val="28"/>
            <w:szCs w:val="28"/>
            <w:u w:val="none"/>
            <w:lang w:val="kk-KZ" w:eastAsia="zh-CN"/>
          </w:rPr>
          <w:t>. 12.12.2025.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 xml:space="preserve">269 </w:t>
      </w:r>
      <w:r>
        <w:rPr>
          <w:rFonts w:ascii="Times New Roman" w:eastAsia="DengXian" w:hAnsi="Times New Roman" w:cs="Times New Roman"/>
          <w:sz w:val="28"/>
          <w:szCs w:val="28"/>
          <w:lang w:val="en-US" w:eastAsia="zh-CN"/>
        </w:rPr>
        <w:t xml:space="preserve">Funding programmes of the Federal Ministry of Agriculture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35" w:history="1">
        <w:r>
          <w:rPr>
            <w:rStyle w:val="ab"/>
            <w:rFonts w:ascii="Times New Roman" w:eastAsia="DengXian" w:hAnsi="Times New Roman" w:cs="Times New Roman"/>
            <w:color w:val="auto"/>
            <w:sz w:val="28"/>
            <w:szCs w:val="28"/>
            <w:u w:val="none"/>
            <w:lang w:val="en-US" w:eastAsia="zh-CN"/>
          </w:rPr>
          <w:t>https://www.fisaonline.de/en/analyse-research-strategically/overview-of</w:t>
        </w:r>
        <w:r>
          <w:rPr>
            <w:rStyle w:val="ab"/>
            <w:rFonts w:ascii="Times New Roman" w:eastAsia="DengXian" w:hAnsi="Times New Roman" w:cs="Times New Roman"/>
            <w:color w:val="auto"/>
            <w:sz w:val="28"/>
            <w:szCs w:val="28"/>
            <w:u w:val="none"/>
            <w:lang w:val="kk-KZ" w:eastAsia="zh-CN"/>
          </w:rPr>
          <w:t>. 12.12.2025.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270 </w:t>
      </w:r>
      <w:r>
        <w:rPr>
          <w:rFonts w:ascii="Times New Roman" w:eastAsia="DengXian" w:hAnsi="Times New Roman" w:cs="Times New Roman"/>
          <w:sz w:val="28"/>
          <w:szCs w:val="28"/>
          <w:lang w:eastAsia="zh-CN"/>
        </w:rPr>
        <w:t>«Фо</w:t>
      </w:r>
      <w:r>
        <w:rPr>
          <w:rFonts w:ascii="Times New Roman" w:eastAsia="DengXian" w:hAnsi="Times New Roman" w:cs="Times New Roman"/>
          <w:sz w:val="28"/>
          <w:szCs w:val="28"/>
          <w:lang w:eastAsia="zh-CN"/>
        </w:rPr>
        <w:t>нд науки» – подведомственная организация комитета науки МОН РК, осуществляющая грантовое финансирование проектов коммерциализации результатов научной деятельности (РННТД)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eastAsia="zh-CN"/>
        </w:rPr>
        <w:t xml:space="preserve"> </w:t>
      </w:r>
      <w:hyperlink r:id="rId236"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science</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fund</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12.12.2025.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271 </w:t>
      </w:r>
      <w:r>
        <w:rPr>
          <w:rFonts w:ascii="Times New Roman" w:eastAsia="DengXian" w:hAnsi="Times New Roman" w:cs="Times New Roman"/>
          <w:sz w:val="28"/>
          <w:szCs w:val="28"/>
          <w:lang w:eastAsia="zh-CN"/>
        </w:rPr>
        <w:t>Итоги года: финансирование науки, новые программы обучения и акцент на практическом применении научных разработок</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eastAsia="zh-CN"/>
        </w:rPr>
        <w:t xml:space="preserve">/ </w:t>
      </w:r>
      <w:hyperlink r:id="rId237" w:history="1">
        <w:r>
          <w:rPr>
            <w:rStyle w:val="ab"/>
            <w:rFonts w:ascii="Times New Roman" w:eastAsia="DengXian" w:hAnsi="Times New Roman" w:cs="Times New Roman"/>
            <w:color w:val="auto"/>
            <w:sz w:val="28"/>
            <w:szCs w:val="28"/>
            <w:u w:val="none"/>
            <w:lang w:val="en-US" w:eastAsia="zh-CN"/>
          </w:rPr>
          <w:t>https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primeminister</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kz</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ru</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news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revie</w:t>
        </w:r>
        <w:r>
          <w:rPr>
            <w:rStyle w:val="ab"/>
            <w:rFonts w:ascii="Times New Roman" w:eastAsia="DengXian" w:hAnsi="Times New Roman" w:cs="Times New Roman"/>
            <w:color w:val="auto"/>
            <w:sz w:val="28"/>
            <w:szCs w:val="28"/>
            <w:u w:val="none"/>
            <w:lang w:val="en-US" w:eastAsia="zh-CN"/>
          </w:rPr>
          <w:t>ws</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itogi</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goda</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finansirovanie</w:t>
        </w:r>
        <w:r>
          <w:rPr>
            <w:rStyle w:val="ab"/>
            <w:rFonts w:ascii="Times New Roman" w:eastAsia="DengXian" w:hAnsi="Times New Roman" w:cs="Times New Roman"/>
            <w:color w:val="auto"/>
            <w:sz w:val="28"/>
            <w:szCs w:val="28"/>
            <w:u w:val="none"/>
            <w:lang w:eastAsia="zh-CN"/>
          </w:rPr>
          <w:t>-</w:t>
        </w:r>
        <w:r>
          <w:rPr>
            <w:rStyle w:val="ab"/>
            <w:rFonts w:ascii="Times New Roman" w:eastAsia="DengXian" w:hAnsi="Times New Roman" w:cs="Times New Roman"/>
            <w:color w:val="auto"/>
            <w:sz w:val="28"/>
            <w:szCs w:val="28"/>
            <w:u w:val="none"/>
            <w:lang w:val="en-US" w:eastAsia="zh-CN"/>
          </w:rPr>
          <w:t>nauki</w:t>
        </w:r>
        <w:r>
          <w:rPr>
            <w:rStyle w:val="ab"/>
            <w:rFonts w:ascii="Times New Roman" w:eastAsia="DengXian" w:hAnsi="Times New Roman" w:cs="Times New Roman"/>
            <w:color w:val="auto"/>
            <w:sz w:val="28"/>
            <w:szCs w:val="28"/>
            <w:u w:val="none"/>
            <w:lang w:val="kk-KZ" w:eastAsia="zh-CN"/>
          </w:rPr>
          <w:t>. 12.12.2025.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272 </w:t>
      </w:r>
      <w:r>
        <w:rPr>
          <w:rFonts w:ascii="Times New Roman" w:eastAsia="DengXian" w:hAnsi="Times New Roman" w:cs="Times New Roman"/>
          <w:sz w:val="28"/>
          <w:szCs w:val="28"/>
          <w:lang w:val="en-US" w:eastAsia="zh-CN"/>
        </w:rPr>
        <w:t>2023–2026 Data Strategy for the Federal Public Service</w:t>
      </w:r>
      <w:r>
        <w:rPr>
          <w:rFonts w:ascii="Times New Roman" w:eastAsia="DengXian" w:hAnsi="Times New Roman" w:cs="Times New Roman"/>
          <w:sz w:val="28"/>
          <w:szCs w:val="28"/>
          <w:lang w:val="kk-KZ" w:eastAsia="zh-CN"/>
        </w:rPr>
        <w:t xml:space="preserve"> </w:t>
      </w:r>
      <w:r>
        <w:rPr>
          <w:rFonts w:ascii="Times New Roman" w:eastAsia="DengXian" w:hAnsi="Times New Roman" w:cs="Times New Roman"/>
          <w:sz w:val="28"/>
          <w:szCs w:val="28"/>
          <w:lang w:val="en-US" w:eastAsia="zh-CN"/>
        </w:rPr>
        <w:t>/</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38" w:history="1">
        <w:r>
          <w:rPr>
            <w:rStyle w:val="ab"/>
            <w:rFonts w:ascii="Times New Roman" w:eastAsia="DengXian" w:hAnsi="Times New Roman" w:cs="Times New Roman"/>
            <w:color w:val="auto"/>
            <w:sz w:val="28"/>
            <w:szCs w:val="28"/>
            <w:u w:val="none"/>
            <w:lang w:val="en-US" w:eastAsia="zh-CN"/>
          </w:rPr>
          <w:t>https://www.canada.ca/en/treasury-board-secretariat/corporate/reports</w:t>
        </w:r>
        <w:r>
          <w:rPr>
            <w:rStyle w:val="ab"/>
            <w:rFonts w:ascii="Times New Roman" w:eastAsia="DengXian" w:hAnsi="Times New Roman" w:cs="Times New Roman"/>
            <w:color w:val="auto"/>
            <w:sz w:val="28"/>
            <w:szCs w:val="28"/>
            <w:u w:val="none"/>
            <w:lang w:val="kk-KZ" w:eastAsia="zh-CN"/>
          </w:rPr>
          <w:t>.</w:t>
        </w:r>
      </w:hyperlink>
      <w:r>
        <w:rPr>
          <w:rStyle w:val="ab"/>
          <w:rFonts w:ascii="Times New Roman" w:eastAsia="DengXian" w:hAnsi="Times New Roman" w:cs="Times New Roman"/>
          <w:color w:val="auto"/>
          <w:sz w:val="28"/>
          <w:szCs w:val="28"/>
          <w:u w:val="none"/>
          <w:lang w:val="kk-KZ" w:eastAsia="zh-CN"/>
        </w:rPr>
        <w:t xml:space="preserve"> 11.12.2025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273 </w:t>
      </w:r>
      <w:r>
        <w:rPr>
          <w:rFonts w:ascii="Times New Roman" w:eastAsia="DengXian" w:hAnsi="Times New Roman" w:cs="Times New Roman"/>
          <w:sz w:val="28"/>
          <w:szCs w:val="28"/>
          <w:lang w:val="en-US" w:eastAsia="zh-CN"/>
        </w:rPr>
        <w:t xml:space="preserve">Australian Data Strategy The Australian Government’s whole-of-economy vision for data </w:t>
      </w:r>
      <w:r>
        <w:rPr>
          <w:rFonts w:ascii="Times New Roman" w:eastAsia="DengXian" w:hAnsi="Times New Roman" w:cs="Times New Roman"/>
          <w:sz w:val="28"/>
          <w:szCs w:val="28"/>
          <w:lang w:val="kk-KZ" w:eastAsia="zh-CN"/>
        </w:rPr>
        <w:t>/</w:t>
      </w:r>
      <w:r>
        <w:rPr>
          <w:rFonts w:ascii="Times New Roman" w:eastAsia="DengXian" w:hAnsi="Times New Roman" w:cs="Times New Roman"/>
          <w:sz w:val="28"/>
          <w:szCs w:val="28"/>
          <w:lang w:val="en-US" w:eastAsia="zh-CN"/>
        </w:rPr>
        <w:t xml:space="preserve">/ </w:t>
      </w:r>
      <w:hyperlink r:id="rId239" w:history="1">
        <w:r>
          <w:rPr>
            <w:rStyle w:val="ab"/>
            <w:rFonts w:ascii="Times New Roman" w:eastAsia="DengXian" w:hAnsi="Times New Roman" w:cs="Times New Roman"/>
            <w:color w:val="auto"/>
            <w:sz w:val="28"/>
            <w:szCs w:val="28"/>
            <w:u w:val="none"/>
            <w:lang w:val="en-US" w:eastAsia="zh-CN"/>
          </w:rPr>
          <w:t>https://www.finance.gov.au/sites/default/files</w:t>
        </w:r>
        <w:r>
          <w:rPr>
            <w:rStyle w:val="ab"/>
            <w:rFonts w:ascii="Times New Roman" w:eastAsia="DengXian" w:hAnsi="Times New Roman" w:cs="Times New Roman"/>
            <w:color w:val="auto"/>
            <w:sz w:val="28"/>
            <w:szCs w:val="28"/>
            <w:u w:val="none"/>
            <w:lang w:val="kk-KZ" w:eastAsia="zh-CN"/>
          </w:rPr>
          <w:t>. 10.10.2025.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274 </w:t>
      </w:r>
      <w:r>
        <w:rPr>
          <w:rFonts w:ascii="Times New Roman" w:eastAsia="DengXian" w:hAnsi="Times New Roman" w:cs="Times New Roman"/>
          <w:sz w:val="28"/>
          <w:szCs w:val="28"/>
          <w:lang w:val="en-US" w:eastAsia="zh-CN"/>
        </w:rPr>
        <w:t xml:space="preserve">America’s AI Action Plan / </w:t>
      </w:r>
      <w:hyperlink w:history="1">
        <w:r>
          <w:rPr>
            <w:rStyle w:val="ab"/>
            <w:rFonts w:ascii="Times New Roman" w:eastAsia="DengXian" w:hAnsi="Times New Roman" w:cs="Times New Roman"/>
            <w:color w:val="auto"/>
            <w:sz w:val="28"/>
            <w:szCs w:val="28"/>
            <w:u w:val="none"/>
            <w:lang w:val="en-US" w:eastAsia="zh-CN"/>
          </w:rPr>
          <w:t>https://www.whitehouse.gov</w:t>
        </w:r>
        <w:r>
          <w:rPr>
            <w:rStyle w:val="ab"/>
            <w:rFonts w:ascii="Times New Roman" w:eastAsia="DengXian" w:hAnsi="Times New Roman" w:cs="Times New Roman"/>
            <w:color w:val="auto"/>
            <w:sz w:val="28"/>
            <w:szCs w:val="28"/>
            <w:u w:val="none"/>
            <w:lang w:val="kk-KZ" w:eastAsia="zh-CN"/>
          </w:rPr>
          <w:t>. 1010.2025.</w:t>
        </w:r>
      </w:hyperlink>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275 </w:t>
      </w:r>
      <w:r>
        <w:rPr>
          <w:rFonts w:ascii="Times New Roman" w:eastAsia="DengXian" w:hAnsi="Times New Roman" w:cs="Times New Roman"/>
          <w:sz w:val="28"/>
          <w:szCs w:val="28"/>
          <w:lang w:val="en-US" w:eastAsia="zh-CN"/>
        </w:rPr>
        <w:t xml:space="preserve">Data Governance Overview / </w:t>
      </w:r>
      <w:hyperlink r:id="rId240" w:history="1">
        <w:r>
          <w:rPr>
            <w:rStyle w:val="ab"/>
            <w:rFonts w:ascii="Times New Roman" w:eastAsia="DengXian" w:hAnsi="Times New Roman" w:cs="Times New Roman"/>
            <w:color w:val="auto"/>
            <w:sz w:val="28"/>
            <w:szCs w:val="28"/>
            <w:u w:val="none"/>
            <w:lang w:val="en-US" w:eastAsia="zh-CN"/>
          </w:rPr>
          <w:t>https://datagovhub.elliott.gwu.</w:t>
        </w:r>
      </w:hyperlink>
      <w:r>
        <w:rPr>
          <w:rStyle w:val="ab"/>
          <w:rFonts w:ascii="Times New Roman" w:eastAsia="DengXian" w:hAnsi="Times New Roman" w:cs="Times New Roman"/>
          <w:color w:val="auto"/>
          <w:sz w:val="28"/>
          <w:szCs w:val="28"/>
          <w:u w:val="none"/>
          <w:lang w:val="kk-KZ" w:eastAsia="zh-CN"/>
        </w:rPr>
        <w:t xml:space="preserve">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276 Қазақстан Республикасы Үкіметінің Қаулысы. Киберқауіпсіздік тұжырымдамасын ("Қазақстанның киберқалқаны") бекіту туралы: 2017 жылдың 30 маусымда, №407 бекітілген // </w:t>
      </w:r>
      <w:hyperlink r:id="rId241" w:history="1">
        <w:r>
          <w:rPr>
            <w:rStyle w:val="ab"/>
            <w:rFonts w:ascii="Times New Roman" w:eastAsia="DengXian" w:hAnsi="Times New Roman"/>
            <w:color w:val="auto"/>
            <w:sz w:val="28"/>
            <w:szCs w:val="28"/>
            <w:u w:val="none"/>
            <w:lang w:val="kk-KZ" w:eastAsia="zh-CN"/>
          </w:rPr>
          <w:t>https://adilet.zan.kz/kaz/docs</w:t>
        </w:r>
      </w:hyperlink>
      <w:r>
        <w:rPr>
          <w:rStyle w:val="ab"/>
          <w:rFonts w:ascii="Times New Roman" w:eastAsia="DengXian" w:hAnsi="Times New Roman"/>
          <w:color w:val="auto"/>
          <w:sz w:val="28"/>
          <w:szCs w:val="28"/>
          <w:u w:val="none"/>
          <w:lang w:val="kk-KZ"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277 </w:t>
      </w:r>
      <w:r>
        <w:rPr>
          <w:rFonts w:ascii="Times New Roman" w:eastAsia="DengXian" w:hAnsi="Times New Roman" w:cs="Times New Roman"/>
          <w:sz w:val="28"/>
          <w:szCs w:val="28"/>
          <w:lang w:eastAsia="zh-CN"/>
        </w:rPr>
        <w:t>Национальная служба реагирования на компьютерные инциденты</w:t>
      </w:r>
      <w:r>
        <w:rPr>
          <w:rFonts w:ascii="Times New Roman" w:eastAsia="DengXian" w:hAnsi="Times New Roman" w:cs="Times New Roman"/>
          <w:sz w:val="28"/>
          <w:szCs w:val="28"/>
          <w:lang w:val="kk-KZ" w:eastAsia="zh-CN"/>
        </w:rPr>
        <w:t xml:space="preserve"> // </w:t>
      </w:r>
      <w:hyperlink r:id="rId242" w:history="1">
        <w:r>
          <w:rPr>
            <w:rStyle w:val="ab"/>
            <w:rFonts w:ascii="Times New Roman" w:eastAsia="DengXian" w:hAnsi="Times New Roman"/>
            <w:color w:val="auto"/>
            <w:sz w:val="28"/>
            <w:szCs w:val="28"/>
            <w:u w:val="none"/>
            <w:lang w:val="kk-KZ" w:eastAsia="zh-CN"/>
          </w:rPr>
          <w:t>https://cert.gov.kz/</w:t>
        </w:r>
      </w:hyperlink>
      <w:r>
        <w:rPr>
          <w:rStyle w:val="ab"/>
          <w:rFonts w:ascii="Times New Roman" w:eastAsia="DengXian" w:hAnsi="Times New Roman"/>
          <w:color w:val="auto"/>
          <w:sz w:val="28"/>
          <w:szCs w:val="28"/>
          <w:u w:val="none"/>
          <w:lang w:val="kk-KZ" w:eastAsia="zh-CN"/>
        </w:rPr>
        <w:t>. 1010.2025.</w:t>
      </w:r>
    </w:p>
    <w:p w:rsidR="005118AF" w:rsidRDefault="00EF60C3">
      <w:pPr>
        <w:tabs>
          <w:tab w:val="left" w:pos="880"/>
          <w:tab w:val="left" w:pos="1276"/>
        </w:tabs>
        <w:spacing w:after="0" w:line="240" w:lineRule="auto"/>
        <w:ind w:firstLine="709"/>
        <w:jc w:val="both"/>
        <w:rPr>
          <w:rFonts w:ascii="Times New Roman" w:eastAsia="DengXian" w:hAnsi="Times New Roman" w:cs="Times New Roman"/>
          <w:sz w:val="28"/>
          <w:szCs w:val="28"/>
          <w:lang w:val="en-US" w:eastAsia="zh-CN"/>
        </w:rPr>
      </w:pPr>
      <w:r>
        <w:rPr>
          <w:rFonts w:ascii="Times New Roman" w:eastAsia="DengXian" w:hAnsi="Times New Roman" w:cs="Times New Roman"/>
          <w:sz w:val="28"/>
          <w:szCs w:val="28"/>
          <w:lang w:val="kk-KZ" w:eastAsia="zh-CN"/>
        </w:rPr>
        <w:t xml:space="preserve">278 </w:t>
      </w:r>
      <w:r>
        <w:rPr>
          <w:rFonts w:ascii="Times New Roman" w:eastAsia="DengXian" w:hAnsi="Times New Roman" w:cs="Times New Roman"/>
          <w:sz w:val="28"/>
          <w:szCs w:val="28"/>
          <w:lang w:val="en-US" w:eastAsia="zh-CN"/>
        </w:rPr>
        <w:t>Data Protection Laws of the World An overview of key privacy and data protection laws across more t</w:t>
      </w:r>
      <w:r>
        <w:rPr>
          <w:rFonts w:ascii="Times New Roman" w:eastAsia="DengXian" w:hAnsi="Times New Roman" w:cs="Times New Roman"/>
          <w:sz w:val="28"/>
          <w:szCs w:val="28"/>
          <w:lang w:val="en-US" w:eastAsia="zh-CN"/>
        </w:rPr>
        <w:t>han 160 jurisdictions /</w:t>
      </w:r>
      <w:r>
        <w:rPr>
          <w:rFonts w:ascii="Times New Roman" w:eastAsia="DengXian" w:hAnsi="Times New Roman" w:cs="Times New Roman"/>
          <w:sz w:val="28"/>
          <w:szCs w:val="28"/>
          <w:lang w:val="kk-KZ" w:eastAsia="zh-CN"/>
        </w:rPr>
        <w:t xml:space="preserve">/ </w:t>
      </w:r>
      <w:hyperlink w:history="1">
        <w:r>
          <w:rPr>
            <w:rStyle w:val="ab"/>
            <w:rFonts w:ascii="Times New Roman" w:eastAsia="DengXian" w:hAnsi="Times New Roman" w:cs="Times New Roman"/>
            <w:color w:val="auto"/>
            <w:sz w:val="28"/>
            <w:szCs w:val="28"/>
            <w:u w:val="none"/>
            <w:lang w:val="kk-KZ" w:eastAsia="zh-CN"/>
          </w:rPr>
          <w:t>https://www. dlapiperdataprotection.com/?utm_source</w:t>
        </w:r>
      </w:hyperlink>
      <w:r>
        <w:rPr>
          <w:rStyle w:val="ab"/>
          <w:rFonts w:ascii="Times New Roman" w:eastAsia="DengXian" w:hAnsi="Times New Roman" w:cs="Times New Roman"/>
          <w:color w:val="auto"/>
          <w:sz w:val="28"/>
          <w:szCs w:val="28"/>
          <w:u w:val="none"/>
          <w:lang w:val="kk-KZ" w:eastAsia="zh-CN"/>
        </w:rPr>
        <w:t>. 10.10.2025.</w:t>
      </w:r>
    </w:p>
    <w:p w:rsidR="005118AF" w:rsidRDefault="005118AF">
      <w:pPr>
        <w:autoSpaceDE w:val="0"/>
        <w:autoSpaceDN w:val="0"/>
        <w:adjustRightInd w:val="0"/>
        <w:spacing w:after="0" w:line="240" w:lineRule="auto"/>
        <w:ind w:firstLine="709"/>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709"/>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tabs>
          <w:tab w:val="left" w:pos="880"/>
        </w:tabs>
        <w:spacing w:after="0" w:line="240" w:lineRule="auto"/>
        <w:ind w:left="440"/>
        <w:jc w:val="both"/>
        <w:rPr>
          <w:rFonts w:ascii="Times New Roman" w:eastAsia="DengXian" w:hAnsi="Times New Roman" w:cs="Times New Roman"/>
          <w:sz w:val="28"/>
          <w:szCs w:val="28"/>
          <w:lang w:eastAsia="zh-CN"/>
        </w:rPr>
      </w:pPr>
    </w:p>
    <w:p w:rsidR="005118AF" w:rsidRDefault="005118AF">
      <w:pPr>
        <w:tabs>
          <w:tab w:val="left" w:pos="880"/>
        </w:tabs>
        <w:spacing w:after="0" w:line="240" w:lineRule="auto"/>
        <w:ind w:left="440"/>
        <w:jc w:val="both"/>
        <w:rPr>
          <w:rFonts w:ascii="Times New Roman" w:eastAsia="DengXian" w:hAnsi="Times New Roman" w:cs="Times New Roman"/>
          <w:sz w:val="28"/>
          <w:szCs w:val="28"/>
          <w:lang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5118AF">
      <w:pPr>
        <w:autoSpaceDE w:val="0"/>
        <w:autoSpaceDN w:val="0"/>
        <w:adjustRightInd w:val="0"/>
        <w:spacing w:after="0" w:line="240" w:lineRule="auto"/>
        <w:ind w:firstLine="567"/>
        <w:jc w:val="both"/>
        <w:rPr>
          <w:rFonts w:ascii="Times New Roman" w:hAnsi="Times New Roman" w:cs="Times New Roman"/>
          <w:sz w:val="28"/>
          <w:szCs w:val="28"/>
          <w:lang w:val="en-US" w:eastAsia="zh-CN"/>
        </w:rPr>
      </w:pPr>
    </w:p>
    <w:p w:rsidR="005118AF" w:rsidRDefault="00EF60C3">
      <w:pPr>
        <w:spacing w:after="0" w:line="240" w:lineRule="auto"/>
        <w:jc w:val="center"/>
        <w:rPr>
          <w:rFonts w:ascii="Times New Roman" w:hAnsi="Times New Roman" w:cs="Times New Roman"/>
          <w:b/>
          <w:sz w:val="28"/>
          <w:szCs w:val="28"/>
          <w:lang w:val="en-US" w:eastAsia="zh-CN"/>
        </w:rPr>
      </w:pPr>
      <w:r>
        <w:rPr>
          <w:rFonts w:ascii="Times New Roman" w:hAnsi="Times New Roman" w:cs="Times New Roman"/>
          <w:b/>
          <w:sz w:val="28"/>
          <w:szCs w:val="28"/>
          <w:lang w:val="kk-KZ" w:eastAsia="zh-CN"/>
        </w:rPr>
        <w:t>Қ</w:t>
      </w:r>
      <w:r>
        <w:rPr>
          <w:rFonts w:ascii="Times New Roman" w:hAnsi="Times New Roman" w:cs="Times New Roman"/>
          <w:b/>
          <w:sz w:val="28"/>
          <w:szCs w:val="28"/>
          <w:lang w:eastAsia="zh-CN"/>
        </w:rPr>
        <w:t>ОСЫМША</w:t>
      </w:r>
      <w:r>
        <w:rPr>
          <w:rFonts w:ascii="Times New Roman" w:hAnsi="Times New Roman" w:cs="Times New Roman"/>
          <w:b/>
          <w:sz w:val="28"/>
          <w:szCs w:val="28"/>
          <w:lang w:val="kk-KZ" w:eastAsia="zh-CN"/>
        </w:rPr>
        <w:t xml:space="preserve"> А</w:t>
      </w:r>
    </w:p>
    <w:p w:rsidR="005118AF" w:rsidRDefault="005118AF">
      <w:pPr>
        <w:spacing w:after="0" w:line="240" w:lineRule="auto"/>
        <w:jc w:val="center"/>
        <w:rPr>
          <w:rFonts w:ascii="Times New Roman" w:hAnsi="Times New Roman" w:cs="Times New Roman"/>
          <w:sz w:val="28"/>
          <w:szCs w:val="28"/>
          <w:lang w:val="en-US" w:eastAsia="zh-CN"/>
        </w:rPr>
      </w:pPr>
    </w:p>
    <w:p w:rsidR="005118AF" w:rsidRDefault="00EF60C3">
      <w:pPr>
        <w:spacing w:after="0" w:line="240" w:lineRule="auto"/>
        <w:jc w:val="center"/>
        <w:rPr>
          <w:rFonts w:ascii="Times New Roman" w:hAnsi="Times New Roman" w:cs="Times New Roman"/>
          <w:sz w:val="28"/>
          <w:szCs w:val="28"/>
          <w:lang w:val="en-US" w:eastAsia="zh-CN"/>
        </w:rPr>
      </w:pPr>
      <w:r>
        <w:rPr>
          <w:rFonts w:ascii="Times New Roman" w:hAnsi="Times New Roman" w:cs="Times New Roman"/>
          <w:sz w:val="28"/>
          <w:szCs w:val="28"/>
          <w:lang w:eastAsia="zh-CN"/>
        </w:rPr>
        <w:t>Ен</w:t>
      </w:r>
      <w:r>
        <w:rPr>
          <w:rFonts w:ascii="Times New Roman" w:hAnsi="Times New Roman" w:cs="Times New Roman"/>
          <w:sz w:val="28"/>
          <w:szCs w:val="28"/>
          <w:lang w:val="kk-KZ" w:eastAsia="zh-CN"/>
        </w:rPr>
        <w:t>гізу актілері</w:t>
      </w:r>
    </w:p>
    <w:p w:rsidR="005118AF" w:rsidRDefault="005118AF">
      <w:pPr>
        <w:spacing w:after="0" w:line="240" w:lineRule="auto"/>
        <w:jc w:val="both"/>
        <w:rPr>
          <w:rFonts w:ascii="Times New Roman" w:hAnsi="Times New Roman" w:cs="Times New Roman"/>
          <w:sz w:val="28"/>
          <w:szCs w:val="28"/>
          <w:lang w:val="en-US" w:eastAsia="zh-CN"/>
        </w:rPr>
      </w:pPr>
    </w:p>
    <w:p w:rsidR="005118AF" w:rsidRDefault="00EF60C3">
      <w:pPr>
        <w:spacing w:after="0" w:line="240" w:lineRule="auto"/>
        <w:jc w:val="center"/>
        <w:rPr>
          <w:rFonts w:ascii="Times New Roman" w:hAnsi="Times New Roman" w:cs="Times New Roman"/>
          <w:sz w:val="28"/>
          <w:szCs w:val="28"/>
          <w:lang w:eastAsia="zh-CN"/>
        </w:rPr>
      </w:pPr>
      <w:r>
        <w:rPr>
          <w:noProof/>
        </w:rPr>
        <w:drawing>
          <wp:inline distT="0" distB="0" distL="114300" distR="114300">
            <wp:extent cx="5930900" cy="648716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pic:cNvPicPr>
                      <a:picLocks noChangeAspect="1"/>
                    </pic:cNvPicPr>
                  </pic:nvPicPr>
                  <pic:blipFill>
                    <a:blip r:embed="rId243"/>
                    <a:srcRect l="32" t="12065" b="8414"/>
                    <a:stretch>
                      <a:fillRect/>
                    </a:stretch>
                  </pic:blipFill>
                  <pic:spPr>
                    <a:xfrm>
                      <a:off x="0" y="0"/>
                      <a:ext cx="5930900" cy="6487160"/>
                    </a:xfrm>
                    <a:prstGeom prst="rect">
                      <a:avLst/>
                    </a:prstGeom>
                    <a:noFill/>
                    <a:ln>
                      <a:noFill/>
                    </a:ln>
                  </pic:spPr>
                </pic:pic>
              </a:graphicData>
            </a:graphic>
          </wp:inline>
        </w:drawing>
      </w:r>
    </w:p>
    <w:p w:rsidR="005118AF" w:rsidRDefault="005118AF">
      <w:pPr>
        <w:spacing w:after="0" w:line="240" w:lineRule="auto"/>
        <w:jc w:val="both"/>
        <w:rPr>
          <w:rFonts w:ascii="Times New Roman" w:hAnsi="Times New Roman" w:cs="Times New Roman"/>
          <w:sz w:val="28"/>
          <w:szCs w:val="28"/>
          <w:lang w:eastAsia="zh-CN"/>
        </w:rPr>
      </w:pPr>
    </w:p>
    <w:p w:rsidR="005118AF" w:rsidRDefault="005118AF">
      <w:pPr>
        <w:spacing w:after="0" w:line="240" w:lineRule="auto"/>
        <w:jc w:val="both"/>
        <w:rPr>
          <w:rFonts w:ascii="Times New Roman" w:hAnsi="Times New Roman" w:cs="Times New Roman"/>
          <w:sz w:val="28"/>
          <w:szCs w:val="28"/>
          <w:lang w:eastAsia="zh-CN"/>
        </w:rPr>
      </w:pPr>
    </w:p>
    <w:p w:rsidR="005118AF" w:rsidRDefault="00EF60C3">
      <w:pPr>
        <w:spacing w:after="0" w:line="240" w:lineRule="auto"/>
        <w:jc w:val="center"/>
        <w:rPr>
          <w:rFonts w:ascii="Times New Roman" w:hAnsi="Times New Roman" w:cs="Times New Roman"/>
          <w:sz w:val="28"/>
          <w:szCs w:val="28"/>
          <w:lang w:eastAsia="zh-CN"/>
        </w:rPr>
      </w:pPr>
      <w:r>
        <w:rPr>
          <w:noProof/>
        </w:rPr>
        <w:drawing>
          <wp:inline distT="0" distB="0" distL="114300" distR="114300">
            <wp:extent cx="5930900" cy="8157845"/>
            <wp:effectExtent l="0" t="0" r="0" b="8255"/>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7"/>
                    <pic:cNvPicPr>
                      <a:picLocks noChangeAspect="1"/>
                    </pic:cNvPicPr>
                  </pic:nvPicPr>
                  <pic:blipFill>
                    <a:blip r:embed="rId244"/>
                    <a:stretch>
                      <a:fillRect/>
                    </a:stretch>
                  </pic:blipFill>
                  <pic:spPr>
                    <a:xfrm>
                      <a:off x="0" y="0"/>
                      <a:ext cx="5930900" cy="8157845"/>
                    </a:xfrm>
                    <a:prstGeom prst="rect">
                      <a:avLst/>
                    </a:prstGeom>
                    <a:noFill/>
                    <a:ln>
                      <a:noFill/>
                    </a:ln>
                  </pic:spPr>
                </pic:pic>
              </a:graphicData>
            </a:graphic>
          </wp:inline>
        </w:drawing>
      </w:r>
    </w:p>
    <w:p w:rsidR="005118AF" w:rsidRDefault="005118AF">
      <w:pPr>
        <w:spacing w:after="0" w:line="240" w:lineRule="auto"/>
        <w:jc w:val="both"/>
        <w:rPr>
          <w:rFonts w:ascii="Times New Roman" w:hAnsi="Times New Roman" w:cs="Times New Roman"/>
          <w:sz w:val="28"/>
          <w:szCs w:val="28"/>
          <w:lang w:eastAsia="zh-CN"/>
        </w:rPr>
      </w:pPr>
    </w:p>
    <w:p w:rsidR="005118AF" w:rsidRDefault="005118AF">
      <w:pPr>
        <w:spacing w:after="0" w:line="240" w:lineRule="auto"/>
        <w:jc w:val="both"/>
        <w:rPr>
          <w:rFonts w:ascii="Times New Roman" w:hAnsi="Times New Roman" w:cs="Times New Roman"/>
          <w:sz w:val="28"/>
          <w:szCs w:val="28"/>
          <w:lang w:eastAsia="zh-CN"/>
        </w:rPr>
      </w:pPr>
    </w:p>
    <w:p w:rsidR="005118AF" w:rsidRDefault="005118AF">
      <w:pPr>
        <w:spacing w:after="0" w:line="240" w:lineRule="auto"/>
        <w:jc w:val="both"/>
        <w:rPr>
          <w:rFonts w:ascii="Times New Roman" w:hAnsi="Times New Roman" w:cs="Times New Roman"/>
          <w:sz w:val="28"/>
          <w:szCs w:val="28"/>
          <w:lang w:eastAsia="zh-CN"/>
        </w:rPr>
      </w:pPr>
    </w:p>
    <w:p w:rsidR="005118AF" w:rsidRDefault="005118AF">
      <w:pPr>
        <w:spacing w:after="0" w:line="240" w:lineRule="auto"/>
        <w:jc w:val="both"/>
        <w:rPr>
          <w:rFonts w:ascii="Times New Roman" w:hAnsi="Times New Roman" w:cs="Times New Roman"/>
          <w:sz w:val="28"/>
          <w:szCs w:val="28"/>
          <w:lang w:eastAsia="zh-CN"/>
        </w:rPr>
      </w:pPr>
    </w:p>
    <w:p w:rsidR="005118AF" w:rsidRDefault="005118AF">
      <w:pPr>
        <w:spacing w:after="0" w:line="240" w:lineRule="auto"/>
        <w:jc w:val="both"/>
        <w:rPr>
          <w:rFonts w:ascii="Times New Roman" w:hAnsi="Times New Roman" w:cs="Times New Roman"/>
          <w:sz w:val="28"/>
          <w:szCs w:val="28"/>
          <w:lang w:eastAsia="zh-CN"/>
        </w:rPr>
      </w:pPr>
    </w:p>
    <w:p w:rsidR="005118AF" w:rsidRDefault="00EF60C3">
      <w:pPr>
        <w:spacing w:after="0" w:line="240" w:lineRule="auto"/>
        <w:jc w:val="center"/>
      </w:pPr>
      <w:r>
        <w:rPr>
          <w:noProof/>
        </w:rPr>
        <w:drawing>
          <wp:inline distT="0" distB="0" distL="114300" distR="114300">
            <wp:extent cx="5333365" cy="5781675"/>
            <wp:effectExtent l="0" t="0" r="635" b="9525"/>
            <wp:docPr id="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6"/>
                    <pic:cNvPicPr>
                      <a:picLocks noChangeAspect="1"/>
                    </pic:cNvPicPr>
                  </pic:nvPicPr>
                  <pic:blipFill>
                    <a:blip r:embed="rId245"/>
                    <a:stretch>
                      <a:fillRect/>
                    </a:stretch>
                  </pic:blipFill>
                  <pic:spPr>
                    <a:xfrm>
                      <a:off x="0" y="0"/>
                      <a:ext cx="5333365" cy="5781675"/>
                    </a:xfrm>
                    <a:prstGeom prst="rect">
                      <a:avLst/>
                    </a:prstGeom>
                    <a:noFill/>
                    <a:ln>
                      <a:noFill/>
                    </a:ln>
                  </pic:spPr>
                </pic:pic>
              </a:graphicData>
            </a:graphic>
          </wp:inline>
        </w:drawing>
      </w: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pPr>
    </w:p>
    <w:p w:rsidR="005118AF" w:rsidRDefault="005118AF">
      <w:pPr>
        <w:spacing w:after="0" w:line="240" w:lineRule="auto"/>
        <w:jc w:val="both"/>
        <w:rPr>
          <w:lang w:val="kk-KZ"/>
        </w:rPr>
      </w:pPr>
    </w:p>
    <w:p w:rsidR="005118AF" w:rsidRDefault="005118AF">
      <w:pPr>
        <w:spacing w:after="0" w:line="240" w:lineRule="auto"/>
        <w:jc w:val="both"/>
        <w:rPr>
          <w:lang w:val="kk-KZ"/>
        </w:rPr>
      </w:pPr>
    </w:p>
    <w:p w:rsidR="005118AF" w:rsidRDefault="005118AF">
      <w:pPr>
        <w:spacing w:after="0" w:line="240" w:lineRule="auto"/>
        <w:jc w:val="both"/>
        <w:rPr>
          <w:lang w:eastAsia="zh-CN"/>
        </w:rPr>
      </w:pPr>
    </w:p>
    <w:p w:rsidR="005118AF" w:rsidRDefault="00EF60C3">
      <w:pPr>
        <w:spacing w:after="0" w:line="240" w:lineRule="auto"/>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w:t>
      </w:r>
      <w:r>
        <w:rPr>
          <w:rFonts w:ascii="Times New Roman" w:hAnsi="Times New Roman" w:cs="Times New Roman"/>
          <w:b/>
          <w:sz w:val="28"/>
          <w:szCs w:val="28"/>
          <w:lang w:eastAsia="zh-CN"/>
        </w:rPr>
        <w:t>ОСЫМША</w:t>
      </w:r>
      <w:r>
        <w:rPr>
          <w:rFonts w:ascii="Times New Roman" w:hAnsi="Times New Roman" w:cs="Times New Roman"/>
          <w:b/>
          <w:sz w:val="28"/>
          <w:szCs w:val="28"/>
          <w:lang w:val="kk-KZ" w:eastAsia="zh-CN"/>
        </w:rPr>
        <w:t xml:space="preserve"> Ә</w:t>
      </w:r>
    </w:p>
    <w:p w:rsidR="005118AF" w:rsidRDefault="005118AF">
      <w:pPr>
        <w:spacing w:after="0" w:line="240" w:lineRule="auto"/>
        <w:jc w:val="both"/>
        <w:rPr>
          <w:rFonts w:ascii="Times New Roman" w:hAnsi="Times New Roman"/>
          <w:bCs/>
          <w:sz w:val="28"/>
          <w:szCs w:val="28"/>
          <w:lang w:val="kk-KZ"/>
        </w:rPr>
      </w:pPr>
    </w:p>
    <w:p w:rsidR="005118AF" w:rsidRDefault="00EF60C3">
      <w:pPr>
        <w:spacing w:after="0" w:line="240" w:lineRule="auto"/>
        <w:jc w:val="both"/>
        <w:rPr>
          <w:rFonts w:ascii="Times New Roman" w:hAnsi="Times New Roman" w:cs="Times New Roman"/>
          <w:sz w:val="28"/>
          <w:szCs w:val="28"/>
          <w:lang w:val="kk-KZ" w:eastAsia="zh-CN"/>
        </w:rPr>
      </w:pPr>
      <w:r>
        <w:rPr>
          <w:rFonts w:ascii="Times New Roman" w:hAnsi="Times New Roman"/>
          <w:bCs/>
          <w:sz w:val="28"/>
          <w:szCs w:val="28"/>
          <w:lang w:val="kk-KZ"/>
        </w:rPr>
        <w:t xml:space="preserve">Кесте Ә.1 – Ғалымдар еңбектеріндегі инновация және инновациялық </w:t>
      </w:r>
      <w:r>
        <w:rPr>
          <w:rFonts w:ascii="Times New Roman" w:hAnsi="Times New Roman"/>
          <w:bCs/>
          <w:sz w:val="28"/>
          <w:szCs w:val="28"/>
          <w:lang w:val="kk-KZ"/>
        </w:rPr>
        <w:t>даму ұғымдарының түсіндірмелері</w:t>
      </w:r>
    </w:p>
    <w:p w:rsidR="005118AF" w:rsidRDefault="005118AF">
      <w:pPr>
        <w:spacing w:after="0" w:line="240" w:lineRule="auto"/>
        <w:ind w:firstLine="567"/>
        <w:jc w:val="center"/>
        <w:rPr>
          <w:rFonts w:ascii="Times New Roman" w:hAnsi="Times New Roman" w:cs="Times New Roman"/>
          <w:sz w:val="16"/>
          <w:szCs w:val="16"/>
          <w:lang w:val="kk-KZ" w:eastAsia="zh-CN"/>
        </w:rPr>
      </w:pPr>
    </w:p>
    <w:tbl>
      <w:tblPr>
        <w:tblStyle w:val="ae"/>
        <w:tblW w:w="9524" w:type="dxa"/>
        <w:jc w:val="center"/>
        <w:tblLook w:val="04A0" w:firstRow="1" w:lastRow="0" w:firstColumn="1" w:lastColumn="0" w:noHBand="0" w:noVBand="1"/>
      </w:tblPr>
      <w:tblGrid>
        <w:gridCol w:w="3292"/>
        <w:gridCol w:w="6232"/>
      </w:tblGrid>
      <w:tr w:rsidR="005118AF">
        <w:trPr>
          <w:jc w:val="center"/>
        </w:trPr>
        <w:tc>
          <w:tcPr>
            <w:tcW w:w="9524" w:type="dxa"/>
            <w:gridSpan w:val="2"/>
            <w:shd w:val="clear" w:color="auto" w:fill="auto"/>
          </w:tcPr>
          <w:p w:rsidR="005118AF" w:rsidRDefault="00EF60C3">
            <w:pPr>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bCs/>
                <w:color w:val="000000"/>
                <w:sz w:val="24"/>
                <w:szCs w:val="24"/>
                <w:lang w:val="en-US" w:eastAsia="zh-CN"/>
              </w:rPr>
              <w:t>«</w:t>
            </w:r>
            <w:r>
              <w:rPr>
                <w:rFonts w:ascii="Times New Roman" w:eastAsia="Times New Roman" w:hAnsi="Times New Roman"/>
                <w:bCs/>
                <w:color w:val="000000"/>
                <w:sz w:val="24"/>
                <w:szCs w:val="24"/>
                <w:lang w:val="kk-KZ" w:eastAsia="zh-CN"/>
              </w:rPr>
              <w:t>Инновация</w:t>
            </w:r>
            <w:r>
              <w:rPr>
                <w:rFonts w:ascii="Times New Roman" w:eastAsia="Times New Roman" w:hAnsi="Times New Roman"/>
                <w:bCs/>
                <w:color w:val="000000"/>
                <w:sz w:val="24"/>
                <w:szCs w:val="24"/>
                <w:lang w:val="en-US" w:eastAsia="zh-CN"/>
              </w:rPr>
              <w:t>»</w:t>
            </w:r>
            <w:r>
              <w:rPr>
                <w:rFonts w:ascii="Times New Roman" w:eastAsia="Times New Roman" w:hAnsi="Times New Roman"/>
                <w:bCs/>
                <w:color w:val="000000"/>
                <w:sz w:val="24"/>
                <w:szCs w:val="24"/>
                <w:lang w:val="kk-KZ" w:eastAsia="zh-CN"/>
              </w:rPr>
              <w:t xml:space="preserve"> ұғымының анықтамалары</w:t>
            </w:r>
          </w:p>
        </w:tc>
      </w:tr>
      <w:tr w:rsidR="005118AF">
        <w:trPr>
          <w:jc w:val="center"/>
        </w:trPr>
        <w:tc>
          <w:tcPr>
            <w:tcW w:w="3292" w:type="dxa"/>
            <w:shd w:val="clear" w:color="auto" w:fill="auto"/>
          </w:tcPr>
          <w:p w:rsidR="005118AF" w:rsidRDefault="00EF60C3">
            <w:pPr>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 xml:space="preserve">Автор, </w:t>
            </w:r>
            <w:r>
              <w:rPr>
                <w:rFonts w:ascii="Times New Roman" w:eastAsia="Times New Roman" w:hAnsi="Times New Roman" w:cs="Times New Roman"/>
                <w:sz w:val="24"/>
                <w:szCs w:val="24"/>
                <w:lang w:val="kk-KZ" w:eastAsia="zh-CN"/>
              </w:rPr>
              <w:t>дерек көзі</w:t>
            </w:r>
          </w:p>
        </w:tc>
        <w:tc>
          <w:tcPr>
            <w:tcW w:w="6232" w:type="dxa"/>
          </w:tcPr>
          <w:p w:rsidR="005118AF" w:rsidRDefault="00EF60C3">
            <w:pPr>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Анықтама</w:t>
            </w:r>
          </w:p>
        </w:tc>
      </w:tr>
      <w:tr w:rsidR="005118AF">
        <w:trPr>
          <w:jc w:val="center"/>
        </w:trPr>
        <w:tc>
          <w:tcPr>
            <w:tcW w:w="3292" w:type="dxa"/>
            <w:shd w:val="clear" w:color="auto" w:fill="auto"/>
          </w:tcPr>
          <w:p w:rsidR="005118AF" w:rsidRDefault="00EF60C3">
            <w:pPr>
              <w:spacing w:after="0"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Baregheh et al., 2009, p. 1334</w:t>
            </w:r>
          </w:p>
        </w:tc>
        <w:tc>
          <w:tcPr>
            <w:tcW w:w="6232" w:type="dxa"/>
          </w:tcPr>
          <w:p w:rsidR="005118AF" w:rsidRDefault="00EF60C3">
            <w:pPr>
              <w:spacing w:after="0"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xml:space="preserve">Инновациялар – бұл кәсіпорындар нарықта өсу, бәсекелесу және өзгеру мақсатында идеяларды жаңа/жетілдірілген өнім/қызметке немесе </w:t>
            </w:r>
            <w:r>
              <w:rPr>
                <w:rFonts w:ascii="Times New Roman" w:eastAsia="Times New Roman" w:hAnsi="Times New Roman" w:cs="Times New Roman"/>
                <w:sz w:val="24"/>
                <w:szCs w:val="24"/>
                <w:lang w:val="kk-KZ" w:eastAsia="zh-CN"/>
              </w:rPr>
              <w:t>процеске трансформациялайтын көп сатылы процесс</w:t>
            </w:r>
          </w:p>
        </w:tc>
      </w:tr>
      <w:tr w:rsidR="005118AF">
        <w:trPr>
          <w:jc w:val="center"/>
        </w:trPr>
        <w:tc>
          <w:tcPr>
            <w:tcW w:w="3292" w:type="dxa"/>
            <w:shd w:val="clear" w:color="auto" w:fill="auto"/>
          </w:tcPr>
          <w:p w:rsidR="005118AF" w:rsidRDefault="00EF60C3">
            <w:pPr>
              <w:spacing w:after="0"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Фатхутдинов Р.А.</w:t>
            </w:r>
          </w:p>
          <w:p w:rsidR="005118AF" w:rsidRDefault="00EF60C3">
            <w:pPr>
              <w:spacing w:after="0"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Инновациялық менеджмент, 2005, б. 15.</w:t>
            </w:r>
          </w:p>
        </w:tc>
        <w:tc>
          <w:tcPr>
            <w:tcW w:w="6232" w:type="dxa"/>
          </w:tcPr>
          <w:p w:rsidR="005118AF" w:rsidRDefault="00EF60C3">
            <w:pPr>
              <w:spacing w:after="0"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Инновациялар – бұл басқару объектісін өзгерту және экономикалық, әлеуметтік, экологиялық, ғылыми-техникалық және т.б. түрлі әсерді алу мақсатында жаңашы</w:t>
            </w:r>
            <w:r>
              <w:rPr>
                <w:rFonts w:ascii="Times New Roman" w:eastAsia="Times New Roman" w:hAnsi="Times New Roman" w:cs="Times New Roman"/>
                <w:sz w:val="24"/>
                <w:szCs w:val="24"/>
                <w:lang w:val="kk-KZ" w:eastAsia="zh-CN"/>
              </w:rPr>
              <w:t xml:space="preserve">лдықты енгізудің соңғы нәтижесі </w:t>
            </w:r>
          </w:p>
        </w:tc>
      </w:tr>
      <w:tr w:rsidR="005118AF">
        <w:trPr>
          <w:jc w:val="center"/>
        </w:trPr>
        <w:tc>
          <w:tcPr>
            <w:tcW w:w="3292" w:type="dxa"/>
            <w:shd w:val="clear" w:color="auto" w:fill="auto"/>
          </w:tcPr>
          <w:p w:rsidR="005118AF" w:rsidRDefault="00EF60C3">
            <w:pPr>
              <w:spacing w:before="100" w:beforeAutospacing="1" w:after="100" w:afterAutospacing="1"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Шайтан Б.И.</w:t>
            </w:r>
          </w:p>
          <w:p w:rsidR="005118AF" w:rsidRDefault="00EF60C3">
            <w:pPr>
              <w:spacing w:before="100" w:beforeAutospacing="1" w:after="100" w:afterAutospacing="1"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Инновации в АПК…, 2005, с. 207.</w:t>
            </w:r>
          </w:p>
        </w:tc>
        <w:tc>
          <w:tcPr>
            <w:tcW w:w="6232" w:type="dxa"/>
          </w:tcPr>
          <w:p w:rsidR="005118AF" w:rsidRDefault="00EF60C3">
            <w:pPr>
              <w:spacing w:before="100" w:beforeAutospacing="1" w:after="100" w:afterAutospacing="1"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xml:space="preserve">АӨК-дегі инновациялар – бұл жаңа технологиялар, жаңа техника, өсімдіктің жаңа түрлері, малдардың жаңа породалары, өсімдіктерге жаңа тыңайтқыштар мен малдарды қорғаудың жаңа  </w:t>
            </w:r>
            <w:r>
              <w:rPr>
                <w:rFonts w:ascii="Times New Roman" w:eastAsia="Times New Roman" w:hAnsi="Times New Roman" w:cs="Times New Roman"/>
                <w:sz w:val="24"/>
                <w:szCs w:val="24"/>
                <w:lang w:val="kk-KZ" w:eastAsia="zh-CN"/>
              </w:rPr>
              <w:t>құралдары, малдарды емдеу дің және аурулардың алдын алудың жаңа тәсілдері, өнді рісті ұйымдастыру, қаржыландыру және несиелендірудің жаңа нысандары, кадрларды даярлау, қайта даярлау және біліктілігін арттырудың жаңа тәсілдері және т.б.</w:t>
            </w:r>
          </w:p>
        </w:tc>
      </w:tr>
      <w:tr w:rsidR="005118AF">
        <w:trPr>
          <w:jc w:val="center"/>
        </w:trPr>
        <w:tc>
          <w:tcPr>
            <w:tcW w:w="3292" w:type="dxa"/>
            <w:shd w:val="clear" w:color="auto" w:fill="auto"/>
          </w:tcPr>
          <w:p w:rsidR="005118AF" w:rsidRDefault="00EF60C3">
            <w:pPr>
              <w:spacing w:after="0" w:line="240" w:lineRule="auto"/>
              <w:ind w:firstLine="34"/>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Райзберг Б.А.</w:t>
            </w:r>
          </w:p>
          <w:p w:rsidR="005118AF" w:rsidRDefault="00EF60C3">
            <w:pPr>
              <w:spacing w:after="0" w:line="240" w:lineRule="auto"/>
              <w:ind w:firstLine="34"/>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Лозов</w:t>
            </w:r>
            <w:r>
              <w:rPr>
                <w:rFonts w:ascii="Times New Roman" w:eastAsia="Times New Roman" w:hAnsi="Times New Roman" w:cs="Times New Roman"/>
                <w:sz w:val="24"/>
                <w:szCs w:val="24"/>
                <w:lang w:val="kk-KZ" w:eastAsia="zh-CN"/>
              </w:rPr>
              <w:t>ский Л.Ш.</w:t>
            </w:r>
          </w:p>
          <w:p w:rsidR="005118AF" w:rsidRDefault="00EF60C3">
            <w:pPr>
              <w:spacing w:after="0" w:line="240" w:lineRule="auto"/>
              <w:ind w:firstLine="34"/>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Стародубцева Е.Б.</w:t>
            </w:r>
          </w:p>
          <w:p w:rsidR="005118AF" w:rsidRDefault="00EF60C3">
            <w:pPr>
              <w:spacing w:after="0" w:line="240" w:lineRule="auto"/>
              <w:ind w:firstLine="34"/>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Современный экономиче ский…, 1999, с. 136.</w:t>
            </w:r>
          </w:p>
        </w:tc>
        <w:tc>
          <w:tcPr>
            <w:tcW w:w="6232" w:type="dxa"/>
          </w:tcPr>
          <w:p w:rsidR="005118AF" w:rsidRDefault="00EF60C3">
            <w:pPr>
              <w:spacing w:before="100" w:beforeAutospacing="1" w:after="100" w:afterAutospacing="1"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Инновациялар – бұл ғылым мен үздік тәжірибелерді пайдалануға, сондай-ақ бұл жаңашылдықтарды әртүрлі қызмет салаларында қолдануға негізделген техника, технология, еңбекті ұйымдастыру жән</w:t>
            </w:r>
            <w:r>
              <w:rPr>
                <w:rFonts w:ascii="Times New Roman" w:eastAsia="Times New Roman" w:hAnsi="Times New Roman" w:cs="Times New Roman"/>
                <w:sz w:val="24"/>
                <w:szCs w:val="24"/>
                <w:lang w:val="kk-KZ" w:eastAsia="zh-CN"/>
              </w:rPr>
              <w:t xml:space="preserve">е басқару саласындағы жаңа енгізілімдер. </w:t>
            </w:r>
          </w:p>
        </w:tc>
      </w:tr>
      <w:tr w:rsidR="005118AF">
        <w:trPr>
          <w:jc w:val="center"/>
        </w:trPr>
        <w:tc>
          <w:tcPr>
            <w:tcW w:w="3292" w:type="dxa"/>
            <w:shd w:val="clear" w:color="auto" w:fill="auto"/>
          </w:tcPr>
          <w:p w:rsidR="005118AF" w:rsidRDefault="00EF60C3">
            <w:pPr>
              <w:spacing w:before="100" w:beforeAutospacing="1" w:after="100" w:afterAutospacing="1"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М. Портер (1990, p. 45)</w:t>
            </w:r>
          </w:p>
        </w:tc>
        <w:tc>
          <w:tcPr>
            <w:tcW w:w="6232" w:type="dxa"/>
          </w:tcPr>
          <w:p w:rsidR="005118AF" w:rsidRDefault="00EF60C3">
            <w:pPr>
              <w:spacing w:before="100" w:beforeAutospacing="1" w:after="100" w:afterAutospacing="1"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Салада бәсекелестіктің жаңа немесе жетілдірілген жолдарын қабылдау және ашу арқылы бәсекелестік артықшылықты қалыптастыру әрекеті</w:t>
            </w:r>
          </w:p>
        </w:tc>
      </w:tr>
      <w:tr w:rsidR="005118AF">
        <w:trPr>
          <w:jc w:val="center"/>
        </w:trPr>
        <w:tc>
          <w:tcPr>
            <w:tcW w:w="3292" w:type="dxa"/>
            <w:shd w:val="clear" w:color="auto" w:fill="auto"/>
          </w:tcPr>
          <w:p w:rsidR="005118AF" w:rsidRDefault="00EF60C3">
            <w:pPr>
              <w:spacing w:before="100" w:beforeAutospacing="1" w:after="100" w:afterAutospacing="1"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С.Б. Абдыгаппаров</w:t>
            </w:r>
          </w:p>
        </w:tc>
        <w:tc>
          <w:tcPr>
            <w:tcW w:w="6232" w:type="dxa"/>
          </w:tcPr>
          <w:p w:rsidR="005118AF" w:rsidRDefault="00EF60C3">
            <w:pPr>
              <w:spacing w:before="100" w:beforeAutospacing="1" w:after="100" w:afterAutospacing="1" w:line="240" w:lineRule="auto"/>
              <w:jc w:val="both"/>
              <w:rPr>
                <w:rFonts w:ascii="Times New Roman" w:hAnsi="Times New Roman" w:cs="Times New Roman"/>
                <w:sz w:val="28"/>
                <w:szCs w:val="28"/>
                <w:lang w:val="kk-KZ" w:eastAsia="zh-CN"/>
              </w:rPr>
            </w:pPr>
            <w:r>
              <w:rPr>
                <w:rFonts w:ascii="Times New Roman" w:eastAsia="Times New Roman" w:hAnsi="Times New Roman" w:cs="Times New Roman"/>
                <w:sz w:val="24"/>
                <w:szCs w:val="24"/>
                <w:lang w:val="kk-KZ" w:eastAsia="zh-CN"/>
              </w:rPr>
              <w:t>«Инновация – шаруашылық жүргізуші субъек</w:t>
            </w:r>
            <w:r>
              <w:rPr>
                <w:rFonts w:ascii="Times New Roman" w:eastAsia="Times New Roman" w:hAnsi="Times New Roman" w:cs="Times New Roman"/>
                <w:sz w:val="24"/>
                <w:szCs w:val="24"/>
                <w:lang w:val="kk-KZ" w:eastAsia="zh-CN"/>
              </w:rPr>
              <w:t>тілермен зерттемелерді, әзірлемелерді ғылыми негізделген идеяларды енгізуді қамтитын, мемлекеттік және нарықтық реттеу арқылы қоғамның өмір сүру деңгейін жоғарылатуға бағытталған нәтижеге жету үдерісі</w:t>
            </w:r>
          </w:p>
        </w:tc>
      </w:tr>
      <w:tr w:rsidR="005118AF">
        <w:trPr>
          <w:jc w:val="center"/>
        </w:trPr>
        <w:tc>
          <w:tcPr>
            <w:tcW w:w="3292" w:type="dxa"/>
            <w:shd w:val="clear" w:color="auto" w:fill="auto"/>
          </w:tcPr>
          <w:p w:rsidR="005118AF" w:rsidRDefault="00EF60C3">
            <w:pPr>
              <w:spacing w:after="0" w:line="240" w:lineRule="auto"/>
              <w:ind w:firstLine="34"/>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Н.А.Барлыбаева</w:t>
            </w:r>
          </w:p>
          <w:p w:rsidR="005118AF" w:rsidRDefault="00EF60C3">
            <w:pPr>
              <w:spacing w:after="0" w:line="240" w:lineRule="auto"/>
              <w:ind w:firstLine="34"/>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xml:space="preserve"> «Қазақстанның ұлттық инновациялық жүйелері: болашағы мен даму механизмдері» атты монографиясы, 2006 ж. </w:t>
            </w:r>
          </w:p>
        </w:tc>
        <w:tc>
          <w:tcPr>
            <w:tcW w:w="6232" w:type="dxa"/>
          </w:tcPr>
          <w:p w:rsidR="005118AF" w:rsidRDefault="00EF60C3">
            <w:pPr>
              <w:spacing w:before="100" w:beforeAutospacing="1" w:after="100" w:afterAutospacing="1"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Нарықтық табыстар ең алдымен инновациялық қызметке қатысушылардың жаңаша, креативтік қасиеттеріне байланысты болады. Солай бола тұра, инновация «тех но</w:t>
            </w:r>
            <w:r>
              <w:rPr>
                <w:rFonts w:ascii="Times New Roman" w:eastAsia="Times New Roman" w:hAnsi="Times New Roman" w:cs="Times New Roman"/>
                <w:sz w:val="24"/>
                <w:szCs w:val="24"/>
                <w:lang w:val="kk-KZ" w:eastAsia="zh-CN"/>
              </w:rPr>
              <w:t>логиялық секірісте» не болмаса «нарықтық сұранысты туындатушы» да емес, олардың өзара бірлескен қатынасынан пайда болған құбылыс деп түсіндіреді.</w:t>
            </w:r>
          </w:p>
        </w:tc>
      </w:tr>
      <w:tr w:rsidR="005118AF">
        <w:trPr>
          <w:jc w:val="center"/>
        </w:trPr>
        <w:tc>
          <w:tcPr>
            <w:tcW w:w="3292" w:type="dxa"/>
            <w:shd w:val="clear" w:color="auto" w:fill="auto"/>
          </w:tcPr>
          <w:p w:rsidR="005118AF" w:rsidRDefault="00EF60C3">
            <w:pPr>
              <w:spacing w:before="100" w:beforeAutospacing="1" w:after="100" w:afterAutospacing="1" w:line="240" w:lineRule="auto"/>
              <w:ind w:firstLine="35"/>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en-US" w:eastAsia="zh-CN"/>
              </w:rPr>
              <w:t>IAASTD, 2009:560</w:t>
            </w:r>
          </w:p>
        </w:tc>
        <w:tc>
          <w:tcPr>
            <w:tcW w:w="6232" w:type="dxa"/>
          </w:tcPr>
          <w:p w:rsidR="005118AF" w:rsidRDefault="00EF60C3">
            <w:pPr>
              <w:spacing w:before="100" w:beforeAutospacing="1" w:after="100" w:afterAutospacing="1" w:line="240" w:lineRule="auto"/>
              <w:jc w:val="both"/>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Агроөнеркәсіптік инновациялар – бұл нақты институционалдық контекстегі көптеген субъектілер,</w:t>
            </w:r>
            <w:r>
              <w:rPr>
                <w:rFonts w:ascii="Times New Roman" w:eastAsia="Times New Roman" w:hAnsi="Times New Roman" w:cs="Times New Roman"/>
                <w:sz w:val="24"/>
                <w:szCs w:val="24"/>
                <w:lang w:val="kk-KZ" w:eastAsia="zh-CN"/>
              </w:rPr>
              <w:t xml:space="preserve"> агенттер және мүдделі тараптардық өзара әрекеттесуінің нәтижесі болып табылады. Ауыл шаруашылығы инновациялары үшін ауыл шаруашылықтық зерттеулер мен білімді тарату қаншалықты маңызды болса, нарықтар, басқару жүйесі, сондай-ақ тұтас құндылықтар жүйесіндег</w:t>
            </w:r>
            <w:r>
              <w:rPr>
                <w:rFonts w:ascii="Times New Roman" w:eastAsia="Times New Roman" w:hAnsi="Times New Roman" w:cs="Times New Roman"/>
                <w:sz w:val="24"/>
                <w:szCs w:val="24"/>
                <w:lang w:val="kk-KZ" w:eastAsia="zh-CN"/>
              </w:rPr>
              <w:t xml:space="preserve">і қатынастар да маңызды болып табылады. </w:t>
            </w:r>
          </w:p>
        </w:tc>
      </w:tr>
    </w:tbl>
    <w:p w:rsidR="005118AF" w:rsidRDefault="005118AF">
      <w:pPr>
        <w:spacing w:after="0" w:line="240" w:lineRule="auto"/>
        <w:ind w:firstLineChars="285" w:firstLine="798"/>
        <w:jc w:val="both"/>
        <w:rPr>
          <w:rFonts w:ascii="Times New Roman" w:eastAsia="DengXian" w:hAnsi="Times New Roman" w:cs="Times New Roman"/>
          <w:b/>
          <w:sz w:val="28"/>
          <w:szCs w:val="28"/>
          <w:lang w:val="kk-KZ" w:eastAsia="zh-CN"/>
        </w:rPr>
      </w:pPr>
    </w:p>
    <w:p w:rsidR="005118AF" w:rsidRDefault="00EF60C3">
      <w:pPr>
        <w:spacing w:after="0" w:line="240" w:lineRule="auto"/>
        <w:jc w:val="center"/>
        <w:rPr>
          <w:rFonts w:ascii="Times New Roman" w:eastAsia="DengXian" w:hAnsi="Times New Roman" w:cs="Times New Roman"/>
          <w:b/>
          <w:sz w:val="28"/>
          <w:szCs w:val="28"/>
          <w:lang w:val="kk-KZ" w:eastAsia="zh-CN"/>
        </w:rPr>
      </w:pPr>
      <w:r>
        <w:rPr>
          <w:rFonts w:ascii="Times New Roman" w:eastAsia="DengXian" w:hAnsi="Times New Roman" w:cs="Times New Roman"/>
          <w:b/>
          <w:sz w:val="28"/>
          <w:szCs w:val="28"/>
          <w:lang w:val="kk-KZ" w:eastAsia="zh-CN"/>
        </w:rPr>
        <w:t>ҚОСЫМША</w:t>
      </w:r>
      <w:r>
        <w:rPr>
          <w:rFonts w:ascii="Times New Roman" w:eastAsia="DengXian" w:hAnsi="Times New Roman" w:cs="Times New Roman"/>
          <w:b/>
          <w:sz w:val="28"/>
          <w:szCs w:val="28"/>
          <w:lang w:val="kk-KZ" w:eastAsia="zh-CN"/>
        </w:rPr>
        <w:t xml:space="preserve"> Б</w:t>
      </w:r>
    </w:p>
    <w:p w:rsidR="005118AF" w:rsidRDefault="005118AF">
      <w:pPr>
        <w:spacing w:after="0" w:line="240" w:lineRule="auto"/>
        <w:ind w:firstLineChars="285" w:firstLine="684"/>
        <w:jc w:val="both"/>
        <w:rPr>
          <w:rFonts w:ascii="Times New Roman" w:hAnsi="Times New Roman" w:cs="Times New Roman"/>
          <w:sz w:val="24"/>
          <w:szCs w:val="24"/>
          <w:lang w:val="kk-KZ"/>
        </w:rPr>
      </w:pPr>
    </w:p>
    <w:p w:rsidR="005118AF" w:rsidRDefault="00EF60C3">
      <w:pPr>
        <w:spacing w:after="0" w:line="240" w:lineRule="auto"/>
        <w:jc w:val="center"/>
        <w:rPr>
          <w:rFonts w:ascii="Times New Roman" w:eastAsia="DengXian" w:hAnsi="Times New Roman" w:cs="Times New Roman"/>
          <w:sz w:val="28"/>
          <w:szCs w:val="28"/>
          <w:lang w:val="kk-KZ" w:eastAsia="zh-CN"/>
        </w:rPr>
      </w:pPr>
      <w:r>
        <w:rPr>
          <w:rFonts w:ascii="Times New Roman" w:hAnsi="Times New Roman" w:cs="Times New Roman"/>
          <w:sz w:val="28"/>
          <w:szCs w:val="28"/>
          <w:lang w:val="kk-KZ"/>
        </w:rPr>
        <w:t>Азық-түлік инновацияларының жаһандық индексі көрсеткіштерінің Сипаттамалары</w:t>
      </w:r>
    </w:p>
    <w:p w:rsidR="005118AF" w:rsidRDefault="005118AF">
      <w:pPr>
        <w:spacing w:after="0" w:line="240" w:lineRule="auto"/>
        <w:ind w:firstLineChars="285" w:firstLine="684"/>
        <w:jc w:val="both"/>
        <w:rPr>
          <w:rFonts w:ascii="Times New Roman" w:eastAsia="DengXian" w:hAnsi="Times New Roman" w:cs="Times New Roman"/>
          <w:sz w:val="24"/>
          <w:szCs w:val="24"/>
          <w:lang w:val="kk-KZ" w:eastAsia="zh-CN"/>
        </w:rPr>
      </w:pP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Санат</w:t>
      </w:r>
      <w:r>
        <w:rPr>
          <w:rFonts w:ascii="Times New Roman" w:eastAsia="DengXian" w:hAnsi="Times New Roman" w:cs="Times New Roman"/>
          <w:sz w:val="28"/>
          <w:szCs w:val="28"/>
          <w:lang w:eastAsia="zh-CN"/>
        </w:rPr>
        <w:t xml:space="preserve"> 1 - </w:t>
      </w:r>
      <w:r>
        <w:rPr>
          <w:rFonts w:ascii="Times New Roman" w:eastAsia="DengXian" w:hAnsi="Times New Roman" w:cs="Times New Roman"/>
          <w:sz w:val="28"/>
          <w:szCs w:val="28"/>
          <w:lang w:val="kk-KZ" w:eastAsia="zh-CN"/>
        </w:rPr>
        <w:t>Нормативтік</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kk-KZ" w:eastAsia="zh-CN"/>
        </w:rPr>
        <w:t>құқықтық</w:t>
      </w:r>
      <w:r>
        <w:rPr>
          <w:rFonts w:ascii="Times New Roman" w:eastAsia="DengXian" w:hAnsi="Times New Roman" w:cs="Times New Roman"/>
          <w:sz w:val="28"/>
          <w:szCs w:val="28"/>
          <w:lang w:val="kk-KZ" w:eastAsia="zh-CN"/>
        </w:rPr>
        <w:t xml:space="preserve"> база ортасы</w:t>
      </w:r>
    </w:p>
    <w:p w:rsidR="005118AF" w:rsidRDefault="00EF60C3">
      <w:pPr>
        <w:numPr>
          <w:ilvl w:val="2"/>
          <w:numId w:val="25"/>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Жаңа және жаңашыл азық-түлік өнімдерін мақұлдау мерзімдері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Жаңа және жаңашыл азық-түлік өнімдері тұтынушыларды әлеуетті зиянды заттар мен қоспалардан қорғау үшін тұтыну нарығына шығарылмас бұрын бақылаушы мемлекеттік органдардың мақұлдауынан өтуі тиіс. Жаңашыл азық-түлік өнімінің мақұлдауды алуына кететін уақыт ин</w:t>
      </w:r>
      <w:r>
        <w:rPr>
          <w:rFonts w:ascii="Times New Roman" w:eastAsia="DengXian" w:hAnsi="Times New Roman" w:cs="Times New Roman"/>
          <w:sz w:val="28"/>
          <w:szCs w:val="28"/>
          <w:lang w:val="kk-KZ" w:eastAsia="zh-CN"/>
        </w:rPr>
        <w:t xml:space="preserve">новацияға әсер етуі мүмкін. Өнімді мақұлдау мерзімдері үкіметтік веб-сайттар арқылы көпшілікке қолжетімді. Әрбүр мақұлдау кезеңі тіркеледі және орташа мән шығарылады.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Ұзағырақ</w:t>
      </w:r>
      <w:r>
        <w:rPr>
          <w:rFonts w:ascii="Times New Roman" w:eastAsia="DengXian" w:hAnsi="Times New Roman" w:cs="Times New Roman"/>
          <w:sz w:val="28"/>
          <w:szCs w:val="28"/>
          <w:lang w:val="kk-KZ" w:eastAsia="zh-CN"/>
        </w:rPr>
        <w:t xml:space="preserve"> мақұлдау кезеңдері жаңа өнімдерді шығаруға мүдделі өндірушілер үшін кедергілер </w:t>
      </w:r>
      <w:r>
        <w:rPr>
          <w:rFonts w:ascii="Times New Roman" w:eastAsia="DengXian" w:hAnsi="Times New Roman" w:cs="Times New Roman"/>
          <w:sz w:val="28"/>
          <w:szCs w:val="28"/>
          <w:lang w:val="kk-KZ" w:eastAsia="zh-CN"/>
        </w:rPr>
        <w:t xml:space="preserve">туғызатындықтан, инновацияға кедергі келтіру мүмкін. </w:t>
      </w:r>
    </w:p>
    <w:p w:rsidR="005118AF" w:rsidRDefault="00EF60C3">
      <w:pPr>
        <w:numPr>
          <w:ilvl w:val="2"/>
          <w:numId w:val="25"/>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Азық-түлік қауіпсіздігін қамтамасыз ету шаралары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Азық-түлік қауіпсіздігін қамтамасыз ету шараларына әр елдің азық-түлік қауіпсіздігі бұзылған жағдайдағы есеп беру құрылымын, ықтимал салдарды және өндірі</w:t>
      </w:r>
      <w:r>
        <w:rPr>
          <w:rFonts w:ascii="Times New Roman" w:eastAsia="DengXian" w:hAnsi="Times New Roman" w:cs="Times New Roman"/>
          <w:sz w:val="28"/>
          <w:szCs w:val="28"/>
          <w:lang w:val="kk-KZ" w:eastAsia="zh-CN"/>
        </w:rPr>
        <w:t xml:space="preserve">ліп, таратылып жатқан азық-түліктің сапасын қамтамасыз ету үшін қолданылатын хаттамаларды талдау кіреді. Елдер қажет болған жағдайда аудит немесе инспекция сияқты қосымша хаттамаларды енгізуі мүмкін.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Азық-түлік қауіпсіздігі хаттамаларына қатысты ақпарат ү</w:t>
      </w:r>
      <w:r>
        <w:rPr>
          <w:rFonts w:ascii="Times New Roman" w:eastAsia="DengXian" w:hAnsi="Times New Roman" w:cs="Times New Roman"/>
          <w:sz w:val="28"/>
          <w:szCs w:val="28"/>
          <w:lang w:val="kk-KZ" w:eastAsia="zh-CN"/>
        </w:rPr>
        <w:t xml:space="preserve">кіметтік веб-сайттар, денсаулық пен қауіпсіздікті бақылау бөлімшелерінің веб-сайттары мен есептері арқылы кеңінен қолжетімді.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Азық-түлік қауіпсіздігі мен мониторингі инновацияның маңызды аспектісі болып табылады, өйткені тұтынушылар тұтынатын өнімдерінің </w:t>
      </w:r>
      <w:r>
        <w:rPr>
          <w:rFonts w:ascii="Times New Roman" w:eastAsia="DengXian" w:hAnsi="Times New Roman" w:cs="Times New Roman"/>
          <w:sz w:val="28"/>
          <w:szCs w:val="28"/>
          <w:lang w:val="kk-KZ" w:eastAsia="zh-CN"/>
        </w:rPr>
        <w:t>қауіпсіз</w:t>
      </w:r>
      <w:r>
        <w:rPr>
          <w:rFonts w:ascii="Times New Roman" w:eastAsia="DengXian" w:hAnsi="Times New Roman" w:cs="Times New Roman"/>
          <w:sz w:val="28"/>
          <w:szCs w:val="28"/>
          <w:lang w:val="kk-KZ" w:eastAsia="zh-CN"/>
        </w:rPr>
        <w:t xml:space="preserve">, зиянды қоспалар мен ластаушы заттардан ада болуын қалайды. Тиісті азық-түлік қауіпсіздігін қамтамасыз ету шараларын енгізу өндірілетін өнімдердің сапасын арттыруға, сондай-ақ тұтынушылардың азық-түлік өндіруші кәсіпорындарға деген сенім деңгейін </w:t>
      </w:r>
      <w:r>
        <w:rPr>
          <w:rFonts w:ascii="Times New Roman" w:eastAsia="DengXian" w:hAnsi="Times New Roman" w:cs="Times New Roman"/>
          <w:sz w:val="28"/>
          <w:szCs w:val="28"/>
          <w:lang w:val="kk-KZ" w:eastAsia="zh-CN"/>
        </w:rPr>
        <w:t xml:space="preserve">көтеруге көмектеседі. Бұл тұтынушылар жаңа өнімдерді сынақтан өткеніне және зиянды материалдарға тексерілгеніне сенімді болғандықтан инновацияға әсер етеді. </w:t>
      </w:r>
    </w:p>
    <w:p w:rsidR="005118AF" w:rsidRDefault="00EF60C3">
      <w:pPr>
        <w:numPr>
          <w:ilvl w:val="2"/>
          <w:numId w:val="25"/>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Ашы</w:t>
      </w:r>
      <w:r>
        <w:rPr>
          <w:rFonts w:ascii="Times New Roman" w:eastAsia="DengXian" w:hAnsi="Times New Roman" w:cs="Times New Roman"/>
          <w:sz w:val="28"/>
          <w:szCs w:val="28"/>
          <w:lang w:val="kk-KZ" w:eastAsia="zh-CN"/>
        </w:rPr>
        <w:t>қтық</w:t>
      </w:r>
      <w:r>
        <w:rPr>
          <w:rFonts w:ascii="Times New Roman" w:eastAsia="DengXian" w:hAnsi="Times New Roman" w:cs="Times New Roman"/>
          <w:sz w:val="28"/>
          <w:szCs w:val="28"/>
          <w:lang w:val="kk-KZ" w:eastAsia="zh-CN"/>
        </w:rPr>
        <w:t xml:space="preserve"> және коммуникация</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Әрбір</w:t>
      </w:r>
      <w:r>
        <w:rPr>
          <w:rFonts w:ascii="Times New Roman" w:eastAsia="DengXian" w:hAnsi="Times New Roman" w:cs="Times New Roman"/>
          <w:sz w:val="28"/>
          <w:szCs w:val="28"/>
          <w:lang w:val="kk-KZ" w:eastAsia="zh-CN"/>
        </w:rPr>
        <w:t xml:space="preserve"> ел ақпараттың ашықтығы тұрғысынан бағаланды, оған азық</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kk-KZ" w:eastAsia="zh-CN"/>
        </w:rPr>
        <w:t>түлікті өңд</w:t>
      </w:r>
      <w:r>
        <w:rPr>
          <w:rFonts w:ascii="Times New Roman" w:eastAsia="DengXian" w:hAnsi="Times New Roman" w:cs="Times New Roman"/>
          <w:sz w:val="28"/>
          <w:szCs w:val="28"/>
          <w:lang w:val="kk-KZ" w:eastAsia="zh-CN"/>
        </w:rPr>
        <w:t xml:space="preserve">еу заңдары, денсаулық және қауіпсіздік заңдары және тұтынушылар мен өндірушілер үшін маңызды басқа да салалық ақпараттарға қатысты көпшілікке қолжетімді ақпараттың санығ сапасы және өзектілігі кірді.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Ашықтық үкіметтік веб-сайттардың қолжетімділік ерекшелі</w:t>
      </w:r>
      <w:r>
        <w:rPr>
          <w:rFonts w:ascii="Times New Roman" w:eastAsia="DengXian" w:hAnsi="Times New Roman" w:cs="Times New Roman"/>
          <w:sz w:val="28"/>
          <w:szCs w:val="28"/>
          <w:lang w:val="kk-KZ" w:eastAsia="zh-CN"/>
        </w:rPr>
        <w:t xml:space="preserve">ктері, соның ішінде қолданылатын тілдер және мәтінді дауыстап оқу немесе мәтінді реттеу сияқты функциялар болуы бойынша бағаланды.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Коммуникация үкіметтердің азық-түлік қауіпсіздігі немесе өндірісіне қатысты маңызды ақпаратты тарату үшін қолданатын түрлі к</w:t>
      </w:r>
      <w:r>
        <w:rPr>
          <w:rFonts w:ascii="Times New Roman" w:eastAsia="DengXian" w:hAnsi="Times New Roman" w:cs="Times New Roman"/>
          <w:sz w:val="28"/>
          <w:szCs w:val="28"/>
          <w:lang w:val="kk-KZ" w:eastAsia="zh-CN"/>
        </w:rPr>
        <w:t xml:space="preserve">оммуникация әдістері немесе басқарушы органдардың азық-түлік өндірісіне әсер ететін заңнамаға қатысты шешімдерге азаматтар мен саланың пікірін енгізу негізінде бағаланды.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бөлімдегі барлық ақпарат үкіметтік веб-сайттарды жүйелі түрде бағалау және басты</w:t>
      </w:r>
      <w:r>
        <w:rPr>
          <w:rFonts w:ascii="Times New Roman" w:eastAsia="DengXian" w:hAnsi="Times New Roman" w:cs="Times New Roman"/>
          <w:sz w:val="28"/>
          <w:szCs w:val="28"/>
          <w:lang w:val="kk-KZ" w:eastAsia="zh-CN"/>
        </w:rPr>
        <w:t xml:space="preserve"> беттегі қолжетімділік ерекшеліктерін, сайт карталарын қарау, сондай-ақ байланыс формалары мен қоғамдық қатысу форумдарын іздеу арқылы табылады. </w:t>
      </w:r>
    </w:p>
    <w:p w:rsidR="005118AF" w:rsidRDefault="00EF60C3">
      <w:pPr>
        <w:numPr>
          <w:ilvl w:val="1"/>
          <w:numId w:val="25"/>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Қоршаған</w:t>
      </w:r>
      <w:r>
        <w:rPr>
          <w:rFonts w:ascii="Times New Roman" w:eastAsia="DengXian" w:hAnsi="Times New Roman" w:cs="Times New Roman"/>
          <w:sz w:val="28"/>
          <w:szCs w:val="28"/>
          <w:lang w:val="kk-KZ" w:eastAsia="zh-CN"/>
        </w:rPr>
        <w:t xml:space="preserve"> ортаны қорғау нормалары</w:t>
      </w:r>
    </w:p>
    <w:p w:rsidR="005118AF" w:rsidRDefault="00EF60C3">
      <w:pPr>
        <w:numPr>
          <w:ilvl w:val="2"/>
          <w:numId w:val="25"/>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Қалдықтарды</w:t>
      </w:r>
      <w:r>
        <w:rPr>
          <w:rFonts w:ascii="Times New Roman" w:eastAsia="DengXian" w:hAnsi="Times New Roman" w:cs="Times New Roman"/>
          <w:sz w:val="28"/>
          <w:szCs w:val="28"/>
          <w:lang w:val="kk-KZ" w:eastAsia="zh-CN"/>
        </w:rPr>
        <w:t xml:space="preserve"> басқару және қаптама заңдары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бөлімде қалдықтарды басқару және</w:t>
      </w:r>
      <w:r>
        <w:rPr>
          <w:rFonts w:ascii="Times New Roman" w:eastAsia="DengXian" w:hAnsi="Times New Roman" w:cs="Times New Roman"/>
          <w:sz w:val="28"/>
          <w:szCs w:val="28"/>
          <w:lang w:val="kk-KZ" w:eastAsia="zh-CN"/>
        </w:rPr>
        <w:t xml:space="preserve"> қаптамаға қатысты заңдардың басымдығы қарастырылды, соның ішінде өндірушілердің өнімдері өндіру кезінде немесе тұтышушы тұтынғаннан кейін пайда болатын қалдықтарды басқарудағы заңды жауапкершілігі.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Қаптама</w:t>
      </w:r>
      <w:r>
        <w:rPr>
          <w:rFonts w:ascii="Times New Roman" w:eastAsia="DengXian" w:hAnsi="Times New Roman" w:cs="Times New Roman"/>
          <w:sz w:val="28"/>
          <w:szCs w:val="28"/>
          <w:lang w:val="kk-KZ" w:eastAsia="zh-CN"/>
        </w:rPr>
        <w:t xml:space="preserve"> және қалдықтарға қатысты заңдар белгілі бір қапт</w:t>
      </w:r>
      <w:r>
        <w:rPr>
          <w:rFonts w:ascii="Times New Roman" w:eastAsia="DengXian" w:hAnsi="Times New Roman" w:cs="Times New Roman"/>
          <w:sz w:val="28"/>
          <w:szCs w:val="28"/>
          <w:lang w:val="kk-KZ" w:eastAsia="zh-CN"/>
        </w:rPr>
        <w:t>алған және өңделген өнімдерге жасауға әсер етуі мүмкін, ал шектеулі қаптама және қалдықтарға қатысты заңдар өндірушілерді қоршаған ортаға неғұрлым тұрақты қаптама және қалдықтарға қатысты заңдар өндірушілерді қоршаған ортаға неғұрлым тұрақты қаптама шешімд</w:t>
      </w:r>
      <w:r>
        <w:rPr>
          <w:rFonts w:ascii="Times New Roman" w:eastAsia="DengXian" w:hAnsi="Times New Roman" w:cs="Times New Roman"/>
          <w:sz w:val="28"/>
          <w:szCs w:val="28"/>
          <w:lang w:val="kk-KZ" w:eastAsia="zh-CN"/>
        </w:rPr>
        <w:t xml:space="preserve">ерін табу үшін жаңа шешімдер жасауға мәжбүр етуі мүмкін.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Бұл инновацияға әсер етуі мүмкін, өйткені елдер азық-түлік өнімдерімен жанасатын материалдарға жаңашыл азық-түлік өнімдерін мақұлдау процедурасына ұқсас экологиялық қауіп және денсаулықты бағалау жүргізуді талап етеді.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Сонымен қатар, көптеген тұтынушылар </w:t>
      </w:r>
      <w:r>
        <w:rPr>
          <w:rFonts w:ascii="Times New Roman" w:eastAsia="DengXian" w:hAnsi="Times New Roman" w:cs="Times New Roman"/>
          <w:sz w:val="28"/>
          <w:szCs w:val="28"/>
          <w:lang w:val="kk-KZ" w:eastAsia="zh-CN"/>
        </w:rPr>
        <w:t>өздерінің</w:t>
      </w:r>
      <w:r>
        <w:rPr>
          <w:rFonts w:ascii="Times New Roman" w:eastAsia="DengXian" w:hAnsi="Times New Roman" w:cs="Times New Roman"/>
          <w:sz w:val="28"/>
          <w:szCs w:val="28"/>
          <w:lang w:val="kk-KZ" w:eastAsia="zh-CN"/>
        </w:rPr>
        <w:t xml:space="preserve"> экологиялық ізіне барған сайын көбірек назар аударуда және қоршаған ортагы көбірек ойлай отырып өндіруге ынталандыратын заңдар, өз кезегінде, өнімдердің тұтынулар үшін тартымдылығын арттыруы мүмкін. </w:t>
      </w:r>
    </w:p>
    <w:p w:rsidR="005118AF" w:rsidRDefault="00EF60C3">
      <w:pPr>
        <w:numPr>
          <w:ilvl w:val="2"/>
          <w:numId w:val="25"/>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Қоршаған</w:t>
      </w:r>
      <w:r>
        <w:rPr>
          <w:rFonts w:ascii="Times New Roman" w:eastAsia="DengXian" w:hAnsi="Times New Roman" w:cs="Times New Roman"/>
          <w:sz w:val="28"/>
          <w:szCs w:val="28"/>
          <w:lang w:val="kk-KZ" w:eastAsia="zh-CN"/>
        </w:rPr>
        <w:t xml:space="preserve"> ортаның тәуекелдерін бағалау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Экологи</w:t>
      </w:r>
      <w:r>
        <w:rPr>
          <w:rFonts w:ascii="Times New Roman" w:eastAsia="DengXian" w:hAnsi="Times New Roman" w:cs="Times New Roman"/>
          <w:sz w:val="28"/>
          <w:szCs w:val="28"/>
          <w:lang w:val="kk-KZ" w:eastAsia="zh-CN"/>
        </w:rPr>
        <w:t xml:space="preserve">ялық тәуекелдерді бағалау </w:t>
      </w:r>
      <w:r>
        <w:rPr>
          <w:rFonts w:ascii="Times New Roman" w:eastAsia="DengXian" w:hAnsi="Times New Roman" w:cs="Times New Roman"/>
          <w:sz w:val="28"/>
          <w:szCs w:val="28"/>
          <w:lang w:eastAsia="zh-CN"/>
        </w:rPr>
        <w:t xml:space="preserve">- </w:t>
      </w:r>
      <w:r>
        <w:rPr>
          <w:rFonts w:ascii="Times New Roman" w:eastAsia="DengXian" w:hAnsi="Times New Roman" w:cs="Times New Roman"/>
          <w:sz w:val="28"/>
          <w:szCs w:val="28"/>
          <w:lang w:val="kk-KZ" w:eastAsia="zh-CN"/>
        </w:rPr>
        <w:t>бұл жаңа және жаңашыл азық</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kk-KZ" w:eastAsia="zh-CN"/>
        </w:rPr>
        <w:t xml:space="preserve">түлік өнімдерін өндіру, шығару немесе тарату өсімдік, жануар және адам денсаулығын қоса алғанда, физикалық ортаға қайтымсыз теріс әсер етуін қамтамасыз ету үшін үкіметтік бөлімшелер енгізген рәсімдер.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Экологиялық тәуекедерді бағалау көбінесе ұсынылып отырған өнім түріне байланысты болады, ал экологиялық тәуекелдерді бағалауға қойылатын талаптар елге және өнімге байланысты өзгереді. Қатаң Экологиялық тәуекелдерді бағалау ұзағырақ бақылау немесе өтінім б</w:t>
      </w:r>
      <w:r>
        <w:rPr>
          <w:rFonts w:ascii="Times New Roman" w:eastAsia="DengXian" w:hAnsi="Times New Roman" w:cs="Times New Roman"/>
          <w:sz w:val="28"/>
          <w:szCs w:val="28"/>
          <w:lang w:val="kk-KZ" w:eastAsia="zh-CN"/>
        </w:rPr>
        <w:t xml:space="preserve">еру рәсімдеріне ие болуы мүмкін, ал онша қатаң емес Экологиялық тәуекелдеоді бағалау компаниялардың табиғи ортаға немесе адам, өсімдік немесе жануарлар денсаулығыга қолайсыз зиянды өнімдерді шығаруына немесе жасауына әкелуіне мүмкін.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Экологиялық тәуекелд</w:t>
      </w:r>
      <w:r>
        <w:rPr>
          <w:rFonts w:ascii="Times New Roman" w:eastAsia="DengXian" w:hAnsi="Times New Roman" w:cs="Times New Roman"/>
          <w:sz w:val="28"/>
          <w:szCs w:val="28"/>
          <w:lang w:val="kk-KZ" w:eastAsia="zh-CN"/>
        </w:rPr>
        <w:t>ерді бағалау тұрақты ақпарат үкіметтік қоршаған орта департаменттері мен веб-сайттар арқылы көпщілікке қолжетімді. Экологиялық тәуекелдерді бағалау денсаулыққа төнетін қауіптерді, сондай-ақ қоршаған ортаға келтірілетін зиянды азайтуға көмектеседі және айқы</w:t>
      </w:r>
      <w:r>
        <w:rPr>
          <w:rFonts w:ascii="Times New Roman" w:eastAsia="DengXian" w:hAnsi="Times New Roman" w:cs="Times New Roman"/>
          <w:sz w:val="28"/>
          <w:szCs w:val="28"/>
          <w:lang w:val="kk-KZ" w:eastAsia="zh-CN"/>
        </w:rPr>
        <w:t xml:space="preserve">н саясаттардың болуы компаниялардың заңдарды сақтап, қораған ортаны және тұтынушыларды барынша қорғау бойынша әлеуметтік жауапкершілігін орындауын қамтамасыз етеді.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Санат 2 - Бизнестің бәсекеге қабілеттілігі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2.1. Бизнестің бәсекеге қабілеттілігі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2.1.1. Аз</w:t>
      </w:r>
      <w:r>
        <w:rPr>
          <w:rFonts w:ascii="Times New Roman" w:eastAsia="DengXian" w:hAnsi="Times New Roman" w:cs="Times New Roman"/>
          <w:sz w:val="28"/>
          <w:szCs w:val="28"/>
          <w:lang w:val="kk-KZ" w:eastAsia="zh-CN"/>
        </w:rPr>
        <w:t>ық-түлік өнімдерінің экспорты мен импорты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Импортталатын және экспортталатын азық-түлік өнімдерінің саны туралы статистика Массачусетс Технологиялық Институтының орналастырған деректер базасы арқылы көпшілікке қолжетімді. Сауда белсенділігі доллармен есепте</w:t>
      </w:r>
      <w:r>
        <w:rPr>
          <w:rFonts w:ascii="Times New Roman" w:eastAsia="DengXian" w:hAnsi="Times New Roman" w:cs="Times New Roman"/>
          <w:sz w:val="28"/>
          <w:szCs w:val="28"/>
          <w:lang w:val="kk-KZ" w:eastAsia="zh-CN"/>
        </w:rPr>
        <w:t>леді және келесі сауда салалары тіркелді: азық-түлік өнімдері, көкөністер, жануарлардан алынатын өнімдер және қосалқы өнімдер.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Елдердің импорттайтын және экспорттайтын азық-түлік және сусындар индустриясының елдің сауда деңгейіне (экспортталатын ЖІӨ пайызы</w:t>
      </w:r>
      <w:r>
        <w:rPr>
          <w:rFonts w:ascii="Times New Roman" w:eastAsia="DengXian" w:hAnsi="Times New Roman" w:cs="Times New Roman"/>
          <w:sz w:val="28"/>
          <w:szCs w:val="28"/>
          <w:lang w:val="kk-KZ" w:eastAsia="zh-CN"/>
        </w:rPr>
        <w:t xml:space="preserve">) және сауда балансына (экспорт пен импорт арасындағы айырмашылық) қалай үлес қосылатын жаңсы түсінуге болады. </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eastAsia="zh-CN"/>
        </w:rPr>
        <w:t>Т</w:t>
      </w:r>
      <w:r>
        <w:rPr>
          <w:rFonts w:ascii="Times New Roman" w:eastAsia="DengXian" w:hAnsi="Times New Roman" w:cs="Times New Roman"/>
          <w:sz w:val="28"/>
          <w:szCs w:val="28"/>
          <w:lang w:val="kk-KZ" w:eastAsia="zh-CN"/>
        </w:rPr>
        <w:t>ұтыну</w:t>
      </w:r>
      <w:r>
        <w:rPr>
          <w:rFonts w:ascii="Times New Roman" w:eastAsia="DengXian" w:hAnsi="Times New Roman" w:cs="Times New Roman"/>
          <w:sz w:val="28"/>
          <w:szCs w:val="28"/>
          <w:lang w:eastAsia="zh-CN"/>
        </w:rPr>
        <w:t xml:space="preserve"> ба</w:t>
      </w:r>
      <w:r>
        <w:rPr>
          <w:rFonts w:ascii="Times New Roman" w:eastAsia="DengXian" w:hAnsi="Times New Roman" w:cs="Times New Roman"/>
          <w:sz w:val="28"/>
          <w:szCs w:val="28"/>
          <w:lang w:val="kk-KZ" w:eastAsia="zh-CN"/>
        </w:rPr>
        <w:t>ғасының</w:t>
      </w:r>
      <w:r>
        <w:rPr>
          <w:rFonts w:ascii="Times New Roman" w:eastAsia="DengXian" w:hAnsi="Times New Roman" w:cs="Times New Roman"/>
          <w:sz w:val="28"/>
          <w:szCs w:val="28"/>
          <w:lang w:val="kk-KZ" w:eastAsia="zh-CN"/>
        </w:rPr>
        <w:t xml:space="preserve"> индексі (ТБИ)</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Тұтыну бағасының индексі белгілі бір тауарлар себетінің бағасын өлшейді және базалық жылмен салыстырғанда </w:t>
      </w:r>
      <w:r>
        <w:rPr>
          <w:rFonts w:ascii="Times New Roman" w:eastAsia="DengXian" w:hAnsi="Times New Roman" w:cs="Times New Roman"/>
          <w:sz w:val="28"/>
          <w:szCs w:val="28"/>
          <w:lang w:val="kk-KZ" w:eastAsia="zh-CN"/>
        </w:rPr>
        <w:t>инфляцияның көрсеткішін береді. ТБИ жиі елдегі азық-түлік бағасын инфляциясын өлшеу үшін арнайы азық-түлік өнімері бойынша тіркеледі.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ТБИ-ді әдетте үкіметтік статистика департаменттері өлшейді және оны өз веб-сайттарында жылдық көрсеткіштері ретінде ұсынад</w:t>
      </w:r>
      <w:r>
        <w:rPr>
          <w:rFonts w:ascii="Times New Roman" w:eastAsia="DengXian" w:hAnsi="Times New Roman" w:cs="Times New Roman"/>
          <w:sz w:val="28"/>
          <w:szCs w:val="28"/>
          <w:lang w:val="kk-KZ" w:eastAsia="zh-CN"/>
        </w:rPr>
        <w:t xml:space="preserve">ы. Егер ол жерде қолжетімді болмаса, елдің орталық банкі бұл өлшемді ұсынуы мүмкін.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ТБИ тұтынушы көзқарасынан алғанда азық-түлік нарығының жалпы көрінісін қалыптастыруға үлес қосады. ТБИ-ді басқа елдермен салыстыру да маңызды, бұл инноватордың өз өнімдері</w:t>
      </w:r>
      <w:r>
        <w:rPr>
          <w:rFonts w:ascii="Times New Roman" w:eastAsia="DengXian" w:hAnsi="Times New Roman" w:cs="Times New Roman"/>
          <w:sz w:val="28"/>
          <w:szCs w:val="28"/>
          <w:lang w:val="kk-KZ" w:eastAsia="zh-CN"/>
        </w:rPr>
        <w:t xml:space="preserve"> үшін салыстырмалы түрде жоғары баға ала алатын жерді анықтауға немесе баға өзгерістері тұрақсыз және олардың бизнесі үшін тұрақты кіріс әкелмеуі мүмкін жерлерді қарастыруға мүмкіндік береді. </w:t>
      </w:r>
    </w:p>
    <w:p w:rsidR="005118AF" w:rsidRDefault="00EF60C3">
      <w:pPr>
        <w:numPr>
          <w:ilvl w:val="1"/>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Капиталды қаржыландыру және несиенің қол жетімділігі </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Үкіметтік</w:t>
      </w:r>
      <w:r>
        <w:rPr>
          <w:rFonts w:ascii="Times New Roman" w:eastAsia="DengXian" w:hAnsi="Times New Roman" w:cs="Times New Roman"/>
          <w:sz w:val="28"/>
          <w:szCs w:val="28"/>
          <w:lang w:val="kk-KZ" w:eastAsia="zh-CN"/>
        </w:rPr>
        <w:t xml:space="preserve"> гранттар мен несиелер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бөлім азық</w:t>
      </w:r>
      <w:r>
        <w:rPr>
          <w:rFonts w:ascii="Times New Roman" w:eastAsia="DengXian" w:hAnsi="Times New Roman" w:cs="Times New Roman"/>
          <w:sz w:val="28"/>
          <w:szCs w:val="28"/>
          <w:lang w:eastAsia="zh-CN"/>
        </w:rPr>
        <w:t>-</w:t>
      </w:r>
      <w:r>
        <w:rPr>
          <w:rFonts w:ascii="Times New Roman" w:eastAsia="DengXian" w:hAnsi="Times New Roman" w:cs="Times New Roman"/>
          <w:sz w:val="28"/>
          <w:szCs w:val="28"/>
          <w:lang w:val="kk-KZ" w:eastAsia="zh-CN"/>
        </w:rPr>
        <w:t>түлік өнімдері мен сусындар өндірісі саласындағы бизнестерге қалыптасқан салалық инновацияны ынталандыру үшін үкіметтік органдар көрсететін қаржылық қолдаудың басымдығын бағалады.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көрсеткіш қаржыландыру бағдарламал</w:t>
      </w:r>
      <w:r>
        <w:rPr>
          <w:rFonts w:ascii="Times New Roman" w:eastAsia="DengXian" w:hAnsi="Times New Roman" w:cs="Times New Roman"/>
          <w:sz w:val="28"/>
          <w:szCs w:val="28"/>
          <w:lang w:val="kk-KZ" w:eastAsia="zh-CN"/>
        </w:rPr>
        <w:t xml:space="preserve">арының қолжетімділігімен, қаржыландырудың қалай бөлінетінімен және үкіметтік қаржыландыру туралы ақпараттың қолжетімділігімен өлшенді. Қаржыландыру туралы ақпарат үкіметтік веб-сайттарға және еншілес дерекқорларға жүгіну арқылы жинақталды.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Үкіметтік</w:t>
      </w:r>
      <w:r>
        <w:rPr>
          <w:rFonts w:ascii="Times New Roman" w:eastAsia="DengXian" w:hAnsi="Times New Roman" w:cs="Times New Roman"/>
          <w:sz w:val="28"/>
          <w:szCs w:val="28"/>
          <w:lang w:val="kk-KZ" w:eastAsia="zh-CN"/>
        </w:rPr>
        <w:t xml:space="preserve"> несие</w:t>
      </w:r>
      <w:r>
        <w:rPr>
          <w:rFonts w:ascii="Times New Roman" w:eastAsia="DengXian" w:hAnsi="Times New Roman" w:cs="Times New Roman"/>
          <w:sz w:val="28"/>
          <w:szCs w:val="28"/>
          <w:lang w:val="kk-KZ" w:eastAsia="zh-CN"/>
        </w:rPr>
        <w:t xml:space="preserve">лер жиі төмен пайыздық мөлшерлемемен беріледі, бұл инвесторлар үшін қарыз алу құнын төмендетеді. Сонымен қатар, үкіметтік гранттар қолжетімді болған кезде, инноваторлар жеке сектордан аз қарыз алып, бұл қаражатты өз инновацияларын қайта бағыттай алады. </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eastAsia="zh-CN"/>
        </w:rPr>
      </w:pPr>
      <w:r>
        <w:rPr>
          <w:rFonts w:ascii="Times New Roman" w:eastAsia="DengXian" w:hAnsi="Times New Roman" w:cs="Times New Roman"/>
          <w:sz w:val="28"/>
          <w:szCs w:val="28"/>
          <w:lang w:val="kk-KZ" w:eastAsia="zh-CN"/>
        </w:rPr>
        <w:t>Ті</w:t>
      </w:r>
      <w:r>
        <w:rPr>
          <w:rFonts w:ascii="Times New Roman" w:eastAsia="DengXian" w:hAnsi="Times New Roman" w:cs="Times New Roman"/>
          <w:sz w:val="28"/>
          <w:szCs w:val="28"/>
          <w:lang w:val="kk-KZ" w:eastAsia="zh-CN"/>
        </w:rPr>
        <w:t>келей шетелдік инвестициялар (ТИШ)</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Тікелей шетелдік инвестиция бір елге түсетін шетелдік капиталдың ағынын қарастырады. Жылдық тікелей шетелдік инвестиция ағыны туралы деректер ЭЫДҰ-да қолжетімді.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Шетелдік инвестициялар компанияларға қосымша капитал берумен қатар, бұл капиталмен бірге шетелдік қатысудың арқасында экономикалық өсімнің артуы және нарыққа жаңа технологиялардың келуі мүмкін.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Елдер бойынша салыстыру үшін жан басына шаққандағы тікелей ше</w:t>
      </w:r>
      <w:r>
        <w:rPr>
          <w:rFonts w:ascii="Times New Roman" w:eastAsia="DengXian" w:hAnsi="Times New Roman" w:cs="Times New Roman"/>
          <w:sz w:val="28"/>
          <w:szCs w:val="28"/>
          <w:lang w:val="kk-KZ" w:eastAsia="zh-CN"/>
        </w:rPr>
        <w:t>телдік инвестиция көрсеткішін жасау мақсатында халық саны туралы деректер алынды.</w:t>
      </w:r>
    </w:p>
    <w:p w:rsidR="005118AF" w:rsidRDefault="00EF60C3">
      <w:pPr>
        <w:numPr>
          <w:ilvl w:val="1"/>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Тарату желілері</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Жеке сауда белгілері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санат елдің азық-түлік сату индустриясында жеке брендтердің бар-жоғын  және олардың өнім көлемі мен бағытына негізделген сәттілігі б</w:t>
      </w:r>
      <w:r>
        <w:rPr>
          <w:rFonts w:ascii="Times New Roman" w:eastAsia="DengXian" w:hAnsi="Times New Roman" w:cs="Times New Roman"/>
          <w:sz w:val="28"/>
          <w:szCs w:val="28"/>
          <w:lang w:val="kk-KZ" w:eastAsia="zh-CN"/>
        </w:rPr>
        <w:t>ағаланды. Деректер компаниялардың веб-сайттарынан қолжетімді болды.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Жеке брендтің сәттілігі инновация қай жерде болатынына әсер етеді. Мысалы, егер жеке бренд сәтті болсағ ол брендтен тыс жаңа өнім нарыққа енуіне кедергі болуы мүмкін. Мұндай жағдайды, инно</w:t>
      </w:r>
      <w:r>
        <w:rPr>
          <w:rFonts w:ascii="Times New Roman" w:eastAsia="DengXian" w:hAnsi="Times New Roman" w:cs="Times New Roman"/>
          <w:sz w:val="28"/>
          <w:szCs w:val="28"/>
          <w:lang w:val="kk-KZ" w:eastAsia="zh-CN"/>
        </w:rPr>
        <w:t xml:space="preserve">вация жаңа нарыққа кіру арқылы емес, керісінше сол бренд арқылы жүзеге асуы мүмкін. </w:t>
      </w:r>
    </w:p>
    <w:p w:rsidR="005118AF" w:rsidRDefault="00EF60C3">
      <w:pPr>
        <w:numPr>
          <w:ilvl w:val="2"/>
          <w:numId w:val="18"/>
        </w:num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Тасымалдау және жеткізу мүмкіндіктері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санат елдің порттарға, әуежайларға және теміржолдарға қолжетімділігін қарастырды. Жеткізу мүмкіндігі өнімдердің ішкі және халықар</w:t>
      </w:r>
      <w:r>
        <w:rPr>
          <w:rFonts w:ascii="Times New Roman" w:eastAsia="DengXian" w:hAnsi="Times New Roman" w:cs="Times New Roman"/>
          <w:sz w:val="28"/>
          <w:szCs w:val="28"/>
          <w:lang w:val="kk-KZ" w:eastAsia="zh-CN"/>
        </w:rPr>
        <w:t>алық нарыққа шығуы үшін маңызды.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Елдегі порттардың, әуежайлар немесе теміржолдардың саны елдің жеткізу мүмкіндіктеріне әсер етеді. Тасымалдау туралы ақпаратты көлік агенттіктерінің веб-сайттарынан, үкіметтік веб-сайттардан немесе есептерінен алынды.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Ірі б</w:t>
      </w:r>
      <w:r>
        <w:rPr>
          <w:rFonts w:ascii="Times New Roman" w:eastAsia="DengXian" w:hAnsi="Times New Roman" w:cs="Times New Roman"/>
          <w:sz w:val="28"/>
          <w:szCs w:val="28"/>
          <w:lang w:val="kk-KZ" w:eastAsia="zh-CN"/>
        </w:rPr>
        <w:t>әсекелестердің</w:t>
      </w:r>
      <w:r>
        <w:rPr>
          <w:rFonts w:ascii="Times New Roman" w:eastAsia="DengXian" w:hAnsi="Times New Roman" w:cs="Times New Roman"/>
          <w:sz w:val="28"/>
          <w:szCs w:val="28"/>
          <w:lang w:val="kk-KZ" w:eastAsia="zh-CN"/>
        </w:rPr>
        <w:t xml:space="preserve"> тарату желілері казірдің өзінде қалыптаскан, ал нарыкка еніп жаткан кішігірім инноваторларга оз онімдерін тарату үшін тасымалдау мен жеткізуте қолжетімділік қажет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Санат 3 - Нарықтың дайындығы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 Окыту және білім беру</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3.1.1. Студенттерді </w:t>
      </w:r>
      <w:r>
        <w:rPr>
          <w:rFonts w:ascii="Times New Roman" w:eastAsia="DengXian" w:hAnsi="Times New Roman" w:cs="Times New Roman"/>
          <w:sz w:val="28"/>
          <w:szCs w:val="28"/>
          <w:lang w:val="kk-KZ" w:eastAsia="zh-CN"/>
        </w:rPr>
        <w:t>ынталандыру</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Болашақ студенттерге федералдык гранттардың колжетімділігі олардың жоғары білім (университет, колледж, кәсіптік мектеп немесе шәкіртақы) алу туралы шешімдеріне әсер етуі мүмкін.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Жоғары білім алу құнының өсуіне байланысты, жастар көбінесе білім </w:t>
      </w:r>
      <w:r>
        <w:rPr>
          <w:rFonts w:ascii="Times New Roman" w:eastAsia="DengXian" w:hAnsi="Times New Roman" w:cs="Times New Roman"/>
          <w:sz w:val="28"/>
          <w:szCs w:val="28"/>
          <w:lang w:val="kk-KZ" w:eastAsia="zh-CN"/>
        </w:rPr>
        <w:t>алу үшін үлкен несиелер алуға мәжбүр болады,  дегенмен федералдык гранттар мен стипендиялар да білімін арттырғысы келетін студенттерге берілуі мүмкін. Гранттар мен стипендиялардың қолжетімділігі туралы ақпарат үкіметтік веб-сайттар және білім департаментте</w:t>
      </w:r>
      <w:r>
        <w:rPr>
          <w:rFonts w:ascii="Times New Roman" w:eastAsia="DengXian" w:hAnsi="Times New Roman" w:cs="Times New Roman"/>
          <w:sz w:val="28"/>
          <w:szCs w:val="28"/>
          <w:lang w:val="kk-KZ" w:eastAsia="zh-CN"/>
        </w:rPr>
        <w:t>рі аркылы табылды.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Оқу акысы төмен және қаржыландыру нұскалары көп елдер азаматтарды жоғары білім алуға ынталандыруы мүмкін, өйткені бұл каржылык ауыртпалықты азайтады. Агроазық-түлік және тағам-сусындар салаларында білікті жұмысшылар, техниктер. технологт</w:t>
      </w:r>
      <w:r>
        <w:rPr>
          <w:rFonts w:ascii="Times New Roman" w:eastAsia="DengXian" w:hAnsi="Times New Roman" w:cs="Times New Roman"/>
          <w:sz w:val="28"/>
          <w:szCs w:val="28"/>
          <w:lang w:val="kk-KZ" w:eastAsia="zh-CN"/>
        </w:rPr>
        <w:t>ар және басқа да білікті мамандар кажет. Осы салаларға катысты жоғары білім немесе оқытуды жалғастыратын студенттердің болмауы болашақта жартылай жұмыспен қамтылуға, өнімділіктің төмендеуіне және инновацияның азаюына әкелуі мүмкін.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3.1.2. Білім берудегі тр</w:t>
      </w:r>
      <w:r>
        <w:rPr>
          <w:rFonts w:ascii="Times New Roman" w:eastAsia="DengXian" w:hAnsi="Times New Roman" w:cs="Times New Roman"/>
          <w:sz w:val="28"/>
          <w:szCs w:val="28"/>
          <w:lang w:val="kk-KZ" w:eastAsia="zh-CN"/>
        </w:rPr>
        <w:t>ендтер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бөлім жоғары оқу орнын бітіргендердің жұмысқа орналасу денгейін және агроазык-түлік пен тағам және сусындар салаларында жұмысқа орналасу үшін талап етілетін білім деңгейін зерттеді.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Жоғары оқу орнын бітіргендердін жұмыска орналасу денгейін үкіме</w:t>
      </w:r>
      <w:r>
        <w:rPr>
          <w:rFonts w:ascii="Times New Roman" w:eastAsia="DengXian" w:hAnsi="Times New Roman" w:cs="Times New Roman"/>
          <w:sz w:val="28"/>
          <w:szCs w:val="28"/>
          <w:lang w:val="kk-KZ" w:eastAsia="zh-CN"/>
        </w:rPr>
        <w:t>ттік веб- сайттардагы (білім департаменті немесе үкіметтің ашық деректер қоймалары арқылы) жұмыспен қамту статистикасын талдау аркылы табуға болады.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Жоғары жұмыспен қамту деңгейі осы секторда мамандарға деген кажеттілікті көрсетеді, сондай-ақ болашақ студе</w:t>
      </w:r>
      <w:r>
        <w:rPr>
          <w:rFonts w:ascii="Times New Roman" w:eastAsia="DengXian" w:hAnsi="Times New Roman" w:cs="Times New Roman"/>
          <w:sz w:val="28"/>
          <w:szCs w:val="28"/>
          <w:lang w:val="kk-KZ" w:eastAsia="zh-CN"/>
        </w:rPr>
        <w:t>нттерді, егер олар оқуды бітіргеннен кейін жұмысқа орналасу мүмкіндігі жоғары деп есептесе, накты салаларда мансапты жалғастыруға ынталандыруы мүмкін.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 Жоғары оқу орнын бітіргендердін жұмысқа орналасу деңгейі көбінесе білім деңгейіне карай бөлінеді. Егер с</w:t>
      </w:r>
      <w:r>
        <w:rPr>
          <w:rFonts w:ascii="Times New Roman" w:eastAsia="DengXian" w:hAnsi="Times New Roman" w:cs="Times New Roman"/>
          <w:sz w:val="28"/>
          <w:szCs w:val="28"/>
          <w:lang w:val="kk-KZ" w:eastAsia="zh-CN"/>
        </w:rPr>
        <w:t>ала ішінде жоғары білімі бар адамдарды жұмысқа алу үрдісі болса, бұл салаға кіруді көздеген адамдар үшін кедергі туғызуы мүмкін, өйткені жоғары білім алу қымбат және ұзак процесс болып табылады.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3.1.3. Кадрларды қайта даярлау</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ұл</w:t>
      </w:r>
      <w:r>
        <w:rPr>
          <w:rFonts w:ascii="Times New Roman" w:eastAsia="DengXian" w:hAnsi="Times New Roman" w:cs="Times New Roman"/>
          <w:sz w:val="28"/>
          <w:szCs w:val="28"/>
          <w:lang w:val="kk-KZ" w:eastAsia="zh-CN"/>
        </w:rPr>
        <w:t xml:space="preserve"> санат мансабын өзгертуді </w:t>
      </w:r>
      <w:r>
        <w:rPr>
          <w:rFonts w:ascii="Times New Roman" w:eastAsia="DengXian" w:hAnsi="Times New Roman" w:cs="Times New Roman"/>
          <w:sz w:val="28"/>
          <w:szCs w:val="28"/>
          <w:lang w:val="kk-KZ" w:eastAsia="zh-CN"/>
        </w:rPr>
        <w:t>немесе қосымша білім алуды көздейтін тұлғаларды оқытуға бағытталған бағдарламалардың таралуын бағалады. Бұл бағдарламалар олардың мансабын одан әрі дамытуға көмектеседі.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Көптеген жұмыска кайта даярлау бағдарламалары ардагерлерге немесе білім алуға кедергіл</w:t>
      </w:r>
      <w:r>
        <w:rPr>
          <w:rFonts w:ascii="Times New Roman" w:eastAsia="DengXian" w:hAnsi="Times New Roman" w:cs="Times New Roman"/>
          <w:sz w:val="28"/>
          <w:szCs w:val="28"/>
          <w:lang w:val="kk-KZ" w:eastAsia="zh-CN"/>
        </w:rPr>
        <w:t>ерге тап болған маргиналды топтардың өкілдеріне бағытталған, дегенмен жұмысқа қайта даярлау бойынша федералдық ынталандырулардың қолжетімділігі елге байланысты өзгереді.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Қайта</w:t>
      </w:r>
      <w:r>
        <w:rPr>
          <w:rFonts w:ascii="Times New Roman" w:eastAsia="DengXian" w:hAnsi="Times New Roman" w:cs="Times New Roman"/>
          <w:sz w:val="28"/>
          <w:szCs w:val="28"/>
          <w:lang w:val="kk-KZ" w:eastAsia="zh-CN"/>
        </w:rPr>
        <w:t xml:space="preserve"> даярлауды ынталандыру шаралары тұлғаларға қазіргі мансабында ілгерілеуге немесе </w:t>
      </w:r>
      <w:r>
        <w:rPr>
          <w:rFonts w:ascii="Times New Roman" w:eastAsia="DengXian" w:hAnsi="Times New Roman" w:cs="Times New Roman"/>
          <w:sz w:val="28"/>
          <w:szCs w:val="28"/>
          <w:lang w:val="kk-KZ" w:eastAsia="zh-CN"/>
        </w:rPr>
        <w:t>мансап жолын өзгертуге көмектеседі. бұл көптеген адамдарға мансабында ілгерілеуге мүмкіндік беру арқылы инновацияға әсер етеді.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 Әртүрлілілік және инклюзивтілік</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3.2.1. Ынталандыру және жұмыс орында әділ оқыту бағдарламалары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Бұл бөлім азшылыққа жататын </w:t>
      </w:r>
      <w:r>
        <w:rPr>
          <w:rFonts w:ascii="Times New Roman" w:eastAsia="DengXian" w:hAnsi="Times New Roman" w:cs="Times New Roman"/>
          <w:sz w:val="28"/>
          <w:szCs w:val="28"/>
          <w:lang w:val="kk-KZ" w:eastAsia="zh-CN"/>
        </w:rPr>
        <w:t>жеке тұлғаларға (жергілікті халықтар, нәсілдік азшылық өкілдері, мүгедектер немесе әйелдер ретінде танылатын адамдар) және оқыту, жұмыска қабылдау және сертификаттар алу арқылы әртүрлі жұмыс күшін кұруға белсенді қатысатын бизнестерге арналған жеңілдіктерд</w:t>
      </w:r>
      <w:r>
        <w:rPr>
          <w:rFonts w:ascii="Times New Roman" w:eastAsia="DengXian" w:hAnsi="Times New Roman" w:cs="Times New Roman"/>
          <w:sz w:val="28"/>
          <w:szCs w:val="28"/>
          <w:lang w:val="kk-KZ" w:eastAsia="zh-CN"/>
        </w:rPr>
        <w:t>і қарастырды.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Гранттар немесе мамандандырылған жұмыс орындары сияқты ынталандырулар зерттелді: ынталандырулар, әртүрлілік туралы мәлімдемелер және әділ жұмысқа орналасу мүмкіндіктері туралы ақпарат көбінесе үкіметтік веб-сайттар немесе еңбек департаменті а</w:t>
      </w:r>
      <w:r>
        <w:rPr>
          <w:rFonts w:ascii="Times New Roman" w:eastAsia="DengXian" w:hAnsi="Times New Roman" w:cs="Times New Roman"/>
          <w:sz w:val="28"/>
          <w:szCs w:val="28"/>
          <w:lang w:val="kk-KZ" w:eastAsia="zh-CN"/>
        </w:rPr>
        <w:t>рқылы табылды.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көрсеткішке бизнестерге арналған ынталандырулар кірді, олар үкіметтік әртүрлілік бойынша оқыту бастамаларының, кемсітушілікке қарсы заңдардың және әртүрлілік мәлімдемелерінің таралуын зерттеді.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Нақты, ашық және оңай қолжетімді кемсітушіл</w:t>
      </w:r>
      <w:r>
        <w:rPr>
          <w:rFonts w:ascii="Times New Roman" w:eastAsia="DengXian" w:hAnsi="Times New Roman" w:cs="Times New Roman"/>
          <w:sz w:val="28"/>
          <w:szCs w:val="28"/>
          <w:lang w:val="kk-KZ" w:eastAsia="zh-CN"/>
        </w:rPr>
        <w:t xml:space="preserve">ікке қарсы заңның болуы азшылық өкілдерінің жұмыс орнында қорғалуын және өз құқықтарын сипаттайтын құжатқа оңай қол жеткізуін қамтамасыз етеді. Үкіметтік әртүрлілік бойынша оқыту бастамалары көбінесе оқуды аяқтаған бизнестерді белгілі бір сертификаттармен </w:t>
      </w:r>
      <w:r>
        <w:rPr>
          <w:rFonts w:ascii="Times New Roman" w:eastAsia="DengXian" w:hAnsi="Times New Roman" w:cs="Times New Roman"/>
          <w:sz w:val="28"/>
          <w:szCs w:val="28"/>
          <w:lang w:val="kk-KZ" w:eastAsia="zh-CN"/>
        </w:rPr>
        <w:t>марапаттайды. Оқытуға қатысқан бизнестерде тең қарауды немесе басқа да қолдау түрлерін қорғау үшін азшылық топтардың атынан әрекет ететін қызметкерлер топтары болуы мүмкін.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3.2.2. Еңбекақы алшақтығын талдау</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санат саладағы ep және әйел жұмысшылар арасын</w:t>
      </w:r>
      <w:r>
        <w:rPr>
          <w:rFonts w:ascii="Times New Roman" w:eastAsia="DengXian" w:hAnsi="Times New Roman" w:cs="Times New Roman"/>
          <w:sz w:val="28"/>
          <w:szCs w:val="28"/>
          <w:lang w:val="kk-KZ" w:eastAsia="zh-CN"/>
        </w:rPr>
        <w:t>дағы жалақы айырмашылығын зерттеді. Салаға тән жалақы деректері қолжетімді болмаған жағдайда, оның орнына жалпы табыс деректері қолданылды.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Жалақыдағы айырмашылықтар пайызбен есептелді, содан кейін жалпы орташа алшақтықты шығару үшін орташаланды. Агроазық-</w:t>
      </w:r>
      <w:r>
        <w:rPr>
          <w:rFonts w:ascii="Times New Roman" w:eastAsia="DengXian" w:hAnsi="Times New Roman" w:cs="Times New Roman"/>
          <w:sz w:val="28"/>
          <w:szCs w:val="28"/>
          <w:lang w:val="kk-KZ" w:eastAsia="zh-CN"/>
        </w:rPr>
        <w:t>түлік және тағам және сусындар салаларында жоғары жалақы алшақтығы бар елдер әйелдердің бұл салаға қатысуына кедергі келтіруі мүмкін, өйткені олардың жоғары жалақы алу мүмкіндігі аз болады.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Санат 4 - Зияткерлік меншік және зерттерлеу мен әзірлемелер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4.1. М</w:t>
      </w:r>
      <w:r>
        <w:rPr>
          <w:rFonts w:ascii="Times New Roman" w:eastAsia="DengXian" w:hAnsi="Times New Roman" w:cs="Times New Roman"/>
          <w:sz w:val="28"/>
          <w:szCs w:val="28"/>
          <w:lang w:val="kk-KZ" w:eastAsia="zh-CN"/>
        </w:rPr>
        <w:t>еншікті қорғау</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4.1.1. Патенттік рәсімдер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Патенттер жаңа өнертабыстарды қорғайды, соның ішінде өнімдер, композициялар, машиналар, процестер және осы санаттардағы кез келген жақсартулар кіреді. Патенттер зерттеулер мен әзірлемелерді ынталандырады, өйткені ол</w:t>
      </w:r>
      <w:r>
        <w:rPr>
          <w:rFonts w:ascii="Times New Roman" w:eastAsia="DengXian" w:hAnsi="Times New Roman" w:cs="Times New Roman"/>
          <w:sz w:val="28"/>
          <w:szCs w:val="28"/>
          <w:lang w:val="kk-KZ" w:eastAsia="zh-CN"/>
        </w:rPr>
        <w:t xml:space="preserve">ар инноваторларға шектеулі уақыт ішінде нарықтағы өнімге катысты ерекшелікке ие болады деп сендіреді. Патенттік рәсімдер басқару органы патенттер беруге кететін уақыттың ұзақтығымен, рәсімге байланысты алымдар бар-жоғымен, алым кестелері әртүрлі патенттік </w:t>
      </w:r>
      <w:r>
        <w:rPr>
          <w:rFonts w:ascii="Times New Roman" w:eastAsia="DengXian" w:hAnsi="Times New Roman" w:cs="Times New Roman"/>
          <w:sz w:val="28"/>
          <w:szCs w:val="28"/>
          <w:lang w:val="kk-KZ" w:eastAsia="zh-CN"/>
        </w:rPr>
        <w:t>өтінімдер</w:t>
      </w:r>
      <w:r>
        <w:rPr>
          <w:rFonts w:ascii="Times New Roman" w:eastAsia="DengXian" w:hAnsi="Times New Roman" w:cs="Times New Roman"/>
          <w:sz w:val="28"/>
          <w:szCs w:val="28"/>
          <w:lang w:val="kk-KZ" w:eastAsia="zh-CN"/>
        </w:rPr>
        <w:t xml:space="preserve"> үшін жеңілдіктерді қарастырады ма, патенттің қолданылу мерзімімен және кез келген басқа кедергілермен өлшенді. Патент рәсіміне қатысты ақпаратты мемлекеттік веб-сайттардан табуға болады. Көп уақытты алатын патенттік гранттар елдегі инновацияларға</w:t>
      </w:r>
      <w:r>
        <w:rPr>
          <w:rFonts w:ascii="Times New Roman" w:eastAsia="DengXian" w:hAnsi="Times New Roman" w:cs="Times New Roman"/>
          <w:sz w:val="28"/>
          <w:szCs w:val="28"/>
          <w:lang w:val="kk-KZ" w:eastAsia="zh-CN"/>
        </w:rPr>
        <w:t xml:space="preserve"> кедергілер жасайды, себебі өтінім берушілер патенттік қорғаусыз өнімді нарыққа шығарудан тартынуы мүмкін.</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4.1.2. Патенттік қорғау және мониторинг</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Патенттер әртүрлі схемалармен, соның ішінде ұлттық және халықаралық реттеушілер мен заңдармен корғалған. Бұл </w:t>
      </w:r>
      <w:r>
        <w:rPr>
          <w:rFonts w:ascii="Times New Roman" w:eastAsia="DengXian" w:hAnsi="Times New Roman" w:cs="Times New Roman"/>
          <w:sz w:val="28"/>
          <w:szCs w:val="28"/>
          <w:lang w:val="kk-KZ" w:eastAsia="zh-CN"/>
        </w:rPr>
        <w:t>бөлімде патент иелеріне кол жетімді схемалар: патенттерді бақылау және орындау тәсілдері; патенттік құқықтар бұзылған жағдайда кұқыктық қорғау құралдары және оларға қолданылатын санкциялар қарастырылады. Осы параметр аясында мемлекеттік сайттарда кол жетім</w:t>
      </w:r>
      <w:r>
        <w:rPr>
          <w:rFonts w:ascii="Times New Roman" w:eastAsia="DengXian" w:hAnsi="Times New Roman" w:cs="Times New Roman"/>
          <w:sz w:val="28"/>
          <w:szCs w:val="28"/>
          <w:lang w:val="kk-KZ" w:eastAsia="zh-CN"/>
        </w:rPr>
        <w:t>ді ұлттық және халыкаралық схемалар қарастырылды. Патент, егер оны қорғау мүмкін болмаса, инновацияны ынталандырмайды.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 Зерттеулер мен әзірлемелер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4.2.1. Бюджет</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Бұл категория үкіметтік деңгейдегі ғылыми зерттеулерге жұмсалатын үкіметтік шығындарға бағы</w:t>
      </w:r>
      <w:r>
        <w:rPr>
          <w:rFonts w:ascii="Times New Roman" w:eastAsia="DengXian" w:hAnsi="Times New Roman" w:cs="Times New Roman"/>
          <w:sz w:val="28"/>
          <w:szCs w:val="28"/>
          <w:lang w:val="kk-KZ" w:eastAsia="zh-CN"/>
        </w:rPr>
        <w:t>тталған. Ғылыми зерттеулерді каржыландыру деректері екі жолмен жиналды: Қаржы жылына арналған бюджеттелген жалпы шығыс ретінде және зерттеушілерге елдер бойынша шығыстардың бірліксіз өлшемін салыстыруға мүмкіндік беру үшін жалпы мемлекеттік шығыстардың пай</w:t>
      </w:r>
      <w:r>
        <w:rPr>
          <w:rFonts w:ascii="Times New Roman" w:eastAsia="DengXian" w:hAnsi="Times New Roman" w:cs="Times New Roman"/>
          <w:sz w:val="28"/>
          <w:szCs w:val="28"/>
          <w:lang w:val="kk-KZ" w:eastAsia="zh-CN"/>
        </w:rPr>
        <w:t xml:space="preserve">ызы ретінде. Бұл айнымалы азық-түлік зерттеулеріне жұмсалатын шығындарға назар аударды. </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4.2.2. Ұлттық деректер стратегиялары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Деректер Саясаты және Стратегиясы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 xml:space="preserve">Елдер үкіметтік үкіметтің ел ішіндегі әртүрлі секторларда қолданылатын деректер саясатын немесе </w:t>
      </w:r>
      <w:r>
        <w:rPr>
          <w:rFonts w:ascii="Times New Roman" w:eastAsia="DengXian" w:hAnsi="Times New Roman" w:cs="Times New Roman"/>
          <w:sz w:val="28"/>
          <w:szCs w:val="28"/>
          <w:lang w:val="kk-KZ" w:eastAsia="zh-CN"/>
        </w:rPr>
        <w:t>стратегиясын енгізген-енгізбегенін анықтау үшін зерттелді.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Деректер стратегиялары келесі факторлар бойынша бағаланды: стратегияның ауқымы (ол тек үкіметке арналған ба, әлде жеке секторға да тарала ма): стратегияның жарияланған уакыты; стратегияның толықтығ</w:t>
      </w:r>
      <w:r>
        <w:rPr>
          <w:rFonts w:ascii="Times New Roman" w:eastAsia="DengXian" w:hAnsi="Times New Roman" w:cs="Times New Roman"/>
          <w:sz w:val="28"/>
          <w:szCs w:val="28"/>
          <w:lang w:val="kk-KZ" w:eastAsia="zh-CN"/>
        </w:rPr>
        <w:t>ы; стратегиядағы іс-әрекет кадамдары және оған қоса бюджеттің болуы; стратегияның ерекше факторлары: соңында, егер қолжетімді болса, қай үкіметтік департамент стратегияға жауапты екендігі.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Деректер стратегиялары сонымен қатар ұсынылуына және қолжетімділігі</w:t>
      </w:r>
      <w:r>
        <w:rPr>
          <w:rFonts w:ascii="Times New Roman" w:eastAsia="DengXian" w:hAnsi="Times New Roman" w:cs="Times New Roman"/>
          <w:sz w:val="28"/>
          <w:szCs w:val="28"/>
          <w:lang w:val="kk-KZ" w:eastAsia="zh-CN"/>
        </w:rPr>
        <w:t>не (ұзындығы, тілі, графиканы колдануы) карай бағаланды. Құпиялылық зандары деректердің калай жиналуы, қолданылуы және ашылуы керектігін анықтауда маңызды болғанымен, өңдеуге болатын деректердің болуын қамтамасыз ету үшін де деректер стратегиялары манызды.</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4.2.3. Құпиялылық туралы заңдар</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Деректер инноваторлар үшін маңызды. Деректердің құпиялылық заңдары қандай деректерді қалай жинауға болатынына, сондай-ақ бұл деректердін не үшін қолданылуы немесе қалай бөлісілуі мүмкін екеніне әсер етеді.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Әрбір</w:t>
      </w:r>
      <w:r>
        <w:rPr>
          <w:rFonts w:ascii="Times New Roman" w:eastAsia="DengXian" w:hAnsi="Times New Roman" w:cs="Times New Roman"/>
          <w:sz w:val="28"/>
          <w:szCs w:val="28"/>
          <w:lang w:val="kk-KZ" w:eastAsia="zh-CN"/>
        </w:rPr>
        <w:t xml:space="preserve"> елдегі </w:t>
      </w:r>
      <w:r>
        <w:rPr>
          <w:rFonts w:ascii="Times New Roman" w:eastAsia="DengXian" w:hAnsi="Times New Roman" w:cs="Times New Roman"/>
          <w:sz w:val="28"/>
          <w:szCs w:val="28"/>
          <w:lang w:val="kk-KZ" w:eastAsia="zh-CN"/>
        </w:rPr>
        <w:t>деректердің құпиялылық зандары таралуы, аукымы, катандығы және бұзушылыктар үшін айыппұлдар тұрғысынан бағаланды. Деректердің құпиялылык заңдары үкіметтік веб-сайттарда қолжетімді.</w:t>
      </w:r>
    </w:p>
    <w:p w:rsidR="005118AF" w:rsidRDefault="00EF60C3">
      <w:pPr>
        <w:spacing w:after="0" w:line="240" w:lineRule="auto"/>
        <w:ind w:firstLineChars="253" w:firstLine="708"/>
        <w:jc w:val="both"/>
        <w:rPr>
          <w:rFonts w:ascii="Times New Roman" w:eastAsia="DengXian" w:hAnsi="Times New Roman" w:cs="Times New Roman"/>
          <w:sz w:val="28"/>
          <w:szCs w:val="28"/>
          <w:lang w:val="kk-KZ" w:eastAsia="zh-CN"/>
        </w:rPr>
      </w:pPr>
      <w:r>
        <w:rPr>
          <w:rFonts w:ascii="Times New Roman" w:eastAsia="DengXian" w:hAnsi="Times New Roman" w:cs="Times New Roman"/>
          <w:sz w:val="28"/>
          <w:szCs w:val="28"/>
          <w:lang w:val="kk-KZ" w:eastAsia="zh-CN"/>
        </w:rPr>
        <w:t>Деректердің құпиялылық заңдары инноваторларға тұтынушылар туралы деректерге</w:t>
      </w:r>
      <w:r>
        <w:rPr>
          <w:rFonts w:ascii="Times New Roman" w:eastAsia="DengXian" w:hAnsi="Times New Roman" w:cs="Times New Roman"/>
          <w:sz w:val="28"/>
          <w:szCs w:val="28"/>
          <w:lang w:val="kk-KZ" w:eastAsia="zh-CN"/>
        </w:rPr>
        <w:t xml:space="preserve"> қол жеткізуге мүмкіндік бере отырып, азаматтардың құпиялылық құкықтарымен теңгерімділікті сақтау арқылы инновацияны колдауы тиіс.</w:t>
      </w:r>
    </w:p>
    <w:p w:rsidR="005118AF" w:rsidRDefault="00EF60C3">
      <w:pPr>
        <w:rPr>
          <w:rFonts w:ascii="Times New Roman" w:hAnsi="Times New Roman" w:cs="Times New Roman"/>
          <w:sz w:val="24"/>
          <w:szCs w:val="24"/>
          <w:lang w:val="kk-KZ" w:eastAsia="zh-CN"/>
        </w:rPr>
      </w:pPr>
      <w:r>
        <w:rPr>
          <w:rFonts w:ascii="Times New Roman" w:hAnsi="Times New Roman" w:cs="Times New Roman"/>
          <w:sz w:val="24"/>
          <w:szCs w:val="24"/>
          <w:lang w:val="kk-KZ" w:eastAsia="zh-CN"/>
        </w:rPr>
        <w:br w:type="page"/>
      </w:r>
    </w:p>
    <w:p w:rsidR="005118AF" w:rsidRDefault="00EF60C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В</w:t>
      </w:r>
    </w:p>
    <w:p w:rsidR="005118AF" w:rsidRDefault="005118AF">
      <w:pPr>
        <w:spacing w:after="0" w:line="240" w:lineRule="auto"/>
        <w:jc w:val="both"/>
        <w:rPr>
          <w:rFonts w:ascii="Times New Roman" w:hAnsi="Times New Roman" w:cs="Times New Roman"/>
          <w:sz w:val="28"/>
          <w:szCs w:val="28"/>
          <w:lang w:val="kk-KZ"/>
        </w:rPr>
      </w:pPr>
    </w:p>
    <w:p w:rsidR="005118AF" w:rsidRDefault="00EF60C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Тамақ өнеркәсібі кәсіпорындарының инновациялық әлеуетін, ынтымақтастық дәрежесін және ESG бағытындағы </w:t>
      </w:r>
      <w:r>
        <w:rPr>
          <w:rFonts w:ascii="Times New Roman" w:hAnsi="Times New Roman" w:cs="Times New Roman"/>
          <w:sz w:val="28"/>
          <w:szCs w:val="28"/>
          <w:lang w:val="kk-KZ"/>
        </w:rPr>
        <w:t>инновациялык басымдылықтарын бағалау бойынша сауалнама сұрактары</w:t>
      </w:r>
    </w:p>
    <w:p w:rsidR="005118AF" w:rsidRDefault="005118AF">
      <w:pPr>
        <w:spacing w:after="0" w:line="240" w:lineRule="auto"/>
        <w:ind w:firstLine="709"/>
        <w:jc w:val="both"/>
        <w:rPr>
          <w:rFonts w:ascii="Times New Roman" w:hAnsi="Times New Roman" w:cs="Times New Roman"/>
          <w:sz w:val="28"/>
          <w:szCs w:val="28"/>
          <w:lang w:val="kk-KZ"/>
        </w:rPr>
      </w:pPr>
    </w:p>
    <w:p w:rsidR="005118AF" w:rsidRDefault="00EF60C3">
      <w:pPr>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«Қазақстан Республикасынын тамақ өнеркәсібі касіпорындарының инновациялык алеуетін жане инновация саласындағы ынтымақтастығын бағалау бойынша сауалнама»</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Құрметті</w:t>
      </w:r>
      <w:r>
        <w:rPr>
          <w:rFonts w:ascii="Times New Roman" w:hAnsi="Times New Roman" w:cs="Times New Roman"/>
          <w:sz w:val="28"/>
          <w:szCs w:val="28"/>
          <w:lang w:val="kk-KZ"/>
        </w:rPr>
        <w:t xml:space="preserve"> әріптестер! Мен, Сейсинбинов</w:t>
      </w:r>
      <w:r>
        <w:rPr>
          <w:rFonts w:ascii="Times New Roman" w:hAnsi="Times New Roman" w:cs="Times New Roman"/>
          <w:sz w:val="28"/>
          <w:szCs w:val="28"/>
          <w:lang w:val="kk-KZ"/>
        </w:rPr>
        <w:t>а Альмира Аскарбекқызы, Л.Н. Гумилев атындағы Еуразия ұлттык университетінің «6D051700б - Инновациялык менеджмент» білім беру бағдарламасының докторантымын. Мен озімнің диссертациялык жұмысым аясында «Қазакстан Республикасындағы тамақ өнеркәсібі кәсіпорынд</w:t>
      </w:r>
      <w:r>
        <w:rPr>
          <w:rFonts w:ascii="Times New Roman" w:hAnsi="Times New Roman" w:cs="Times New Roman"/>
          <w:sz w:val="28"/>
          <w:szCs w:val="28"/>
          <w:lang w:val="kk-KZ"/>
        </w:rPr>
        <w:t>арының инновациялық дамуын басқару» такырыбында зерттеу жүргізудемін.</w:t>
      </w:r>
    </w:p>
    <w:p w:rsidR="005118AF" w:rsidRDefault="005118AF">
      <w:pPr>
        <w:spacing w:after="0" w:line="20" w:lineRule="atLeast"/>
        <w:ind w:firstLine="709"/>
        <w:jc w:val="both"/>
        <w:rPr>
          <w:rFonts w:ascii="Times New Roman" w:hAnsi="Times New Roman" w:cs="Times New Roman"/>
          <w:i/>
          <w:sz w:val="28"/>
          <w:szCs w:val="28"/>
          <w:lang w:val="kk-KZ"/>
        </w:rPr>
      </w:pP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Сауалнаманың мақсаты </w:t>
      </w:r>
      <w:r>
        <w:rPr>
          <w:rFonts w:ascii="Times New Roman" w:hAnsi="Times New Roman" w:cs="Times New Roman"/>
          <w:sz w:val="28"/>
          <w:szCs w:val="28"/>
          <w:lang w:val="kk-KZ"/>
        </w:rPr>
        <w:t>- Қазақстан Республикасының тамақ өнеркәсібі кәсіпорындарының инновациялық дамуын баскарудың ағымдағы жағдайы мен болашағын анықтау.</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 сұрақтары келесі бағы</w:t>
      </w:r>
      <w:r>
        <w:rPr>
          <w:rFonts w:ascii="Times New Roman" w:hAnsi="Times New Roman" w:cs="Times New Roman"/>
          <w:sz w:val="28"/>
          <w:szCs w:val="28"/>
          <w:lang w:val="kk-KZ"/>
        </w:rPr>
        <w:t>ттарды қамтиды:</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Кәсіпорындардың инновациялық әлеуетін бағалау (ресурстар, технологиялар, кадрлық кұрам, ҒЗТКЖ денгейі).</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Инновациялық процесс шеңберінде сырткы серіктестермен (ғылыми ұйымдар, мемлекеттік кұрылымдар, шетелдік және жергілікті компанияла</w:t>
      </w:r>
      <w:r>
        <w:rPr>
          <w:rFonts w:ascii="Times New Roman" w:hAnsi="Times New Roman" w:cs="Times New Roman"/>
          <w:sz w:val="28"/>
          <w:szCs w:val="28"/>
          <w:lang w:val="kk-KZ"/>
        </w:rPr>
        <w:t>р) ынтымақтастық денгейі мен түрлерін зерттеу.</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Кәсіпорынның Тұрақты даму (ESG) және Ресурстық тиімділік бағытындағы инновациялық басымдықтарын және нақты іс-әрекеттерін бағалау.</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 нәтижелері инновациялық дамуға әсер ететін негізгі факторларды ан</w:t>
      </w:r>
      <w:r>
        <w:rPr>
          <w:rFonts w:ascii="Times New Roman" w:hAnsi="Times New Roman" w:cs="Times New Roman"/>
          <w:sz w:val="28"/>
          <w:szCs w:val="28"/>
          <w:lang w:val="kk-KZ"/>
        </w:rPr>
        <w:t>ыктауға, сондай-ак тамақ өнеркәсібі кәсіпорындарын қолдау және олардын өзара іс- кимыл тетіктерін жетілдіру бойынша ұсыныстар әзірлеуге мүмкіндік береді.</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Анкета анонимді болып табылады және алынған барлық деректер ғылыми зерттеу үшін тек жинақталған түрде </w:t>
      </w:r>
      <w:r>
        <w:rPr>
          <w:rFonts w:ascii="Times New Roman" w:hAnsi="Times New Roman" w:cs="Times New Roman"/>
          <w:sz w:val="28"/>
          <w:szCs w:val="28"/>
          <w:lang w:val="kk-KZ"/>
        </w:rPr>
        <w:t>ғана</w:t>
      </w:r>
      <w:r>
        <w:rPr>
          <w:rFonts w:ascii="Times New Roman" w:hAnsi="Times New Roman" w:cs="Times New Roman"/>
          <w:sz w:val="28"/>
          <w:szCs w:val="28"/>
          <w:lang w:val="kk-KZ"/>
        </w:rPr>
        <w:t xml:space="preserve"> колданылады. Сіздерден барлык сұрактарга барынша шынайы жауап беруді сұраймыз. Сауалнаманы толтыру шамамен 15 минут уакытынызды алады.</w:t>
      </w:r>
    </w:p>
    <w:p w:rsidR="005118AF" w:rsidRDefault="005118AF">
      <w:pPr>
        <w:spacing w:after="0" w:line="20" w:lineRule="atLeast"/>
        <w:ind w:firstLine="709"/>
        <w:jc w:val="both"/>
        <w:rPr>
          <w:rFonts w:ascii="Times New Roman" w:hAnsi="Times New Roman" w:cs="Times New Roman"/>
          <w:sz w:val="28"/>
          <w:szCs w:val="28"/>
          <w:lang w:val="kk-KZ"/>
        </w:rPr>
      </w:pPr>
    </w:p>
    <w:p w:rsidR="005118AF" w:rsidRDefault="00EF60C3">
      <w:pPr>
        <w:spacing w:after="0" w:line="2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Уакытынызды бөлгенініз және зерттеуге көмектескенініз үшін алғысымызды білдіреміз!</w:t>
      </w:r>
    </w:p>
    <w:p w:rsidR="005118AF" w:rsidRDefault="005118AF">
      <w:pPr>
        <w:tabs>
          <w:tab w:val="left" w:pos="993"/>
        </w:tabs>
        <w:spacing w:after="0" w:line="20" w:lineRule="atLeast"/>
        <w:ind w:firstLine="709"/>
        <w:jc w:val="both"/>
        <w:rPr>
          <w:rFonts w:ascii="Times New Roman" w:hAnsi="Times New Roman" w:cs="Times New Roman"/>
          <w:i/>
          <w:sz w:val="28"/>
          <w:szCs w:val="28"/>
          <w:lang w:val="kk-KZ"/>
        </w:rPr>
      </w:pP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1-бөлім. Негізгі деректер</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Pr>
          <w:rFonts w:ascii="Times New Roman" w:hAnsi="Times New Roman" w:cs="Times New Roman"/>
          <w:sz w:val="28"/>
          <w:szCs w:val="28"/>
          <w:lang w:val="kk-KZ"/>
        </w:rPr>
        <w:t>Электрондық пошта мекенжайы___________________</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 Кәсіпорын атауы_________________</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 Сауалнаманы толтырған адамның аты-жөні (міндетті емес)________</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 Компаниядағы лауазымы________________</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1.5 Аймак атауы (кала/аудан)__________________</w:t>
      </w:r>
    </w:p>
    <w:p w:rsidR="005118AF" w:rsidRDefault="00EF60C3">
      <w:pPr>
        <w:pStyle w:val="af0"/>
        <w:numPr>
          <w:ilvl w:val="1"/>
          <w:numId w:val="26"/>
        </w:numPr>
        <w:tabs>
          <w:tab w:val="left" w:pos="1134"/>
        </w:tabs>
        <w:spacing w:after="0" w:line="20" w:lineRule="atLeast"/>
        <w:ind w:left="0"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Кәсіпорын канша </w:t>
      </w:r>
      <w:r>
        <w:rPr>
          <w:rFonts w:ascii="Times New Roman" w:hAnsi="Times New Roman" w:cs="Times New Roman"/>
          <w:sz w:val="28"/>
          <w:szCs w:val="28"/>
          <w:lang w:val="kk-KZ"/>
        </w:rPr>
        <w:t>уакыт жұмыс жасап тұр:</w:t>
      </w:r>
    </w:p>
    <w:p w:rsidR="005118AF" w:rsidRDefault="00EF60C3">
      <w:pPr>
        <w:pStyle w:val="af0"/>
        <w:numPr>
          <w:ilvl w:val="0"/>
          <w:numId w:val="27"/>
        </w:numPr>
        <w:tabs>
          <w:tab w:val="left" w:pos="1134"/>
        </w:tabs>
        <w:spacing w:after="0" w:line="20" w:lineRule="atLeast"/>
        <w:ind w:left="0" w:firstLine="851"/>
        <w:jc w:val="both"/>
        <w:rPr>
          <w:rFonts w:ascii="Times New Roman" w:hAnsi="Times New Roman" w:cs="Times New Roman"/>
          <w:b/>
          <w:sz w:val="28"/>
          <w:szCs w:val="28"/>
        </w:rPr>
      </w:pPr>
      <w:r>
        <w:rPr>
          <w:rFonts w:ascii="Times New Roman" w:hAnsi="Times New Roman" w:cs="Times New Roman"/>
          <w:sz w:val="28"/>
          <w:szCs w:val="28"/>
        </w:rPr>
        <w:t>1-3 жыл</w:t>
      </w:r>
      <w:r>
        <w:rPr>
          <w:rFonts w:ascii="Times New Roman" w:hAnsi="Times New Roman" w:cs="Times New Roman"/>
          <w:sz w:val="28"/>
          <w:szCs w:val="28"/>
          <w:lang w:val="kk-KZ"/>
        </w:rPr>
        <w:t>;</w:t>
      </w:r>
    </w:p>
    <w:p w:rsidR="005118AF" w:rsidRDefault="00EF60C3">
      <w:pPr>
        <w:pStyle w:val="af0"/>
        <w:numPr>
          <w:ilvl w:val="0"/>
          <w:numId w:val="27"/>
        </w:numPr>
        <w:tabs>
          <w:tab w:val="left" w:pos="1134"/>
        </w:tabs>
        <w:spacing w:after="0" w:line="20" w:lineRule="atLeast"/>
        <w:ind w:left="0" w:firstLine="851"/>
        <w:jc w:val="both"/>
        <w:rPr>
          <w:rFonts w:ascii="Times New Roman" w:hAnsi="Times New Roman" w:cs="Times New Roman"/>
          <w:b/>
          <w:sz w:val="28"/>
          <w:szCs w:val="28"/>
        </w:rPr>
      </w:pPr>
      <w:r>
        <w:rPr>
          <w:rFonts w:ascii="Times New Roman" w:hAnsi="Times New Roman" w:cs="Times New Roman"/>
          <w:sz w:val="28"/>
          <w:szCs w:val="28"/>
        </w:rPr>
        <w:t>3-7 жыл</w:t>
      </w:r>
      <w:r>
        <w:rPr>
          <w:rFonts w:ascii="Times New Roman" w:hAnsi="Times New Roman" w:cs="Times New Roman"/>
          <w:sz w:val="28"/>
          <w:szCs w:val="28"/>
          <w:lang w:val="kk-KZ"/>
        </w:rPr>
        <w:t>;</w:t>
      </w:r>
    </w:p>
    <w:p w:rsidR="005118AF" w:rsidRDefault="00EF60C3">
      <w:pPr>
        <w:pStyle w:val="af0"/>
        <w:numPr>
          <w:ilvl w:val="0"/>
          <w:numId w:val="27"/>
        </w:numPr>
        <w:tabs>
          <w:tab w:val="left" w:pos="1134"/>
        </w:tabs>
        <w:spacing w:after="0" w:line="20" w:lineRule="atLeast"/>
        <w:ind w:left="0" w:firstLine="851"/>
        <w:jc w:val="both"/>
        <w:rPr>
          <w:rFonts w:ascii="Times New Roman" w:hAnsi="Times New Roman" w:cs="Times New Roman"/>
          <w:b/>
          <w:sz w:val="28"/>
          <w:szCs w:val="28"/>
        </w:rPr>
      </w:pPr>
      <w:r>
        <w:rPr>
          <w:rFonts w:ascii="Times New Roman" w:hAnsi="Times New Roman" w:cs="Times New Roman"/>
          <w:sz w:val="28"/>
          <w:szCs w:val="28"/>
        </w:rPr>
        <w:t>7-12 жыл</w:t>
      </w:r>
      <w:r>
        <w:rPr>
          <w:rFonts w:ascii="Times New Roman" w:hAnsi="Times New Roman" w:cs="Times New Roman"/>
          <w:sz w:val="28"/>
          <w:szCs w:val="28"/>
          <w:lang w:val="kk-KZ"/>
        </w:rPr>
        <w:t>;</w:t>
      </w:r>
    </w:p>
    <w:p w:rsidR="005118AF" w:rsidRDefault="00EF60C3">
      <w:pPr>
        <w:pStyle w:val="af0"/>
        <w:numPr>
          <w:ilvl w:val="0"/>
          <w:numId w:val="27"/>
        </w:numPr>
        <w:tabs>
          <w:tab w:val="left" w:pos="1134"/>
        </w:tabs>
        <w:spacing w:after="0" w:line="20" w:lineRule="atLeast"/>
        <w:ind w:left="0" w:firstLine="851"/>
        <w:jc w:val="both"/>
        <w:rPr>
          <w:rFonts w:ascii="Times New Roman" w:hAnsi="Times New Roman" w:cs="Times New Roman"/>
          <w:b/>
          <w:sz w:val="28"/>
          <w:szCs w:val="28"/>
        </w:rPr>
      </w:pPr>
      <w:r>
        <w:rPr>
          <w:rFonts w:ascii="Times New Roman" w:hAnsi="Times New Roman" w:cs="Times New Roman"/>
          <w:sz w:val="28"/>
          <w:szCs w:val="28"/>
        </w:rPr>
        <w:t>12-20 жыл</w:t>
      </w:r>
      <w:r>
        <w:rPr>
          <w:rFonts w:ascii="Times New Roman" w:hAnsi="Times New Roman" w:cs="Times New Roman"/>
          <w:sz w:val="28"/>
          <w:szCs w:val="28"/>
          <w:lang w:val="kk-KZ"/>
        </w:rPr>
        <w:t>;</w:t>
      </w:r>
    </w:p>
    <w:p w:rsidR="005118AF" w:rsidRDefault="00EF60C3">
      <w:pPr>
        <w:pStyle w:val="af0"/>
        <w:numPr>
          <w:ilvl w:val="0"/>
          <w:numId w:val="27"/>
        </w:numPr>
        <w:tabs>
          <w:tab w:val="left" w:pos="1134"/>
        </w:tabs>
        <w:spacing w:after="0" w:line="20" w:lineRule="atLeast"/>
        <w:ind w:left="0" w:firstLine="851"/>
        <w:jc w:val="both"/>
        <w:rPr>
          <w:rFonts w:ascii="Times New Roman" w:hAnsi="Times New Roman" w:cs="Times New Roman"/>
          <w:b/>
          <w:sz w:val="28"/>
          <w:szCs w:val="28"/>
        </w:rPr>
      </w:pPr>
      <w:r>
        <w:rPr>
          <w:rFonts w:ascii="Times New Roman" w:hAnsi="Times New Roman" w:cs="Times New Roman"/>
          <w:sz w:val="28"/>
          <w:szCs w:val="28"/>
        </w:rPr>
        <w:t>20 жылдан астам</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1.7 Кәсіпорын көлемі (жұмысшылар саны):</w:t>
      </w:r>
    </w:p>
    <w:p w:rsidR="005118AF" w:rsidRDefault="00EF60C3">
      <w:pPr>
        <w:pStyle w:val="af0"/>
        <w:numPr>
          <w:ilvl w:val="0"/>
          <w:numId w:val="28"/>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10 және одан аз кызметкер</w:t>
      </w:r>
      <w:r>
        <w:rPr>
          <w:rFonts w:ascii="Times New Roman" w:hAnsi="Times New Roman" w:cs="Times New Roman"/>
          <w:sz w:val="28"/>
          <w:szCs w:val="28"/>
          <w:lang w:val="kk-KZ"/>
        </w:rPr>
        <w:t>;</w:t>
      </w:r>
    </w:p>
    <w:p w:rsidR="005118AF" w:rsidRDefault="00EF60C3">
      <w:pPr>
        <w:pStyle w:val="af0"/>
        <w:numPr>
          <w:ilvl w:val="0"/>
          <w:numId w:val="28"/>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1-50 кызметкер аралығы</w:t>
      </w:r>
      <w:r>
        <w:rPr>
          <w:rFonts w:ascii="Times New Roman" w:hAnsi="Times New Roman" w:cs="Times New Roman"/>
          <w:sz w:val="28"/>
          <w:szCs w:val="28"/>
          <w:lang w:val="kk-KZ"/>
        </w:rPr>
        <w:t>;</w:t>
      </w:r>
    </w:p>
    <w:p w:rsidR="005118AF" w:rsidRDefault="00EF60C3">
      <w:pPr>
        <w:pStyle w:val="af0"/>
        <w:numPr>
          <w:ilvl w:val="0"/>
          <w:numId w:val="28"/>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51-100 кызметкер аралығы</w:t>
      </w:r>
      <w:r>
        <w:rPr>
          <w:rFonts w:ascii="Times New Roman" w:hAnsi="Times New Roman" w:cs="Times New Roman"/>
          <w:sz w:val="28"/>
          <w:szCs w:val="28"/>
          <w:lang w:val="kk-KZ"/>
        </w:rPr>
        <w:t>;</w:t>
      </w:r>
    </w:p>
    <w:p w:rsidR="005118AF" w:rsidRDefault="00EF60C3">
      <w:pPr>
        <w:pStyle w:val="af0"/>
        <w:numPr>
          <w:ilvl w:val="0"/>
          <w:numId w:val="28"/>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100-250 қызметкер аралығы</w:t>
      </w:r>
      <w:r>
        <w:rPr>
          <w:rFonts w:ascii="Times New Roman" w:hAnsi="Times New Roman" w:cs="Times New Roman"/>
          <w:sz w:val="28"/>
          <w:szCs w:val="28"/>
          <w:lang w:val="kk-KZ"/>
        </w:rPr>
        <w:t>;</w:t>
      </w:r>
    </w:p>
    <w:p w:rsidR="005118AF" w:rsidRDefault="00EF60C3">
      <w:pPr>
        <w:pStyle w:val="af0"/>
        <w:numPr>
          <w:ilvl w:val="0"/>
          <w:numId w:val="28"/>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250-ден астам қызметкер</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Pr>
          <w:rFonts w:ascii="Times New Roman" w:hAnsi="Times New Roman" w:cs="Times New Roman"/>
          <w:sz w:val="28"/>
          <w:szCs w:val="28"/>
        </w:rPr>
        <w:t>Кәсіпорын жеткізу тізбегінің қай деңгейінде жұмыс істейді?</w:t>
      </w:r>
    </w:p>
    <w:p w:rsidR="005118AF" w:rsidRDefault="00EF60C3">
      <w:pPr>
        <w:pStyle w:val="af0"/>
        <w:numPr>
          <w:ilvl w:val="0"/>
          <w:numId w:val="29"/>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өндіріс</w:t>
      </w:r>
      <w:r>
        <w:rPr>
          <w:rFonts w:ascii="Times New Roman" w:hAnsi="Times New Roman" w:cs="Times New Roman"/>
          <w:sz w:val="28"/>
          <w:szCs w:val="28"/>
        </w:rPr>
        <w:t xml:space="preserve"> (ауыл шаруашылығы, мал шаруашылығы, балық шаруашылығы)</w:t>
      </w:r>
      <w:r>
        <w:rPr>
          <w:rFonts w:ascii="Times New Roman" w:hAnsi="Times New Roman" w:cs="Times New Roman"/>
          <w:sz w:val="28"/>
          <w:szCs w:val="28"/>
          <w:lang w:val="kk-KZ"/>
        </w:rPr>
        <w:t>;</w:t>
      </w:r>
    </w:p>
    <w:p w:rsidR="005118AF" w:rsidRDefault="00EF60C3">
      <w:pPr>
        <w:pStyle w:val="af0"/>
        <w:numPr>
          <w:ilvl w:val="0"/>
          <w:numId w:val="29"/>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өңдеу</w:t>
      </w:r>
      <w:r>
        <w:rPr>
          <w:rFonts w:ascii="Times New Roman" w:hAnsi="Times New Roman" w:cs="Times New Roman"/>
          <w:sz w:val="28"/>
          <w:szCs w:val="28"/>
        </w:rPr>
        <w:t xml:space="preserve"> және қайта өңдеу (өнеркәсіп)</w:t>
      </w:r>
      <w:r>
        <w:rPr>
          <w:rFonts w:ascii="Times New Roman" w:hAnsi="Times New Roman" w:cs="Times New Roman"/>
          <w:sz w:val="28"/>
          <w:szCs w:val="28"/>
          <w:lang w:val="kk-KZ"/>
        </w:rPr>
        <w:t>;</w:t>
      </w:r>
    </w:p>
    <w:p w:rsidR="005118AF" w:rsidRDefault="00EF60C3">
      <w:pPr>
        <w:pStyle w:val="af0"/>
        <w:numPr>
          <w:ilvl w:val="0"/>
          <w:numId w:val="29"/>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сату/Маркетинг</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i/>
          <w:sz w:val="28"/>
          <w:szCs w:val="28"/>
        </w:rPr>
      </w:pPr>
      <w:r>
        <w:rPr>
          <w:rFonts w:ascii="Times New Roman" w:hAnsi="Times New Roman" w:cs="Times New Roman"/>
          <w:i/>
          <w:sz w:val="28"/>
          <w:szCs w:val="28"/>
        </w:rPr>
        <w:t>2-бөлім. Кәсіпорынның инновациялық әлеуеті</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rPr>
        <w:t>2.1 Сіздің кәсіпорын стратегиясында ин</w:t>
      </w:r>
      <w:r>
        <w:rPr>
          <w:rFonts w:ascii="Times New Roman" w:hAnsi="Times New Roman" w:cs="Times New Roman"/>
          <w:sz w:val="28"/>
          <w:szCs w:val="28"/>
        </w:rPr>
        <w:t>новация қарастырылып, табысқа жетудің негізгі факторларының бірі ретінде бағалана ма? (Иә/Жок/Білмеймін-Жауап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2.2 Кәсіпорынның Ғылыми-зерттеу және тәжірибелік-конструкторлык бөлім (ҒЗТКЖ немесе R&amp;D) бар ма? (Иә/Жок/Білмеймін-Жауап бе</w:t>
      </w:r>
      <w:r>
        <w:rPr>
          <w:rFonts w:ascii="Times New Roman" w:hAnsi="Times New Roman" w:cs="Times New Roman"/>
          <w:sz w:val="28"/>
          <w:szCs w:val="28"/>
          <w:lang w:val="kk-KZ"/>
        </w:rPr>
        <w:t>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 Кәсіпорын инновациялық стратегия әзірледі ме немесе жүзеге асырды ма? (мақсаттар, іс-шаралар, ресурстар және бюджет анықталған ресми жоспар) (Иә/Жок/Білмеймін-Жауап беруден бастартамын).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2.4 Кәсіпорын нарықтағы жаңа технлогияларды </w:t>
      </w:r>
      <w:r>
        <w:rPr>
          <w:rFonts w:ascii="Times New Roman" w:hAnsi="Times New Roman" w:cs="Times New Roman"/>
          <w:sz w:val="28"/>
          <w:szCs w:val="28"/>
          <w:lang w:val="kk-KZ"/>
        </w:rPr>
        <w:t>зерттеу жүргізді ме? (Иә/Жок/Білмеймін- 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rPr>
        <w:t>2.5 Кәсіпорын ашық инновациялық үдерістерге қатысты ма немесе іске асырды ма? (Иә/Жок/Білмеймін-Жауап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2.6 Кәсіпорында Инновациялық үлгі, Инновацияны басқару үлгісі </w:t>
      </w:r>
      <w:r>
        <w:rPr>
          <w:rFonts w:ascii="Times New Roman" w:hAnsi="Times New Roman" w:cs="Times New Roman"/>
          <w:sz w:val="28"/>
          <w:szCs w:val="28"/>
        </w:rPr>
        <w:t>немесе Инновацияны баскару жүйесі бар ма? (Иә/Жок/Білмеймін-Жауап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2.7 Кәсіпорынның зерттеу және әзірлеу жұмыстарына бөлетін шығындары қандай?:</w:t>
      </w:r>
    </w:p>
    <w:p w:rsidR="005118AF" w:rsidRDefault="00EF60C3">
      <w:pPr>
        <w:pStyle w:val="af0"/>
        <w:numPr>
          <w:ilvl w:val="0"/>
          <w:numId w:val="30"/>
        </w:numPr>
        <w:tabs>
          <w:tab w:val="left" w:pos="993"/>
        </w:tabs>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кәсіпорын табысының 0%-ы</w:t>
      </w:r>
      <w:r>
        <w:rPr>
          <w:rFonts w:ascii="Times New Roman" w:hAnsi="Times New Roman" w:cs="Times New Roman"/>
          <w:sz w:val="28"/>
          <w:szCs w:val="28"/>
          <w:lang w:val="kk-KZ"/>
        </w:rPr>
        <w:t>;</w:t>
      </w:r>
    </w:p>
    <w:p w:rsidR="005118AF" w:rsidRDefault="00EF60C3">
      <w:pPr>
        <w:pStyle w:val="af0"/>
        <w:numPr>
          <w:ilvl w:val="0"/>
          <w:numId w:val="30"/>
        </w:numPr>
        <w:tabs>
          <w:tab w:val="left" w:pos="993"/>
        </w:tabs>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кәсіпорын табысының 1-2%-ы</w:t>
      </w:r>
      <w:r>
        <w:rPr>
          <w:rFonts w:ascii="Times New Roman" w:hAnsi="Times New Roman" w:cs="Times New Roman"/>
          <w:sz w:val="28"/>
          <w:szCs w:val="28"/>
          <w:lang w:val="kk-KZ"/>
        </w:rPr>
        <w:t>;</w:t>
      </w:r>
    </w:p>
    <w:p w:rsidR="005118AF" w:rsidRDefault="00EF60C3">
      <w:pPr>
        <w:pStyle w:val="af0"/>
        <w:numPr>
          <w:ilvl w:val="0"/>
          <w:numId w:val="30"/>
        </w:numPr>
        <w:tabs>
          <w:tab w:val="left" w:pos="993"/>
        </w:tabs>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кәсіпорын табысының 2-5%-ы</w:t>
      </w:r>
      <w:r>
        <w:rPr>
          <w:rFonts w:ascii="Times New Roman" w:hAnsi="Times New Roman" w:cs="Times New Roman"/>
          <w:sz w:val="28"/>
          <w:szCs w:val="28"/>
          <w:lang w:val="kk-KZ"/>
        </w:rPr>
        <w:t>;</w:t>
      </w:r>
    </w:p>
    <w:p w:rsidR="005118AF" w:rsidRDefault="00EF60C3">
      <w:pPr>
        <w:pStyle w:val="af0"/>
        <w:numPr>
          <w:ilvl w:val="0"/>
          <w:numId w:val="30"/>
        </w:numPr>
        <w:tabs>
          <w:tab w:val="left" w:pos="993"/>
        </w:tabs>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кәсіпорын табысының 5%-дан астамы</w:t>
      </w:r>
      <w:r>
        <w:rPr>
          <w:rFonts w:ascii="Times New Roman" w:hAnsi="Times New Roman" w:cs="Times New Roman"/>
          <w:sz w:val="28"/>
          <w:szCs w:val="28"/>
          <w:lang w:val="kk-KZ"/>
        </w:rPr>
        <w:t>;</w:t>
      </w:r>
    </w:p>
    <w:p w:rsidR="005118AF" w:rsidRDefault="00EF60C3">
      <w:pPr>
        <w:pStyle w:val="af0"/>
        <w:numPr>
          <w:ilvl w:val="0"/>
          <w:numId w:val="30"/>
        </w:numPr>
        <w:tabs>
          <w:tab w:val="left" w:pos="993"/>
        </w:tabs>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rPr>
      </w:pPr>
      <w:r>
        <w:rPr>
          <w:rFonts w:ascii="Times New Roman" w:hAnsi="Times New Roman" w:cs="Times New Roman"/>
          <w:sz w:val="28"/>
          <w:szCs w:val="28"/>
        </w:rPr>
        <w:t>2.8. ҒЗТКЖ қанша пайызы ресурстарды үнемдеуге, энергия тиімділігі немесе қалдықтарды кәдеге жаратуға қатысты процестік инновацияларға бағытталған?:</w:t>
      </w:r>
    </w:p>
    <w:p w:rsidR="005118AF" w:rsidRDefault="00EF60C3">
      <w:pPr>
        <w:pStyle w:val="af0"/>
        <w:numPr>
          <w:ilvl w:val="0"/>
          <w:numId w:val="31"/>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5% немесе одан аз</w:t>
      </w:r>
      <w:r>
        <w:rPr>
          <w:rFonts w:ascii="Times New Roman" w:hAnsi="Times New Roman" w:cs="Times New Roman"/>
          <w:sz w:val="28"/>
          <w:szCs w:val="28"/>
          <w:lang w:val="kk-KZ"/>
        </w:rPr>
        <w:t>;</w:t>
      </w:r>
    </w:p>
    <w:p w:rsidR="005118AF" w:rsidRDefault="00EF60C3">
      <w:pPr>
        <w:pStyle w:val="af0"/>
        <w:numPr>
          <w:ilvl w:val="0"/>
          <w:numId w:val="31"/>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6-15%</w:t>
      </w:r>
      <w:r>
        <w:rPr>
          <w:rFonts w:ascii="Times New Roman" w:hAnsi="Times New Roman" w:cs="Times New Roman"/>
          <w:sz w:val="28"/>
          <w:szCs w:val="28"/>
          <w:lang w:val="kk-KZ"/>
        </w:rPr>
        <w:t>;</w:t>
      </w:r>
    </w:p>
    <w:p w:rsidR="005118AF" w:rsidRDefault="00EF60C3">
      <w:pPr>
        <w:pStyle w:val="af0"/>
        <w:numPr>
          <w:ilvl w:val="0"/>
          <w:numId w:val="31"/>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16-30%</w:t>
      </w:r>
      <w:r>
        <w:rPr>
          <w:rFonts w:ascii="Times New Roman" w:hAnsi="Times New Roman" w:cs="Times New Roman"/>
          <w:sz w:val="28"/>
          <w:szCs w:val="28"/>
          <w:lang w:val="kk-KZ"/>
        </w:rPr>
        <w:t>;</w:t>
      </w:r>
    </w:p>
    <w:p w:rsidR="005118AF" w:rsidRDefault="00EF60C3">
      <w:pPr>
        <w:pStyle w:val="af0"/>
        <w:numPr>
          <w:ilvl w:val="0"/>
          <w:numId w:val="31"/>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31-50%</w:t>
      </w:r>
      <w:r>
        <w:rPr>
          <w:rFonts w:ascii="Times New Roman" w:hAnsi="Times New Roman" w:cs="Times New Roman"/>
          <w:sz w:val="28"/>
          <w:szCs w:val="28"/>
          <w:lang w:val="kk-KZ"/>
        </w:rPr>
        <w:t>;</w:t>
      </w:r>
    </w:p>
    <w:p w:rsidR="005118AF" w:rsidRDefault="00EF60C3">
      <w:pPr>
        <w:pStyle w:val="af0"/>
        <w:numPr>
          <w:ilvl w:val="0"/>
          <w:numId w:val="31"/>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i/>
          <w:sz w:val="28"/>
          <w:szCs w:val="28"/>
        </w:rPr>
      </w:pPr>
      <w:r>
        <w:rPr>
          <w:rFonts w:ascii="Times New Roman" w:hAnsi="Times New Roman" w:cs="Times New Roman"/>
          <w:i/>
          <w:sz w:val="28"/>
          <w:szCs w:val="28"/>
        </w:rPr>
        <w:t>3-бөлім. Платформалар және ашық инновациялық сын-қатерлер</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rPr>
        <w:t>3.1 Бұрын «ашық инновация» ұғымымен таныс болдыңыз ба? (Иә/Жоқ/Білмеймін-Жауап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3.3 Сіздің ойыңызша, ашық инновация платформалары </w:t>
      </w:r>
      <w:r>
        <w:rPr>
          <w:rFonts w:ascii="Times New Roman" w:hAnsi="Times New Roman" w:cs="Times New Roman"/>
          <w:sz w:val="28"/>
          <w:szCs w:val="28"/>
        </w:rPr>
        <w:t>сіздің кәсіпорныныңдың бизнес моделіне пайдалы бола алады деп ойлайсыз ба? (Иә/Жок/Білмеймін-Жауап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rPr>
        <w:t>3.4. Кәсіпорынызды ашық инновация платформаларына қосып, ішкі мәселелерді шешуге дайынсыз ба? (Иә/Жок/Білмеймін-Жауап беруден бас тарт</w:t>
      </w:r>
      <w:r>
        <w:rPr>
          <w:rFonts w:ascii="Times New Roman" w:hAnsi="Times New Roman" w:cs="Times New Roman"/>
          <w:sz w:val="28"/>
          <w:szCs w:val="28"/>
        </w:rPr>
        <w:t>амын)</w:t>
      </w:r>
      <w:r>
        <w:rPr>
          <w:rFonts w:ascii="Times New Roman" w:hAnsi="Times New Roman" w:cs="Times New Roman"/>
          <w:sz w:val="28"/>
          <w:szCs w:val="28"/>
          <w:lang w:val="kk-KZ"/>
        </w:rPr>
        <w:t>.</w:t>
      </w:r>
    </w:p>
    <w:p w:rsidR="005118AF" w:rsidRDefault="00EF60C3">
      <w:pPr>
        <w:pStyle w:val="af0"/>
        <w:numPr>
          <w:ilvl w:val="1"/>
          <w:numId w:val="32"/>
        </w:numPr>
        <w:tabs>
          <w:tab w:val="left" w:pos="993"/>
        </w:tabs>
        <w:spacing w:after="0" w:line="20" w:lineRule="atLeast"/>
        <w:ind w:left="0" w:firstLine="709"/>
        <w:jc w:val="both"/>
        <w:rPr>
          <w:rFonts w:ascii="Times New Roman" w:hAnsi="Times New Roman" w:cs="Times New Roman"/>
          <w:sz w:val="28"/>
          <w:szCs w:val="28"/>
        </w:rPr>
      </w:pPr>
      <w:r>
        <w:rPr>
          <w:rFonts w:ascii="Times New Roman" w:hAnsi="Times New Roman" w:cs="Times New Roman"/>
          <w:sz w:val="28"/>
          <w:szCs w:val="28"/>
        </w:rPr>
        <w:t>Егер компаниянызды ашық инновация платформаларына қосу туралы ойласаңыз, қай үлгі көбірек пайда әкеледі деп есептейсіз?</w:t>
      </w:r>
    </w:p>
    <w:p w:rsidR="005118AF" w:rsidRDefault="00EF60C3">
      <w:pPr>
        <w:pStyle w:val="af0"/>
        <w:numPr>
          <w:ilvl w:val="0"/>
          <w:numId w:val="33"/>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«Сырттан-Ішке» моделі (сырттан білім мен технология алып, оны бизнеске қолдану)</w:t>
      </w:r>
      <w:r>
        <w:rPr>
          <w:rFonts w:ascii="Times New Roman" w:hAnsi="Times New Roman" w:cs="Times New Roman"/>
          <w:sz w:val="28"/>
          <w:szCs w:val="28"/>
          <w:lang w:val="kk-KZ"/>
        </w:rPr>
        <w:t>.</w:t>
      </w:r>
    </w:p>
    <w:p w:rsidR="005118AF" w:rsidRDefault="00EF60C3">
      <w:pPr>
        <w:pStyle w:val="af0"/>
        <w:numPr>
          <w:ilvl w:val="0"/>
          <w:numId w:val="33"/>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«Іштен-Сыртқа» моделі (өз білімін экспорттау, ба</w:t>
      </w:r>
      <w:r>
        <w:rPr>
          <w:rFonts w:ascii="Times New Roman" w:hAnsi="Times New Roman" w:cs="Times New Roman"/>
          <w:sz w:val="28"/>
          <w:szCs w:val="28"/>
        </w:rPr>
        <w:t>сқа компанияларға шешім ұсыну)</w:t>
      </w:r>
      <w:r>
        <w:rPr>
          <w:rFonts w:ascii="Times New Roman" w:hAnsi="Times New Roman" w:cs="Times New Roman"/>
          <w:sz w:val="28"/>
          <w:szCs w:val="28"/>
          <w:lang w:val="kk-KZ"/>
        </w:rPr>
        <w:t>.</w:t>
      </w:r>
    </w:p>
    <w:p w:rsidR="005118AF" w:rsidRDefault="00EF60C3">
      <w:pPr>
        <w:pStyle w:val="af0"/>
        <w:numPr>
          <w:ilvl w:val="0"/>
          <w:numId w:val="33"/>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аралас модель</w:t>
      </w:r>
      <w:r>
        <w:rPr>
          <w:rFonts w:ascii="Times New Roman" w:hAnsi="Times New Roman" w:cs="Times New Roman"/>
          <w:sz w:val="28"/>
          <w:szCs w:val="28"/>
          <w:lang w:val="kk-KZ"/>
        </w:rPr>
        <w:t>.</w:t>
      </w:r>
    </w:p>
    <w:p w:rsidR="005118AF" w:rsidRDefault="00EF60C3">
      <w:pPr>
        <w:pStyle w:val="af0"/>
        <w:numPr>
          <w:ilvl w:val="0"/>
          <w:numId w:val="33"/>
        </w:numPr>
        <w:tabs>
          <w:tab w:val="left" w:pos="1134"/>
        </w:tabs>
        <w:spacing w:after="0" w:line="20" w:lineRule="atLeast"/>
        <w:ind w:left="0" w:firstLine="851"/>
        <w:jc w:val="both"/>
        <w:rPr>
          <w:rFonts w:ascii="Times New Roman" w:hAnsi="Times New Roman" w:cs="Times New Roman"/>
          <w:sz w:val="28"/>
          <w:szCs w:val="28"/>
        </w:rPr>
      </w:pPr>
      <w:r>
        <w:rPr>
          <w:rFonts w:ascii="Times New Roman" w:hAnsi="Times New Roman" w:cs="Times New Roman"/>
          <w:sz w:val="28"/>
          <w:szCs w:val="28"/>
        </w:rPr>
        <w:t>білмеймін-Жауап беруден бас тартамын</w:t>
      </w:r>
      <w:r>
        <w:rPr>
          <w:rFonts w:ascii="Times New Roman" w:hAnsi="Times New Roman" w:cs="Times New Roman"/>
          <w:sz w:val="28"/>
          <w:szCs w:val="28"/>
          <w:lang w:val="kk-KZ"/>
        </w:rPr>
        <w:t>.</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4-бөлім. Сыртқы серіктестермен ынтымақтастық: Клиенттердің қатысуы </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Бағалау шкаласы: 1 компания жағдайына мүлдем сәйкес келмейді, 5 компания жағдайына толық сәйкес келеді.</w:t>
      </w:r>
      <w:r>
        <w:rPr>
          <w:rFonts w:ascii="Times New Roman" w:hAnsi="Times New Roman" w:cs="Times New Roman"/>
          <w:i/>
          <w:sz w:val="28"/>
          <w:szCs w:val="28"/>
          <w:lang w:val="kk-KZ"/>
        </w:rPr>
        <w:t xml:space="preserve"> </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4.1 Біз клиенттерімізбен тұрақты байланыста боламыз және олардың берген акпаратын өндірістік үдерістерге енгіземіз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4.2 Біз инновациялық үдерістерге клиенттерімізді тікелей тартамыз (1-5-Білмеймін/Жауап беруден </w:t>
      </w:r>
      <w:r>
        <w:rPr>
          <w:rFonts w:ascii="Times New Roman" w:hAnsi="Times New Roman" w:cs="Times New Roman"/>
          <w:sz w:val="28"/>
          <w:szCs w:val="28"/>
          <w:lang w:val="kk-KZ"/>
        </w:rPr>
        <w:t>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4.3 Біз клиенттермен тиімді қарым-қатынас орнатып, олардың қажеттіліктеріне сәйкес технологияларды қолдана отырып шешімдер енгіземіз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4.4 Біз қазіргі және әлеуетті клиенттер туралы көбірек ақпарат а</w:t>
      </w:r>
      <w:r>
        <w:rPr>
          <w:rFonts w:ascii="Times New Roman" w:hAnsi="Times New Roman" w:cs="Times New Roman"/>
          <w:sz w:val="28"/>
          <w:szCs w:val="28"/>
          <w:lang w:val="kk-KZ"/>
        </w:rPr>
        <w:t>лу үшін тұрақты түрде нарықтық зерттеулер жүргіземіз (сауалнамалар, мақсатты топтар талдауы және т.б.).</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5-бөлім. Сыртқы серіктестермен ынтымақтастық: Жеткізушілердің қатысуы</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5.1 Біз жеткізушілерімізбен тұракты ба</w:t>
      </w:r>
      <w:r>
        <w:rPr>
          <w:rFonts w:ascii="Times New Roman" w:hAnsi="Times New Roman" w:cs="Times New Roman"/>
          <w:sz w:val="28"/>
          <w:szCs w:val="28"/>
          <w:lang w:val="kk-KZ"/>
        </w:rPr>
        <w:t>йланыс орнатып. олардың технологиялық жетістіктері туралы толық ақпарат аламыз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5.2 Біз жаңа өнімдер әзірлеу немесе процестерді жетілдіру үдерістеріне жеткізушілерімізді белсенді түрде тартамыз (1-5-Білмеймін/Жауа</w:t>
      </w:r>
      <w:r>
        <w:rPr>
          <w:rFonts w:ascii="Times New Roman" w:hAnsi="Times New Roman" w:cs="Times New Roman"/>
          <w:sz w:val="28"/>
          <w:szCs w:val="28"/>
          <w:lang w:val="kk-KZ"/>
        </w:rPr>
        <w:t>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5.3 Жеткізушілер біздің өнімді әзірлеу мен операциялық процестерімізде маңызды рөл атқарады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5.4 Біз өнім әзірлеу, процесс жетілдіру немесе технологияларды тиімді сатып алу үшін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жеткізушіл</w:t>
      </w:r>
      <w:r>
        <w:rPr>
          <w:rFonts w:ascii="Times New Roman" w:hAnsi="Times New Roman" w:cs="Times New Roman"/>
          <w:sz w:val="28"/>
          <w:szCs w:val="28"/>
          <w:lang w:val="kk-KZ"/>
        </w:rPr>
        <w:t>ермен ҒЗТКЖ саласында ынтымақтасамыз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6-бөлім. Сыртқы серіктестермен ынтымақтастық: Бәсекелестердің қатысуы</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6.1 Жаңа өнімдер немесе технологиялық жетілдірулер әзірлеуде біз таңдалған бәсекелестермен бірігіп жұмыс </w:t>
      </w:r>
      <w:r>
        <w:rPr>
          <w:rFonts w:ascii="Times New Roman" w:hAnsi="Times New Roman" w:cs="Times New Roman"/>
          <w:sz w:val="28"/>
          <w:szCs w:val="28"/>
          <w:lang w:val="kk-KZ"/>
        </w:rPr>
        <w:t>істейміз, осылайша шығындарды бөлісіп, процесті жылдамдатамыз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6.2 Біз егер ол негізгі немесе кұпия білімге катысы жоқ болса бәсекелестермен ҒЗТКЖ бойынша ынтымақтасамыз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6.3 Біз бәсекелестермен ақпарат алмасамыз және бенчмаркинг жүргіземіз, осылайша соңғы технологиялық даму мен трендтерден хабардар боламыз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7-бөлім. Сыртқы серіктестермен ынтымақтастық: Университеттердің қатысуы</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lang w:val="kk-KZ"/>
        </w:rPr>
        <w:t>.1 Біз университеттермен тұрақты ҒЗТКЖ ынтымақтастық орнатып, жаңа технологиялар мен өнімдерді бірлесе әзірлейміз немесе өндірістік, логистикалық, ұйымдастырушылық процестерді жетілдіреміз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7.2 Біз университеттерм</w:t>
      </w:r>
      <w:r>
        <w:rPr>
          <w:rFonts w:ascii="Times New Roman" w:hAnsi="Times New Roman" w:cs="Times New Roman"/>
          <w:sz w:val="28"/>
          <w:szCs w:val="28"/>
          <w:lang w:val="kk-KZ"/>
        </w:rPr>
        <w:t>ен тұрақты байланыс орнатып, бизнесімізге қатысты жаңа технологиялық өнертабыстардан әрқашан хабардар болып отырамыз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7.3 Егер өнім әзірлеу процесінде немесе логистикада технологиялық қиындықтарға тап болсак, біз </w:t>
      </w:r>
      <w:r>
        <w:rPr>
          <w:rFonts w:ascii="Times New Roman" w:hAnsi="Times New Roman" w:cs="Times New Roman"/>
          <w:sz w:val="28"/>
          <w:szCs w:val="28"/>
          <w:lang w:val="kk-KZ"/>
        </w:rPr>
        <w:t>шешім табу үшін университеттермен тығыз жұмыс жасаймыз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7.4 Университеттермен ақпарат алмасу және технологияны трансферттеу процесі компаниямыз үшін маңызды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8-бөлім. Сыр</w:t>
      </w:r>
      <w:r>
        <w:rPr>
          <w:rFonts w:ascii="Times New Roman" w:hAnsi="Times New Roman" w:cs="Times New Roman"/>
          <w:i/>
          <w:sz w:val="28"/>
          <w:szCs w:val="28"/>
          <w:lang w:val="kk-KZ"/>
        </w:rPr>
        <w:t>тқы серіктестермен ынтымақтастық: Тәуелсіз сарапшылардың қатысуы</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8.1 Біз жана өнімдерді әзірлеу немесе логистикалық/операциялық процестердегі технологиялық мәселелерді шешу үшін тәуелсіз сарапшылармен (қоғамдық ғылыми- зерттеу институттары, инженерлік кеңе</w:t>
      </w:r>
      <w:r>
        <w:rPr>
          <w:rFonts w:ascii="Times New Roman" w:hAnsi="Times New Roman" w:cs="Times New Roman"/>
          <w:sz w:val="28"/>
          <w:szCs w:val="28"/>
          <w:lang w:val="kk-KZ"/>
        </w:rPr>
        <w:t>сшілер, технологияға маманданған компаниялар</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және т.б.) шарттық негізде жұмыс істейміз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8.2 Біз инновациялық процестерде (өнімдер, процестер, ұйымдастырушылық жақсартулар) тәуелсіз сарапшылармен тұрақты байланыс о</w:t>
      </w:r>
      <w:r>
        <w:rPr>
          <w:rFonts w:ascii="Times New Roman" w:hAnsi="Times New Roman" w:cs="Times New Roman"/>
          <w:sz w:val="28"/>
          <w:szCs w:val="28"/>
          <w:lang w:val="kk-KZ"/>
        </w:rPr>
        <w:t>рнатамыз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8.3 Жана өнім әзірлеу контекстінде біз арнайы білімдері бар мекемелермен (институттар. кеңесшілер, маманданған компаниялар және т.б.) бірлесіп жұмыс істейміз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Pr>
          <w:rFonts w:ascii="Times New Roman" w:hAnsi="Times New Roman" w:cs="Times New Roman"/>
          <w:sz w:val="28"/>
          <w:szCs w:val="28"/>
          <w:lang w:val="kk-KZ"/>
        </w:rPr>
        <w:t>.4 Тәуелсіз сарапшылармен білім алмасу біздің компания үшін маңызды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9-бөлім. Нәтижелерді өлшеу: Инновациядағы нәтижелілік</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9.1 Біз жаңа және инновациялық өнімдерді нарыққа шығарамыз немесе жаңа операциялық ұйымдас</w:t>
      </w:r>
      <w:r>
        <w:rPr>
          <w:rFonts w:ascii="Times New Roman" w:hAnsi="Times New Roman" w:cs="Times New Roman"/>
          <w:sz w:val="28"/>
          <w:szCs w:val="28"/>
          <w:lang w:val="kk-KZ"/>
        </w:rPr>
        <w:t>тырушылық процестерді саладағы басқа компанияларға қарағанда жиірек енгіземіз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9.2 Біздің нарықта кәсіпорынымыз инновациялық өнімдерімен және процестерімен танымал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9.3 Б</w:t>
      </w:r>
      <w:r>
        <w:rPr>
          <w:rFonts w:ascii="Times New Roman" w:hAnsi="Times New Roman" w:cs="Times New Roman"/>
          <w:sz w:val="28"/>
          <w:szCs w:val="28"/>
          <w:lang w:val="kk-KZ"/>
        </w:rPr>
        <w:t>іздің жаңа өнімдеріміз бұрынғыларынан едәуір ерекшеленеді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9.4 Өнімдер портфеліндегі жаңа және инновациялық өнімдердің үлесі бәсекелестерімізбен салыстырғанда айтарлықтай жоғары (1-5-Білмеймін/Жауап беруден бас </w:t>
      </w:r>
      <w:r>
        <w:rPr>
          <w:rFonts w:ascii="Times New Roman" w:hAnsi="Times New Roman" w:cs="Times New Roman"/>
          <w:sz w:val="28"/>
          <w:szCs w:val="28"/>
          <w:lang w:val="kk-KZ"/>
        </w:rPr>
        <w:t>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9.5 Біз жаңа нарықтарға бәсекелестерге қарағанда жиірек шығамыз (1-5-Білмеймін/Жауап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9.6 Жаңа және инновациялық өнімдерден түсетін сатылым үлесі бәсекелестермен</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салыстырғанда айтарлықтай жоғары (1-5-Білмеймін/Жауап беруден</w:t>
      </w:r>
      <w:r>
        <w:rPr>
          <w:rFonts w:ascii="Times New Roman" w:hAnsi="Times New Roman" w:cs="Times New Roman"/>
          <w:sz w:val="28"/>
          <w:szCs w:val="28"/>
          <w:lang w:val="kk-KZ"/>
        </w:rPr>
        <w:t xml:space="preserve">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10-бөлім. Нәтижелерді өлшеу: Инновацияға бейімділік</w:t>
      </w:r>
    </w:p>
    <w:p w:rsidR="005118AF" w:rsidRDefault="00EF60C3">
      <w:pPr>
        <w:tabs>
          <w:tab w:val="left" w:pos="993"/>
        </w:tabs>
        <w:spacing w:after="0" w:line="20" w:lineRule="atLeast"/>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10.1 Компания соңғы рет негізгі қызметіне жаңа технологияны қашан енгізді?</w:t>
      </w:r>
    </w:p>
    <w:p w:rsidR="005118AF" w:rsidRDefault="00EF60C3">
      <w:pPr>
        <w:pStyle w:val="af0"/>
        <w:numPr>
          <w:ilvl w:val="0"/>
          <w:numId w:val="34"/>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1 жылдан аз уақыт бұрын;</w:t>
      </w:r>
    </w:p>
    <w:p w:rsidR="005118AF" w:rsidRDefault="00EF60C3">
      <w:pPr>
        <w:pStyle w:val="af0"/>
        <w:numPr>
          <w:ilvl w:val="0"/>
          <w:numId w:val="34"/>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1-2 жыл аралығында;</w:t>
      </w:r>
    </w:p>
    <w:p w:rsidR="005118AF" w:rsidRDefault="00EF60C3">
      <w:pPr>
        <w:pStyle w:val="af0"/>
        <w:numPr>
          <w:ilvl w:val="0"/>
          <w:numId w:val="34"/>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2-3 жыл аралығында;</w:t>
      </w:r>
    </w:p>
    <w:p w:rsidR="005118AF" w:rsidRDefault="00EF60C3">
      <w:pPr>
        <w:pStyle w:val="af0"/>
        <w:numPr>
          <w:ilvl w:val="0"/>
          <w:numId w:val="34"/>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3-5 жыл аралығында;</w:t>
      </w:r>
    </w:p>
    <w:p w:rsidR="005118AF" w:rsidRDefault="00EF60C3">
      <w:pPr>
        <w:pStyle w:val="af0"/>
        <w:numPr>
          <w:ilvl w:val="0"/>
          <w:numId w:val="34"/>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5 жылдан астам уақыт бұрын;</w:t>
      </w:r>
    </w:p>
    <w:p w:rsidR="005118AF" w:rsidRDefault="00EF60C3">
      <w:pPr>
        <w:pStyle w:val="af0"/>
        <w:numPr>
          <w:ilvl w:val="0"/>
          <w:numId w:val="34"/>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білмеймін 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10.2 Компания соңғы рет жаңа өнімді қашан нарыкка шығарды?</w:t>
      </w:r>
    </w:p>
    <w:p w:rsidR="005118AF" w:rsidRDefault="00EF60C3">
      <w:pPr>
        <w:pStyle w:val="af0"/>
        <w:numPr>
          <w:ilvl w:val="0"/>
          <w:numId w:val="35"/>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1 жылдан аз уақыт бұрын;</w:t>
      </w:r>
    </w:p>
    <w:p w:rsidR="005118AF" w:rsidRDefault="00EF60C3">
      <w:pPr>
        <w:pStyle w:val="af0"/>
        <w:numPr>
          <w:ilvl w:val="0"/>
          <w:numId w:val="35"/>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1-2 жыл аралығында;</w:t>
      </w:r>
    </w:p>
    <w:p w:rsidR="005118AF" w:rsidRDefault="00EF60C3">
      <w:pPr>
        <w:pStyle w:val="af0"/>
        <w:numPr>
          <w:ilvl w:val="0"/>
          <w:numId w:val="35"/>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2-3 жыл аралығында;</w:t>
      </w:r>
    </w:p>
    <w:p w:rsidR="005118AF" w:rsidRDefault="00EF60C3">
      <w:pPr>
        <w:pStyle w:val="af0"/>
        <w:numPr>
          <w:ilvl w:val="0"/>
          <w:numId w:val="35"/>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3-5 жыл аралығында;</w:t>
      </w:r>
    </w:p>
    <w:p w:rsidR="005118AF" w:rsidRDefault="00EF60C3">
      <w:pPr>
        <w:pStyle w:val="af0"/>
        <w:numPr>
          <w:ilvl w:val="0"/>
          <w:numId w:val="35"/>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5 жылдан астам уақыт бұрын;</w:t>
      </w:r>
    </w:p>
    <w:p w:rsidR="005118AF" w:rsidRDefault="00EF60C3">
      <w:pPr>
        <w:pStyle w:val="af0"/>
        <w:numPr>
          <w:ilvl w:val="0"/>
          <w:numId w:val="35"/>
        </w:numPr>
        <w:tabs>
          <w:tab w:val="left" w:pos="1134"/>
        </w:tabs>
        <w:spacing w:after="0" w:line="20" w:lineRule="atLeast"/>
        <w:ind w:left="0" w:firstLine="851"/>
        <w:jc w:val="both"/>
        <w:rPr>
          <w:rFonts w:ascii="Times New Roman" w:hAnsi="Times New Roman" w:cs="Times New Roman"/>
          <w:b/>
          <w:sz w:val="28"/>
          <w:szCs w:val="28"/>
          <w:lang w:val="kk-KZ"/>
        </w:rPr>
      </w:pPr>
      <w:r>
        <w:rPr>
          <w:rFonts w:ascii="Times New Roman" w:hAnsi="Times New Roman" w:cs="Times New Roman"/>
          <w:sz w:val="28"/>
          <w:szCs w:val="28"/>
          <w:lang w:val="kk-KZ"/>
        </w:rPr>
        <w:t>білмеймін 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10.3 Ком</w:t>
      </w:r>
      <w:r>
        <w:rPr>
          <w:rFonts w:ascii="Times New Roman" w:hAnsi="Times New Roman" w:cs="Times New Roman"/>
          <w:sz w:val="28"/>
          <w:szCs w:val="28"/>
          <w:lang w:val="kk-KZ"/>
        </w:rPr>
        <w:t>пания соңғы рет ұйымдық құрылымын қашан өзгертті?</w:t>
      </w:r>
    </w:p>
    <w:p w:rsidR="005118AF" w:rsidRDefault="00EF60C3">
      <w:pPr>
        <w:pStyle w:val="af0"/>
        <w:numPr>
          <w:ilvl w:val="0"/>
          <w:numId w:val="36"/>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1 жылдан аз уакыт бұрын;</w:t>
      </w:r>
    </w:p>
    <w:p w:rsidR="005118AF" w:rsidRDefault="00EF60C3">
      <w:pPr>
        <w:pStyle w:val="af0"/>
        <w:numPr>
          <w:ilvl w:val="0"/>
          <w:numId w:val="36"/>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1-2 жыл аралығында;</w:t>
      </w:r>
    </w:p>
    <w:p w:rsidR="005118AF" w:rsidRDefault="00EF60C3">
      <w:pPr>
        <w:pStyle w:val="af0"/>
        <w:numPr>
          <w:ilvl w:val="0"/>
          <w:numId w:val="36"/>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2-3 жыл аралығында;</w:t>
      </w:r>
    </w:p>
    <w:p w:rsidR="005118AF" w:rsidRDefault="00EF60C3">
      <w:pPr>
        <w:pStyle w:val="af0"/>
        <w:numPr>
          <w:ilvl w:val="0"/>
          <w:numId w:val="36"/>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3-5 жыл аралыгында;</w:t>
      </w:r>
    </w:p>
    <w:p w:rsidR="005118AF" w:rsidRDefault="00EF60C3">
      <w:pPr>
        <w:pStyle w:val="af0"/>
        <w:numPr>
          <w:ilvl w:val="0"/>
          <w:numId w:val="36"/>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5 жылдан астам уакыт бұрын;</w:t>
      </w:r>
    </w:p>
    <w:p w:rsidR="005118AF" w:rsidRDefault="00EF60C3">
      <w:pPr>
        <w:pStyle w:val="af0"/>
        <w:numPr>
          <w:ilvl w:val="0"/>
          <w:numId w:val="36"/>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білмеймін 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10.4 Компания соңғы рет тарату немесе маркетинг </w:t>
      </w:r>
      <w:r>
        <w:rPr>
          <w:rFonts w:ascii="Times New Roman" w:hAnsi="Times New Roman" w:cs="Times New Roman"/>
          <w:sz w:val="28"/>
          <w:szCs w:val="28"/>
          <w:lang w:val="kk-KZ"/>
        </w:rPr>
        <w:t>арналары жүйесін кашан өзгертті?</w:t>
      </w:r>
    </w:p>
    <w:p w:rsidR="005118AF" w:rsidRDefault="00EF60C3">
      <w:pPr>
        <w:pStyle w:val="af0"/>
        <w:numPr>
          <w:ilvl w:val="0"/>
          <w:numId w:val="37"/>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1 жылдан аз уакыт бұрын;</w:t>
      </w:r>
    </w:p>
    <w:p w:rsidR="005118AF" w:rsidRDefault="00EF60C3">
      <w:pPr>
        <w:pStyle w:val="af0"/>
        <w:numPr>
          <w:ilvl w:val="0"/>
          <w:numId w:val="37"/>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1-2 жыл аралығында;</w:t>
      </w:r>
    </w:p>
    <w:p w:rsidR="005118AF" w:rsidRDefault="00EF60C3">
      <w:pPr>
        <w:pStyle w:val="af0"/>
        <w:numPr>
          <w:ilvl w:val="0"/>
          <w:numId w:val="37"/>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2-3 жыл аралығында;</w:t>
      </w:r>
    </w:p>
    <w:p w:rsidR="005118AF" w:rsidRDefault="00EF60C3">
      <w:pPr>
        <w:pStyle w:val="af0"/>
        <w:numPr>
          <w:ilvl w:val="0"/>
          <w:numId w:val="37"/>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3-5 жыл аралығында;</w:t>
      </w:r>
    </w:p>
    <w:p w:rsidR="005118AF" w:rsidRDefault="00EF60C3">
      <w:pPr>
        <w:pStyle w:val="af0"/>
        <w:numPr>
          <w:ilvl w:val="0"/>
          <w:numId w:val="37"/>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5 жылдан астам уакыт бұрын;</w:t>
      </w:r>
    </w:p>
    <w:p w:rsidR="005118AF" w:rsidRDefault="00EF60C3">
      <w:pPr>
        <w:pStyle w:val="af0"/>
        <w:numPr>
          <w:ilvl w:val="0"/>
          <w:numId w:val="37"/>
        </w:numPr>
        <w:tabs>
          <w:tab w:val="left" w:pos="1134"/>
        </w:tabs>
        <w:spacing w:after="0" w:line="20" w:lineRule="atLeast"/>
        <w:ind w:left="0" w:firstLine="851"/>
        <w:jc w:val="both"/>
        <w:rPr>
          <w:rFonts w:ascii="Times New Roman" w:hAnsi="Times New Roman" w:cs="Times New Roman"/>
          <w:sz w:val="28"/>
          <w:szCs w:val="28"/>
          <w:lang w:val="kk-KZ"/>
        </w:rPr>
      </w:pPr>
      <w:r>
        <w:rPr>
          <w:rFonts w:ascii="Times New Roman" w:hAnsi="Times New Roman" w:cs="Times New Roman"/>
          <w:sz w:val="28"/>
          <w:szCs w:val="28"/>
          <w:lang w:val="kk-KZ"/>
        </w:rPr>
        <w:t>білмеймін Жауап беруден бас тартамын.</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10-бөлім. Тұрақты даму және ресурстық тиімділік</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Төмендегі мәлімдемелер мен сұрақтарға өз кәсіпорныңыз үшін ең сәйкес келетін жауапты таңдаңыз. </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sz w:val="28"/>
          <w:szCs w:val="28"/>
          <w:lang w:val="kk-KZ"/>
        </w:rPr>
        <w:t>Бағалау Шкаласы Сипаттама (Нақты Іс-әрекетке Негізделген) 5Белсенді түрде жүзеге асырылуда (Нақты жобаларга каржы бөлінген) 4Жоғары басымдык (Жақын арадағы жосп</w:t>
      </w:r>
      <w:r>
        <w:rPr>
          <w:rFonts w:ascii="Times New Roman" w:hAnsi="Times New Roman" w:cs="Times New Roman"/>
          <w:sz w:val="28"/>
          <w:szCs w:val="28"/>
          <w:lang w:val="kk-KZ"/>
        </w:rPr>
        <w:t>арларға енгізілген). 3 Орташа басымдық (Мүмкіндік ретінде қарастырылуда). 2Төмен басымдық. 1. Мүлдем басымдық берілмейді.</w:t>
      </w:r>
    </w:p>
    <w:p w:rsidR="005118AF" w:rsidRDefault="00EF60C3">
      <w:pPr>
        <w:tabs>
          <w:tab w:val="left" w:pos="993"/>
        </w:tabs>
        <w:spacing w:after="0" w:line="20" w:lineRule="atLeast"/>
        <w:ind w:firstLine="709"/>
        <w:jc w:val="both"/>
        <w:rPr>
          <w:rFonts w:ascii="Times New Roman" w:hAnsi="Times New Roman" w:cs="Times New Roman"/>
          <w:i/>
          <w:sz w:val="28"/>
          <w:szCs w:val="28"/>
          <w:lang w:val="kk-KZ"/>
        </w:rPr>
      </w:pPr>
      <w:r>
        <w:rPr>
          <w:rFonts w:ascii="Times New Roman" w:hAnsi="Times New Roman" w:cs="Times New Roman"/>
          <w:i/>
          <w:sz w:val="28"/>
          <w:szCs w:val="28"/>
          <w:lang w:val="kk-KZ"/>
        </w:rPr>
        <w:t>11-бөлім. Экологиялық тұрақтылык (Е)</w:t>
      </w:r>
    </w:p>
    <w:p w:rsidR="005118AF" w:rsidRDefault="00EF60C3">
      <w:pPr>
        <w:tabs>
          <w:tab w:val="left" w:pos="993"/>
        </w:tabs>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11.1. Экологиялык міндеттерге бағытталған инновациялық басымдыктар (Г.1-кесте).</w:t>
      </w:r>
    </w:p>
    <w:p w:rsidR="005118AF" w:rsidRDefault="005118AF">
      <w:pPr>
        <w:tabs>
          <w:tab w:val="left" w:pos="993"/>
        </w:tabs>
        <w:spacing w:after="0" w:line="20" w:lineRule="atLeast"/>
        <w:ind w:firstLine="709"/>
        <w:jc w:val="both"/>
        <w:rPr>
          <w:rFonts w:ascii="Times New Roman" w:hAnsi="Times New Roman" w:cs="Times New Roman"/>
          <w:sz w:val="28"/>
          <w:szCs w:val="28"/>
          <w:lang w:val="kk-KZ"/>
        </w:rPr>
      </w:pPr>
    </w:p>
    <w:p w:rsidR="005118AF" w:rsidRDefault="00EF60C3">
      <w:pPr>
        <w:tabs>
          <w:tab w:val="left" w:pos="993"/>
        </w:tabs>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Кесте Г.1 – Сізд</w:t>
      </w:r>
      <w:r>
        <w:rPr>
          <w:rFonts w:ascii="Times New Roman" w:hAnsi="Times New Roman" w:cs="Times New Roman"/>
          <w:sz w:val="28"/>
          <w:szCs w:val="28"/>
          <w:lang w:val="kk-KZ"/>
        </w:rPr>
        <w:t>ің кәсіпорныныз келесі экологиялық міндеттерді шешуге бағытталған инновациялық жобаларға қаншалықты жоғары басымдық береді?</w:t>
      </w:r>
    </w:p>
    <w:p w:rsidR="005118AF" w:rsidRDefault="005118AF">
      <w:pPr>
        <w:tabs>
          <w:tab w:val="left" w:pos="993"/>
        </w:tabs>
        <w:spacing w:after="0" w:line="20" w:lineRule="atLeast"/>
        <w:jc w:val="both"/>
        <w:rPr>
          <w:rFonts w:ascii="Times New Roman" w:hAnsi="Times New Roman" w:cs="Times New Roman"/>
          <w:b/>
          <w:sz w:val="16"/>
          <w:szCs w:val="16"/>
          <w:lang w:val="kk-KZ"/>
        </w:rPr>
      </w:pPr>
    </w:p>
    <w:tbl>
      <w:tblPr>
        <w:tblStyle w:val="ae"/>
        <w:tblpPr w:leftFromText="180" w:rightFromText="180" w:vertAnchor="text" w:horzAnchor="margin" w:tblpXSpec="center" w:tblpY="119"/>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4"/>
        <w:gridCol w:w="630"/>
        <w:gridCol w:w="727"/>
        <w:gridCol w:w="700"/>
        <w:gridCol w:w="728"/>
        <w:gridCol w:w="672"/>
        <w:gridCol w:w="1334"/>
      </w:tblGrid>
      <w:tr w:rsidR="005118AF">
        <w:trPr>
          <w:trHeight w:val="339"/>
          <w:jc w:val="center"/>
        </w:trPr>
        <w:tc>
          <w:tcPr>
            <w:tcW w:w="4784" w:type="dxa"/>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Экологиялык міндеттер</w:t>
            </w:r>
          </w:p>
        </w:tc>
        <w:tc>
          <w:tcPr>
            <w:tcW w:w="4791" w:type="dxa"/>
            <w:gridSpan w:val="6"/>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Басымдылық деңгейін бағалаңыз (1-5)</w:t>
            </w:r>
          </w:p>
        </w:tc>
      </w:tr>
      <w:tr w:rsidR="005118AF">
        <w:trPr>
          <w:jc w:val="center"/>
        </w:trPr>
        <w:tc>
          <w:tcPr>
            <w:tcW w:w="4784" w:type="dxa"/>
          </w:tcPr>
          <w:p w:rsidR="005118AF" w:rsidRDefault="00EF60C3">
            <w:pPr>
              <w:spacing w:after="0" w:line="20" w:lineRule="atLeast"/>
              <w:rPr>
                <w:rFonts w:ascii="Times New Roman" w:hAnsi="Times New Roman" w:cs="Times New Roman"/>
                <w:sz w:val="24"/>
                <w:szCs w:val="24"/>
                <w:lang w:val="kk-KZ"/>
              </w:rPr>
            </w:pPr>
            <w:r>
              <w:rPr>
                <w:rFonts w:ascii="Times New Roman" w:hAnsi="Times New Roman" w:cs="Times New Roman"/>
                <w:sz w:val="24"/>
                <w:szCs w:val="24"/>
                <w:lang w:val="kk-KZ"/>
              </w:rPr>
              <w:t>Өндіріс</w:t>
            </w:r>
            <w:r>
              <w:rPr>
                <w:rFonts w:ascii="Times New Roman" w:hAnsi="Times New Roman" w:cs="Times New Roman"/>
                <w:sz w:val="24"/>
                <w:szCs w:val="24"/>
                <w:lang w:val="kk-KZ"/>
              </w:rPr>
              <w:t xml:space="preserve"> қалдыктарын/қосалқы өнімдерін (мысалы, қауыздар, сарысу) қайта </w:t>
            </w:r>
            <w:r>
              <w:rPr>
                <w:rFonts w:ascii="Times New Roman" w:hAnsi="Times New Roman" w:cs="Times New Roman"/>
                <w:sz w:val="24"/>
                <w:szCs w:val="24"/>
                <w:lang w:val="kk-KZ"/>
              </w:rPr>
              <w:t>өңдеу</w:t>
            </w:r>
            <w:r>
              <w:rPr>
                <w:rFonts w:ascii="Times New Roman" w:hAnsi="Times New Roman" w:cs="Times New Roman"/>
                <w:sz w:val="24"/>
                <w:szCs w:val="24"/>
                <w:lang w:val="kk-KZ"/>
              </w:rPr>
              <w:t xml:space="preserve"> немесе азайту бойынша инновациялар.</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27"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2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2"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34"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r w:rsidR="005118AF">
        <w:trPr>
          <w:jc w:val="center"/>
        </w:trPr>
        <w:tc>
          <w:tcPr>
            <w:tcW w:w="4784" w:type="dxa"/>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Су тұтынуды оңтайландыруға және қысқартуға бағытталған технологиялық шешімдер</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27"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2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2"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34"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r w:rsidR="005118AF">
        <w:trPr>
          <w:jc w:val="center"/>
        </w:trPr>
        <w:tc>
          <w:tcPr>
            <w:tcW w:w="4784" w:type="dxa"/>
          </w:tcPr>
          <w:p w:rsidR="005118AF" w:rsidRDefault="00EF60C3">
            <w:pPr>
              <w:spacing w:after="0" w:line="2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Энергия тұтынуды төмендету  немесе жанартылатын энергия көздеріне (ЖЭК) көшу бойынша инновациялық </w:t>
            </w:r>
            <w:r>
              <w:rPr>
                <w:rFonts w:ascii="Times New Roman" w:hAnsi="Times New Roman" w:cs="Times New Roman"/>
                <w:sz w:val="24"/>
                <w:szCs w:val="24"/>
                <w:lang w:val="kk-KZ"/>
              </w:rPr>
              <w:t>жобалар.</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27"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2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2"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34"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r w:rsidR="005118AF">
        <w:trPr>
          <w:jc w:val="center"/>
        </w:trPr>
        <w:tc>
          <w:tcPr>
            <w:tcW w:w="4784" w:type="dxa"/>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Экологиялык таза (мысалы, биоыдырайтын) қаптамаға көшуді қамтамасыз ететін инновациялар.</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27"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2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2"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34"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bl>
    <w:p w:rsidR="005118AF" w:rsidRDefault="005118AF">
      <w:pPr>
        <w:spacing w:after="0" w:line="20" w:lineRule="atLeast"/>
        <w:jc w:val="both"/>
        <w:rPr>
          <w:rFonts w:ascii="Times New Roman" w:hAnsi="Times New Roman" w:cs="Times New Roman"/>
          <w:sz w:val="24"/>
          <w:szCs w:val="24"/>
          <w:lang w:val="kk-KZ"/>
        </w:rPr>
      </w:pP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11.2. Қоршаған Ортаны Қорғауға арналған ишық инновациялар</w:t>
      </w: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Сіздің кәсіпорнынызда экологиялык ізіңізді азайту үшін сырткы</w:t>
      </w:r>
      <w:r>
        <w:rPr>
          <w:rFonts w:ascii="Times New Roman" w:hAnsi="Times New Roman" w:cs="Times New Roman"/>
          <w:sz w:val="28"/>
          <w:szCs w:val="28"/>
          <w:lang w:val="kk-KZ"/>
        </w:rPr>
        <w:t xml:space="preserve"> (ашық) инновациялык шешімдерді (стартаптар. ҒЗИ) іздеуге арналған арнайы бағдарламалар бар ма? (Иә, Жоқ. Білмеймін /Жауап беруден бас тартамын)</w:t>
      </w:r>
    </w:p>
    <w:p w:rsidR="005118AF" w:rsidRDefault="00EF60C3">
      <w:pPr>
        <w:spacing w:after="0" w:line="20" w:lineRule="atLeast"/>
        <w:ind w:firstLine="709"/>
        <w:rPr>
          <w:rFonts w:ascii="Times New Roman" w:hAnsi="Times New Roman" w:cs="Times New Roman"/>
          <w:i/>
          <w:sz w:val="28"/>
          <w:szCs w:val="28"/>
          <w:lang w:val="kk-KZ"/>
        </w:rPr>
      </w:pPr>
      <w:r>
        <w:rPr>
          <w:rFonts w:ascii="Times New Roman" w:hAnsi="Times New Roman" w:cs="Times New Roman"/>
          <w:i/>
          <w:sz w:val="28"/>
          <w:szCs w:val="28"/>
          <w:lang w:val="kk-KZ"/>
        </w:rPr>
        <w:t xml:space="preserve">12-бөлім. Әлеуметтік тұрактылык (S) </w:t>
      </w:r>
    </w:p>
    <w:p w:rsidR="005118AF" w:rsidRDefault="00EF60C3">
      <w:pPr>
        <w:spacing w:after="0" w:line="20" w:lineRule="atLeast"/>
        <w:ind w:firstLine="709"/>
        <w:rPr>
          <w:rFonts w:ascii="Times New Roman" w:hAnsi="Times New Roman" w:cs="Times New Roman"/>
          <w:sz w:val="28"/>
          <w:szCs w:val="28"/>
          <w:lang w:val="kk-KZ"/>
        </w:rPr>
      </w:pPr>
      <w:r>
        <w:rPr>
          <w:rFonts w:ascii="Times New Roman" w:hAnsi="Times New Roman" w:cs="Times New Roman"/>
          <w:sz w:val="28"/>
          <w:szCs w:val="28"/>
          <w:lang w:val="kk-KZ"/>
        </w:rPr>
        <w:t>12.1 Әлеуметтік инновациялар және жауапкершілік (Г.2-кесте)</w:t>
      </w:r>
    </w:p>
    <w:p w:rsidR="005118AF" w:rsidRDefault="005118AF">
      <w:pPr>
        <w:spacing w:after="0" w:line="20" w:lineRule="atLeast"/>
        <w:ind w:firstLine="709"/>
        <w:jc w:val="both"/>
        <w:rPr>
          <w:rFonts w:ascii="Times New Roman" w:hAnsi="Times New Roman" w:cs="Times New Roman"/>
          <w:sz w:val="28"/>
          <w:szCs w:val="28"/>
          <w:lang w:val="kk-KZ"/>
        </w:rPr>
      </w:pPr>
    </w:p>
    <w:p w:rsidR="005118AF" w:rsidRDefault="005118AF">
      <w:pPr>
        <w:spacing w:after="0" w:line="20" w:lineRule="atLeast"/>
        <w:ind w:firstLine="709"/>
        <w:jc w:val="both"/>
        <w:rPr>
          <w:rFonts w:ascii="Times New Roman" w:hAnsi="Times New Roman" w:cs="Times New Roman"/>
          <w:sz w:val="28"/>
          <w:szCs w:val="28"/>
          <w:lang w:val="kk-KZ"/>
        </w:rPr>
      </w:pPr>
    </w:p>
    <w:p w:rsidR="005118AF" w:rsidRDefault="005118AF">
      <w:pPr>
        <w:spacing w:after="0" w:line="20" w:lineRule="atLeast"/>
        <w:ind w:firstLine="709"/>
        <w:jc w:val="both"/>
        <w:rPr>
          <w:rFonts w:ascii="Times New Roman" w:hAnsi="Times New Roman" w:cs="Times New Roman"/>
          <w:sz w:val="28"/>
          <w:szCs w:val="28"/>
          <w:lang w:val="kk-KZ"/>
        </w:rPr>
      </w:pPr>
    </w:p>
    <w:p w:rsidR="005118AF" w:rsidRDefault="00EF60C3">
      <w:p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Г.2 – Сіздің кәсіпорныныз келесі әлеуметтік міндеттерді шешу үшін инновацияларды қаншалықты жоғары басымдыкпен колданады? </w:t>
      </w:r>
    </w:p>
    <w:p w:rsidR="005118AF" w:rsidRDefault="005118AF">
      <w:pPr>
        <w:spacing w:after="0" w:line="20" w:lineRule="atLeast"/>
        <w:jc w:val="both"/>
        <w:rPr>
          <w:rFonts w:ascii="Times New Roman" w:hAnsi="Times New Roman" w:cs="Times New Roman"/>
          <w:sz w:val="16"/>
          <w:szCs w:val="16"/>
          <w:lang w:val="kk-KZ"/>
        </w:rPr>
      </w:pPr>
    </w:p>
    <w:tbl>
      <w:tblPr>
        <w:tblStyle w:val="ae"/>
        <w:tblpPr w:leftFromText="180" w:rightFromText="180" w:vertAnchor="text" w:horzAnchor="margin" w:tblpXSpec="center" w:tblpY="119"/>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811"/>
        <w:gridCol w:w="546"/>
        <w:gridCol w:w="630"/>
        <w:gridCol w:w="700"/>
        <w:gridCol w:w="616"/>
        <w:gridCol w:w="1286"/>
      </w:tblGrid>
      <w:tr w:rsidR="005118AF">
        <w:trPr>
          <w:jc w:val="center"/>
        </w:trPr>
        <w:tc>
          <w:tcPr>
            <w:tcW w:w="5078" w:type="dxa"/>
          </w:tcPr>
          <w:p w:rsidR="005118AF" w:rsidRDefault="00EF60C3">
            <w:pPr>
              <w:spacing w:after="0" w:line="20" w:lineRule="atLeast"/>
              <w:rPr>
                <w:rFonts w:ascii="Times New Roman" w:hAnsi="Times New Roman" w:cs="Times New Roman"/>
                <w:sz w:val="24"/>
                <w:szCs w:val="24"/>
                <w:lang w:val="kk-KZ"/>
              </w:rPr>
            </w:pPr>
            <w:r>
              <w:rPr>
                <w:rFonts w:ascii="Times New Roman" w:hAnsi="Times New Roman" w:cs="Times New Roman"/>
                <w:sz w:val="24"/>
                <w:szCs w:val="24"/>
                <w:lang w:val="kk-KZ"/>
              </w:rPr>
              <w:t>Әлеуметтік</w:t>
            </w:r>
            <w:r>
              <w:rPr>
                <w:rFonts w:ascii="Times New Roman" w:hAnsi="Times New Roman" w:cs="Times New Roman"/>
                <w:sz w:val="24"/>
                <w:szCs w:val="24"/>
                <w:lang w:val="kk-KZ"/>
              </w:rPr>
              <w:t xml:space="preserve"> міндеттер </w:t>
            </w:r>
          </w:p>
        </w:tc>
        <w:tc>
          <w:tcPr>
            <w:tcW w:w="4589" w:type="dxa"/>
            <w:gridSpan w:val="6"/>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Басымдылық деңгейін бағалаңыз (1-5)</w:t>
            </w:r>
          </w:p>
        </w:tc>
      </w:tr>
      <w:tr w:rsidR="005118AF">
        <w:trPr>
          <w:jc w:val="center"/>
        </w:trPr>
        <w:tc>
          <w:tcPr>
            <w:tcW w:w="5078" w:type="dxa"/>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Еңбек қауіпсіздігін жэне жұмыс  сапасын арттыруға бағытталған иннов</w:t>
            </w:r>
            <w:r>
              <w:rPr>
                <w:rFonts w:ascii="Times New Roman" w:hAnsi="Times New Roman" w:cs="Times New Roman"/>
                <w:sz w:val="24"/>
                <w:szCs w:val="24"/>
                <w:lang w:val="kk-KZ"/>
              </w:rPr>
              <w:t>ациялық жобалар</w:t>
            </w:r>
          </w:p>
        </w:tc>
        <w:tc>
          <w:tcPr>
            <w:tcW w:w="811"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4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1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8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r w:rsidR="005118AF">
        <w:trPr>
          <w:jc w:val="center"/>
        </w:trPr>
        <w:tc>
          <w:tcPr>
            <w:tcW w:w="5078" w:type="dxa"/>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Жергілікті кауымдастықтың дамуына  үлес косатын инновациялык серіктестіктер</w:t>
            </w:r>
          </w:p>
        </w:tc>
        <w:tc>
          <w:tcPr>
            <w:tcW w:w="811"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4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1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8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r w:rsidR="005118AF">
        <w:trPr>
          <w:jc w:val="center"/>
        </w:trPr>
        <w:tc>
          <w:tcPr>
            <w:tcW w:w="5078" w:type="dxa"/>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Шикізат пен дайын өнімнің шығу тегінің және өңделуінің ашықтығын арттыратын технологиялық шешімдер</w:t>
            </w:r>
          </w:p>
        </w:tc>
        <w:tc>
          <w:tcPr>
            <w:tcW w:w="811"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4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3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1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86"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bl>
    <w:p w:rsidR="005118AF" w:rsidRDefault="005118AF">
      <w:pPr>
        <w:spacing w:after="0" w:line="20" w:lineRule="atLeast"/>
        <w:jc w:val="both"/>
        <w:rPr>
          <w:rFonts w:ascii="Times New Roman" w:hAnsi="Times New Roman" w:cs="Times New Roman"/>
          <w:sz w:val="24"/>
          <w:szCs w:val="24"/>
          <w:lang w:val="kk-KZ"/>
        </w:rPr>
      </w:pPr>
    </w:p>
    <w:p w:rsidR="005118AF" w:rsidRDefault="00EF60C3">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13-бөлім. Басқару және инвестициялық дайындық (G) </w:t>
      </w:r>
      <w:r>
        <w:rPr>
          <w:rFonts w:ascii="Times New Roman" w:hAnsi="Times New Roman" w:cs="Times New Roman"/>
          <w:sz w:val="28"/>
          <w:szCs w:val="28"/>
          <w:lang w:val="kk-KZ"/>
        </w:rPr>
        <w:t>(Қосымша Г.3)</w:t>
      </w:r>
    </w:p>
    <w:p w:rsidR="005118AF" w:rsidRDefault="005118AF">
      <w:pPr>
        <w:spacing w:after="0" w:line="20" w:lineRule="atLeast"/>
        <w:ind w:firstLine="709"/>
        <w:jc w:val="both"/>
        <w:rPr>
          <w:rFonts w:ascii="Times New Roman" w:hAnsi="Times New Roman" w:cs="Times New Roman"/>
          <w:sz w:val="28"/>
          <w:szCs w:val="28"/>
          <w:lang w:val="kk-KZ"/>
        </w:rPr>
      </w:pPr>
    </w:p>
    <w:p w:rsidR="005118AF" w:rsidRDefault="00EF60C3">
      <w:p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Кесте Г.3 – Кәсіпорын жақын үш жылда ESG-есептілікті (немесе тұракты даму туралы есепті) енгізуді немесе жариялауды жоспарлайды ма? (Иә, Жок; Білмеймін Жауап беруден бас тартамын)</w:t>
      </w:r>
    </w:p>
    <w:p w:rsidR="005118AF" w:rsidRDefault="005118AF">
      <w:pPr>
        <w:spacing w:after="0" w:line="20" w:lineRule="atLeast"/>
        <w:jc w:val="both"/>
        <w:rPr>
          <w:rFonts w:ascii="Times New Roman" w:hAnsi="Times New Roman" w:cs="Times New Roman"/>
          <w:sz w:val="16"/>
          <w:szCs w:val="16"/>
          <w:lang w:val="kk-KZ"/>
        </w:rPr>
      </w:pPr>
    </w:p>
    <w:tbl>
      <w:tblPr>
        <w:tblStyle w:val="ae"/>
        <w:tblpPr w:leftFromText="180" w:rightFromText="180" w:vertAnchor="text" w:horzAnchor="margin" w:tblpXSpec="center" w:tblpY="119"/>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8"/>
        <w:gridCol w:w="728"/>
        <w:gridCol w:w="727"/>
        <w:gridCol w:w="714"/>
        <w:gridCol w:w="700"/>
        <w:gridCol w:w="868"/>
        <w:gridCol w:w="1358"/>
      </w:tblGrid>
      <w:tr w:rsidR="005118AF">
        <w:trPr>
          <w:jc w:val="center"/>
        </w:trPr>
        <w:tc>
          <w:tcPr>
            <w:tcW w:w="4588" w:type="dxa"/>
          </w:tcPr>
          <w:p w:rsidR="005118AF" w:rsidRDefault="00EF60C3">
            <w:pPr>
              <w:spacing w:after="0" w:line="20" w:lineRule="atLeast"/>
              <w:rPr>
                <w:rFonts w:ascii="Times New Roman" w:hAnsi="Times New Roman" w:cs="Times New Roman"/>
                <w:sz w:val="24"/>
                <w:szCs w:val="24"/>
                <w:lang w:val="kk-KZ"/>
              </w:rPr>
            </w:pPr>
            <w:r>
              <w:rPr>
                <w:rFonts w:ascii="Times New Roman" w:hAnsi="Times New Roman" w:cs="Times New Roman"/>
                <w:sz w:val="24"/>
                <w:szCs w:val="24"/>
                <w:lang w:val="kk-KZ"/>
              </w:rPr>
              <w:t>Әлеуметтік</w:t>
            </w:r>
            <w:r>
              <w:rPr>
                <w:rFonts w:ascii="Times New Roman" w:hAnsi="Times New Roman" w:cs="Times New Roman"/>
                <w:sz w:val="24"/>
                <w:szCs w:val="24"/>
                <w:lang w:val="kk-KZ"/>
              </w:rPr>
              <w:t xml:space="preserve"> міндеттер </w:t>
            </w:r>
          </w:p>
        </w:tc>
        <w:tc>
          <w:tcPr>
            <w:tcW w:w="5095" w:type="dxa"/>
            <w:gridSpan w:val="6"/>
          </w:tcPr>
          <w:p w:rsidR="005118AF" w:rsidRDefault="00EF60C3">
            <w:pPr>
              <w:spacing w:after="0" w:line="2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Басымдылық деңгейін бағалаңыз (1-5)</w:t>
            </w:r>
          </w:p>
        </w:tc>
      </w:tr>
      <w:tr w:rsidR="005118AF">
        <w:trPr>
          <w:jc w:val="center"/>
        </w:trPr>
        <w:tc>
          <w:tcPr>
            <w:tcW w:w="4588" w:type="dxa"/>
          </w:tcPr>
          <w:p w:rsidR="005118AF" w:rsidRDefault="00EF60C3">
            <w:pPr>
              <w:spacing w:after="0" w:line="20" w:lineRule="atLeast"/>
              <w:rPr>
                <w:rFonts w:ascii="Times New Roman" w:hAnsi="Times New Roman" w:cs="Times New Roman"/>
                <w:sz w:val="24"/>
                <w:szCs w:val="24"/>
                <w:lang w:val="kk-KZ"/>
              </w:rPr>
            </w:pPr>
            <w:r>
              <w:rPr>
                <w:rFonts w:ascii="Times New Roman" w:hAnsi="Times New Roman" w:cs="Times New Roman"/>
                <w:sz w:val="24"/>
                <w:szCs w:val="24"/>
                <w:lang w:val="kk-KZ"/>
              </w:rPr>
              <w:t>Кәсіпорын басшылығы тұракты технологияларға сыртқы серіктестермен (стартаптар. ҒЗИ) бірлескен инвестиция салуға қаншалықты дайын?</w:t>
            </w:r>
          </w:p>
        </w:tc>
        <w:tc>
          <w:tcPr>
            <w:tcW w:w="72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27"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4"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00"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6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58" w:type="dxa"/>
            <w:vAlign w:val="center"/>
          </w:tcPr>
          <w:p w:rsidR="005118AF" w:rsidRDefault="00EF60C3">
            <w:pPr>
              <w:spacing w:after="0" w:line="2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Б/ЖББТ</w:t>
            </w:r>
          </w:p>
        </w:tc>
      </w:tr>
    </w:tbl>
    <w:p w:rsidR="005118AF" w:rsidRDefault="005118AF">
      <w:pPr>
        <w:spacing w:after="0" w:line="20" w:lineRule="atLeast"/>
        <w:jc w:val="both"/>
        <w:rPr>
          <w:rFonts w:ascii="Times New Roman" w:hAnsi="Times New Roman" w:cs="Times New Roman"/>
          <w:sz w:val="24"/>
          <w:szCs w:val="24"/>
          <w:lang w:val="kk-KZ"/>
        </w:rPr>
      </w:pPr>
    </w:p>
    <w:p w:rsidR="005118AF" w:rsidRDefault="00EF60C3">
      <w:pPr>
        <w:spacing w:after="0" w:line="20" w:lineRule="atLeast"/>
        <w:jc w:val="center"/>
        <w:rPr>
          <w:rFonts w:ascii="Times New Roman" w:hAnsi="Times New Roman" w:cs="Times New Roman"/>
          <w:i/>
          <w:sz w:val="28"/>
          <w:szCs w:val="28"/>
          <w:lang w:val="kk-KZ"/>
        </w:rPr>
      </w:pPr>
      <w:r>
        <w:rPr>
          <w:rFonts w:ascii="Times New Roman" w:hAnsi="Times New Roman" w:cs="Times New Roman"/>
          <w:i/>
          <w:sz w:val="28"/>
          <w:szCs w:val="28"/>
          <w:lang w:val="kk-KZ"/>
        </w:rPr>
        <w:t>Сауалнамаға қатысқаныңыз үшін рахмет!</w:t>
      </w:r>
    </w:p>
    <w:p w:rsidR="005118AF" w:rsidRDefault="005118AF">
      <w:pPr>
        <w:autoSpaceDE w:val="0"/>
        <w:autoSpaceDN w:val="0"/>
        <w:adjustRightInd w:val="0"/>
        <w:spacing w:after="0" w:line="20" w:lineRule="atLeast"/>
        <w:ind w:firstLine="567"/>
        <w:jc w:val="both"/>
        <w:rPr>
          <w:rFonts w:ascii="Times New Roman" w:hAnsi="Times New Roman" w:cs="Times New Roman"/>
          <w:sz w:val="24"/>
          <w:szCs w:val="24"/>
          <w:lang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autoSpaceDE w:val="0"/>
        <w:autoSpaceDN w:val="0"/>
        <w:adjustRightInd w:val="0"/>
        <w:spacing w:after="0" w:line="240" w:lineRule="auto"/>
        <w:jc w:val="center"/>
        <w:rPr>
          <w:rFonts w:ascii="Times New Roman" w:hAnsi="Times New Roman" w:cs="Times New Roman"/>
          <w:b/>
          <w:sz w:val="28"/>
          <w:szCs w:val="28"/>
          <w:lang w:val="kk-KZ" w:eastAsia="zh-CN"/>
        </w:rPr>
      </w:pPr>
    </w:p>
    <w:p w:rsidR="005118AF" w:rsidRDefault="005118AF">
      <w:pPr>
        <w:rPr>
          <w:rFonts w:ascii="Times New Roman" w:hAnsi="Times New Roman" w:cs="Times New Roman"/>
          <w:sz w:val="28"/>
          <w:szCs w:val="28"/>
          <w:lang w:eastAsia="zh-CN"/>
        </w:rPr>
      </w:pPr>
    </w:p>
    <w:sectPr w:rsidR="005118AF">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0C3" w:rsidRDefault="00EF60C3">
      <w:pPr>
        <w:spacing w:line="240" w:lineRule="auto"/>
      </w:pPr>
      <w:r>
        <w:separator/>
      </w:r>
    </w:p>
  </w:endnote>
  <w:endnote w:type="continuationSeparator" w:id="0">
    <w:p w:rsidR="00EF60C3" w:rsidRDefault="00EF60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Microsoft YaHei"/>
    <w:charset w:val="86"/>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mp;quot">
    <w:altName w:val="Times New Roman"/>
    <w:charset w:val="00"/>
    <w:family w:val="roman"/>
    <w:pitch w:val="default"/>
  </w:font>
  <w:font w:name="sans-serif">
    <w:altName w:val="Segoe Print"/>
    <w:charset w:val="00"/>
    <w:family w:val="auto"/>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8AF" w:rsidRDefault="005118AF">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0733806"/>
    </w:sdtPr>
    <w:sdtEndPr>
      <w:rPr>
        <w:rFonts w:ascii="Times New Roman" w:hAnsi="Times New Roman" w:cs="Times New Roman"/>
        <w:sz w:val="24"/>
        <w:szCs w:val="24"/>
      </w:rPr>
    </w:sdtEndPr>
    <w:sdtContent>
      <w:p w:rsidR="005118AF" w:rsidRDefault="00EF60C3">
        <w:pPr>
          <w:pStyle w:val="a8"/>
          <w:spacing w:after="0" w:line="24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8D1DAE">
          <w:rPr>
            <w:rFonts w:ascii="Times New Roman" w:hAnsi="Times New Roman" w:cs="Times New Roman"/>
            <w:noProof/>
            <w:sz w:val="24"/>
            <w:szCs w:val="24"/>
          </w:rPr>
          <w:t>3</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0C3" w:rsidRDefault="00EF60C3">
      <w:pPr>
        <w:spacing w:after="0"/>
      </w:pPr>
      <w:r>
        <w:separator/>
      </w:r>
    </w:p>
  </w:footnote>
  <w:footnote w:type="continuationSeparator" w:id="0">
    <w:p w:rsidR="00EF60C3" w:rsidRDefault="00EF60C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6FD3C17"/>
    <w:multiLevelType w:val="singleLevel"/>
    <w:tmpl w:val="C6FD3C17"/>
    <w:lvl w:ilvl="0">
      <w:start w:val="1"/>
      <w:numFmt w:val="decimal"/>
      <w:suff w:val="space"/>
      <w:lvlText w:val="%1."/>
      <w:lvlJc w:val="left"/>
    </w:lvl>
  </w:abstractNum>
  <w:abstractNum w:abstractNumId="1" w15:restartNumberingAfterBreak="0">
    <w:nsid w:val="F73850C9"/>
    <w:multiLevelType w:val="singleLevel"/>
    <w:tmpl w:val="F73850C9"/>
    <w:lvl w:ilvl="0">
      <w:start w:val="1"/>
      <w:numFmt w:val="decimal"/>
      <w:suff w:val="space"/>
      <w:lvlText w:val="%1."/>
      <w:lvlJc w:val="left"/>
    </w:lvl>
  </w:abstractNum>
  <w:abstractNum w:abstractNumId="2"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3" w15:restartNumberingAfterBreak="0">
    <w:nsid w:val="0C640FBB"/>
    <w:multiLevelType w:val="multilevel"/>
    <w:tmpl w:val="0C640FBB"/>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1B32B8"/>
    <w:multiLevelType w:val="multilevel"/>
    <w:tmpl w:val="131B32B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D61014"/>
    <w:multiLevelType w:val="multilevel"/>
    <w:tmpl w:val="18D61014"/>
    <w:lvl w:ilvl="0">
      <w:start w:val="1"/>
      <w:numFmt w:val="bullet"/>
      <w:lvlText w:val="–"/>
      <w:lvlJc w:val="left"/>
      <w:pPr>
        <w:ind w:left="720" w:hanging="360"/>
      </w:pPr>
      <w:rPr>
        <w:rFonts w:ascii="Times New Roman" w:hAnsi="Times New Roman" w:cs="Times New Roman" w:hint="default"/>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263284"/>
    <w:multiLevelType w:val="multilevel"/>
    <w:tmpl w:val="1B263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912D52"/>
    <w:multiLevelType w:val="multilevel"/>
    <w:tmpl w:val="1B912D52"/>
    <w:lvl w:ilvl="0">
      <w:start w:val="1"/>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8" w15:restartNumberingAfterBreak="0">
    <w:nsid w:val="21EA335C"/>
    <w:multiLevelType w:val="multilevel"/>
    <w:tmpl w:val="21EA335C"/>
    <w:lvl w:ilvl="0">
      <w:start w:val="1"/>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9" w15:restartNumberingAfterBreak="0">
    <w:nsid w:val="230F34B2"/>
    <w:multiLevelType w:val="multilevel"/>
    <w:tmpl w:val="230F34B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C30B211"/>
    <w:multiLevelType w:val="multilevel"/>
    <w:tmpl w:val="2C30B211"/>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2E4372EC"/>
    <w:multiLevelType w:val="multilevel"/>
    <w:tmpl w:val="2E4372EC"/>
    <w:lvl w:ilvl="0">
      <w:start w:val="1"/>
      <w:numFmt w:val="bullet"/>
      <w:lvlText w:val="–"/>
      <w:lvlJc w:val="left"/>
      <w:pPr>
        <w:ind w:left="927" w:hanging="360"/>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2" w15:restartNumberingAfterBreak="0">
    <w:nsid w:val="2FB4302D"/>
    <w:multiLevelType w:val="singleLevel"/>
    <w:tmpl w:val="2FB4302D"/>
    <w:lvl w:ilvl="0">
      <w:start w:val="1"/>
      <w:numFmt w:val="decimal"/>
      <w:suff w:val="space"/>
      <w:lvlText w:val="%1."/>
      <w:lvlJc w:val="left"/>
    </w:lvl>
  </w:abstractNum>
  <w:abstractNum w:abstractNumId="13" w15:restartNumberingAfterBreak="0">
    <w:nsid w:val="327F6081"/>
    <w:multiLevelType w:val="multilevel"/>
    <w:tmpl w:val="327F6081"/>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A22799"/>
    <w:multiLevelType w:val="multilevel"/>
    <w:tmpl w:val="3AA2279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3D0C2671"/>
    <w:multiLevelType w:val="multilevel"/>
    <w:tmpl w:val="3D0C267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F41650A"/>
    <w:multiLevelType w:val="multilevel"/>
    <w:tmpl w:val="3F41650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2B25DB7"/>
    <w:multiLevelType w:val="multilevel"/>
    <w:tmpl w:val="42B25DB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8FA5B94"/>
    <w:multiLevelType w:val="multilevel"/>
    <w:tmpl w:val="48FA5B9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CF50B7D"/>
    <w:multiLevelType w:val="multilevel"/>
    <w:tmpl w:val="4CF50B7D"/>
    <w:lvl w:ilvl="0">
      <w:start w:val="1"/>
      <w:numFmt w:val="decimal"/>
      <w:suff w:val="space"/>
      <w:lvlText w:val="%1."/>
      <w:lvlJc w:val="left"/>
      <w:pPr>
        <w:ind w:left="26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4E9621E6"/>
    <w:multiLevelType w:val="multilevel"/>
    <w:tmpl w:val="4E9621E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04B2329"/>
    <w:multiLevelType w:val="multilevel"/>
    <w:tmpl w:val="504B2329"/>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18F0F64"/>
    <w:multiLevelType w:val="multilevel"/>
    <w:tmpl w:val="518F0F64"/>
    <w:lvl w:ilvl="0">
      <w:start w:val="1"/>
      <w:numFmt w:val="bullet"/>
      <w:lvlText w:val="–"/>
      <w:lvlJc w:val="left"/>
      <w:pPr>
        <w:ind w:left="502" w:hanging="360"/>
      </w:pPr>
      <w:rPr>
        <w:rFonts w:ascii="Times New Roman" w:hAnsi="Times New Roman"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39121AE"/>
    <w:multiLevelType w:val="multilevel"/>
    <w:tmpl w:val="539121A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5200E93"/>
    <w:multiLevelType w:val="multilevel"/>
    <w:tmpl w:val="55200E9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b w:val="0"/>
        <w:bCs/>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55CE0F95"/>
    <w:multiLevelType w:val="multilevel"/>
    <w:tmpl w:val="55CE0F9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9736897"/>
    <w:multiLevelType w:val="multilevel"/>
    <w:tmpl w:val="59736897"/>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B702D6A"/>
    <w:multiLevelType w:val="multilevel"/>
    <w:tmpl w:val="5B702D6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5A6F3F"/>
    <w:multiLevelType w:val="singleLevel"/>
    <w:tmpl w:val="5D5A6F3F"/>
    <w:lvl w:ilvl="0">
      <w:start w:val="3"/>
      <w:numFmt w:val="decimal"/>
      <w:suff w:val="nothing"/>
      <w:lvlText w:val="%1-"/>
      <w:lvlJc w:val="left"/>
    </w:lvl>
  </w:abstractNum>
  <w:abstractNum w:abstractNumId="29" w15:restartNumberingAfterBreak="0">
    <w:nsid w:val="5F034D9A"/>
    <w:multiLevelType w:val="multilevel"/>
    <w:tmpl w:val="5F034D9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2CC7913"/>
    <w:multiLevelType w:val="multilevel"/>
    <w:tmpl w:val="62CC7913"/>
    <w:lvl w:ilvl="0">
      <w:start w:val="1"/>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6AAC0BF3"/>
    <w:multiLevelType w:val="multilevel"/>
    <w:tmpl w:val="6AAC0BF3"/>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1186DAB"/>
    <w:multiLevelType w:val="multilevel"/>
    <w:tmpl w:val="71186DAB"/>
    <w:lvl w:ilvl="0">
      <w:start w:val="36"/>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2C00AA0"/>
    <w:multiLevelType w:val="multilevel"/>
    <w:tmpl w:val="72C00AA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71EDF9E"/>
    <w:multiLevelType w:val="singleLevel"/>
    <w:tmpl w:val="771EDF9E"/>
    <w:lvl w:ilvl="0">
      <w:start w:val="1"/>
      <w:numFmt w:val="decimal"/>
      <w:suff w:val="space"/>
      <w:lvlText w:val="%1."/>
      <w:lvlJc w:val="left"/>
    </w:lvl>
  </w:abstractNum>
  <w:abstractNum w:abstractNumId="35" w15:restartNumberingAfterBreak="0">
    <w:nsid w:val="77A413CC"/>
    <w:multiLevelType w:val="multilevel"/>
    <w:tmpl w:val="77A413C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7E96881"/>
    <w:multiLevelType w:val="multilevel"/>
    <w:tmpl w:val="77E9688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27"/>
  </w:num>
  <w:num w:numId="4">
    <w:abstractNumId w:val="23"/>
  </w:num>
  <w:num w:numId="5">
    <w:abstractNumId w:val="28"/>
  </w:num>
  <w:num w:numId="6">
    <w:abstractNumId w:val="8"/>
  </w:num>
  <w:num w:numId="7">
    <w:abstractNumId w:val="6"/>
  </w:num>
  <w:num w:numId="8">
    <w:abstractNumId w:val="14"/>
  </w:num>
  <w:num w:numId="9">
    <w:abstractNumId w:val="3"/>
  </w:num>
  <w:num w:numId="10">
    <w:abstractNumId w:val="31"/>
  </w:num>
  <w:num w:numId="11">
    <w:abstractNumId w:val="7"/>
  </w:num>
  <w:num w:numId="12">
    <w:abstractNumId w:val="16"/>
  </w:num>
  <w:num w:numId="13">
    <w:abstractNumId w:val="34"/>
  </w:num>
  <w:num w:numId="14">
    <w:abstractNumId w:val="12"/>
  </w:num>
  <w:num w:numId="15">
    <w:abstractNumId w:val="11"/>
  </w:num>
  <w:num w:numId="16">
    <w:abstractNumId w:val="32"/>
  </w:num>
  <w:num w:numId="17">
    <w:abstractNumId w:val="24"/>
  </w:num>
  <w:num w:numId="18">
    <w:abstractNumId w:val="19"/>
  </w:num>
  <w:num w:numId="19">
    <w:abstractNumId w:val="22"/>
  </w:num>
  <w:num w:numId="20">
    <w:abstractNumId w:val="33"/>
  </w:num>
  <w:num w:numId="21">
    <w:abstractNumId w:val="21"/>
  </w:num>
  <w:num w:numId="22">
    <w:abstractNumId w:val="18"/>
  </w:num>
  <w:num w:numId="23">
    <w:abstractNumId w:val="1"/>
  </w:num>
  <w:num w:numId="24">
    <w:abstractNumId w:val="0"/>
  </w:num>
  <w:num w:numId="25">
    <w:abstractNumId w:val="10"/>
  </w:num>
  <w:num w:numId="26">
    <w:abstractNumId w:val="30"/>
  </w:num>
  <w:num w:numId="27">
    <w:abstractNumId w:val="9"/>
  </w:num>
  <w:num w:numId="28">
    <w:abstractNumId w:val="15"/>
  </w:num>
  <w:num w:numId="29">
    <w:abstractNumId w:val="36"/>
  </w:num>
  <w:num w:numId="30">
    <w:abstractNumId w:val="29"/>
  </w:num>
  <w:num w:numId="31">
    <w:abstractNumId w:val="25"/>
  </w:num>
  <w:num w:numId="32">
    <w:abstractNumId w:val="13"/>
  </w:num>
  <w:num w:numId="33">
    <w:abstractNumId w:val="20"/>
  </w:num>
  <w:num w:numId="34">
    <w:abstractNumId w:val="35"/>
  </w:num>
  <w:num w:numId="35">
    <w:abstractNumId w:val="4"/>
  </w:num>
  <w:num w:numId="36">
    <w:abstractNumId w:val="26"/>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rawingGridVerticalSpacing w:val="156"/>
  <w:noPunctuationKerning/>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6B"/>
    <w:rsid w:val="000141B9"/>
    <w:rsid w:val="00014A59"/>
    <w:rsid w:val="00014F05"/>
    <w:rsid w:val="0002305E"/>
    <w:rsid w:val="00043FF5"/>
    <w:rsid w:val="0004567A"/>
    <w:rsid w:val="00053A9D"/>
    <w:rsid w:val="000542BC"/>
    <w:rsid w:val="00054741"/>
    <w:rsid w:val="000564BC"/>
    <w:rsid w:val="00057DE0"/>
    <w:rsid w:val="00060865"/>
    <w:rsid w:val="0007349D"/>
    <w:rsid w:val="000767E4"/>
    <w:rsid w:val="0008165D"/>
    <w:rsid w:val="000A7FB7"/>
    <w:rsid w:val="000D30F3"/>
    <w:rsid w:val="000D34E0"/>
    <w:rsid w:val="000D521E"/>
    <w:rsid w:val="000D53F6"/>
    <w:rsid w:val="000F6713"/>
    <w:rsid w:val="0010053D"/>
    <w:rsid w:val="0010182A"/>
    <w:rsid w:val="00104772"/>
    <w:rsid w:val="00104E1B"/>
    <w:rsid w:val="0011045E"/>
    <w:rsid w:val="00111124"/>
    <w:rsid w:val="001174CF"/>
    <w:rsid w:val="0012017E"/>
    <w:rsid w:val="001273D6"/>
    <w:rsid w:val="0013274F"/>
    <w:rsid w:val="001402A2"/>
    <w:rsid w:val="001779E5"/>
    <w:rsid w:val="001951DF"/>
    <w:rsid w:val="001A71F2"/>
    <w:rsid w:val="001E6D17"/>
    <w:rsid w:val="00206FD9"/>
    <w:rsid w:val="00231B33"/>
    <w:rsid w:val="00234253"/>
    <w:rsid w:val="0023512F"/>
    <w:rsid w:val="0025064A"/>
    <w:rsid w:val="0026512A"/>
    <w:rsid w:val="00275ABA"/>
    <w:rsid w:val="00275C0A"/>
    <w:rsid w:val="002A36BE"/>
    <w:rsid w:val="002B3B34"/>
    <w:rsid w:val="002C0A2F"/>
    <w:rsid w:val="00313DFF"/>
    <w:rsid w:val="0032276F"/>
    <w:rsid w:val="00324E96"/>
    <w:rsid w:val="003257E0"/>
    <w:rsid w:val="00327E84"/>
    <w:rsid w:val="003315FB"/>
    <w:rsid w:val="00334AA1"/>
    <w:rsid w:val="00337963"/>
    <w:rsid w:val="00347495"/>
    <w:rsid w:val="00362B93"/>
    <w:rsid w:val="00364BBE"/>
    <w:rsid w:val="00370EE7"/>
    <w:rsid w:val="00381522"/>
    <w:rsid w:val="003836E7"/>
    <w:rsid w:val="0038500E"/>
    <w:rsid w:val="0039685C"/>
    <w:rsid w:val="003B6C74"/>
    <w:rsid w:val="003B7DFA"/>
    <w:rsid w:val="003C29C3"/>
    <w:rsid w:val="003E369F"/>
    <w:rsid w:val="003F341F"/>
    <w:rsid w:val="004038E1"/>
    <w:rsid w:val="00420BA6"/>
    <w:rsid w:val="00437DEF"/>
    <w:rsid w:val="004572A0"/>
    <w:rsid w:val="0046530F"/>
    <w:rsid w:val="004726EF"/>
    <w:rsid w:val="004938D2"/>
    <w:rsid w:val="004B737D"/>
    <w:rsid w:val="004C14D4"/>
    <w:rsid w:val="004C15BB"/>
    <w:rsid w:val="004C5F62"/>
    <w:rsid w:val="004D0FA4"/>
    <w:rsid w:val="004F033E"/>
    <w:rsid w:val="004F5D2D"/>
    <w:rsid w:val="0050384E"/>
    <w:rsid w:val="00503C50"/>
    <w:rsid w:val="00507E67"/>
    <w:rsid w:val="005118AF"/>
    <w:rsid w:val="005205FC"/>
    <w:rsid w:val="00525C0C"/>
    <w:rsid w:val="0054082C"/>
    <w:rsid w:val="005527A7"/>
    <w:rsid w:val="00554A5F"/>
    <w:rsid w:val="00560273"/>
    <w:rsid w:val="00565A2C"/>
    <w:rsid w:val="0057149A"/>
    <w:rsid w:val="00597E0D"/>
    <w:rsid w:val="005A4F14"/>
    <w:rsid w:val="005A51C2"/>
    <w:rsid w:val="005A654F"/>
    <w:rsid w:val="005C411E"/>
    <w:rsid w:val="005D3240"/>
    <w:rsid w:val="005E17E7"/>
    <w:rsid w:val="005E4EFC"/>
    <w:rsid w:val="00614833"/>
    <w:rsid w:val="006434BC"/>
    <w:rsid w:val="00647DE0"/>
    <w:rsid w:val="00681EFF"/>
    <w:rsid w:val="0069130C"/>
    <w:rsid w:val="0069221A"/>
    <w:rsid w:val="006945A1"/>
    <w:rsid w:val="00696D2B"/>
    <w:rsid w:val="006A0E00"/>
    <w:rsid w:val="006A27B9"/>
    <w:rsid w:val="006A598E"/>
    <w:rsid w:val="006B2270"/>
    <w:rsid w:val="006C0B8F"/>
    <w:rsid w:val="006D3E0E"/>
    <w:rsid w:val="0071304A"/>
    <w:rsid w:val="007252D0"/>
    <w:rsid w:val="00730113"/>
    <w:rsid w:val="00743985"/>
    <w:rsid w:val="00751B1B"/>
    <w:rsid w:val="00772498"/>
    <w:rsid w:val="007776D1"/>
    <w:rsid w:val="007811D1"/>
    <w:rsid w:val="007912BA"/>
    <w:rsid w:val="00793876"/>
    <w:rsid w:val="00797AFF"/>
    <w:rsid w:val="007B330B"/>
    <w:rsid w:val="007B41D1"/>
    <w:rsid w:val="007C2908"/>
    <w:rsid w:val="007C5EC9"/>
    <w:rsid w:val="007C6947"/>
    <w:rsid w:val="007E08C1"/>
    <w:rsid w:val="007E75ED"/>
    <w:rsid w:val="0081132E"/>
    <w:rsid w:val="00813F69"/>
    <w:rsid w:val="00835F0B"/>
    <w:rsid w:val="008420EF"/>
    <w:rsid w:val="008738EC"/>
    <w:rsid w:val="0088281E"/>
    <w:rsid w:val="00882985"/>
    <w:rsid w:val="00884A54"/>
    <w:rsid w:val="00896FD3"/>
    <w:rsid w:val="008A1120"/>
    <w:rsid w:val="008A12BD"/>
    <w:rsid w:val="008A153E"/>
    <w:rsid w:val="008A341E"/>
    <w:rsid w:val="008C5AFA"/>
    <w:rsid w:val="008D0288"/>
    <w:rsid w:val="008D1DAE"/>
    <w:rsid w:val="008D55D4"/>
    <w:rsid w:val="008E6EBE"/>
    <w:rsid w:val="008F58E0"/>
    <w:rsid w:val="008F6E01"/>
    <w:rsid w:val="008F723E"/>
    <w:rsid w:val="00927E97"/>
    <w:rsid w:val="0094056A"/>
    <w:rsid w:val="00962E03"/>
    <w:rsid w:val="00971A73"/>
    <w:rsid w:val="00974497"/>
    <w:rsid w:val="009A0EA6"/>
    <w:rsid w:val="009A3DFA"/>
    <w:rsid w:val="009A6251"/>
    <w:rsid w:val="009C1D38"/>
    <w:rsid w:val="009C67C4"/>
    <w:rsid w:val="009C6C69"/>
    <w:rsid w:val="009E3724"/>
    <w:rsid w:val="009F54BA"/>
    <w:rsid w:val="00A03432"/>
    <w:rsid w:val="00A04717"/>
    <w:rsid w:val="00A0787E"/>
    <w:rsid w:val="00A12B24"/>
    <w:rsid w:val="00A20A82"/>
    <w:rsid w:val="00A3312F"/>
    <w:rsid w:val="00A4647C"/>
    <w:rsid w:val="00A46725"/>
    <w:rsid w:val="00A54AB2"/>
    <w:rsid w:val="00A54BC8"/>
    <w:rsid w:val="00A54DA5"/>
    <w:rsid w:val="00A649DD"/>
    <w:rsid w:val="00A916BB"/>
    <w:rsid w:val="00A91799"/>
    <w:rsid w:val="00AE1A4F"/>
    <w:rsid w:val="00AE284C"/>
    <w:rsid w:val="00AE5626"/>
    <w:rsid w:val="00AF5401"/>
    <w:rsid w:val="00B00DA5"/>
    <w:rsid w:val="00B017AC"/>
    <w:rsid w:val="00B04A29"/>
    <w:rsid w:val="00B072B3"/>
    <w:rsid w:val="00B11068"/>
    <w:rsid w:val="00B25FD5"/>
    <w:rsid w:val="00B31459"/>
    <w:rsid w:val="00B3671B"/>
    <w:rsid w:val="00B444E3"/>
    <w:rsid w:val="00B77705"/>
    <w:rsid w:val="00B83FE7"/>
    <w:rsid w:val="00B92371"/>
    <w:rsid w:val="00B93065"/>
    <w:rsid w:val="00BA1E85"/>
    <w:rsid w:val="00BA5590"/>
    <w:rsid w:val="00BA616A"/>
    <w:rsid w:val="00BB7839"/>
    <w:rsid w:val="00BC1877"/>
    <w:rsid w:val="00BE5419"/>
    <w:rsid w:val="00BF3635"/>
    <w:rsid w:val="00C058A6"/>
    <w:rsid w:val="00C06427"/>
    <w:rsid w:val="00C117A9"/>
    <w:rsid w:val="00C12AF1"/>
    <w:rsid w:val="00C44333"/>
    <w:rsid w:val="00C75432"/>
    <w:rsid w:val="00C77F52"/>
    <w:rsid w:val="00C81F72"/>
    <w:rsid w:val="00C94CBE"/>
    <w:rsid w:val="00C963A7"/>
    <w:rsid w:val="00CA1504"/>
    <w:rsid w:val="00CA1EFE"/>
    <w:rsid w:val="00CA5CEB"/>
    <w:rsid w:val="00CB5A88"/>
    <w:rsid w:val="00CC7556"/>
    <w:rsid w:val="00D01638"/>
    <w:rsid w:val="00D328A7"/>
    <w:rsid w:val="00D41619"/>
    <w:rsid w:val="00D55B47"/>
    <w:rsid w:val="00D60A69"/>
    <w:rsid w:val="00D61B8B"/>
    <w:rsid w:val="00D73D6B"/>
    <w:rsid w:val="00D76774"/>
    <w:rsid w:val="00D83625"/>
    <w:rsid w:val="00D95D13"/>
    <w:rsid w:val="00DA174A"/>
    <w:rsid w:val="00DB6A04"/>
    <w:rsid w:val="00DB72BD"/>
    <w:rsid w:val="00DC03D1"/>
    <w:rsid w:val="00DF77E8"/>
    <w:rsid w:val="00E05A13"/>
    <w:rsid w:val="00E179B5"/>
    <w:rsid w:val="00E200D4"/>
    <w:rsid w:val="00E20921"/>
    <w:rsid w:val="00E32E42"/>
    <w:rsid w:val="00E75F60"/>
    <w:rsid w:val="00E802B6"/>
    <w:rsid w:val="00E810FF"/>
    <w:rsid w:val="00EA3D59"/>
    <w:rsid w:val="00EB18C2"/>
    <w:rsid w:val="00EB56CD"/>
    <w:rsid w:val="00EC591F"/>
    <w:rsid w:val="00EC7F05"/>
    <w:rsid w:val="00ED234C"/>
    <w:rsid w:val="00EE33EE"/>
    <w:rsid w:val="00EF0385"/>
    <w:rsid w:val="00EF60C3"/>
    <w:rsid w:val="00EF72E5"/>
    <w:rsid w:val="00F26DDB"/>
    <w:rsid w:val="00F429FF"/>
    <w:rsid w:val="00F46716"/>
    <w:rsid w:val="00F54607"/>
    <w:rsid w:val="00F64CCD"/>
    <w:rsid w:val="00F85759"/>
    <w:rsid w:val="00F93B89"/>
    <w:rsid w:val="00FC1353"/>
    <w:rsid w:val="00FC2C95"/>
    <w:rsid w:val="00FC2DD9"/>
    <w:rsid w:val="00FD3F82"/>
    <w:rsid w:val="00FD6D81"/>
    <w:rsid w:val="00FE55FE"/>
    <w:rsid w:val="00FE5A82"/>
    <w:rsid w:val="00FF5955"/>
    <w:rsid w:val="017F0AF3"/>
    <w:rsid w:val="019979B8"/>
    <w:rsid w:val="01B54F42"/>
    <w:rsid w:val="01C95256"/>
    <w:rsid w:val="02870445"/>
    <w:rsid w:val="02AC36BD"/>
    <w:rsid w:val="02C97841"/>
    <w:rsid w:val="03172BE1"/>
    <w:rsid w:val="03307892"/>
    <w:rsid w:val="038969D3"/>
    <w:rsid w:val="04812735"/>
    <w:rsid w:val="04A42DC5"/>
    <w:rsid w:val="07CE6C32"/>
    <w:rsid w:val="07F66C75"/>
    <w:rsid w:val="08575E48"/>
    <w:rsid w:val="08C900B3"/>
    <w:rsid w:val="08DA5564"/>
    <w:rsid w:val="08F36FCF"/>
    <w:rsid w:val="08FA2EC8"/>
    <w:rsid w:val="095C5B8B"/>
    <w:rsid w:val="09921514"/>
    <w:rsid w:val="09F77C68"/>
    <w:rsid w:val="0A1A3DEA"/>
    <w:rsid w:val="0A315C37"/>
    <w:rsid w:val="0A483CE4"/>
    <w:rsid w:val="0A50382C"/>
    <w:rsid w:val="0A834EBF"/>
    <w:rsid w:val="0A89644D"/>
    <w:rsid w:val="0ABA5678"/>
    <w:rsid w:val="0B316EA8"/>
    <w:rsid w:val="0C390A3E"/>
    <w:rsid w:val="0CAD4463"/>
    <w:rsid w:val="0CF94BD9"/>
    <w:rsid w:val="0E0220B6"/>
    <w:rsid w:val="0E04715A"/>
    <w:rsid w:val="0E302C96"/>
    <w:rsid w:val="0E564B00"/>
    <w:rsid w:val="0E627243"/>
    <w:rsid w:val="0EEE740C"/>
    <w:rsid w:val="0F2E01F5"/>
    <w:rsid w:val="0F3C53AD"/>
    <w:rsid w:val="1032696E"/>
    <w:rsid w:val="11912276"/>
    <w:rsid w:val="12542F4E"/>
    <w:rsid w:val="1279508F"/>
    <w:rsid w:val="12960E4B"/>
    <w:rsid w:val="133E12D6"/>
    <w:rsid w:val="13963C8F"/>
    <w:rsid w:val="13A2560E"/>
    <w:rsid w:val="1420120C"/>
    <w:rsid w:val="1461071D"/>
    <w:rsid w:val="147F5AF4"/>
    <w:rsid w:val="15235FDB"/>
    <w:rsid w:val="15690030"/>
    <w:rsid w:val="157A24C8"/>
    <w:rsid w:val="15945A08"/>
    <w:rsid w:val="162F6159"/>
    <w:rsid w:val="163A63A6"/>
    <w:rsid w:val="17AC24D6"/>
    <w:rsid w:val="187E19E1"/>
    <w:rsid w:val="193C23DB"/>
    <w:rsid w:val="19CD5B70"/>
    <w:rsid w:val="19F14F8B"/>
    <w:rsid w:val="1AEA51B8"/>
    <w:rsid w:val="1B1E625C"/>
    <w:rsid w:val="1B9C5253"/>
    <w:rsid w:val="1C3200D9"/>
    <w:rsid w:val="1CD672AA"/>
    <w:rsid w:val="1CE767EA"/>
    <w:rsid w:val="1CEF0D86"/>
    <w:rsid w:val="1DC60B84"/>
    <w:rsid w:val="1F1C59E5"/>
    <w:rsid w:val="1F307ED0"/>
    <w:rsid w:val="1F5621D4"/>
    <w:rsid w:val="1F5B6C81"/>
    <w:rsid w:val="1FC90AAF"/>
    <w:rsid w:val="20D46250"/>
    <w:rsid w:val="221A6EA3"/>
    <w:rsid w:val="22356338"/>
    <w:rsid w:val="231F3AB2"/>
    <w:rsid w:val="232C28E2"/>
    <w:rsid w:val="233D619B"/>
    <w:rsid w:val="23696A80"/>
    <w:rsid w:val="23E5500D"/>
    <w:rsid w:val="24215577"/>
    <w:rsid w:val="247D16EB"/>
    <w:rsid w:val="250131B4"/>
    <w:rsid w:val="251D6DF2"/>
    <w:rsid w:val="257A6441"/>
    <w:rsid w:val="25DC518C"/>
    <w:rsid w:val="25FC3596"/>
    <w:rsid w:val="266C23AC"/>
    <w:rsid w:val="26DB45B8"/>
    <w:rsid w:val="284B0721"/>
    <w:rsid w:val="286A3D59"/>
    <w:rsid w:val="28DA233C"/>
    <w:rsid w:val="2920590C"/>
    <w:rsid w:val="29667CD3"/>
    <w:rsid w:val="29D251B6"/>
    <w:rsid w:val="2A5F0F2E"/>
    <w:rsid w:val="2ABA7097"/>
    <w:rsid w:val="2B145BCA"/>
    <w:rsid w:val="2B232B23"/>
    <w:rsid w:val="2B253E20"/>
    <w:rsid w:val="2B4278B1"/>
    <w:rsid w:val="2C0009C6"/>
    <w:rsid w:val="2CBC4B42"/>
    <w:rsid w:val="2D281674"/>
    <w:rsid w:val="2D600102"/>
    <w:rsid w:val="2DBB23D0"/>
    <w:rsid w:val="2DCD0377"/>
    <w:rsid w:val="2DDD4F1D"/>
    <w:rsid w:val="2DF06C46"/>
    <w:rsid w:val="2E0700C7"/>
    <w:rsid w:val="2E937BB2"/>
    <w:rsid w:val="2F2635C6"/>
    <w:rsid w:val="2F264780"/>
    <w:rsid w:val="2FFF219D"/>
    <w:rsid w:val="3009512A"/>
    <w:rsid w:val="302B0B59"/>
    <w:rsid w:val="30E371A1"/>
    <w:rsid w:val="3197798D"/>
    <w:rsid w:val="31BC32B7"/>
    <w:rsid w:val="31BF5979"/>
    <w:rsid w:val="31D90227"/>
    <w:rsid w:val="31E075B1"/>
    <w:rsid w:val="334B2D5F"/>
    <w:rsid w:val="33A35791"/>
    <w:rsid w:val="34122E5B"/>
    <w:rsid w:val="341D0729"/>
    <w:rsid w:val="343909ED"/>
    <w:rsid w:val="346279BA"/>
    <w:rsid w:val="3554735D"/>
    <w:rsid w:val="367062BE"/>
    <w:rsid w:val="367A19D4"/>
    <w:rsid w:val="36A06D3A"/>
    <w:rsid w:val="36E54765"/>
    <w:rsid w:val="371B340B"/>
    <w:rsid w:val="376F6EC8"/>
    <w:rsid w:val="37ED3841"/>
    <w:rsid w:val="381743EC"/>
    <w:rsid w:val="38432E04"/>
    <w:rsid w:val="38467914"/>
    <w:rsid w:val="384779EF"/>
    <w:rsid w:val="38864D4B"/>
    <w:rsid w:val="39142CDC"/>
    <w:rsid w:val="392634E6"/>
    <w:rsid w:val="393B612C"/>
    <w:rsid w:val="3A8861F1"/>
    <w:rsid w:val="3ABB4B13"/>
    <w:rsid w:val="3B3423F9"/>
    <w:rsid w:val="3B4C687D"/>
    <w:rsid w:val="3C2A3E3B"/>
    <w:rsid w:val="3C8E6929"/>
    <w:rsid w:val="3DBF6B1D"/>
    <w:rsid w:val="3DD325E6"/>
    <w:rsid w:val="3E244D30"/>
    <w:rsid w:val="3E383628"/>
    <w:rsid w:val="3E4A3A0C"/>
    <w:rsid w:val="3F4530F2"/>
    <w:rsid w:val="40375706"/>
    <w:rsid w:val="403C478B"/>
    <w:rsid w:val="41374509"/>
    <w:rsid w:val="416C2087"/>
    <w:rsid w:val="41D2616C"/>
    <w:rsid w:val="42340505"/>
    <w:rsid w:val="42ED6A8D"/>
    <w:rsid w:val="431E54BB"/>
    <w:rsid w:val="433C253B"/>
    <w:rsid w:val="438972FF"/>
    <w:rsid w:val="44373CA5"/>
    <w:rsid w:val="44B06ABF"/>
    <w:rsid w:val="44B171F8"/>
    <w:rsid w:val="44BA21A6"/>
    <w:rsid w:val="44DC75C3"/>
    <w:rsid w:val="45A822F9"/>
    <w:rsid w:val="45E166B0"/>
    <w:rsid w:val="460D1DDE"/>
    <w:rsid w:val="473144CA"/>
    <w:rsid w:val="48346A0D"/>
    <w:rsid w:val="48A277A6"/>
    <w:rsid w:val="49111293"/>
    <w:rsid w:val="49EA4B90"/>
    <w:rsid w:val="4A4C7C6E"/>
    <w:rsid w:val="4A6E31C6"/>
    <w:rsid w:val="4AFF1CCE"/>
    <w:rsid w:val="4B1A63D2"/>
    <w:rsid w:val="4B2277FB"/>
    <w:rsid w:val="4BC11E80"/>
    <w:rsid w:val="4C3F16D0"/>
    <w:rsid w:val="4D60718E"/>
    <w:rsid w:val="4DF10413"/>
    <w:rsid w:val="4EA44D8D"/>
    <w:rsid w:val="4EB114FB"/>
    <w:rsid w:val="4F1F7B84"/>
    <w:rsid w:val="4F931335"/>
    <w:rsid w:val="4FCE4697"/>
    <w:rsid w:val="4FD7309C"/>
    <w:rsid w:val="502C7A00"/>
    <w:rsid w:val="50496314"/>
    <w:rsid w:val="50F31D7D"/>
    <w:rsid w:val="51910F09"/>
    <w:rsid w:val="51BE0BCA"/>
    <w:rsid w:val="52237C16"/>
    <w:rsid w:val="522456D0"/>
    <w:rsid w:val="52DE4F77"/>
    <w:rsid w:val="539638AA"/>
    <w:rsid w:val="54B43621"/>
    <w:rsid w:val="550A708D"/>
    <w:rsid w:val="55AE78DD"/>
    <w:rsid w:val="55B35C7E"/>
    <w:rsid w:val="56F36E91"/>
    <w:rsid w:val="57B90475"/>
    <w:rsid w:val="57EC5CFD"/>
    <w:rsid w:val="58422C95"/>
    <w:rsid w:val="589F23BF"/>
    <w:rsid w:val="58AC0AB3"/>
    <w:rsid w:val="58C341BF"/>
    <w:rsid w:val="58DF0C47"/>
    <w:rsid w:val="592A10DF"/>
    <w:rsid w:val="598E4C4F"/>
    <w:rsid w:val="59993EF0"/>
    <w:rsid w:val="59B67B23"/>
    <w:rsid w:val="5B2D676F"/>
    <w:rsid w:val="5BAB1156"/>
    <w:rsid w:val="5BC73B15"/>
    <w:rsid w:val="5BFC7B76"/>
    <w:rsid w:val="5C2A50AF"/>
    <w:rsid w:val="5D1B2CC1"/>
    <w:rsid w:val="5D8D36EA"/>
    <w:rsid w:val="5E56776D"/>
    <w:rsid w:val="5ECB3B44"/>
    <w:rsid w:val="5F0B2CFC"/>
    <w:rsid w:val="5F9F22FC"/>
    <w:rsid w:val="602A3290"/>
    <w:rsid w:val="604F3A1F"/>
    <w:rsid w:val="610E5B9D"/>
    <w:rsid w:val="6123251A"/>
    <w:rsid w:val="6150574C"/>
    <w:rsid w:val="617B203D"/>
    <w:rsid w:val="61C24A40"/>
    <w:rsid w:val="62093216"/>
    <w:rsid w:val="625E2601"/>
    <w:rsid w:val="62642CD4"/>
    <w:rsid w:val="62BE5F17"/>
    <w:rsid w:val="62CA6018"/>
    <w:rsid w:val="62CB36DC"/>
    <w:rsid w:val="62EB7C00"/>
    <w:rsid w:val="6317007D"/>
    <w:rsid w:val="63CC6AF8"/>
    <w:rsid w:val="63D40392"/>
    <w:rsid w:val="645E4CA3"/>
    <w:rsid w:val="64BB12F6"/>
    <w:rsid w:val="64EB1648"/>
    <w:rsid w:val="652C3CE1"/>
    <w:rsid w:val="65333E96"/>
    <w:rsid w:val="65A070C4"/>
    <w:rsid w:val="66292205"/>
    <w:rsid w:val="663E1B32"/>
    <w:rsid w:val="675C6094"/>
    <w:rsid w:val="67CF1276"/>
    <w:rsid w:val="687F2B49"/>
    <w:rsid w:val="68C04C68"/>
    <w:rsid w:val="691F4679"/>
    <w:rsid w:val="6A437F5B"/>
    <w:rsid w:val="6AD21127"/>
    <w:rsid w:val="6B203DD9"/>
    <w:rsid w:val="6C5B0DA7"/>
    <w:rsid w:val="6CC20E5E"/>
    <w:rsid w:val="6E2929A9"/>
    <w:rsid w:val="6E4E6901"/>
    <w:rsid w:val="6F2B260A"/>
    <w:rsid w:val="6F31437C"/>
    <w:rsid w:val="6F840713"/>
    <w:rsid w:val="702E3208"/>
    <w:rsid w:val="70540B66"/>
    <w:rsid w:val="70DF3028"/>
    <w:rsid w:val="71EA021A"/>
    <w:rsid w:val="726C396E"/>
    <w:rsid w:val="728E74C8"/>
    <w:rsid w:val="734B4619"/>
    <w:rsid w:val="739B18FA"/>
    <w:rsid w:val="743D5A79"/>
    <w:rsid w:val="74D43C38"/>
    <w:rsid w:val="751E0D97"/>
    <w:rsid w:val="7657608D"/>
    <w:rsid w:val="781B0FCE"/>
    <w:rsid w:val="79205247"/>
    <w:rsid w:val="79592ADF"/>
    <w:rsid w:val="7AA94FCA"/>
    <w:rsid w:val="7ACC00AC"/>
    <w:rsid w:val="7B240B4B"/>
    <w:rsid w:val="7BB758A8"/>
    <w:rsid w:val="7BD922CE"/>
    <w:rsid w:val="7BE9299D"/>
    <w:rsid w:val="7CA953B1"/>
    <w:rsid w:val="7CAE1A0F"/>
    <w:rsid w:val="7CCF5CE6"/>
    <w:rsid w:val="7CD02F20"/>
    <w:rsid w:val="7CED4EC3"/>
    <w:rsid w:val="7D8836FD"/>
    <w:rsid w:val="7DA35EC6"/>
    <w:rsid w:val="7DF34E52"/>
    <w:rsid w:val="7E1A2DA2"/>
    <w:rsid w:val="7EB50F5E"/>
    <w:rsid w:val="7EF721CD"/>
    <w:rsid w:val="7FAD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BF4F0A3-6FE2-4E10-806F-711DC1BF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5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next w:val="a"/>
    <w:qFormat/>
    <w:pPr>
      <w:spacing w:beforeAutospacing="1" w:afterAutospacing="1"/>
      <w:outlineLvl w:val="0"/>
    </w:pPr>
    <w:rPr>
      <w:rFonts w:ascii="SimSun" w:hAnsi="SimSun" w:hint="eastAsia"/>
      <w:b/>
      <w:bCs/>
      <w:kern w:val="44"/>
      <w:sz w:val="48"/>
      <w:szCs w:val="48"/>
      <w:lang w:val="en-US" w:eastAsia="zh-CN"/>
    </w:rPr>
  </w:style>
  <w:style w:type="paragraph" w:styleId="2">
    <w:name w:val="heading 2"/>
    <w:next w:val="a"/>
    <w:unhideWhenUsed/>
    <w:qFormat/>
    <w:pPr>
      <w:spacing w:beforeAutospacing="1" w:afterAutospacing="1"/>
      <w:outlineLvl w:val="1"/>
    </w:pPr>
    <w:rPr>
      <w:rFonts w:ascii="SimSun" w:hAnsi="SimSun" w:hint="eastAsia"/>
      <w:b/>
      <w:bCs/>
      <w:sz w:val="36"/>
      <w:szCs w:val="36"/>
      <w:lang w:val="en-US" w:eastAsia="zh-CN"/>
    </w:rPr>
  </w:style>
  <w:style w:type="paragraph" w:styleId="3">
    <w:name w:val="heading 3"/>
    <w:next w:val="a"/>
    <w:semiHidden/>
    <w:unhideWhenUsed/>
    <w:qFormat/>
    <w:pPr>
      <w:spacing w:beforeAutospacing="1" w:afterAutospacing="1"/>
      <w:outlineLvl w:val="2"/>
    </w:pPr>
    <w:rPr>
      <w:rFonts w:ascii="SimSun" w:hAnsi="SimSun" w:hint="eastAsia"/>
      <w:b/>
      <w:bCs/>
      <w:sz w:val="26"/>
      <w:szCs w:val="26"/>
      <w:lang w:val="en-US" w:eastAsia="zh-CN"/>
    </w:rPr>
  </w:style>
  <w:style w:type="paragraph" w:styleId="4">
    <w:name w:val="heading 4"/>
    <w:next w:val="a"/>
    <w:qFormat/>
    <w:pPr>
      <w:keepNext/>
      <w:numPr>
        <w:ilvl w:val="3"/>
        <w:numId w:val="1"/>
      </w:numPr>
      <w:suppressAutoHyphens/>
      <w:spacing w:before="240" w:after="60" w:line="276" w:lineRule="auto"/>
      <w:outlineLvl w:val="3"/>
    </w:pPr>
    <w:rPr>
      <w:rFonts w:ascii="Calibri" w:eastAsia="Times New Roman" w:hAnsi="Calibri"/>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pPr>
      <w:spacing w:after="0" w:line="240" w:lineRule="auto"/>
    </w:pPr>
    <w:rPr>
      <w:rFonts w:ascii="Tahoma" w:hAnsi="Tahoma" w:cs="Tahoma"/>
      <w:sz w:val="16"/>
      <w:szCs w:val="16"/>
    </w:rPr>
  </w:style>
  <w:style w:type="paragraph" w:styleId="a5">
    <w:name w:val="Body Text"/>
    <w:basedOn w:val="a"/>
    <w:uiPriority w:val="1"/>
    <w:qFormat/>
    <w:pPr>
      <w:ind w:left="1" w:firstLine="566"/>
      <w:jc w:val="both"/>
    </w:pPr>
    <w:rPr>
      <w:rFonts w:ascii="Times New Roman" w:eastAsia="Times New Roman" w:hAnsi="Times New Roman" w:cs="Times New Roman"/>
      <w:sz w:val="28"/>
      <w:szCs w:val="28"/>
      <w:lang w:eastAsia="en-US"/>
    </w:rPr>
  </w:style>
  <w:style w:type="character" w:styleId="a6">
    <w:name w:val="Emphasis"/>
    <w:qFormat/>
    <w:rPr>
      <w:i/>
      <w:iCs/>
    </w:rPr>
  </w:style>
  <w:style w:type="character" w:styleId="a7">
    <w:name w:val="FollowedHyperlink"/>
    <w:qFormat/>
    <w:rPr>
      <w:color w:val="800080"/>
      <w:u w:val="single"/>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qFormat/>
    <w:pPr>
      <w:tabs>
        <w:tab w:val="center" w:pos="4153"/>
        <w:tab w:val="right" w:pos="8306"/>
      </w:tabs>
      <w:snapToGrid w:val="0"/>
    </w:pPr>
    <w:rPr>
      <w:sz w:val="18"/>
      <w:szCs w:val="18"/>
    </w:rPr>
  </w:style>
  <w:style w:type="character" w:styleId="ab">
    <w:name w:val="Hyperlink"/>
    <w:uiPriority w:val="99"/>
    <w:unhideWhenUsed/>
    <w:qFormat/>
    <w:rPr>
      <w:color w:val="0000FF"/>
      <w:u w:val="single"/>
    </w:rPr>
  </w:style>
  <w:style w:type="paragraph" w:styleId="ac">
    <w:name w:val="Normal (Web)"/>
    <w:basedOn w:val="a"/>
    <w:qFormat/>
    <w:pPr>
      <w:spacing w:beforeAutospacing="1" w:afterAutospacing="1"/>
    </w:pPr>
    <w:rPr>
      <w:rFonts w:ascii="Times New Roman" w:eastAsia="SimSun" w:hAnsi="Times New Roman" w:cs="Times New Roman"/>
      <w:sz w:val="24"/>
      <w:szCs w:val="24"/>
      <w:lang w:val="en-US" w:eastAsia="zh-CN"/>
    </w:rPr>
  </w:style>
  <w:style w:type="character" w:styleId="ad">
    <w:name w:val="Strong"/>
    <w:qFormat/>
    <w:rPr>
      <w:b/>
      <w:bCs/>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
    <w:name w:val="Без интервала1"/>
    <w:qFormat/>
    <w:pPr>
      <w:suppressAutoHyphens/>
    </w:pPr>
    <w:rPr>
      <w:rFonts w:ascii="Calibri" w:eastAsia="Times New Roman" w:hAnsi="Calibri"/>
      <w:sz w:val="22"/>
      <w:szCs w:val="22"/>
      <w:lang w:eastAsia="zh-CN"/>
    </w:rPr>
  </w:style>
  <w:style w:type="paragraph" w:styleId="af">
    <w:name w:val="No Spacing"/>
    <w:uiPriority w:val="1"/>
    <w:qFormat/>
    <w:pPr>
      <w:suppressAutoHyphens/>
    </w:pPr>
    <w:rPr>
      <w:rFonts w:ascii="Calibri" w:eastAsia="Calibri" w:hAnsi="Calibri"/>
      <w:sz w:val="22"/>
      <w:szCs w:val="22"/>
      <w:lang w:eastAsia="zh-CN"/>
    </w:rPr>
  </w:style>
  <w:style w:type="paragraph" w:styleId="af0">
    <w:name w:val="List Paragraph"/>
    <w:basedOn w:val="a"/>
    <w:uiPriority w:val="34"/>
    <w:qFormat/>
    <w:pPr>
      <w:ind w:left="720"/>
      <w:contextualSpacing/>
    </w:pPr>
  </w:style>
  <w:style w:type="table" w:customStyle="1" w:styleId="Style13">
    <w:name w:val="_Style 13"/>
    <w:basedOn w:val="TableNormal1"/>
    <w:qFormat/>
    <w:tblPr>
      <w:tblCellMar>
        <w:left w:w="115" w:type="dxa"/>
        <w:right w:w="115" w:type="dxa"/>
      </w:tblCellMar>
    </w:tblPr>
  </w:style>
  <w:style w:type="table" w:customStyle="1" w:styleId="TableNormal1">
    <w:name w:val="Table Normal1"/>
    <w:qFormat/>
    <w:tblPr>
      <w:tblCellMar>
        <w:top w:w="0" w:type="dxa"/>
        <w:left w:w="0" w:type="dxa"/>
        <w:bottom w:w="0" w:type="dxa"/>
        <w:right w:w="0" w:type="dxa"/>
      </w:tblCellMar>
    </w:tblPr>
  </w:style>
  <w:style w:type="character" w:customStyle="1" w:styleId="a9">
    <w:name w:val="Нижний колонтитул Знак"/>
    <w:basedOn w:val="a0"/>
    <w:link w:val="a8"/>
    <w:uiPriority w:val="99"/>
    <w:qFormat/>
    <w:rPr>
      <w:rFonts w:asciiTheme="minorHAnsi" w:eastAsiaTheme="minorEastAsia" w:hAnsiTheme="minorHAnsi" w:cstheme="minorBidi"/>
      <w:sz w:val="18"/>
      <w:szCs w:val="18"/>
    </w:rPr>
  </w:style>
  <w:style w:type="character" w:customStyle="1" w:styleId="a4">
    <w:name w:val="Текст выноски Знак"/>
    <w:basedOn w:val="a0"/>
    <w:link w:val="a3"/>
    <w:qFormat/>
    <w:rPr>
      <w:rFonts w:ascii="Tahoma" w:eastAsiaTheme="minorEastAsia" w:hAnsi="Tahoma" w:cs="Tahoma"/>
      <w:sz w:val="16"/>
      <w:szCs w:val="16"/>
    </w:rPr>
  </w:style>
  <w:style w:type="character" w:customStyle="1" w:styleId="visually-hidden">
    <w:name w:val="visually-hidden"/>
    <w:basedOn w:val="a0"/>
    <w:qFormat/>
  </w:style>
  <w:style w:type="paragraph" w:customStyle="1" w:styleId="copyright-wrapper-teaser-text-date">
    <w:name w:val="copyright-wrapper-teaser-text-date"/>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ynqvb">
    <w:name w:val="rynqvb"/>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www.dcceew.gov.au" TargetMode="External"/><Relationship Id="rId21" Type="http://schemas.openxmlformats.org/officeDocument/2006/relationships/image" Target="media/image8.png"/><Relationship Id="rId42" Type="http://schemas.openxmlformats.org/officeDocument/2006/relationships/diagramLayout" Target="diagrams/layout1.xml"/><Relationship Id="rId63" Type="http://schemas.openxmlformats.org/officeDocument/2006/relationships/hyperlink" Target="https://www.sciencedirect.com/journal/journal-of-environmental-economics-and-management" TargetMode="External"/><Relationship Id="rId84" Type="http://schemas.openxmlformats.org/officeDocument/2006/relationships/hyperlink" Target="https://www.cj.co.kr/cj_files/2022%20Sustainability%20Report.pdf" TargetMode="External"/><Relationship Id="rId138" Type="http://schemas.openxmlformats.org/officeDocument/2006/relationships/hyperlink" Target="https://www.statcan.gc.ca/en/topics-start/food-price?utm_" TargetMode="External"/><Relationship Id="rId159" Type="http://schemas.openxmlformats.org/officeDocument/2006/relationships/hyperlink" Target="https://www.kroger.com/b/" TargetMode="External"/><Relationship Id="rId170" Type="http://schemas.openxmlformats.org/officeDocument/2006/relationships/hyperlink" Target="https://shop.coles.com." TargetMode="External"/><Relationship Id="rId191" Type="http://schemas.openxmlformats.org/officeDocument/2006/relationships/hyperlink" Target="https://www.tc.gc.ca/eng/policy/anre-menu-3020.htm" TargetMode="External"/><Relationship Id="rId205" Type="http://schemas.openxmlformats.org/officeDocument/2006/relationships/hyperlink" Target="https://www.duo.nl/particulier/international-visitor/index.jsp" TargetMode="External"/><Relationship Id="rId226" Type="http://schemas.openxmlformats.org/officeDocument/2006/relationships/hyperlink" Target="https://www.nifa.usda.gov/" TargetMode="External"/><Relationship Id="rId247" Type="http://schemas.openxmlformats.org/officeDocument/2006/relationships/theme" Target="theme/theme1.xml"/><Relationship Id="rId107" Type="http://schemas.openxmlformats.org/officeDocument/2006/relationships/hyperlink" Target="https://www.maff.go.jp/e/data/publish/Annual_Report/Annual" TargetMode="External"/><Relationship Id="rId11" Type="http://schemas.openxmlformats.org/officeDocument/2006/relationships/image" Target="media/image2.png"/><Relationship Id="rId32" Type="http://schemas.openxmlformats.org/officeDocument/2006/relationships/chart" Target="charts/chart2.xml"/><Relationship Id="rId53" Type="http://schemas.openxmlformats.org/officeDocument/2006/relationships/hyperlink" Target="https://www.akorda.kz/kz/official_documents/strategies_and_programs" TargetMode="External"/><Relationship Id="rId74" Type="http://schemas.openxmlformats.org/officeDocument/2006/relationships/hyperlink" Target="https://rea.ec.europa.eu/news/91-new-eu-funded-projects-deliver-." TargetMode="External"/><Relationship Id="rId128" Type="http://schemas.openxmlformats.org/officeDocument/2006/relationships/hyperlink" Target="https://sthjj.beijing.gov.cn/bjhrb/index/xxgk69/sthjlyzwg/." TargetMode="External"/><Relationship Id="rId149" Type="http://schemas.openxmlformats.org/officeDocument/2006/relationships/hyperlink" Target="http://www.ic.gc.ca/eic/site/125" TargetMode="External"/><Relationship Id="rId5" Type="http://schemas.openxmlformats.org/officeDocument/2006/relationships/webSettings" Target="webSettings.xml"/><Relationship Id="rId95" Type="http://schemas.openxmlformats.org/officeDocument/2006/relationships/hyperlink" Target="https://stat.gov.kz/" TargetMode="External"/><Relationship Id="rId160" Type="http://schemas.openxmlformats.org/officeDocument/2006/relationships/hyperlink" Target="https://www.walmart.ca/en/great" TargetMode="External"/><Relationship Id="rId181" Type="http://schemas.openxmlformats.org/officeDocument/2006/relationships/hyperlink" Target="https://www.rewe.de" TargetMode="External"/><Relationship Id="rId216" Type="http://schemas.openxmlformats.org/officeDocument/2006/relationships/hyperlink" Target="https://www.careeronestop.org/toolkit/careers/occupations/" TargetMode="External"/><Relationship Id="rId237" Type="http://schemas.openxmlformats.org/officeDocument/2006/relationships/hyperlink" Target="https://primeminister.kz/ru/news/reviews/itogi-goda-finansirovanie-nauki.%2012.12.2025." TargetMode="External"/><Relationship Id="rId22" Type="http://schemas.openxmlformats.org/officeDocument/2006/relationships/image" Target="media/image9.png"/><Relationship Id="rId43" Type="http://schemas.openxmlformats.org/officeDocument/2006/relationships/diagramQuickStyle" Target="diagrams/quickStyle1.xml"/><Relationship Id="rId64" Type="http://schemas.openxmlformats.org/officeDocument/2006/relationships/hyperlink" Target="file:///C:\Users\user\Downloads\Vol.%2092" TargetMode="External"/><Relationship Id="rId118" Type="http://schemas.openxmlformats.org/officeDocument/2006/relationships/hyperlink" Target="https://www.env.go.jp" TargetMode="External"/><Relationship Id="rId139" Type="http://schemas.openxmlformats.org/officeDocument/2006/relationships/hyperlink" Target="https://www.bls.gov/opub/ted/2021/consumer-price-index-2020-in." TargetMode="External"/><Relationship Id="rId85" Type="http://schemas.openxmlformats.org/officeDocument/2006/relationships/hyperlink" Target="https://www.pulmuone.co." TargetMode="External"/><Relationship Id="rId150" Type="http://schemas.openxmlformats.org/officeDocument/2006/relationships/hyperlink" Target="https://www.canada.ca/en/agriculture" TargetMode="External"/><Relationship Id="rId171" Type="http://schemas.openxmlformats.org/officeDocument/2006/relationships/hyperlink" Target="https://www.iga.com.au/our-brands" TargetMode="External"/><Relationship Id="rId192" Type="http://schemas.openxmlformats.org/officeDocument/2006/relationships/hyperlink" Target="http://www.mit.gov.it/en/comunicazione/news/porti.%2010.02.2026." TargetMode="External"/><Relationship Id="rId206" Type="http://schemas.openxmlformats.org/officeDocument/2006/relationships/hyperlink" Target="https://www.cbs.nl/en-gb/figures/detail/80590" TargetMode="External"/><Relationship Id="rId227" Type="http://schemas.openxmlformats.org/officeDocument/2006/relationships/hyperlink" Target="https://grants.gov/search-results-detail/360205?utm_source=chatgpt.com" TargetMode="External"/><Relationship Id="rId12" Type="http://schemas.openxmlformats.org/officeDocument/2006/relationships/image" Target="media/image3.svg"/><Relationship Id="rId33" Type="http://schemas.openxmlformats.org/officeDocument/2006/relationships/chart" Target="charts/chart3.xml"/><Relationship Id="rId108" Type="http://schemas.openxmlformats.org/officeDocument/2006/relationships/hyperlink" Target="https://www.jacvam.go.jp/files/news/MFDS%20NAMs%20Report_2023." TargetMode="External"/><Relationship Id="rId129" Type="http://schemas.openxmlformats.org/officeDocument/2006/relationships/hyperlink" Target="https://www.fao.org?utm_source=chatgpt.com" TargetMode="External"/><Relationship Id="rId54" Type="http://schemas.openxmlformats.org/officeDocument/2006/relationships/hyperlink" Target="https://press.un.org/en/2023/gaef3590.doc.htm" TargetMode="External"/><Relationship Id="rId75" Type="http://schemas.openxmlformats.org/officeDocument/2006/relationships/hyperlink" Target="https://cordis.europa.eu" TargetMode="External"/><Relationship Id="rId96" Type="http://schemas.openxmlformats.org/officeDocument/2006/relationships/hyperlink" Target="https://qazindustry.gov.kz/kk/nationalreportindustry" TargetMode="External"/><Relationship Id="rId140" Type="http://schemas.openxmlformats.org/officeDocument/2006/relationships/hyperlink" Target="https://www.bankofcanada.ca/rates/interest-rates/" TargetMode="External"/><Relationship Id="rId161" Type="http://schemas.openxmlformats.org/officeDocument/2006/relationships/hyperlink" Target="https://www.asda.com/about" TargetMode="External"/><Relationship Id="rId182" Type="http://schemas.openxmlformats.org/officeDocument/2006/relationships/hyperlink" Target="https://www.ah.nl/producten" TargetMode="External"/><Relationship Id="rId217" Type="http://schemas.openxmlformats.org/officeDocument/2006/relationships/hyperlink" Target="https://www.oecd.org/content/dam/oecd/en/publications/reports/2020/06." TargetMode="External"/><Relationship Id="rId6" Type="http://schemas.openxmlformats.org/officeDocument/2006/relationships/footnotes" Target="footnotes.xml"/><Relationship Id="rId238" Type="http://schemas.openxmlformats.org/officeDocument/2006/relationships/hyperlink" Target="https://www.canada.ca/en/treasury-board-secretariat/corporate/reports." TargetMode="External"/><Relationship Id="rId23" Type="http://schemas.openxmlformats.org/officeDocument/2006/relationships/image" Target="media/image10.png"/><Relationship Id="rId119" Type="http://schemas.openxmlformats.org/officeDocument/2006/relationships/hyperlink" Target="https://www.me.go." TargetMode="External"/><Relationship Id="rId44" Type="http://schemas.openxmlformats.org/officeDocument/2006/relationships/diagramColors" Target="diagrams/colors1.xml"/><Relationship Id="rId65" Type="http://schemas.openxmlformats.org/officeDocument/2006/relationships/hyperlink" Target="https://www.oecd.org/sti/ind/48350231.pdf" TargetMode="External"/><Relationship Id="rId86" Type="http://schemas.openxmlformats.org/officeDocument/2006/relationships/hyperlink" Target="https://www.sciencedirect.com/journal/food-policy" TargetMode="External"/><Relationship Id="rId130" Type="http://schemas.openxmlformats.org/officeDocument/2006/relationships/hyperlink" Target="https://www.usda." TargetMode="External"/><Relationship Id="rId151" Type="http://schemas.openxmlformats.org/officeDocument/2006/relationships/hyperlink" Target="https://www.agriculture.gov." TargetMode="External"/><Relationship Id="rId172" Type="http://schemas.openxmlformats.org/officeDocument/2006/relationships/hyperlink" Target="https://www.woolworths." TargetMode="External"/><Relationship Id="rId193" Type="http://schemas.openxmlformats.org/officeDocument/2006/relationships/hyperlink" Target="https://www.infrastructure.gov.au/aviation/international/icao/desig_." TargetMode="External"/><Relationship Id="rId207" Type="http://schemas.openxmlformats.org/officeDocument/2006/relationships/hyperlink" Target="https://www.abs.gov.au/AUSSTATS/abs.%2010." TargetMode="External"/><Relationship Id="rId228" Type="http://schemas.openxmlformats.org/officeDocument/2006/relationships/hyperlink" Target="https://www.globalcompliancenews.com/author/naoaki-eguchi/" TargetMode="External"/><Relationship Id="rId13" Type="http://schemas.openxmlformats.org/officeDocument/2006/relationships/image" Target="media/image3.png"/><Relationship Id="rId109" Type="http://schemas.openxmlformats.org/officeDocument/2006/relationships/hyperlink" Target="https://www.fda.gov/safety/recalls-market-withdrawals-safety-alerts" TargetMode="External"/><Relationship Id="rId34" Type="http://schemas.openxmlformats.org/officeDocument/2006/relationships/chart" Target="charts/chart4.xml"/><Relationship Id="rId55" Type="http://schemas.openxmlformats.org/officeDocument/2006/relationships/hyperlink" Target="https://databank.worldbank.org/databases/population-growth" TargetMode="External"/><Relationship Id="rId76" Type="http://schemas.openxmlformats.org/officeDocument/2006/relationships/hyperlink" Target="https://papers.ssrn.com/sol3/papers.cfm?abstract_id=3398063" TargetMode="External"/><Relationship Id="rId97" Type="http://schemas.openxmlformats.org/officeDocument/2006/relationships/hyperlink" Target="https://qazindustry.gov.kz/images/docs//regdoc_ru" TargetMode="External"/><Relationship Id="rId120" Type="http://schemas.openxmlformats.org/officeDocument/2006/relationships/hyperlink" Target="http://english.mee.gov.cn" TargetMode="External"/><Relationship Id="rId141" Type="http://schemas.openxmlformats.org/officeDocument/2006/relationships/hyperlink" Target="https://www.bankofcanada.ca/rates/interest." TargetMode="External"/><Relationship Id="rId7" Type="http://schemas.openxmlformats.org/officeDocument/2006/relationships/endnotes" Target="endnotes.xml"/><Relationship Id="rId162" Type="http://schemas.openxmlformats.org/officeDocument/2006/relationships/hyperlink" Target="https://www.lidl.co.uk/our" TargetMode="External"/><Relationship Id="rId183" Type="http://schemas.openxmlformats.org/officeDocument/2006/relationships/hyperlink" Target="https://www.gruppovege.it" TargetMode="External"/><Relationship Id="rId218" Type="http://schemas.openxmlformats.org/officeDocument/2006/relationships/hyperlink" Target="https://adilet.zan.kz/kaz/docs/Z090000223_" TargetMode="External"/><Relationship Id="rId239" Type="http://schemas.openxmlformats.org/officeDocument/2006/relationships/hyperlink" Target="https://www.finance.gov.au/sites/default/files.%2010.10.2025." TargetMode="External"/><Relationship Id="rId24" Type="http://schemas.openxmlformats.org/officeDocument/2006/relationships/image" Target="media/image11.png"/><Relationship Id="rId45" Type="http://schemas.microsoft.com/office/2007/relationships/diagramDrawing" Target="diagrams/drawing1.xml"/><Relationship Id="rId66" Type="http://schemas.openxmlformats.org/officeDocument/2006/relationships/hyperlink" Target="https://doi.org/10.1108/BFJ-07-2019-0534" TargetMode="External"/><Relationship Id="rId87" Type="http://schemas.openxmlformats.org/officeDocument/2006/relationships/hyperlink" Target="https://www.sciencedirect.com/journal/food-policy/vol/128/suppl/C" TargetMode="External"/><Relationship Id="rId110" Type="http://schemas.openxmlformats.org/officeDocument/2006/relationships/hyperlink" Target="https://www.canada.ca" TargetMode="External"/><Relationship Id="rId131" Type="http://schemas.openxmlformats.org/officeDocument/2006/relationships/hyperlink" Target="https://agriculture.ec.europa.eu" TargetMode="External"/><Relationship Id="rId152" Type="http://schemas.openxmlformats.org/officeDocument/2006/relationships/hyperlink" Target="https://www.bundesfinanzministerium.de/" TargetMode="External"/><Relationship Id="rId173" Type="http://schemas.openxmlformats.org/officeDocument/2006/relationships/hyperlink" Target="https://www.costco." TargetMode="External"/><Relationship Id="rId194" Type="http://schemas.openxmlformats.org/officeDocument/2006/relationships/hyperlink" Target="https://data.worldbank.org/indicator/IS.RRS.TOTL.KM?locations=AU" TargetMode="External"/><Relationship Id="rId208" Type="http://schemas.openxmlformats.org/officeDocument/2006/relationships/hyperlink" Target="https://www.aph.gov.au/" TargetMode="External"/><Relationship Id="rId229" Type="http://schemas.openxmlformats.org/officeDocument/2006/relationships/hyperlink" Target="https://www.globalcompliancenews.com/author/shun-fukazawa/" TargetMode="External"/><Relationship Id="rId240" Type="http://schemas.openxmlformats.org/officeDocument/2006/relationships/hyperlink" Target="https://datagovhub.elliott.gwu." TargetMode="External"/><Relationship Id="rId14" Type="http://schemas.openxmlformats.org/officeDocument/2006/relationships/image" Target="media/image5.svg"/><Relationship Id="rId35" Type="http://schemas.openxmlformats.org/officeDocument/2006/relationships/image" Target="media/image19.emf"/><Relationship Id="rId56" Type="http://schemas.openxmlformats.org/officeDocument/2006/relationships/hyperlink" Target="https://openknowledge.fao.org" TargetMode="External"/><Relationship Id="rId77" Type="http://schemas.openxmlformats.org/officeDocument/2006/relationships/hyperlink" Target="https://www.newhope.com/investors-service-providers/how-chobani." TargetMode="External"/><Relationship Id="rId100" Type="http://schemas.openxmlformats.org/officeDocument/2006/relationships/hyperlink" Target="https://adilet.zan.kz/kaz/docs/U2500001042" TargetMode="External"/><Relationship Id="rId8" Type="http://schemas.openxmlformats.org/officeDocument/2006/relationships/footer" Target="footer1.xml"/><Relationship Id="rId98" Type="http://schemas.openxmlformats.org/officeDocument/2006/relationships/hyperlink" Target="https://taldau.stat.gov.kz/kk." TargetMode="External"/><Relationship Id="rId121" Type="http://schemas.openxmlformats.org/officeDocument/2006/relationships/hyperlink" Target="https://www.epa.gov?utm_source=chatgpt.com" TargetMode="External"/><Relationship Id="rId142" Type="http://schemas.openxmlformats.org/officeDocument/2006/relationships/hyperlink" Target="https://fred.stlouisfed.org/series/." TargetMode="External"/><Relationship Id="rId163" Type="http://schemas.openxmlformats.org/officeDocument/2006/relationships/hyperlink" Target="https://www.sainsburys.co.uk" TargetMode="External"/><Relationship Id="rId184" Type="http://schemas.openxmlformats.org/officeDocument/2006/relationships/hyperlink" Target="https://www.gruppovege.it/prodotti" TargetMode="External"/><Relationship Id="rId219" Type="http://schemas.openxmlformats.org/officeDocument/2006/relationships/hyperlink" Target="https://www.undp.org." TargetMode="External"/><Relationship Id="rId230" Type="http://schemas.openxmlformats.org/officeDocument/2006/relationships/hyperlink" Target="https://www.globalcompliancenews.com/2022/04/28." TargetMode="External"/><Relationship Id="rId25" Type="http://schemas.openxmlformats.org/officeDocument/2006/relationships/image" Target="media/image12.png"/><Relationship Id="rId46" Type="http://schemas.openxmlformats.org/officeDocument/2006/relationships/diagramData" Target="diagrams/data2.xml"/><Relationship Id="rId67" Type="http://schemas.openxmlformats.org/officeDocument/2006/relationships/hyperlink" Target="https://docs.yandex.kz/docs/view?tm=1770824453&amp;tld=kz&amp;lang=" TargetMode="External"/><Relationship Id="rId88" Type="http://schemas.openxmlformats.org/officeDocument/2006/relationships/hyperlink" Target="https://globalaginvesting.com/chinas-starfield-raises." TargetMode="External"/><Relationship Id="rId111" Type="http://schemas.openxmlformats.org/officeDocument/2006/relationships/hyperlink" Target="https://www.foodstandards.gov.au" TargetMode="External"/><Relationship Id="rId132" Type="http://schemas.openxmlformats.org/officeDocument/2006/relationships/hyperlink" Target="https://www.maff.go.jp" TargetMode="External"/><Relationship Id="rId153" Type="http://schemas.openxmlformats.org/officeDocument/2006/relationships/hyperlink" Target="https://www.politicheagricole.it/flex/cm/pages/ServeBLOB.php" TargetMode="External"/><Relationship Id="rId174" Type="http://schemas.openxmlformats.org/officeDocument/2006/relationships/hyperlink" Target="https://www.loblaw.ca/en." TargetMode="External"/><Relationship Id="rId195" Type="http://schemas.openxmlformats.org/officeDocument/2006/relationships/hyperlink" Target="https://www.bmvi.de/SharedDocs." TargetMode="External"/><Relationship Id="rId209" Type="http://schemas.openxmlformats.org/officeDocument/2006/relationships/hyperlink" Target="https://atameken.kz/ru/university_ratings" TargetMode="External"/><Relationship Id="rId220" Type="http://schemas.openxmlformats.org/officeDocument/2006/relationships/hyperlink" Target="https://www.oecd.org/en." TargetMode="External"/><Relationship Id="rId241" Type="http://schemas.openxmlformats.org/officeDocument/2006/relationships/hyperlink" Target="https://adilet.zan.kz/kaz/docs" TargetMode="External"/><Relationship Id="rId15" Type="http://schemas.openxmlformats.org/officeDocument/2006/relationships/chart" Target="charts/chart1.xml"/><Relationship Id="rId36" Type="http://schemas.openxmlformats.org/officeDocument/2006/relationships/oleObject" Target="embeddings/Microsoft_Excel_97-2003_Worksheet2.xls"/><Relationship Id="rId57" Type="http://schemas.openxmlformats.org/officeDocument/2006/relationships/hyperlink" Target="https://ideas.repec.org/h/elg/eechap/19760_43.html" TargetMode="External"/><Relationship Id="rId10" Type="http://schemas.openxmlformats.org/officeDocument/2006/relationships/image" Target="media/image1.png"/><Relationship Id="rId31" Type="http://schemas.openxmlformats.org/officeDocument/2006/relationships/image" Target="media/image18.png"/><Relationship Id="rId52" Type="http://schemas.openxmlformats.org/officeDocument/2006/relationships/image" Target="media/image23.png"/><Relationship Id="rId73" Type="http://schemas.openxmlformats.org/officeDocument/2006/relationships/hyperlink" Target="https://cop.unglobalcompact.org/2023/files/8902_." TargetMode="External"/><Relationship Id="rId78" Type="http://schemas.openxmlformats.org/officeDocument/2006/relationships/hyperlink" Target="https://www.dairyreporter.com/Article/2016/09/20/Chobani-incubator-class-includes-Banza-pasta-Kettle-Fire-bone-broth/?utm_source=copyright&amp;utm_medium=OnSite&amp;utm_campaign=copyright" TargetMode="External"/><Relationship Id="rId94" Type="http://schemas.openxmlformats.org/officeDocument/2006/relationships/hyperlink" Target="https://stat.gov.kz/" TargetMode="External"/><Relationship Id="rId99" Type="http://schemas.openxmlformats.org/officeDocument/2006/relationships/hyperlink" Target="https://adilet.zan.kz/kaz/docs" TargetMode="External"/><Relationship Id="rId101" Type="http://schemas.openxmlformats.org/officeDocument/2006/relationships/hyperlink" Target="https://qazaqstan.tv/news/218215" TargetMode="External"/><Relationship Id="rId122" Type="http://schemas.openxmlformats.org/officeDocument/2006/relationships/hyperlink" Target="https://adilet.zan.kz?utm_source=chatgpt.com" TargetMode="External"/><Relationship Id="rId143" Type="http://schemas.openxmlformats.org/officeDocument/2006/relationships/hyperlink" Target="https://stat.gov.kz/ru/." TargetMode="External"/><Relationship Id="rId148" Type="http://schemas.openxmlformats.org/officeDocument/2006/relationships/hyperlink" Target="http://www.agr.gc.ca/eng/about-our-department/key" TargetMode="External"/><Relationship Id="rId164" Type="http://schemas.openxmlformats.org/officeDocument/2006/relationships/hyperlink" Target="https://www.waitrose." TargetMode="External"/><Relationship Id="rId169" Type="http://schemas.openxmlformats.org/officeDocument/2006/relationships/hyperlink" Target="https://www.magasins-u." TargetMode="External"/><Relationship Id="rId185" Type="http://schemas.openxmlformats.org/officeDocument/2006/relationships/hyperlink" Target="https://www.famila.it/le-nostre"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www.metroag.de/en/brands" TargetMode="External"/><Relationship Id="rId210" Type="http://schemas.openxmlformats.org/officeDocument/2006/relationships/hyperlink" Target="https://www.chinadailyhk.com/hk/article/610420" TargetMode="External"/><Relationship Id="rId215" Type="http://schemas.openxmlformats.org/officeDocument/2006/relationships/hyperlink" Target="https://maximuskr.co.kr/en/career-support-program-for-youth." TargetMode="External"/><Relationship Id="rId236" Type="http://schemas.openxmlformats.org/officeDocument/2006/relationships/hyperlink" Target="https://science-fund.kz." TargetMode="External"/><Relationship Id="rId26" Type="http://schemas.openxmlformats.org/officeDocument/2006/relationships/image" Target="media/image13.png"/><Relationship Id="rId231" Type="http://schemas.openxmlformats.org/officeDocument/2006/relationships/hyperlink" Target="https://myresearchconnect.com/." TargetMode="External"/><Relationship Id="rId47" Type="http://schemas.openxmlformats.org/officeDocument/2006/relationships/diagramLayout" Target="diagrams/layout2.xml"/><Relationship Id="rId68" Type="http://schemas.openxmlformats.org/officeDocument/2006/relationships/hyperlink" Target="https://phab-conference.com/a-world-leader-in-agriculture/" TargetMode="External"/><Relationship Id="rId89" Type="http://schemas.openxmlformats.org/officeDocument/2006/relationships/hyperlink" Target="https://data.gov.au/" TargetMode="External"/><Relationship Id="rId112" Type="http://schemas.openxmlformats.org/officeDocument/2006/relationships/hyperlink" Target="https://www.efsa.europa.eu" TargetMode="External"/><Relationship Id="rId133" Type="http://schemas.openxmlformats.org/officeDocument/2006/relationships/hyperlink" Target="https://www.krei.re.kr" TargetMode="External"/><Relationship Id="rId154" Type="http://schemas.openxmlformats.org/officeDocument/2006/relationships/hyperlink" Target="https://www.mofa.go.jp/policy/oda/guide/1998/1-6.html" TargetMode="External"/><Relationship Id="rId175" Type="http://schemas.openxmlformats.org/officeDocument/2006/relationships/hyperlink" Target="https://www.metro.ca/en" TargetMode="External"/><Relationship Id="rId196" Type="http://schemas.openxmlformats.org/officeDocument/2006/relationships/hyperlink" Target="https://aifc.kz/wp-content/uploads/2024/07/2.2-transportno." TargetMode="External"/><Relationship Id="rId200" Type="http://schemas.openxmlformats.org/officeDocument/2006/relationships/hyperlink" Target="http://dati.istat.it/Index.aspx?QueryId=25132=en" TargetMode="External"/><Relationship Id="rId16" Type="http://schemas.openxmlformats.org/officeDocument/2006/relationships/image" Target="media/image4.png"/><Relationship Id="rId221" Type="http://schemas.openxmlformats.org/officeDocument/2006/relationships/hyperlink" Target="https://stat.gov.kz/industries%20/labor-and-income/stat-wags/publications/182973/" TargetMode="External"/><Relationship Id="rId242" Type="http://schemas.openxmlformats.org/officeDocument/2006/relationships/hyperlink" Target="https://cert.gov.kz/" TargetMode="External"/><Relationship Id="rId37" Type="http://schemas.openxmlformats.org/officeDocument/2006/relationships/image" Target="media/image20.emf"/><Relationship Id="rId58" Type="http://schemas.openxmlformats.org/officeDocument/2006/relationships/hyperlink" Target="https://ideas.repec.org/b/elg/eebook/19760.html" TargetMode="External"/><Relationship Id="rId79" Type="http://schemas.openxmlformats.org/officeDocument/2006/relationships/hyperlink" Target="https://www.dairyreporter.com/" TargetMode="External"/><Relationship Id="rId102" Type="http://schemas.openxmlformats.org/officeDocument/2006/relationships/hyperlink" Target="https://apk-news.kz/news/item-3734" TargetMode="External"/><Relationship Id="rId123" Type="http://schemas.openxmlformats.org/officeDocument/2006/relationships/hyperlink" Target="https://www.epa.gov?utm_source=chatgpt.com" TargetMode="External"/><Relationship Id="rId144" Type="http://schemas.openxmlformats.org/officeDocument/2006/relationships/hyperlink" Target="https://www.istat.it/en/press-release." TargetMode="External"/><Relationship Id="rId90" Type="http://schemas.openxmlformats.org/officeDocument/2006/relationships/hyperlink" Target="https://www1.health.gov.au/internet/publications/publishing.nsf.%2001.08.2021." TargetMode="External"/><Relationship Id="rId165" Type="http://schemas.openxmlformats.org/officeDocument/2006/relationships/hyperlink" Target="https://www.auchan-retail.com/en" TargetMode="External"/><Relationship Id="rId186" Type="http://schemas.openxmlformats.org/officeDocument/2006/relationships/hyperlink" Target="https://kz.kursiv.media/.%2010.10.2025." TargetMode="External"/><Relationship Id="rId211" Type="http://schemas.openxmlformats.org/officeDocument/2006/relationships/hyperlink" Target="https://www.aqf.edu.au" TargetMode="External"/><Relationship Id="rId232" Type="http://schemas.openxmlformats.org/officeDocument/2006/relationships/hyperlink" Target="https://moderndiplomacy." TargetMode="External"/><Relationship Id="rId27" Type="http://schemas.openxmlformats.org/officeDocument/2006/relationships/image" Target="media/image14.png"/><Relationship Id="rId48" Type="http://schemas.openxmlformats.org/officeDocument/2006/relationships/diagramQuickStyle" Target="diagrams/quickStyle2.xml"/><Relationship Id="rId69" Type="http://schemas.openxmlformats.org/officeDocument/2006/relationships/hyperlink" Target="https://onlinelibrary.wiley.com/authored-by/Zadegan/Mahshid+G." TargetMode="External"/><Relationship Id="rId113" Type="http://schemas.openxmlformats.org/officeDocument/2006/relationships/hyperlink" Target="https://www.mfds.go.kr" TargetMode="External"/><Relationship Id="rId134" Type="http://schemas.openxmlformats.org/officeDocument/2006/relationships/hyperlink" Target="http://english.mee.gov.cn" TargetMode="External"/><Relationship Id="rId80" Type="http://schemas.openxmlformats.org/officeDocument/2006/relationships/hyperlink" Target="https://www.dairyreporter.com/Article/2018/03/12/Chobani-reveals-its.%2010.02.2026.%20" TargetMode="External"/><Relationship Id="rId155" Type="http://schemas.openxmlformats.org/officeDocument/2006/relationships/hyperlink" Target="https://www.wfp.org/countries/china" TargetMode="External"/><Relationship Id="rId176" Type="http://schemas.openxmlformats.org/officeDocument/2006/relationships/hyperlink" Target="https://corporate.sobeys.com/our-brands" TargetMode="External"/><Relationship Id="rId197" Type="http://schemas.openxmlformats.org/officeDocument/2006/relationships/hyperlink" Target="https://www.jobbank.gc.ca/studentdashboard" TargetMode="External"/><Relationship Id="rId201" Type="http://schemas.openxmlformats.org/officeDocument/2006/relationships/hyperlink" Target="http://dati.istat.it/Index.aspx?QueryId=25981=en" TargetMode="External"/><Relationship Id="rId222" Type="http://schemas.openxmlformats.org/officeDocument/2006/relationships/hyperlink" Target="https://www.wipo.int/portal/en/index.html" TargetMode="External"/><Relationship Id="rId243" Type="http://schemas.openxmlformats.org/officeDocument/2006/relationships/image" Target="media/image24.png"/><Relationship Id="rId17" Type="http://schemas.openxmlformats.org/officeDocument/2006/relationships/image" Target="media/image5.emf"/><Relationship Id="rId38" Type="http://schemas.openxmlformats.org/officeDocument/2006/relationships/oleObject" Target="embeddings/Microsoft_Excel_97-2003_Worksheet3.xls"/><Relationship Id="rId59" Type="http://schemas.openxmlformats.org/officeDocument/2006/relationships/hyperlink" Target="https://www.sciencedirect.com/journal/research-policy" TargetMode="External"/><Relationship Id="rId103" Type="http://schemas.openxmlformats.org/officeDocument/2006/relationships/hyperlink" Target="https://commission.europa.eu/law/application-eu-law/implementing-eu-." TargetMode="External"/><Relationship Id="rId124" Type="http://schemas.openxmlformats.org/officeDocument/2006/relationships/hyperlink" Target="https://environment.ec.europa.eu" TargetMode="External"/><Relationship Id="rId70" Type="http://schemas.openxmlformats.org/officeDocument/2006/relationships/hyperlink" Target="https://onlinelibrary.wiley.com/authored-by/Ghazinoory/Sepehr" TargetMode="External"/><Relationship Id="rId91" Type="http://schemas.openxmlformats.org/officeDocument/2006/relationships/hyperlink" Target="https://www.canada.ca/en/environment." TargetMode="External"/><Relationship Id="rId145" Type="http://schemas.openxmlformats.org/officeDocument/2006/relationships/hyperlink" Target="https://svspb.net/danmark/." TargetMode="External"/><Relationship Id="rId166" Type="http://schemas.openxmlformats.org/officeDocument/2006/relationships/hyperlink" Target="https://www.carrefour.com/en/group/history" TargetMode="External"/><Relationship Id="rId187" Type="http://schemas.openxmlformats.org/officeDocument/2006/relationships/hyperlink" Target="https://railroads.dot.gov/rail-network-development/freight-rail/freightl" TargetMode="External"/><Relationship Id="rId1" Type="http://schemas.openxmlformats.org/officeDocument/2006/relationships/customXml" Target="../customXml/item1.xml"/><Relationship Id="rId212" Type="http://schemas.openxmlformats.org/officeDocument/2006/relationships/hyperlink" Target="https://www.jobbank.gc" TargetMode="External"/><Relationship Id="rId233" Type="http://schemas.openxmlformats.org/officeDocument/2006/relationships/hyperlink" Target="https://koreatechdesk.com/korean-ministry." TargetMode="External"/><Relationship Id="rId28" Type="http://schemas.openxmlformats.org/officeDocument/2006/relationships/image" Target="media/image15.png"/><Relationship Id="rId49" Type="http://schemas.openxmlformats.org/officeDocument/2006/relationships/diagramColors" Target="diagrams/colors2.xml"/><Relationship Id="rId114" Type="http://schemas.openxmlformats.org/officeDocument/2006/relationships/hyperlink" Target="http://en.nhc.gov.cn" TargetMode="External"/><Relationship Id="rId60" Type="http://schemas.openxmlformats.org/officeDocument/2006/relationships/hyperlink" Target="https://www.sciencedirect.com/journal/research-policy/vol/33/issue/6" TargetMode="External"/><Relationship Id="rId81" Type="http://schemas.openxmlformats.org/officeDocument/2006/relationships/hyperlink" Target="https://www.researchgate.net/profile/Anoop-G-M?_sg%5b0%5d=XR5LsjoLbQEc7jPJG-vTKdQm8MP-NTwybwsFhYrzM47NbbuRy00buCpC41Y1R4D7gZ14Bno.kbsjk95iJgH_Kg6gv6WV8-FDdMgKi83E8a3BcMVhndeH-T3KTIqd5x1fl7GJcNgma9t8eT11iB99WphdbSajSw&amp;_sg%5b1%5d=WyqukNM6FqgRKyMCPsc_Q8QocIhqr0FpFfzGcDOMo6hY_Fifz1_LCzNO1dLFzhSoOiIq_bE.xnWzyNmlgxqLTmReNvaeRWmZSxOSvUFV6YvwDPsaWpvOt3mL95ocrFN8blaZdIDfpCzZE57xa_EsOdTcUUPJAQ" TargetMode="External"/><Relationship Id="rId135" Type="http://schemas.openxmlformats.org/officeDocument/2006/relationships/hyperlink" Target="https://stat.gov.kz" TargetMode="External"/><Relationship Id="rId156" Type="http://schemas.openxmlformats.org/officeDocument/2006/relationships/hyperlink" Target="https://www.wfp.org/news." TargetMode="External"/><Relationship Id="rId177" Type="http://schemas.openxmlformats.org/officeDocument/2006/relationships/hyperlink" Target="https://www.walmart.com/" TargetMode="External"/><Relationship Id="rId198" Type="http://schemas.openxmlformats.org/officeDocument/2006/relationships/hyperlink" Target="https://nifa.usda.gov/." TargetMode="External"/><Relationship Id="rId202" Type="http://schemas.openxmlformats.org/officeDocument/2006/relationships/hyperlink" Target="https://openknowledge.fao.org/handle/20.500.14283/cc9429en" TargetMode="External"/><Relationship Id="rId223" Type="http://schemas.openxmlformats.org/officeDocument/2006/relationships/hyperlink" Target="https://english.cnipa.gov.cn/col/col2995/index.html" TargetMode="External"/><Relationship Id="rId244" Type="http://schemas.openxmlformats.org/officeDocument/2006/relationships/image" Target="media/image25.png"/><Relationship Id="rId18" Type="http://schemas.openxmlformats.org/officeDocument/2006/relationships/oleObject" Target="embeddings/Microsoft_Excel_97-2003_Worksheet1.xls"/><Relationship Id="rId39" Type="http://schemas.openxmlformats.org/officeDocument/2006/relationships/image" Target="media/image21.emf"/><Relationship Id="rId50" Type="http://schemas.microsoft.com/office/2007/relationships/diagramDrawing" Target="diagrams/drawing2.xml"/><Relationship Id="rId104" Type="http://schemas.openxmlformats.org/officeDocument/2006/relationships/hyperlink" Target="https://omcmedical.com/korean-ministry-of-food-drug-safety-approval.%2009.09.2025." TargetMode="External"/><Relationship Id="rId125" Type="http://schemas.openxmlformats.org/officeDocument/2006/relationships/hyperlink" Target="https://www.canada.ca" TargetMode="External"/><Relationship Id="rId146" Type="http://schemas.openxmlformats.org/officeDocument/2006/relationships/hyperlink" Target="https://nifa.usda.gov/program/agriculture-and-food-research-initiative" TargetMode="External"/><Relationship Id="rId167" Type="http://schemas.openxmlformats.org/officeDocument/2006/relationships/hyperlink" Target="https://www.e-leclerc.com/catalogue" TargetMode="External"/><Relationship Id="rId188" Type="http://schemas.openxmlformats.org/officeDocument/2006/relationships/hyperlink" Target="https://www.bts.gov/content/number-us-airportsa" TargetMode="External"/><Relationship Id="rId71" Type="http://schemas.openxmlformats.org/officeDocument/2006/relationships/hyperlink" Target="https://onlinelibrary.wiley.com/authored-by/Nasri/Shohreh" TargetMode="External"/><Relationship Id="rId92" Type="http://schemas.openxmlformats.org/officeDocument/2006/relationships/hyperlink" Target="https://adilet.zan.kz/kaz/docs/P2200000452/compare" TargetMode="External"/><Relationship Id="rId213" Type="http://schemas.openxmlformats.org/officeDocument/2006/relationships/hyperlink" Target="https://www.cedefop.europa.eu/en" TargetMode="External"/><Relationship Id="rId234" Type="http://schemas.openxmlformats.org/officeDocument/2006/relationships/hyperlink" Target="https://gfieurope.org/policy/public.%2012.12.2025." TargetMode="External"/><Relationship Id="rId2" Type="http://schemas.openxmlformats.org/officeDocument/2006/relationships/numbering" Target="numbering.xml"/><Relationship Id="rId29" Type="http://schemas.openxmlformats.org/officeDocument/2006/relationships/image" Target="media/image16.png"/><Relationship Id="rId40" Type="http://schemas.openxmlformats.org/officeDocument/2006/relationships/oleObject" Target="embeddings/Microsoft_Excel_97-2003_Worksheet4.xls"/><Relationship Id="rId115" Type="http://schemas.openxmlformats.org/officeDocument/2006/relationships/hyperlink" Target="https://legalacts.egov.kz/" TargetMode="External"/><Relationship Id="rId136" Type="http://schemas.openxmlformats.org/officeDocument/2006/relationships/hyperlink" Target="https://kapital.kz/economic/137926/struktura.%2006.06.2025." TargetMode="External"/><Relationship Id="rId157" Type="http://schemas.openxmlformats.org/officeDocument/2006/relationships/hyperlink" Target="https://www.kaf.kz/products/subsidies/" TargetMode="External"/><Relationship Id="rId178" Type="http://schemas.openxmlformats.org/officeDocument/2006/relationships/hyperlink" Target="http://www.seijoishii.co.jp/en/about/" TargetMode="External"/><Relationship Id="rId61" Type="http://schemas.openxmlformats.org/officeDocument/2006/relationships/hyperlink" Target="https://www.sciencedirect.com/journal/journal-of-interactive-marketing" TargetMode="External"/><Relationship Id="rId82" Type="http://schemas.openxmlformats.org/officeDocument/2006/relationships/hyperlink" Target="https://www.researchgate.net/journal/International-Journal-for-Research-in-Applied-Science-and-Engineering-Technology-2321-9653?_tp=eyJjb250ZXh0Ijp7ImZpcnN0UGFnZSI6Il9kaXJlY3QiLCJwYWdlIjoicHVibGljYXRpb24iLCJwb3NpdGlvbiI6InBhZ2VIZWFkZXIifX0" TargetMode="External"/><Relationship Id="rId199" Type="http://schemas.openxmlformats.org/officeDocument/2006/relationships/hyperlink" Target="https://www" TargetMode="External"/><Relationship Id="rId203" Type="http://schemas.openxmlformats.org/officeDocument/2006/relationships/hyperlink" Target="https://www.koreaherald.com/article/2727780?utm_source" TargetMode="External"/><Relationship Id="rId19" Type="http://schemas.openxmlformats.org/officeDocument/2006/relationships/image" Target="media/image6.png"/><Relationship Id="rId224" Type="http://schemas.openxmlformats.org/officeDocument/2006/relationships/hyperlink" Target="http://kipo.go.kr/en." TargetMode="External"/><Relationship Id="rId245" Type="http://schemas.openxmlformats.org/officeDocument/2006/relationships/image" Target="media/image26.png"/><Relationship Id="rId30" Type="http://schemas.openxmlformats.org/officeDocument/2006/relationships/image" Target="media/image17.png"/><Relationship Id="rId105" Type="http://schemas.openxmlformats.org/officeDocument/2006/relationships/hyperlink" Target="https://www.fda." TargetMode="External"/><Relationship Id="rId126" Type="http://schemas.openxmlformats.org/officeDocument/2006/relationships/hyperlink" Target="https://www.dcceew.gov.au" TargetMode="External"/><Relationship Id="rId147" Type="http://schemas.openxmlformats.org/officeDocument/2006/relationships/hyperlink" Target="https://nifa.usda.gov/funding" TargetMode="External"/><Relationship Id="rId168" Type="http://schemas.openxmlformats.org/officeDocument/2006/relationships/hyperlink" Target="https://www.mousquetaires." TargetMode="External"/><Relationship Id="rId51" Type="http://schemas.openxmlformats.org/officeDocument/2006/relationships/image" Target="media/image22.png"/><Relationship Id="rId72" Type="http://schemas.openxmlformats.org/officeDocument/2006/relationships/hyperlink" Target="https://www.andrianispa.com/en/" TargetMode="External"/><Relationship Id="rId93" Type="http://schemas.openxmlformats.org/officeDocument/2006/relationships/hyperlink" Target="https://adilet.zan.kz/kaz/docs/P2400000512" TargetMode="External"/><Relationship Id="rId189" Type="http://schemas.openxmlformats.org/officeDocument/2006/relationships/hyperlink" Target="https://www.bts.gov/content" TargetMode="External"/><Relationship Id="rId3" Type="http://schemas.openxmlformats.org/officeDocument/2006/relationships/styles" Target="styles.xml"/><Relationship Id="rId214" Type="http://schemas.openxmlformats.org/officeDocument/2006/relationships/hyperlink" Target="https://opendata.cbs.nl/statline/" TargetMode="External"/><Relationship Id="rId235" Type="http://schemas.openxmlformats.org/officeDocument/2006/relationships/hyperlink" Target="https://www.fisaonline.de/en/analyse-research-strategically/overview-of.%2012.12.2025." TargetMode="External"/><Relationship Id="rId116" Type="http://schemas.openxmlformats.org/officeDocument/2006/relationships/hyperlink" Target="https://www.bmuv.de" TargetMode="External"/><Relationship Id="rId137" Type="http://schemas.openxmlformats.org/officeDocument/2006/relationships/hyperlink" Target="https://www.imf.org/" TargetMode="External"/><Relationship Id="rId158" Type="http://schemas.openxmlformats.org/officeDocument/2006/relationships/hyperlink" Target="https://www.aholddelhaize.com." TargetMode="External"/><Relationship Id="rId20" Type="http://schemas.openxmlformats.org/officeDocument/2006/relationships/image" Target="media/image7.png"/><Relationship Id="rId41" Type="http://schemas.openxmlformats.org/officeDocument/2006/relationships/diagramData" Target="diagrams/data1.xml"/><Relationship Id="rId62" Type="http://schemas.openxmlformats.org/officeDocument/2006/relationships/hyperlink" Target="https://www.sciencedirect.com/journal/journal-of-interactive-marketing/vol/18/issue/3" TargetMode="External"/><Relationship Id="rId83" Type="http://schemas.openxmlformats.org/officeDocument/2006/relationships/hyperlink" Target="https://www.mext.go.jp/en/publication/whitepaper/title03/detail03/mext" TargetMode="External"/><Relationship Id="rId179" Type="http://schemas.openxmlformats.org/officeDocument/2006/relationships/hyperlink" Target="https://www.aldi-nord." TargetMode="External"/><Relationship Id="rId190" Type="http://schemas.openxmlformats.org/officeDocument/2006/relationships/hyperlink" Target="https://www144.statcan.gc.ca/tdih-cdit/cts-rtc." TargetMode="External"/><Relationship Id="rId204" Type="http://schemas.openxmlformats.org/officeDocument/2006/relationships/hyperlink" Target="https://www.destatis.de/EN/Themes/Economy/Short-Term-Indicators." TargetMode="External"/><Relationship Id="rId225" Type="http://schemas.openxmlformats.org/officeDocument/2006/relationships/hyperlink" Target="https://qazpatent.kz/storage." TargetMode="External"/><Relationship Id="rId246" Type="http://schemas.openxmlformats.org/officeDocument/2006/relationships/fontTable" Target="fontTable.xml"/><Relationship Id="rId106" Type="http://schemas.openxmlformats.org/officeDocument/2006/relationships/hyperlink" Target="https://www.foodstandards.gov.au/" TargetMode="External"/><Relationship Id="rId127" Type="http://schemas.openxmlformats.org/officeDocument/2006/relationships/hyperlink" Target="https://www.env.go.jp"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111\&#1040;&#1083;&#1100;&#1084;&#1080;&#1088;&#1072;%202022\Almira%202024-2025\&#1052;&#1086;&#1080;%20&#1087;&#1091;&#1073;&#1083;&#1080;&#1082;&#1072;&#1094;&#1080;&#1080;%202024\&#1055;&#1088;&#1086;&#1073;&#1083;&#1077;&#1084;&#1099;%20&#1072;&#1075;&#1088;&#1086;&#1088;&#1099;&#1085;&#1082;&#1072;%20&#1089;&#1090;&#1072;&#1090;&#1100;&#1103;\2.1%20&#1090;&#1072;&#1083;&#1076;&#1072;&#109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111\&#1040;&#1083;&#1100;&#1084;&#1080;&#1088;&#1072;%202022\Almira%202024-2025\&#1052;&#1086;&#1080;%20&#1087;&#1091;&#1073;&#1083;&#1080;&#1082;&#1072;&#1094;&#1080;&#1080;%202024\&#1055;&#1088;&#1086;&#1073;&#1083;&#1077;&#1084;&#1099;%20&#1072;&#1075;&#1088;&#1086;&#1088;&#1099;&#1085;&#1082;&#1072;%20&#1089;&#1090;&#1072;&#1090;&#1100;&#1103;\2.1%20&#1090;&#1072;&#1083;&#1076;&#1072;&#109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413769409543"/>
          <c:y val="9.0000712706492902E-2"/>
          <c:w val="0.84849751763783599"/>
          <c:h val="0.66609271523178804"/>
        </c:manualLayout>
      </c:layout>
      <c:lineChart>
        <c:grouping val="standard"/>
        <c:varyColors val="0"/>
        <c:ser>
          <c:idx val="1"/>
          <c:order val="1"/>
          <c:tx>
            <c:strRef>
              <c:f>Sheet1!$A$2</c:f>
              <c:strCache>
                <c:ptCount val="1"/>
                <c:pt idx="0">
                  <c:v>Тамақ өнеркәсібінің жалпы өнеркәсіптегі үлесі, %</c:v>
                </c:pt>
              </c:strCache>
            </c:strRef>
          </c:tx>
          <c:spPr>
            <a:ln w="28575" cap="rnd" cmpd="sng" algn="ctr">
              <a:solidFill>
                <a:srgbClr val="02B5BC"/>
              </a:solidFill>
              <a:prstDash val="solid"/>
              <a:round/>
            </a:ln>
            <a:effectLst/>
          </c:spPr>
          <c:marker>
            <c:symbol val="none"/>
          </c:marker>
          <c:dLbls>
            <c:dLbl>
              <c:idx val="0"/>
              <c:tx>
                <c:rich>
                  <a:bodyPr/>
                  <a:lstStyle/>
                  <a:p>
                    <a:r>
                      <a:rPr lang="en-US" altLang="zh-CN"/>
                      <a:t>9,7</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ru-RU"/>
                      <a:t>8</a:t>
                    </a:r>
                    <a:r>
                      <a:rPr lang="ru-RU" altLang="zh-CN"/>
                      <a:t>,2</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ru-RU"/>
                      <a:t>8</a:t>
                    </a:r>
                    <a:r>
                      <a:rPr lang="ru-RU" altLang="zh-CN"/>
                      <a:t>,5</a:t>
                    </a:r>
                  </a:p>
                </c:rich>
              </c:tx>
              <c:dLblPos val="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ru-RU"/>
                      <a:t>9</a:t>
                    </a:r>
                    <a:r>
                      <a:rPr lang="ru-RU" altLang="zh-CN"/>
                      <a:t>,3</a:t>
                    </a:r>
                  </a:p>
                </c:rich>
              </c:tx>
              <c:dLblPos val="t"/>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ru-RU"/>
                      <a:t>9</a:t>
                    </a:r>
                    <a:r>
                      <a:rPr lang="ru-RU" altLang="zh-CN"/>
                      <a:t>,0</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prstDash val="solid"/>
                      <a:round/>
                    </a:ln>
                    <a:effectLst/>
                  </c:spPr>
                </c15:leaderLines>
              </c:ext>
            </c:extLst>
          </c:dLbls>
          <c:cat>
            <c:numRef>
              <c:f>Sheet1!$B$1:$F$1</c:f>
              <c:numCache>
                <c:formatCode>General</c:formatCode>
                <c:ptCount val="5"/>
                <c:pt idx="0">
                  <c:v>2020</c:v>
                </c:pt>
                <c:pt idx="1">
                  <c:v>2021</c:v>
                </c:pt>
                <c:pt idx="2">
                  <c:v>2022</c:v>
                </c:pt>
                <c:pt idx="3">
                  <c:v>2023</c:v>
                </c:pt>
                <c:pt idx="4">
                  <c:v>2024</c:v>
                </c:pt>
              </c:numCache>
            </c:numRef>
          </c:cat>
          <c:val>
            <c:numRef>
              <c:f>Sheet1!$B$2:$F$2</c:f>
              <c:numCache>
                <c:formatCode>#,#00</c:formatCode>
                <c:ptCount val="5"/>
                <c:pt idx="0">
                  <c:v>9.6648284490137808</c:v>
                </c:pt>
                <c:pt idx="1">
                  <c:v>8.2172447743638504</c:v>
                </c:pt>
                <c:pt idx="2">
                  <c:v>8.4579604725785398</c:v>
                </c:pt>
                <c:pt idx="3">
                  <c:v>9.3033638440806001</c:v>
                </c:pt>
                <c:pt idx="4">
                  <c:v>8.9674437200368295</c:v>
                </c:pt>
              </c:numCache>
            </c:numRef>
          </c:val>
          <c:smooth val="1"/>
        </c:ser>
        <c:ser>
          <c:idx val="2"/>
          <c:order val="2"/>
          <c:tx>
            <c:strRef>
              <c:f>Sheet1!$A$3</c:f>
              <c:strCache>
                <c:ptCount val="1"/>
                <c:pt idx="0">
                  <c:v>Тамақ өнеркәсібінің өңдеуші өнеркәсіптегі үлесі, %</c:v>
                </c:pt>
              </c:strCache>
            </c:strRef>
          </c:tx>
          <c:spPr>
            <a:ln w="28575" cap="rnd" cmpd="sng" algn="ctr">
              <a:solidFill>
                <a:srgbClr val="FBB611"/>
              </a:solidFill>
              <a:prstDash val="solid"/>
              <a:round/>
            </a:ln>
            <a:effectLst/>
          </c:spPr>
          <c:marker>
            <c:symbol val="none"/>
          </c:marker>
          <c:dLbls>
            <c:dLbl>
              <c:idx val="0"/>
              <c:tx>
                <c:rich>
                  <a:bodyPr/>
                  <a:lstStyle/>
                  <a:p>
                    <a:r>
                      <a:rPr lang="en-US" altLang="zh-CN"/>
                      <a:t>19,7</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ru-RU"/>
                      <a:t>18</a:t>
                    </a:r>
                    <a:r>
                      <a:rPr lang="ru-RU" altLang="zh-CN"/>
                      <a:t>,0</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ru-RU"/>
                      <a:t>19</a:t>
                    </a:r>
                    <a:r>
                      <a:rPr lang="ru-RU" altLang="zh-CN"/>
                      <a:t>,5</a:t>
                    </a:r>
                  </a:p>
                </c:rich>
              </c:tx>
              <c:dLblPos val="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ltLang="zh-CN"/>
                      <a:t>19,8</a:t>
                    </a:r>
                  </a:p>
                </c:rich>
              </c:tx>
              <c:dLblPos val="t"/>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ru-RU"/>
                      <a:t>18</a:t>
                    </a:r>
                    <a:r>
                      <a:rPr lang="ru-RU" altLang="zh-CN"/>
                      <a:t>,3</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prstDash val="solid"/>
                      <a:round/>
                    </a:ln>
                    <a:effectLst/>
                  </c:spPr>
                </c15:leaderLines>
              </c:ext>
            </c:extLst>
          </c:dLbls>
          <c:cat>
            <c:numRef>
              <c:f>Sheet1!$B$1:$F$1</c:f>
              <c:numCache>
                <c:formatCode>General</c:formatCode>
                <c:ptCount val="5"/>
                <c:pt idx="0">
                  <c:v>2020</c:v>
                </c:pt>
                <c:pt idx="1">
                  <c:v>2021</c:v>
                </c:pt>
                <c:pt idx="2">
                  <c:v>2022</c:v>
                </c:pt>
                <c:pt idx="3">
                  <c:v>2023</c:v>
                </c:pt>
                <c:pt idx="4">
                  <c:v>2024</c:v>
                </c:pt>
              </c:numCache>
            </c:numRef>
          </c:cat>
          <c:val>
            <c:numRef>
              <c:f>Sheet1!$B$3:$F$3</c:f>
              <c:numCache>
                <c:formatCode>#,#00</c:formatCode>
                <c:ptCount val="5"/>
                <c:pt idx="0">
                  <c:v>19.7409414959853</c:v>
                </c:pt>
                <c:pt idx="1">
                  <c:v>18.048748401173501</c:v>
                </c:pt>
                <c:pt idx="2">
                  <c:v>19.4952273529337</c:v>
                </c:pt>
                <c:pt idx="3">
                  <c:v>19.829094745845801</c:v>
                </c:pt>
                <c:pt idx="4">
                  <c:v>18.344625939795499</c:v>
                </c:pt>
              </c:numCache>
            </c:numRef>
          </c:val>
          <c:smooth val="1"/>
        </c:ser>
        <c:dLbls>
          <c:showLegendKey val="0"/>
          <c:showVal val="1"/>
          <c:showCatName val="0"/>
          <c:showSerName val="0"/>
          <c:showPercent val="0"/>
          <c:showBubbleSize val="0"/>
        </c:dLbls>
        <c:smooth val="0"/>
        <c:axId val="995964528"/>
        <c:axId val="995967248"/>
        <c:extLst>
          <c:ext xmlns:c15="http://schemas.microsoft.com/office/drawing/2012/chart" uri="{02D57815-91ED-43cb-92C2-25804820EDAC}">
            <c15:filteredLineSeries>
              <c15:ser>
                <c:idx val="0"/>
                <c:order val="0"/>
                <c:tx>
                  <c:strRef>
                    <c:extLst>
                      <c:ext uri="{02D57815-91ED-43cb-92C2-25804820EDAC}">
                        <c15:formulaRef>
                          <c15:sqref>Sheet1!$A$1</c15:sqref>
                        </c15:formulaRef>
                      </c:ext>
                    </c:extLst>
                    <c:strCache>
                      <c:ptCount val="1"/>
                      <c:pt idx="0">
                        <c:v> </c:v>
                      </c:pt>
                    </c:strCache>
                  </c:strRef>
                </c:tx>
                <c:spPr>
                  <a:ln w="28575" cap="rnd" cmpd="sng" algn="ctr">
                    <a:solidFill>
                      <a:srgbClr val="286676"/>
                    </a:solidFill>
                    <a:prstDash val="solid"/>
                    <a:round/>
                  </a:ln>
                  <a:effectLst/>
                </c:spPr>
                <c:marker>
                  <c:symbol val="none"/>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endParaRPr lang="ru-RU"/>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rgbClr val="A6A6A6">
                                <a:lumMod val="35000"/>
                                <a:lumOff val="65000"/>
                              </a:srgbClr>
                            </a:solidFill>
                            <a:prstDash val="solid"/>
                            <a:round/>
                          </a:ln>
                          <a:effectLst/>
                        </c:spPr>
                      </c15:leaderLines>
                    </c:ext>
                  </c:extLst>
                </c:dLbls>
                <c:cat>
                  <c:numRef>
                    <c:extLst>
                      <c:ext uri="{02D57815-91ED-43cb-92C2-25804820EDAC}">
                        <c15:formulaRef>
                          <c15:sqref>Sheet1!$B$1:$F$1</c15:sqref>
                        </c15:formulaRef>
                      </c:ext>
                    </c:extLst>
                    <c:numCache>
                      <c:formatCode>General</c:formatCode>
                      <c:ptCount val="5"/>
                      <c:pt idx="0">
                        <c:v>2020</c:v>
                      </c:pt>
                      <c:pt idx="1">
                        <c:v>2021</c:v>
                      </c:pt>
                      <c:pt idx="2">
                        <c:v>2022</c:v>
                      </c:pt>
                      <c:pt idx="3">
                        <c:v>2023</c:v>
                      </c:pt>
                      <c:pt idx="4">
                        <c:v>2024</c:v>
                      </c:pt>
                    </c:numCache>
                  </c:numRef>
                </c:cat>
                <c:val>
                  <c:numRef>
                    <c:extLst>
                      <c:ext uri="{02D57815-91ED-43cb-92C2-25804820EDAC}">
                        <c15:formulaRef>
                          <c15:sqref>Sheet1!$B$1:$F$1</c15:sqref>
                        </c15:formulaRef>
                      </c:ext>
                    </c:extLst>
                    <c:numCache>
                      <c:formatCode>General</c:formatCode>
                      <c:ptCount val="5"/>
                      <c:pt idx="0">
                        <c:v>2020</c:v>
                      </c:pt>
                      <c:pt idx="1">
                        <c:v>2021</c:v>
                      </c:pt>
                      <c:pt idx="2">
                        <c:v>2022</c:v>
                      </c:pt>
                      <c:pt idx="3">
                        <c:v>2023</c:v>
                      </c:pt>
                      <c:pt idx="4">
                        <c:v>2024</c:v>
                      </c:pt>
                    </c:numCache>
                  </c:numRef>
                </c:val>
                <c:smooth val="1"/>
              </c15:ser>
            </c15:filteredLineSeries>
          </c:ext>
        </c:extLst>
      </c:lineChart>
      <c:catAx>
        <c:axId val="995964528"/>
        <c:scaling>
          <c:orientation val="minMax"/>
        </c:scaling>
        <c:delete val="0"/>
        <c:axPos val="b"/>
        <c:majorGridlines>
          <c:spPr>
            <a:ln w="3175" cap="flat" cmpd="sng" algn="ctr">
              <a:solidFill>
                <a:srgbClr val="F2F2F2">
                  <a:lumMod val="95000"/>
                  <a:alpha val="75000"/>
                </a:srgbClr>
              </a:solidFill>
              <a:prstDash val="solid"/>
              <a:round/>
            </a:ln>
            <a:effectLst/>
          </c:spPr>
        </c:majorGridlines>
        <c:numFmt formatCode="General" sourceLinked="0"/>
        <c:majorTickMark val="out"/>
        <c:minorTickMark val="none"/>
        <c:tickLblPos val="nextTo"/>
        <c:spPr>
          <a:noFill/>
          <a:ln w="95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rgbClr val="595959">
                    <a:lumMod val="65000"/>
                    <a:lumOff val="35000"/>
                  </a:srgb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crossAx val="995967248"/>
        <c:crosses val="autoZero"/>
        <c:auto val="1"/>
        <c:lblAlgn val="ctr"/>
        <c:lblOffset val="100"/>
        <c:noMultiLvlLbl val="0"/>
      </c:catAx>
      <c:valAx>
        <c:axId val="995967248"/>
        <c:scaling>
          <c:orientation val="minMax"/>
        </c:scaling>
        <c:delete val="0"/>
        <c:axPos val="l"/>
        <c:majorGridlines>
          <c:spPr>
            <a:ln w="3175" cap="flat" cmpd="sng" algn="ctr">
              <a:solidFill>
                <a:srgbClr val="F2F2F2">
                  <a:lumMod val="95000"/>
                  <a:alpha val="75000"/>
                </a:srgbClr>
              </a:solidFill>
              <a:prstDash val="solid"/>
              <a:round/>
            </a:ln>
            <a:effectLst/>
          </c:spPr>
        </c:majorGridlines>
        <c:numFmt formatCode="#,#00"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rgbClr val="595959">
                    <a:lumMod val="65000"/>
                    <a:lumOff val="35000"/>
                  </a:srgbClr>
                </a:solidFill>
                <a:latin typeface="Arial" panose="020B0604020202020204" pitchFamily="2" charset="0"/>
                <a:ea typeface="Arial" panose="020B0604020202020204" pitchFamily="2" charset="0"/>
                <a:cs typeface="Arial" panose="020B0604020202020204" pitchFamily="2" charset="0"/>
                <a:sym typeface="Arial" panose="020B0604020202020204" pitchFamily="2" charset="0"/>
              </a:defRPr>
            </a:pPr>
            <a:endParaRPr lang="ru-RU"/>
          </a:p>
        </c:txPr>
        <c:crossAx val="995964528"/>
        <c:crosses val="autoZero"/>
        <c:crossBetween val="between"/>
      </c:valAx>
      <c:spPr>
        <a:solidFill>
          <a:srgbClr val="FFFFFF"/>
        </a:solidFill>
        <a:ln w="3175">
          <a:solidFill>
            <a:srgbClr val="F2F2F2">
              <a:lumMod val="95000"/>
              <a:alpha val="75000"/>
            </a:srgbClr>
          </a:solidFill>
          <a:prstDash val="solid"/>
        </a:ln>
        <a:effectLst/>
      </c:spPr>
    </c:plotArea>
    <c:legend>
      <c:legendPos val="t"/>
      <c:layout>
        <c:manualLayout>
          <c:xMode val="edge"/>
          <c:yMode val="edge"/>
          <c:x val="0.20572602077796601"/>
          <c:y val="0.84041648958776005"/>
        </c:manualLayout>
      </c:layout>
      <c:overlay val="0"/>
      <c:spPr>
        <a:noFill/>
        <a:ln>
          <a:noFill/>
        </a:ln>
        <a:effectLst/>
      </c:spPr>
      <c:txPr>
        <a:bodyPr rot="0" spcFirstLastPara="0" vertOverflow="ellipsis" vert="horz" wrap="square" anchor="ctr" anchorCtr="1" forceAA="0"/>
        <a:lstStyle/>
        <a:p>
          <a:pPr>
            <a:defRPr lang="zh-CN" sz="800" b="0" i="0" u="none" strike="noStrike" kern="1200" baseline="0">
              <a:solidFill>
                <a:srgbClr val="595959">
                  <a:lumMod val="65000"/>
                  <a:lumOff val="35000"/>
                </a:srgbClr>
              </a:solidFill>
              <a:latin typeface="Microsoft YaHei" panose="020B0503020204020204" charset="-122"/>
              <a:ea typeface="Microsoft YaHei" panose="020B0503020204020204" charset="-122"/>
              <a:cs typeface="Microsoft YaHei" panose="020B0503020204020204" charset="-122"/>
              <a:sym typeface="Microsoft YaHei" panose="020B0503020204020204" charset="-122"/>
            </a:defRPr>
          </a:pPr>
          <a:endParaRPr lang="ru-RU"/>
        </a:p>
      </c:txPr>
    </c:legend>
    <c:plotVisOnly val="1"/>
    <c:dispBlanksAs val="gap"/>
    <c:showDLblsOverMax val="0"/>
    <c:extLst>
      <c:ext uri="{0b15fc19-7d7d-44ad-8c2d-2c3a37ce22c3}">
        <chartProps xmlns="https://web.wps.cn/et/2018/main" chartId="{8c4f3bf1-6fa3-41fb-adbc-30c22c83b742}"/>
      </c:ext>
    </c:extLst>
  </c:chart>
  <c:spPr>
    <a:pattFill prst="dkUpDiag">
      <a:fgClr>
        <a:srgbClr val="F2F2F2">
          <a:lumMod val="95000"/>
        </a:srgbClr>
      </a:fgClr>
      <a:bgClr>
        <a:srgbClr val="FFFFFF"/>
      </a:bgClr>
    </a:pattFill>
    <a:ln w="9525" cap="flat" cmpd="sng" algn="ctr">
      <a:solidFill>
        <a:srgbClr val="D9D9D9">
          <a:lumMod val="15000"/>
          <a:lumOff val="85000"/>
        </a:srgbClr>
      </a:solidFill>
      <a:prstDash val="solid"/>
      <a:round/>
    </a:ln>
    <a:effectLst/>
  </c:spPr>
  <c:txPr>
    <a:bodyPr/>
    <a:lstStyle/>
    <a:p>
      <a:pPr>
        <a:defRPr lang="zh-CN"/>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'[2.1 талдау.xls]Лист2'!$B$5</c:f>
              <c:strCache>
                <c:ptCount val="1"/>
                <c:pt idx="0">
                  <c:v>шағын</c:v>
                </c:pt>
              </c:strCache>
            </c:strRef>
          </c:tx>
          <c:spPr>
            <a:solidFill>
              <a:srgbClr val="F79646">
                <a:alpha val="85000"/>
              </a:srgbClr>
            </a:solidFill>
            <a:ln w="9525" cap="flat" cmpd="sng" algn="ctr">
              <a:solidFill>
                <a:srgbClr val="FFFFFF">
                  <a:alpha val="50000"/>
                </a:srgb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rgbClr val="254061">
                        <a:lumMod val="50000"/>
                      </a:srgb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 талдау.xls]Лист2'!$C$3:$G$3</c:f>
              <c:numCache>
                <c:formatCode>General</c:formatCode>
                <c:ptCount val="5"/>
                <c:pt idx="0">
                  <c:v>2020</c:v>
                </c:pt>
                <c:pt idx="1">
                  <c:v>2021</c:v>
                </c:pt>
                <c:pt idx="2">
                  <c:v>2022</c:v>
                </c:pt>
                <c:pt idx="3">
                  <c:v>2023</c:v>
                </c:pt>
                <c:pt idx="4">
                  <c:v>2024</c:v>
                </c:pt>
              </c:numCache>
            </c:numRef>
          </c:cat>
          <c:val>
            <c:numRef>
              <c:f>'[2.1 талдау.xls]Лист2'!$C$5:$G$5</c:f>
              <c:numCache>
                <c:formatCode>General</c:formatCode>
                <c:ptCount val="5"/>
                <c:pt idx="0">
                  <c:v>2952</c:v>
                </c:pt>
                <c:pt idx="1">
                  <c:v>3016</c:v>
                </c:pt>
                <c:pt idx="2">
                  <c:v>3309</c:v>
                </c:pt>
                <c:pt idx="3">
                  <c:v>3445</c:v>
                </c:pt>
                <c:pt idx="4">
                  <c:v>3536</c:v>
                </c:pt>
              </c:numCache>
            </c:numRef>
          </c:val>
        </c:ser>
        <c:ser>
          <c:idx val="1"/>
          <c:order val="1"/>
          <c:tx>
            <c:strRef>
              <c:f>'[2.1 талдау.xls]Лист2'!$B$6</c:f>
              <c:strCache>
                <c:ptCount val="1"/>
                <c:pt idx="0">
                  <c:v>орта</c:v>
                </c:pt>
              </c:strCache>
            </c:strRef>
          </c:tx>
          <c:spPr>
            <a:solidFill>
              <a:srgbClr val="4BACC6">
                <a:alpha val="85000"/>
              </a:srgbClr>
            </a:solidFill>
            <a:ln w="9525" cap="flat" cmpd="sng" algn="ctr">
              <a:solidFill>
                <a:srgbClr val="FFFFFF">
                  <a:alpha val="50000"/>
                </a:srgb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rgbClr val="F2DCDB">
                        <a:lumMod val="20000"/>
                        <a:lumOff val="80000"/>
                      </a:srgb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 талдау.xls]Лист2'!$C$3:$G$3</c:f>
              <c:numCache>
                <c:formatCode>General</c:formatCode>
                <c:ptCount val="5"/>
                <c:pt idx="0">
                  <c:v>2020</c:v>
                </c:pt>
                <c:pt idx="1">
                  <c:v>2021</c:v>
                </c:pt>
                <c:pt idx="2">
                  <c:v>2022</c:v>
                </c:pt>
                <c:pt idx="3">
                  <c:v>2023</c:v>
                </c:pt>
                <c:pt idx="4">
                  <c:v>2024</c:v>
                </c:pt>
              </c:numCache>
            </c:numRef>
          </c:cat>
          <c:val>
            <c:numRef>
              <c:f>'[2.1 талдау.xls]Лист2'!$C$6:$G$6</c:f>
              <c:numCache>
                <c:formatCode>General</c:formatCode>
                <c:ptCount val="5"/>
                <c:pt idx="0">
                  <c:v>124</c:v>
                </c:pt>
                <c:pt idx="1">
                  <c:v>129</c:v>
                </c:pt>
                <c:pt idx="2">
                  <c:v>136</c:v>
                </c:pt>
                <c:pt idx="3">
                  <c:v>142</c:v>
                </c:pt>
                <c:pt idx="4">
                  <c:v>147</c:v>
                </c:pt>
              </c:numCache>
            </c:numRef>
          </c:val>
        </c:ser>
        <c:ser>
          <c:idx val="2"/>
          <c:order val="2"/>
          <c:tx>
            <c:strRef>
              <c:f>'[2.1 талдау.xls]Лист2'!$B$7</c:f>
              <c:strCache>
                <c:ptCount val="1"/>
                <c:pt idx="0">
                  <c:v>ірі</c:v>
                </c:pt>
              </c:strCache>
            </c:strRef>
          </c:tx>
          <c:spPr>
            <a:solidFill>
              <a:srgbClr val="8064A2">
                <a:alpha val="85000"/>
              </a:srgbClr>
            </a:solidFill>
            <a:ln w="9525" cap="flat" cmpd="sng" algn="ctr">
              <a:solidFill>
                <a:srgbClr val="FFFFFF">
                  <a:alpha val="50000"/>
                </a:srgb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rgbClr val="1F497D"/>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'[2.1 талдау.xls]Лист2'!$C$3:$G$3</c:f>
              <c:numCache>
                <c:formatCode>General</c:formatCode>
                <c:ptCount val="5"/>
                <c:pt idx="0">
                  <c:v>2020</c:v>
                </c:pt>
                <c:pt idx="1">
                  <c:v>2021</c:v>
                </c:pt>
                <c:pt idx="2">
                  <c:v>2022</c:v>
                </c:pt>
                <c:pt idx="3">
                  <c:v>2023</c:v>
                </c:pt>
                <c:pt idx="4">
                  <c:v>2024</c:v>
                </c:pt>
              </c:numCache>
            </c:numRef>
          </c:cat>
          <c:val>
            <c:numRef>
              <c:f>'[2.1 талдау.xls]Лист2'!$C$7:$G$7</c:f>
              <c:numCache>
                <c:formatCode>General</c:formatCode>
                <c:ptCount val="5"/>
                <c:pt idx="0">
                  <c:v>60</c:v>
                </c:pt>
                <c:pt idx="1">
                  <c:v>70</c:v>
                </c:pt>
                <c:pt idx="2">
                  <c:v>69</c:v>
                </c:pt>
                <c:pt idx="3">
                  <c:v>71</c:v>
                </c:pt>
                <c:pt idx="4">
                  <c:v>70</c:v>
                </c:pt>
              </c:numCache>
            </c:numRef>
          </c:val>
        </c:ser>
        <c:dLbls>
          <c:showLegendKey val="0"/>
          <c:showVal val="0"/>
          <c:showCatName val="0"/>
          <c:showSerName val="0"/>
          <c:showPercent val="0"/>
          <c:showBubbleSize val="0"/>
        </c:dLbls>
        <c:gapWidth val="150"/>
        <c:overlap val="100"/>
        <c:axId val="995966160"/>
        <c:axId val="995969968"/>
      </c:barChart>
      <c:catAx>
        <c:axId val="995966160"/>
        <c:scaling>
          <c:orientation val="minMax"/>
        </c:scaling>
        <c:delete val="0"/>
        <c:axPos val="l"/>
        <c:numFmt formatCode="General" sourceLinked="0"/>
        <c:majorTickMark val="none"/>
        <c:minorTickMark val="none"/>
        <c:tickLblPos val="nextTo"/>
        <c:spPr>
          <a:noFill/>
          <a:ln w="19050" cap="flat" cmpd="sng" algn="ctr">
            <a:solidFill>
              <a:srgbClr val="404040">
                <a:lumMod val="75000"/>
                <a:lumOff val="25000"/>
              </a:srgbClr>
            </a:solidFill>
            <a:prstDash val="solid"/>
            <a:round/>
          </a:ln>
          <a:effectLst/>
        </c:spPr>
        <c:txPr>
          <a:bodyPr rot="-60000000" spcFirstLastPara="1" vertOverflow="ellipsis" vert="horz" wrap="square" anchor="ctr" anchorCtr="1"/>
          <a:lstStyle/>
          <a:p>
            <a:pPr>
              <a:defRPr lang="en-US" sz="900" b="0" i="0" u="none" strike="noStrike" kern="1200" cap="all" baseline="0">
                <a:solidFill>
                  <a:srgbClr val="404040">
                    <a:lumMod val="75000"/>
                    <a:lumOff val="25000"/>
                  </a:srgbClr>
                </a:solidFill>
                <a:latin typeface="+mn-lt"/>
                <a:ea typeface="+mn-ea"/>
                <a:cs typeface="+mn-cs"/>
              </a:defRPr>
            </a:pPr>
            <a:endParaRPr lang="ru-RU"/>
          </a:p>
        </c:txPr>
        <c:crossAx val="995969968"/>
        <c:crosses val="autoZero"/>
        <c:auto val="1"/>
        <c:lblAlgn val="ctr"/>
        <c:lblOffset val="100"/>
        <c:noMultiLvlLbl val="0"/>
      </c:catAx>
      <c:valAx>
        <c:axId val="995969968"/>
        <c:scaling>
          <c:orientation val="minMax"/>
        </c:scaling>
        <c:delete val="1"/>
        <c:axPos val="b"/>
        <c:majorGridlines>
          <c:spPr>
            <a:ln w="9525" cap="flat" cmpd="sng" algn="ctr">
              <a:gradFill>
                <a:gsLst>
                  <a:gs pos="100000">
                    <a:srgbClr val="0D0D0D">
                      <a:lumMod val="95000"/>
                      <a:lumOff val="5000"/>
                      <a:alpha val="42000"/>
                    </a:srgbClr>
                  </a:gs>
                  <a:gs pos="0">
                    <a:srgbClr val="BFBFBF">
                      <a:lumMod val="75000"/>
                      <a:alpha val="36000"/>
                    </a:srgbClr>
                  </a:gs>
                </a:gsLst>
                <a:lin ang="5400000" scaled="0"/>
              </a:gradFill>
              <a:prstDash val="solid"/>
              <a:round/>
            </a:ln>
            <a:effectLst/>
          </c:spPr>
        </c:majorGridlines>
        <c:numFmt formatCode="0%" sourceLinked="1"/>
        <c:majorTickMark val="none"/>
        <c:minorTickMark val="none"/>
        <c:tickLblPos val="nextTo"/>
        <c:crossAx val="995966160"/>
        <c:crosses val="autoZero"/>
        <c:crossBetween val="between"/>
      </c:valAx>
      <c:spPr>
        <a:noFill/>
        <a:ln>
          <a:noFill/>
        </a:ln>
        <a:effectLst/>
      </c:spPr>
    </c:plotArea>
    <c:legend>
      <c:legendPos val="b"/>
      <c:overlay val="0"/>
      <c:spPr>
        <a:solidFill>
          <a:srgbClr val="F2F2F2">
            <a:lumMod val="95000"/>
            <a:alpha val="39000"/>
          </a:srgbClr>
        </a:solidFill>
        <a:ln>
          <a:noFill/>
        </a:ln>
        <a:effectLst/>
      </c:spPr>
      <c:txPr>
        <a:bodyPr rot="0" spcFirstLastPara="1" vertOverflow="ellipsis" vert="horz" wrap="square" anchor="ctr" anchorCtr="1"/>
        <a:lstStyle/>
        <a:p>
          <a:pPr>
            <a:defRPr lang="en-US" sz="900" b="0" i="0" u="none" strike="noStrike" kern="1200" baseline="0">
              <a:solidFill>
                <a:srgbClr val="404040">
                  <a:lumMod val="75000"/>
                  <a:lumOff val="25000"/>
                </a:srgbClr>
              </a:solidFill>
              <a:latin typeface="+mn-lt"/>
              <a:ea typeface="+mn-ea"/>
              <a:cs typeface="+mn-cs"/>
            </a:defRPr>
          </a:pPr>
          <a:endParaRPr lang="ru-RU"/>
        </a:p>
      </c:txPr>
    </c:legend>
    <c:plotVisOnly val="1"/>
    <c:dispBlanksAs val="gap"/>
    <c:showDLblsOverMax val="0"/>
    <c:extLst>
      <c:ext uri="{0b15fc19-7d7d-44ad-8c2d-2c3a37ce22c3}">
        <chartProps xmlns="https://web.wps.cn/et/2018/main" chartId="{d0211db0-d9cd-47cb-9166-43bdeb165729}"/>
      </c:ext>
    </c:extLst>
  </c:chart>
  <c:spPr>
    <a:noFill/>
    <a:ln w="9525" cap="flat" cmpd="sng" algn="ctr">
      <a:noFill/>
      <a:prstDash val="solid"/>
      <a:round/>
    </a:ln>
    <a:effectLst/>
  </c:spPr>
  <c:txPr>
    <a:bodyPr wrap="square"/>
    <a:lstStyle/>
    <a:p>
      <a:pPr>
        <a:defRPr lang="en-US"/>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'[2.1 талдау.xls]Sheet4'!$H$14</c:f>
              <c:strCache>
                <c:ptCount val="1"/>
                <c:pt idx="0">
                  <c:v>экспорт</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bg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prstDash val="solid"/>
                      <a:round/>
                    </a:ln>
                    <a:effectLst/>
                  </c:spPr>
                </c15:leaderLines>
              </c:ext>
            </c:extLst>
          </c:dLbls>
          <c:cat>
            <c:numRef>
              <c:f>'[2.1 талдау.xls]Sheet4'!$G$15:$G$20</c:f>
              <c:numCache>
                <c:formatCode>General</c:formatCode>
                <c:ptCount val="6"/>
                <c:pt idx="0">
                  <c:v>2019</c:v>
                </c:pt>
                <c:pt idx="1">
                  <c:v>2020</c:v>
                </c:pt>
                <c:pt idx="2">
                  <c:v>2021</c:v>
                </c:pt>
                <c:pt idx="3">
                  <c:v>2022</c:v>
                </c:pt>
                <c:pt idx="4">
                  <c:v>2023</c:v>
                </c:pt>
                <c:pt idx="5">
                  <c:v>2024</c:v>
                </c:pt>
              </c:numCache>
            </c:numRef>
          </c:cat>
          <c:val>
            <c:numRef>
              <c:f>'[2.1 талдау.xls]Sheet4'!$H$15:$H$20</c:f>
              <c:numCache>
                <c:formatCode>General</c:formatCode>
                <c:ptCount val="6"/>
                <c:pt idx="0">
                  <c:v>1344648.6225699999</c:v>
                </c:pt>
                <c:pt idx="1">
                  <c:v>1505903.4725800001</c:v>
                </c:pt>
                <c:pt idx="2">
                  <c:v>1517083.5381400001</c:v>
                </c:pt>
                <c:pt idx="3">
                  <c:v>2583626.5</c:v>
                </c:pt>
                <c:pt idx="4">
                  <c:v>2468582.7000000002</c:v>
                </c:pt>
                <c:pt idx="5">
                  <c:v>2437741.7999999998</c:v>
                </c:pt>
              </c:numCache>
            </c:numRef>
          </c:val>
        </c:ser>
        <c:ser>
          <c:idx val="1"/>
          <c:order val="1"/>
          <c:tx>
            <c:strRef>
              <c:f>'[2.1 талдау.xls]Sheet4'!$I$14</c:f>
              <c:strCache>
                <c:ptCount val="1"/>
                <c:pt idx="0">
                  <c:v>импорт</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bg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prstDash val="solid"/>
                      <a:round/>
                    </a:ln>
                    <a:effectLst/>
                  </c:spPr>
                </c15:leaderLines>
              </c:ext>
            </c:extLst>
          </c:dLbls>
          <c:cat>
            <c:numRef>
              <c:f>'[2.1 талдау.xls]Sheet4'!$G$15:$G$20</c:f>
              <c:numCache>
                <c:formatCode>General</c:formatCode>
                <c:ptCount val="6"/>
                <c:pt idx="0">
                  <c:v>2019</c:v>
                </c:pt>
                <c:pt idx="1">
                  <c:v>2020</c:v>
                </c:pt>
                <c:pt idx="2">
                  <c:v>2021</c:v>
                </c:pt>
                <c:pt idx="3">
                  <c:v>2022</c:v>
                </c:pt>
                <c:pt idx="4">
                  <c:v>2023</c:v>
                </c:pt>
                <c:pt idx="5">
                  <c:v>2024</c:v>
                </c:pt>
              </c:numCache>
            </c:numRef>
          </c:cat>
          <c:val>
            <c:numRef>
              <c:f>'[2.1 талдау.xls]Sheet4'!$I$15:$I$20</c:f>
              <c:numCache>
                <c:formatCode>General</c:formatCode>
                <c:ptCount val="6"/>
                <c:pt idx="0">
                  <c:v>3335768.2584299999</c:v>
                </c:pt>
                <c:pt idx="1">
                  <c:v>3442773.8408400002</c:v>
                </c:pt>
                <c:pt idx="2">
                  <c:v>4030605.29164</c:v>
                </c:pt>
                <c:pt idx="3">
                  <c:v>4772904.2</c:v>
                </c:pt>
                <c:pt idx="4">
                  <c:v>4887540.7</c:v>
                </c:pt>
                <c:pt idx="5">
                  <c:v>4822775.7</c:v>
                </c:pt>
              </c:numCache>
            </c:numRef>
          </c:val>
        </c:ser>
        <c:dLbls>
          <c:showLegendKey val="0"/>
          <c:showVal val="1"/>
          <c:showCatName val="0"/>
          <c:showSerName val="0"/>
          <c:showPercent val="0"/>
          <c:showBubbleSize val="0"/>
        </c:dLbls>
        <c:gapWidth val="140"/>
        <c:overlap val="100"/>
        <c:axId val="643354656"/>
        <c:axId val="643346496"/>
      </c:barChart>
      <c:catAx>
        <c:axId val="643354656"/>
        <c:scaling>
          <c:orientation val="minMax"/>
        </c:scaling>
        <c:delete val="0"/>
        <c:axPos val="l"/>
        <c:numFmt formatCode="General" sourceLinked="1"/>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ru-RU"/>
          </a:p>
        </c:txPr>
        <c:crossAx val="643346496"/>
        <c:crosses val="autoZero"/>
        <c:auto val="1"/>
        <c:lblAlgn val="ctr"/>
        <c:lblOffset val="100"/>
        <c:noMultiLvlLbl val="0"/>
      </c:catAx>
      <c:valAx>
        <c:axId val="643346496"/>
        <c:scaling>
          <c:orientation val="minMax"/>
        </c:scaling>
        <c:delete val="0"/>
        <c:axPos val="b"/>
        <c:majorGridlines>
          <c:spPr>
            <a:ln w="9525" cap="flat" cmpd="sng" algn="ctr">
              <a:solidFill>
                <a:srgbClr val="E6E6E6">
                  <a:lumMod val="90200"/>
                </a:srgb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ru-RU"/>
          </a:p>
        </c:txPr>
        <c:crossAx val="643354656"/>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ru-RU"/>
        </a:p>
      </c:txPr>
    </c:legend>
    <c:plotVisOnly val="1"/>
    <c:dispBlanksAs val="gap"/>
    <c:showDLblsOverMax val="0"/>
    <c:extLst>
      <c:ext uri="{0b15fc19-7d7d-44ad-8c2d-2c3a37ce22c3}">
        <chartProps xmlns="https://web.wps.cn/et/2018/main" chartId="{09d9d633-baa3-41c8-a69c-2b83a5a03aec}"/>
      </c:ext>
    </c:extLst>
  </c:chart>
  <c:spPr>
    <a:solidFill>
      <a:srgbClr val="FFFFFF"/>
    </a:solidFill>
    <a:ln w="9525" cap="flat" cmpd="sng" algn="ctr">
      <a:solidFill>
        <a:srgbClr val="D9D9D9">
          <a:lumMod val="15000"/>
          <a:lumOff val="85000"/>
        </a:srgbClr>
      </a:solidFill>
      <a:prstDash val="solid"/>
      <a:round/>
    </a:ln>
    <a:effectLst/>
  </c:spPr>
  <c:txPr>
    <a:bodyPr/>
    <a:lstStyle/>
    <a:p>
      <a:pPr>
        <a:defRPr lang="en-US"/>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rgbClr val="404040">
                        <a:lumMod val="75000"/>
                        <a:lumOff val="25000"/>
                      </a:srgb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A6A6A6">
                          <a:lumMod val="35000"/>
                          <a:lumOff val="65000"/>
                        </a:srgbClr>
                      </a:solidFill>
                      <a:prstDash val="solid"/>
                      <a:round/>
                    </a:ln>
                    <a:effectLst/>
                  </c:spPr>
                </c15:leaderLines>
              </c:ext>
            </c:extLst>
          </c:dLbls>
          <c:cat>
            <c:strRef>
              <c:f>[Book1]Sheet1!$E$7:$E$26</c:f>
              <c:strCache>
                <c:ptCount val="20"/>
                <c:pt idx="0">
                  <c:v>Абай</c:v>
                </c:pt>
                <c:pt idx="1">
                  <c:v>Акмолинская</c:v>
                </c:pt>
                <c:pt idx="2">
                  <c:v>Актюбинская</c:v>
                </c:pt>
                <c:pt idx="3">
                  <c:v>Алматинская</c:v>
                </c:pt>
                <c:pt idx="4">
                  <c:v>Атырауская</c:v>
                </c:pt>
                <c:pt idx="5">
                  <c:v>Западно-Казахстанская</c:v>
                </c:pt>
                <c:pt idx="6">
                  <c:v>Жамбылская</c:v>
                </c:pt>
                <c:pt idx="7">
                  <c:v>Жетісу</c:v>
                </c:pt>
                <c:pt idx="8">
                  <c:v>Карагандинская</c:v>
                </c:pt>
                <c:pt idx="9">
                  <c:v>Костанайская</c:v>
                </c:pt>
                <c:pt idx="10">
                  <c:v>Кызылординская</c:v>
                </c:pt>
                <c:pt idx="11">
                  <c:v>Мангистауская</c:v>
                </c:pt>
                <c:pt idx="12">
                  <c:v>Павлодарская</c:v>
                </c:pt>
                <c:pt idx="13">
                  <c:v>Северо-Казахстанская</c:v>
                </c:pt>
                <c:pt idx="14">
                  <c:v>Туркестанская</c:v>
                </c:pt>
                <c:pt idx="15">
                  <c:v>Ұлытау</c:v>
                </c:pt>
                <c:pt idx="16">
                  <c:v>Восточно-Казахстанская</c:v>
                </c:pt>
                <c:pt idx="17">
                  <c:v>г. Астана</c:v>
                </c:pt>
                <c:pt idx="18">
                  <c:v>г. Алматы</c:v>
                </c:pt>
                <c:pt idx="19">
                  <c:v>г. Шымкент</c:v>
                </c:pt>
              </c:strCache>
            </c:strRef>
          </c:cat>
          <c:val>
            <c:numRef>
              <c:f>[Book1]Sheet1!$F$7:$F$26</c:f>
              <c:numCache>
                <c:formatCode>#,##0.0</c:formatCode>
                <c:ptCount val="20"/>
                <c:pt idx="0">
                  <c:v>0.2</c:v>
                </c:pt>
                <c:pt idx="1">
                  <c:v>7.7</c:v>
                </c:pt>
                <c:pt idx="2">
                  <c:v>2.2000000000000002</c:v>
                </c:pt>
                <c:pt idx="3">
                  <c:v>138.1</c:v>
                </c:pt>
                <c:pt idx="4">
                  <c:v>0</c:v>
                </c:pt>
                <c:pt idx="5">
                  <c:v>15</c:v>
                </c:pt>
                <c:pt idx="6">
                  <c:v>5.8</c:v>
                </c:pt>
                <c:pt idx="7">
                  <c:v>3.5</c:v>
                </c:pt>
                <c:pt idx="8">
                  <c:v>19.600000000000001</c:v>
                </c:pt>
                <c:pt idx="9">
                  <c:v>121.5</c:v>
                </c:pt>
                <c:pt idx="10">
                  <c:v>0</c:v>
                </c:pt>
                <c:pt idx="11">
                  <c:v>0.4</c:v>
                </c:pt>
                <c:pt idx="12">
                  <c:v>6.3</c:v>
                </c:pt>
                <c:pt idx="13">
                  <c:v>11.9</c:v>
                </c:pt>
                <c:pt idx="14">
                  <c:v>0.8</c:v>
                </c:pt>
                <c:pt idx="15">
                  <c:v>0</c:v>
                </c:pt>
                <c:pt idx="16">
                  <c:v>8.6</c:v>
                </c:pt>
                <c:pt idx="17">
                  <c:v>9.1999999999999993</c:v>
                </c:pt>
                <c:pt idx="18">
                  <c:v>327.2</c:v>
                </c:pt>
                <c:pt idx="19">
                  <c:v>4.3</c:v>
                </c:pt>
              </c:numCache>
            </c:numRef>
          </c:val>
        </c:ser>
        <c:dLbls>
          <c:showLegendKey val="0"/>
          <c:showVal val="1"/>
          <c:showCatName val="0"/>
          <c:showSerName val="0"/>
          <c:showPercent val="0"/>
          <c:showBubbleSize val="0"/>
        </c:dLbls>
        <c:gapWidth val="150"/>
        <c:overlap val="-25"/>
        <c:axId val="643347040"/>
        <c:axId val="643355200"/>
      </c:barChart>
      <c:catAx>
        <c:axId val="643347040"/>
        <c:scaling>
          <c:orientation val="minMax"/>
        </c:scaling>
        <c:delete val="0"/>
        <c:axPos val="b"/>
        <c:numFmt formatCode="General" sourceLinked="0"/>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en-US" sz="900" b="0" i="0" u="none" strike="noStrike" kern="1200" baseline="0">
                <a:solidFill>
                  <a:srgbClr val="595959">
                    <a:lumMod val="65000"/>
                    <a:lumOff val="35000"/>
                  </a:srgbClr>
                </a:solidFill>
                <a:latin typeface="+mn-lt"/>
                <a:ea typeface="+mn-ea"/>
                <a:cs typeface="+mn-cs"/>
              </a:defRPr>
            </a:pPr>
            <a:endParaRPr lang="ru-RU"/>
          </a:p>
        </c:txPr>
        <c:crossAx val="643355200"/>
        <c:crosses val="autoZero"/>
        <c:auto val="1"/>
        <c:lblAlgn val="ctr"/>
        <c:lblOffset val="100"/>
        <c:noMultiLvlLbl val="0"/>
      </c:catAx>
      <c:valAx>
        <c:axId val="643355200"/>
        <c:scaling>
          <c:orientation val="minMax"/>
        </c:scaling>
        <c:delete val="1"/>
        <c:axPos val="l"/>
        <c:numFmt formatCode="#,##0.0" sourceLinked="1"/>
        <c:majorTickMark val="none"/>
        <c:minorTickMark val="none"/>
        <c:tickLblPos val="nextTo"/>
        <c:crossAx val="643347040"/>
        <c:crosses val="autoZero"/>
        <c:crossBetween val="between"/>
      </c:valAx>
      <c:spPr>
        <a:noFill/>
        <a:ln>
          <a:noFill/>
        </a:ln>
        <a:effectLst/>
      </c:spPr>
    </c:plotArea>
    <c:plotVisOnly val="1"/>
    <c:dispBlanksAs val="gap"/>
    <c:showDLblsOverMax val="0"/>
    <c:extLst>
      <c:ext uri="{0b15fc19-7d7d-44ad-8c2d-2c3a37ce22c3}">
        <chartProps xmlns="https://web.wps.cn/et/2018/main" chartId="{e4dc7ee0-361a-49b9-96e0-b0d464418d43}"/>
      </c:ext>
    </c:extLst>
  </c:chart>
  <c:spPr>
    <a:solidFill>
      <a:srgbClr val="FFFFFF"/>
    </a:solidFill>
    <a:ln w="9525" cap="flat" cmpd="sng" algn="ctr">
      <a:solidFill>
        <a:srgbClr val="D9D9D9">
          <a:lumMod val="15000"/>
          <a:lumOff val="85000"/>
        </a:srgbClr>
      </a:solidFill>
      <a:prstDash val="solid"/>
      <a:round/>
    </a:ln>
    <a:effectLst/>
  </c:spPr>
  <c:txPr>
    <a:bodyPr/>
    <a:lstStyle/>
    <a:p>
      <a:pPr>
        <a:defRPr lang="en-US"/>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alignAccFollowNode1">
    <dgm:fillClrLst meth="repeat">
      <a:srgbClr val="D2DEEF">
        <a:alpha val="90000"/>
        <a:tint val="40000"/>
      </a:srgbClr>
    </dgm:fillClrLst>
    <dgm:linClrLst meth="repeat">
      <a:srgbClr val="D2DEEF">
        <a:alpha val="90000"/>
        <a:tint val="40000"/>
      </a:srgbClr>
    </dgm:linClrLst>
    <dgm:effectClrLst/>
    <dgm:txLinClrLst/>
    <dgm:txFillClrLst meth="repeat">
      <a:srgbClr val="000000"/>
    </dgm:txFillClrLst>
    <dgm:txEffectClrLst/>
  </dgm:styleLbl>
  <dgm:styleLbl name="alignImgPlace1">
    <dgm:fillClrLst meth="repeat">
      <a:srgbClr val="C4D5EB">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5B9BD5"/>
    </dgm:fillClrLst>
    <dgm:linClrLst meth="repeat">
      <a:srgbClr val="5B9BD5"/>
    </dgm:linClrLst>
    <dgm:effectClrLst/>
    <dgm:txLinClrLst/>
    <dgm:txFillClrLst/>
    <dgm:txEffectClrLst/>
  </dgm:styleLbl>
  <dgm:styleLbl name="asst0">
    <dgm:fillClrLst meth="repeat">
      <a:srgbClr val="5B9BD5"/>
    </dgm:fillClrLst>
    <dgm:linClrLst meth="repeat">
      <a:srgbClr val="FFFFFF"/>
    </dgm:linClrLst>
    <dgm:effectClrLst/>
    <dgm:txLinClrLst/>
    <dgm:txFillClrLst/>
    <dgm:txEffectClrLst/>
  </dgm:styleLbl>
  <dgm:styleLbl name="asst1">
    <dgm:fillClrLst meth="repeat">
      <a:srgbClr val="5B9BD5"/>
    </dgm:fillClrLst>
    <dgm:linClrLst meth="repeat">
      <a:srgbClr val="FFFFFF"/>
    </dgm:linClrLst>
    <dgm:effectClrLst/>
    <dgm:txLinClrLst/>
    <dgm:txFillClrLst/>
    <dgm:txEffectClrLst/>
  </dgm:styleLbl>
  <dgm:styleLbl name="asst2">
    <dgm:fillClrLst meth="repeat">
      <a:srgbClr val="5B9BD5"/>
    </dgm:fillClrLst>
    <dgm:linClrLst meth="repeat">
      <a:srgbClr val="FFFFFF"/>
    </dgm:linClrLst>
    <dgm:effectClrLst/>
    <dgm:txLinClrLst/>
    <dgm:txFillClrLst/>
    <dgm:txEffectClrLst/>
  </dgm:styleLbl>
  <dgm:styleLbl name="asst3">
    <dgm:fillClrLst meth="repeat">
      <a:srgbClr val="5B9BD5"/>
    </dgm:fillClrLst>
    <dgm:linClrLst meth="repeat">
      <a:srgbClr val="FFFFFF"/>
    </dgm:linClrLst>
    <dgm:effectClrLst/>
    <dgm:txLinClrLst/>
    <dgm:txFillClrLst/>
    <dgm:txEffectClrLst/>
  </dgm:styleLbl>
  <dgm:styleLbl name="asst4">
    <dgm:fillClrLst meth="repeat">
      <a:srgbClr val="5B9BD5"/>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bgAccFollowNode1">
    <dgm:fillClrLst meth="repeat">
      <a:srgbClr val="D2DEEF">
        <a:alpha val="90000"/>
        <a:tint val="40000"/>
      </a:srgbClr>
    </dgm:fillClrLst>
    <dgm:linClrLst meth="repeat">
      <a:srgbClr val="D2DEEF">
        <a:alpha val="90000"/>
        <a:tint val="40000"/>
      </a:srgbClr>
    </dgm:linClrLst>
    <dgm:effectClrLst/>
    <dgm:txLinClrLst/>
    <dgm:txFillClrLst meth="repeat">
      <a:srgbClr val="000000"/>
    </dgm:txFillClrLst>
    <dgm:txEffectClrLst/>
  </dgm:styleLbl>
  <dgm:styleLbl name="bgImgPlace1">
    <dgm:fillClrLst meth="repeat">
      <a:srgbClr val="C4D5EB">
        <a:tint val="50000"/>
      </a:srgbClr>
    </dgm:fillClrLst>
    <dgm:linClrLst meth="repeat">
      <a:srgbClr val="FFFFFF"/>
    </dgm:linClrLst>
    <dgm:effectClrLst/>
    <dgm:txLinClrLst/>
    <dgm:txFillClrLst meth="repeat">
      <a:srgbClr val="FFFFFF"/>
    </dgm:txFillClrLst>
    <dgm:txEffectClrLst/>
  </dgm:styleLbl>
  <dgm:styleLbl name="bgShp">
    <dgm:fillClrLst meth="repeat">
      <a:srgbClr val="D2DEEF">
        <a:tint val="40000"/>
      </a:srgbClr>
    </dgm:fillClrLst>
    <dgm:linClrLst meth="repeat">
      <a:srgbClr val="5B9BD5"/>
    </dgm:linClrLst>
    <dgm:effectClrLst/>
    <dgm:txLinClrLst/>
    <dgm:txFillClrLst meth="repeat">
      <a:srgbClr val="000000"/>
    </dgm:txFillClrLst>
    <dgm:txEffectClrLst/>
  </dgm:styleLbl>
  <dgm:styleLbl name="bgSibTrans2D1">
    <dgm:fillClrLst meth="repeat">
      <a:srgbClr val="B5CBE7">
        <a:tint val="60000"/>
      </a:srgbClr>
    </dgm:fillClrLst>
    <dgm:linClrLst meth="repeat">
      <a:srgbClr val="B5CBE7">
        <a:tint val="60000"/>
      </a:srgbClr>
    </dgm:linClrLst>
    <dgm:effectClrLst/>
    <dgm:txLinClrLst/>
    <dgm:txFillClrLst/>
    <dgm:txEffectClrLst/>
  </dgm:styleLbl>
  <dgm:styleLbl name="callout">
    <dgm:fillClrLst meth="repeat">
      <a:srgbClr val="5B9BD5"/>
    </dgm:fillClrLst>
    <dgm:linClrLst meth="repeat">
      <a:srgbClr val="C4D5EB">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dkBgShp">
    <dgm:fillClrLst meth="repeat">
      <a:srgbClr val="528CC1">
        <a:shade val="80000"/>
      </a:srgbClr>
    </dgm:fillClrLst>
    <dgm:linClrLst meth="repeat">
      <a:srgbClr val="5B9BD5"/>
    </dgm:linClrLst>
    <dgm:effectClrLst/>
    <dgm:txLinClrLst/>
    <dgm:txFillClrLst meth="repeat">
      <a:srgbClr val="FFFFFF"/>
    </dgm:txFillClrLst>
    <dgm:txEffectClrLst/>
  </dgm:styleLbl>
  <dgm:styleLbl name="fgAcc0">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2">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3">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4">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FollowNode1">
    <dgm:fillClrLst meth="repeat">
      <a:srgbClr val="D2DEEF">
        <a:alpha val="90000"/>
        <a:tint val="40000"/>
      </a:srgbClr>
    </dgm:fillClrLst>
    <dgm:linClrLst meth="repeat">
      <a:srgbClr val="D2DEEF">
        <a:alpha val="90000"/>
        <a:tint val="40000"/>
      </a:srgbClr>
    </dgm:linClrLst>
    <dgm:effectClrLst/>
    <dgm:txLinClrLst/>
    <dgm:txFillClrLst meth="repeat">
      <a:srgbClr val="000000"/>
    </dgm:txFillClrLst>
    <dgm:txEffectClrLst/>
  </dgm:styleLbl>
  <dgm:styleLbl name="fgImgPlace1">
    <dgm:fillClrLst meth="repeat">
      <a:srgbClr val="C4D5EB">
        <a:tint val="50000"/>
      </a:srgbClr>
    </dgm:fillClrLst>
    <dgm:linClrLst meth="repeat">
      <a:srgbClr val="FFFFFF"/>
    </dgm:linClrLst>
    <dgm:effectClrLst/>
    <dgm:txLinClrLst/>
    <dgm:txFillClrLst meth="repeat">
      <a:srgbClr val="FFFFFF"/>
    </dgm:txFillClrLst>
    <dgm:txEffectClrLst/>
  </dgm:styleLbl>
  <dgm:styleLbl name="fgShp">
    <dgm:fillClrLst meth="repeat">
      <a:srgbClr val="B5CBE7">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B5CBE7">
        <a:tint val="60000"/>
      </a:srgbClr>
    </dgm:fillClrLst>
    <dgm:linClrLst meth="repeat">
      <a:srgbClr val="B5CBE7">
        <a:tint val="60000"/>
      </a:srgbClr>
    </dgm:linClrLst>
    <dgm:effectClrLst/>
    <dgm:txLinClrLst/>
    <dgm:txFillClrLst/>
    <dgm:txEffectClrLst/>
  </dgm:styleLbl>
  <dgm:styleLbl name="lnNode1">
    <dgm:fillClrLst meth="repeat">
      <a:srgbClr val="5B9BD5"/>
    </dgm:fillClrLst>
    <dgm:linClrLst meth="repeat">
      <a:srgbClr val="FFFFFF"/>
    </dgm:linClrLst>
    <dgm:effectClrLst/>
    <dgm:txLinClrLst/>
    <dgm:txFillClrLst/>
    <dgm:txEffectClrLst/>
  </dgm:styleLbl>
  <dgm:styleLbl name="node0">
    <dgm:fillClrLst meth="repeat">
      <a:srgbClr val="5B9BD5"/>
    </dgm:fillClrLst>
    <dgm:linClrLst meth="repeat">
      <a:srgbClr val="FFFFFF"/>
    </dgm:linClrLst>
    <dgm:effectClrLst/>
    <dgm:txLinClrLst/>
    <dgm:txFillClrLst/>
    <dgm:txEffectClrLst/>
  </dgm:styleLbl>
  <dgm:styleLbl name="node1">
    <dgm:fillClrLst meth="repeat">
      <a:srgbClr val="5B9BD5"/>
    </dgm:fillClrLst>
    <dgm:linClrLst meth="repeat">
      <a:srgbClr val="FFFFFF"/>
    </dgm:linClrLst>
    <dgm:effectClrLst/>
    <dgm:txLinClrLst/>
    <dgm:txFillClrLst/>
    <dgm:txEffectClrLst/>
  </dgm:styleLbl>
  <dgm:styleLbl name="node2">
    <dgm:fillClrLst meth="repeat">
      <a:srgbClr val="5B9BD5"/>
    </dgm:fillClrLst>
    <dgm:linClrLst meth="repeat">
      <a:srgbClr val="FFFFFF"/>
    </dgm:linClrLst>
    <dgm:effectClrLst/>
    <dgm:txLinClrLst/>
    <dgm:txFillClrLst/>
    <dgm:txEffectClrLst/>
  </dgm:styleLbl>
  <dgm:styleLbl name="node3">
    <dgm:fillClrLst meth="repeat">
      <a:srgbClr val="5B9BD5"/>
    </dgm:fillClrLst>
    <dgm:linClrLst meth="repeat">
      <a:srgbClr val="FFFFFF"/>
    </dgm:linClrLst>
    <dgm:effectClrLst/>
    <dgm:txLinClrLst/>
    <dgm:txFillClrLst/>
    <dgm:txEffectClrLst/>
  </dgm:styleLbl>
  <dgm:styleLbl name="node4">
    <dgm:fillClrLst meth="repeat">
      <a:srgbClr val="5B9BD5"/>
    </dgm:fillClrLst>
    <dgm:linClrLst meth="repeat">
      <a:srgbClr val="FFFFFF"/>
    </dgm:linClrLst>
    <dgm:effectClrLst/>
    <dgm:txLinClrLst/>
    <dgm:txFillClrLst/>
    <dgm:txEffectClrLst/>
  </dgm:styleLbl>
  <dgm:styleLbl name="parChTrans1D1">
    <dgm:fillClrLst meth="repeat">
      <a:srgbClr val="5B9BD5"/>
    </dgm:fillClrLst>
    <dgm:linClrLst meth="repeat">
      <a:srgbClr val="477BA9">
        <a:shade val="60000"/>
      </a:srgbClr>
    </dgm:linClrLst>
    <dgm:effectClrLst/>
    <dgm:txLinClrLst/>
    <dgm:txFillClrLst meth="repeat">
      <a:srgbClr val="000000"/>
    </dgm:txFillClrLst>
    <dgm:txEffectClrLst/>
  </dgm:styleLbl>
  <dgm:styleLbl name="parChTrans1D2">
    <dgm:fillClrLst meth="repeat">
      <a:srgbClr val="5B9BD5"/>
    </dgm:fillClrLst>
    <dgm:linClrLst meth="repeat">
      <a:srgbClr val="477BA9">
        <a:shade val="60000"/>
      </a:srgbClr>
    </dgm:linClrLst>
    <dgm:effectClrLst/>
    <dgm:txLinClrLst/>
    <dgm:txFillClrLst meth="repeat">
      <a:srgbClr val="000000"/>
    </dgm:txFillClrLst>
    <dgm:txEffectClrLst/>
  </dgm:styleLbl>
  <dgm:styleLbl name="parChTrans1D3">
    <dgm:fillClrLst meth="repeat">
      <a:srgbClr val="5B9BD5"/>
    </dgm:fillClrLst>
    <dgm:linClrLst meth="repeat">
      <a:srgbClr val="528CC1">
        <a:shade val="80000"/>
      </a:srgbClr>
    </dgm:linClrLst>
    <dgm:effectClrLst/>
    <dgm:txLinClrLst/>
    <dgm:txFillClrLst meth="repeat">
      <a:srgbClr val="000000"/>
    </dgm:txFillClrLst>
    <dgm:txEffectClrLst/>
  </dgm:styleLbl>
  <dgm:styleLbl name="parChTrans1D4">
    <dgm:fillClrLst meth="repeat">
      <a:srgbClr val="5B9BD5"/>
    </dgm:fillClrLst>
    <dgm:linClrLst meth="repeat">
      <a:srgbClr val="528CC1">
        <a:shade val="80000"/>
      </a:srgbClr>
    </dgm:linClrLst>
    <dgm:effectClrLst/>
    <dgm:txLinClrLst/>
    <dgm:txFillClrLst meth="repeat">
      <a:srgbClr val="000000"/>
    </dgm:txFillClrLst>
    <dgm:txEffectClrLst/>
  </dgm:styleLbl>
  <dgm:styleLbl name="parChTrans2D1">
    <dgm:fillClrLst meth="repeat">
      <a:srgbClr val="B5CBE7">
        <a:tint val="60000"/>
      </a:srgbClr>
    </dgm:fillClrLst>
    <dgm:linClrLst meth="repeat">
      <a:srgbClr val="B5CBE7">
        <a:tint val="60000"/>
      </a:srgbClr>
    </dgm:linClrLst>
    <dgm:effectClrLst/>
    <dgm:txLinClrLst/>
    <dgm:txFillClrLst meth="repeat">
      <a:srgbClr val="FFFFFF"/>
    </dgm:txFillClrLst>
    <dgm:txEffectClrLst/>
  </dgm:styleLbl>
  <dgm:styleLbl name="parChTrans2D2">
    <dgm:fillClrLst meth="repeat">
      <a:srgbClr val="5B9BD5"/>
    </dgm:fillClrLst>
    <dgm:linClrLst meth="repeat">
      <a:srgbClr val="5B9BD5"/>
    </dgm:linClrLst>
    <dgm:effectClrLst/>
    <dgm:txLinClrLst/>
    <dgm:txFillClrLst meth="repeat">
      <a:srgbClr val="FFFFFF"/>
    </dgm:txFillClrLst>
    <dgm:txEffectClrLst/>
  </dgm:styleLbl>
  <dgm:styleLbl name="parChTrans2D3">
    <dgm:fillClrLst meth="repeat">
      <a:srgbClr val="5B9BD5"/>
    </dgm:fillClrLst>
    <dgm:linClrLst meth="repeat">
      <a:srgbClr val="5B9BD5"/>
    </dgm:linClrLst>
    <dgm:effectClrLst/>
    <dgm:txLinClrLst/>
    <dgm:txFillClrLst meth="repeat">
      <a:srgbClr val="FFFFFF"/>
    </dgm:txFillClrLst>
    <dgm:txEffectClrLst/>
  </dgm:styleLbl>
  <dgm:styleLbl name="parChTrans2D4">
    <dgm:fillClrLst meth="repeat">
      <a:srgbClr val="5B9BD5"/>
    </dgm:fillClrLst>
    <dgm:linClrLst meth="repeat">
      <a:srgbClr val="5B9BD5"/>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5B9BD5"/>
    </dgm:fillClrLst>
    <dgm:linClrLst meth="repeat">
      <a:srgbClr val="5B9BD5"/>
    </dgm:linClrLst>
    <dgm:effectClrLst/>
    <dgm:txLinClrLst/>
    <dgm:txFillClrLst meth="repeat">
      <a:srgbClr val="000000"/>
    </dgm:txFillClrLst>
    <dgm:txEffectClrLst/>
  </dgm:styleLbl>
  <dgm:styleLbl name="sibTrans2D1">
    <dgm:fillClrLst meth="repeat">
      <a:srgbClr val="B5CBE7">
        <a:tint val="60000"/>
      </a:srgbClr>
    </dgm:fillClrLst>
    <dgm:linClrLst meth="repeat">
      <a:srgbClr val="B5CBE7">
        <a:tint val="60000"/>
      </a:srgbClr>
    </dgm:linClrLst>
    <dgm:effectClrLst/>
    <dgm:txLinClrLst/>
    <dgm:txFillClrLst/>
    <dgm:txEffectClrLst/>
  </dgm:styleLbl>
  <dgm:styleLbl name="solidAlignAcc1">
    <dgm:fillClrLst meth="repeat">
      <a:srgbClr val="FFFFFF"/>
    </dgm:fillClrLst>
    <dgm:linClrLst meth="repeat">
      <a:srgbClr val="5B9BD5"/>
    </dgm:linClrLst>
    <dgm:effectClrLst/>
    <dgm:txLinClrLst/>
    <dgm:txFillClrLst meth="repeat">
      <a:srgbClr val="000000"/>
    </dgm:txFillClrLst>
    <dgm:txEffectClrLst/>
  </dgm:styleLbl>
  <dgm:styleLbl name="solidBgAcc1">
    <dgm:fillClrLst meth="repeat">
      <a:srgbClr val="FFFFFF"/>
    </dgm:fillClrLst>
    <dgm:linClrLst meth="repeat">
      <a:srgbClr val="5B9BD5"/>
    </dgm:linClrLst>
    <dgm:effectClrLst/>
    <dgm:txLinClrLst/>
    <dgm:txFillClrLst meth="repeat">
      <a:srgbClr val="000000"/>
    </dgm:txFillClrLst>
    <dgm:txEffectClrLst/>
  </dgm:styleLbl>
  <dgm:styleLbl name="solidFgAcc1">
    <dgm:fillClrLst meth="repeat">
      <a:srgbClr val="FFFFFF"/>
    </dgm:fillClrLst>
    <dgm:linClrLst meth="repeat">
      <a:srgbClr val="5B9BD5"/>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5B9BD5"/>
    </dgm:linClrLst>
    <dgm:effectClrLst/>
    <dgm:txLinClrLst/>
    <dgm:txFillClrLst meth="repeat">
      <a:srgbClr val="000000"/>
    </dgm:txFillClrLst>
    <dgm:txEffectClrLst/>
  </dgm:styleLbl>
  <dgm:styleLbl name="trBgShp">
    <dgm:fillClrLst meth="repeat">
      <a:srgbClr val="C4D5EB">
        <a:tint val="50000"/>
        <a:alpha val="40000"/>
      </a:srgbClr>
    </dgm:fillClrLst>
    <dgm:linClrLst meth="repeat">
      <a:srgbClr val="5B9BD5"/>
    </dgm:linClrLst>
    <dgm:effectClrLst/>
    <dgm:txLinClrLst/>
    <dgm:txFillClrLst meth="repeat">
      <a:srgbClr val="FFFFFF"/>
    </dgm:txFillClrLst>
    <dgm:txEffectClrLst/>
  </dgm:styleLbl>
  <dgm:styleLbl name="vennNode1">
    <dgm:fillClrLst meth="repeat">
      <a:srgbClr val="5B9BD5">
        <a:alpha val="50000"/>
      </a:srgbClr>
    </dgm:fillClrLst>
    <dgm:linClrLst meth="repeat">
      <a:srgbClr val="FFFFFF"/>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alignAccFollowNode1">
    <dgm:fillClrLst meth="repeat">
      <a:srgbClr val="D2DEEF">
        <a:alpha val="90000"/>
        <a:tint val="40000"/>
      </a:srgbClr>
    </dgm:fillClrLst>
    <dgm:linClrLst meth="repeat">
      <a:srgbClr val="D2DEEF">
        <a:alpha val="90000"/>
        <a:tint val="40000"/>
      </a:srgbClr>
    </dgm:linClrLst>
    <dgm:effectClrLst/>
    <dgm:txLinClrLst/>
    <dgm:txFillClrLst meth="repeat">
      <a:srgbClr val="000000"/>
    </dgm:txFillClrLst>
    <dgm:txEffectClrLst/>
  </dgm:styleLbl>
  <dgm:styleLbl name="alignImgPlace1">
    <dgm:fillClrLst meth="repeat">
      <a:srgbClr val="C4D5EB">
        <a:tint val="50000"/>
      </a:srgbClr>
    </dgm:fillClrLst>
    <dgm:linClrLst meth="repeat">
      <a:srgbClr val="FFFFFF"/>
    </dgm:linClrLst>
    <dgm:effectClrLst/>
    <dgm:txLinClrLst/>
    <dgm:txFillClrLst meth="repeat">
      <a:srgbClr val="FFFFFF"/>
    </dgm:txFillClrLst>
    <dgm:txEffectClrLst/>
  </dgm:styleLbl>
  <dgm:styleLbl name="alignNode1">
    <dgm:fillClrLst meth="repeat">
      <a:srgbClr val="5B9BD5"/>
    </dgm:fillClrLst>
    <dgm:linClrLst meth="repeat">
      <a:srgbClr val="5B9BD5"/>
    </dgm:linClrLst>
    <dgm:effectClrLst/>
    <dgm:txLinClrLst/>
    <dgm:txFillClrLst/>
    <dgm:txEffectClrLst/>
  </dgm:styleLbl>
  <dgm:styleLbl name="asst0">
    <dgm:fillClrLst meth="repeat">
      <a:srgbClr val="5B9BD5"/>
    </dgm:fillClrLst>
    <dgm:linClrLst meth="repeat">
      <a:srgbClr val="FFFFFF"/>
    </dgm:linClrLst>
    <dgm:effectClrLst/>
    <dgm:txLinClrLst/>
    <dgm:txFillClrLst/>
    <dgm:txEffectClrLst/>
  </dgm:styleLbl>
  <dgm:styleLbl name="asst1">
    <dgm:fillClrLst meth="repeat">
      <a:srgbClr val="5B9BD5"/>
    </dgm:fillClrLst>
    <dgm:linClrLst meth="repeat">
      <a:srgbClr val="FFFFFF"/>
    </dgm:linClrLst>
    <dgm:effectClrLst/>
    <dgm:txLinClrLst/>
    <dgm:txFillClrLst/>
    <dgm:txEffectClrLst/>
  </dgm:styleLbl>
  <dgm:styleLbl name="asst2">
    <dgm:fillClrLst meth="repeat">
      <a:srgbClr val="5B9BD5"/>
    </dgm:fillClrLst>
    <dgm:linClrLst meth="repeat">
      <a:srgbClr val="FFFFFF"/>
    </dgm:linClrLst>
    <dgm:effectClrLst/>
    <dgm:txLinClrLst/>
    <dgm:txFillClrLst/>
    <dgm:txEffectClrLst/>
  </dgm:styleLbl>
  <dgm:styleLbl name="asst3">
    <dgm:fillClrLst meth="repeat">
      <a:srgbClr val="5B9BD5"/>
    </dgm:fillClrLst>
    <dgm:linClrLst meth="repeat">
      <a:srgbClr val="FFFFFF"/>
    </dgm:linClrLst>
    <dgm:effectClrLst/>
    <dgm:txLinClrLst/>
    <dgm:txFillClrLst/>
    <dgm:txEffectClrLst/>
  </dgm:styleLbl>
  <dgm:styleLbl name="asst4">
    <dgm:fillClrLst meth="repeat">
      <a:srgbClr val="5B9BD5"/>
    </dgm:fillClrLst>
    <dgm:linClrLst meth="repeat">
      <a:srgbClr val="FFFFFF"/>
    </dgm:linClrLst>
    <dgm:effectClrLst/>
    <dgm:txLinClrLst/>
    <dgm:txFillClrLst/>
    <dgm:txEffectClrLst/>
  </dgm:styleLbl>
  <dgm:styleLbl name="bg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bgAccFollowNode1">
    <dgm:fillClrLst meth="repeat">
      <a:srgbClr val="D2DEEF">
        <a:alpha val="90000"/>
        <a:tint val="40000"/>
      </a:srgbClr>
    </dgm:fillClrLst>
    <dgm:linClrLst meth="repeat">
      <a:srgbClr val="D2DEEF">
        <a:alpha val="90000"/>
        <a:tint val="40000"/>
      </a:srgbClr>
    </dgm:linClrLst>
    <dgm:effectClrLst/>
    <dgm:txLinClrLst/>
    <dgm:txFillClrLst meth="repeat">
      <a:srgbClr val="000000"/>
    </dgm:txFillClrLst>
    <dgm:txEffectClrLst/>
  </dgm:styleLbl>
  <dgm:styleLbl name="bgImgPlace1">
    <dgm:fillClrLst meth="repeat">
      <a:srgbClr val="C4D5EB">
        <a:tint val="50000"/>
      </a:srgbClr>
    </dgm:fillClrLst>
    <dgm:linClrLst meth="repeat">
      <a:srgbClr val="FFFFFF"/>
    </dgm:linClrLst>
    <dgm:effectClrLst/>
    <dgm:txLinClrLst/>
    <dgm:txFillClrLst meth="repeat">
      <a:srgbClr val="FFFFFF"/>
    </dgm:txFillClrLst>
    <dgm:txEffectClrLst/>
  </dgm:styleLbl>
  <dgm:styleLbl name="bgShp">
    <dgm:fillClrLst meth="repeat">
      <a:srgbClr val="D2DEEF">
        <a:tint val="40000"/>
      </a:srgbClr>
    </dgm:fillClrLst>
    <dgm:linClrLst meth="repeat">
      <a:srgbClr val="5B9BD5"/>
    </dgm:linClrLst>
    <dgm:effectClrLst/>
    <dgm:txLinClrLst/>
    <dgm:txFillClrLst meth="repeat">
      <a:srgbClr val="000000"/>
    </dgm:txFillClrLst>
    <dgm:txEffectClrLst/>
  </dgm:styleLbl>
  <dgm:styleLbl name="bgSibTrans2D1">
    <dgm:fillClrLst meth="repeat">
      <a:srgbClr val="B5CBE7">
        <a:tint val="60000"/>
      </a:srgbClr>
    </dgm:fillClrLst>
    <dgm:linClrLst meth="repeat">
      <a:srgbClr val="B5CBE7">
        <a:tint val="60000"/>
      </a:srgbClr>
    </dgm:linClrLst>
    <dgm:effectClrLst/>
    <dgm:txLinClrLst/>
    <dgm:txFillClrLst/>
    <dgm:txEffectClrLst/>
  </dgm:styleLbl>
  <dgm:styleLbl name="callout">
    <dgm:fillClrLst meth="repeat">
      <a:srgbClr val="5B9BD5"/>
    </dgm:fillClrLst>
    <dgm:linClrLst meth="repeat">
      <a:srgbClr val="C4D5EB">
        <a:tint val="50000"/>
      </a:srgbClr>
    </dgm:linClrLst>
    <dgm:effectClrLst/>
    <dgm:txLinClrLst/>
    <dgm:txFillClrLst meth="repeat">
      <a:srgbClr val="000000"/>
    </dgm:txFillClrLst>
    <dgm:txEffectClrLst/>
  </dgm:styleLbl>
  <dgm:styleLbl name="conFg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dkBgShp">
    <dgm:fillClrLst meth="repeat">
      <a:srgbClr val="528CC1">
        <a:shade val="80000"/>
      </a:srgbClr>
    </dgm:fillClrLst>
    <dgm:linClrLst meth="repeat">
      <a:srgbClr val="5B9BD5"/>
    </dgm:linClrLst>
    <dgm:effectClrLst/>
    <dgm:txLinClrLst/>
    <dgm:txFillClrLst meth="repeat">
      <a:srgbClr val="FFFFFF"/>
    </dgm:txFillClrLst>
    <dgm:txEffectClrLst/>
  </dgm:styleLbl>
  <dgm:styleLbl name="fgAcc0">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1">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2">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3">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4">
    <dgm:fillClrLst meth="repeat">
      <a:srgbClr val="FFFFFF">
        <a:alpha val="90000"/>
      </a:srgbClr>
    </dgm:fillClrLst>
    <dgm:linClrLst meth="repeat">
      <a:srgbClr val="5B9BD5"/>
    </dgm:linClrLst>
    <dgm:effectClrLst/>
    <dgm:txLinClrLst/>
    <dgm:txFillClrLst meth="repeat">
      <a:srgbClr val="000000"/>
    </dgm:txFillClrLst>
    <dgm:txEffectClrLst/>
  </dgm:styleLbl>
  <dgm:styleLbl name="fgAccFollowNode1">
    <dgm:fillClrLst meth="repeat">
      <a:srgbClr val="D2DEEF">
        <a:alpha val="90000"/>
        <a:tint val="40000"/>
      </a:srgbClr>
    </dgm:fillClrLst>
    <dgm:linClrLst meth="repeat">
      <a:srgbClr val="D2DEEF">
        <a:alpha val="90000"/>
        <a:tint val="40000"/>
      </a:srgbClr>
    </dgm:linClrLst>
    <dgm:effectClrLst/>
    <dgm:txLinClrLst/>
    <dgm:txFillClrLst meth="repeat">
      <a:srgbClr val="000000"/>
    </dgm:txFillClrLst>
    <dgm:txEffectClrLst/>
  </dgm:styleLbl>
  <dgm:styleLbl name="fgImgPlace1">
    <dgm:fillClrLst meth="repeat">
      <a:srgbClr val="C4D5EB">
        <a:tint val="50000"/>
      </a:srgbClr>
    </dgm:fillClrLst>
    <dgm:linClrLst meth="repeat">
      <a:srgbClr val="FFFFFF"/>
    </dgm:linClrLst>
    <dgm:effectClrLst/>
    <dgm:txLinClrLst/>
    <dgm:txFillClrLst meth="repeat">
      <a:srgbClr val="FFFFFF"/>
    </dgm:txFillClrLst>
    <dgm:txEffectClrLst/>
  </dgm:styleLbl>
  <dgm:styleLbl name="fgShp">
    <dgm:fillClrLst meth="repeat">
      <a:srgbClr val="B5CBE7">
        <a:tint val="60000"/>
      </a:srgbClr>
    </dgm:fillClrLst>
    <dgm:linClrLst meth="repeat">
      <a:srgbClr val="FFFFFF"/>
    </dgm:linClrLst>
    <dgm:effectClrLst/>
    <dgm:txLinClrLst/>
    <dgm:txFillClrLst meth="repeat">
      <a:srgbClr val="000000"/>
    </dgm:txFillClrLst>
    <dgm:txEffectClrLst/>
  </dgm:styleLbl>
  <dgm:styleLbl name="fgSibTrans2D1">
    <dgm:fillClrLst meth="repeat">
      <a:srgbClr val="B5CBE7">
        <a:tint val="60000"/>
      </a:srgbClr>
    </dgm:fillClrLst>
    <dgm:linClrLst meth="repeat">
      <a:srgbClr val="B5CBE7">
        <a:tint val="60000"/>
      </a:srgbClr>
    </dgm:linClrLst>
    <dgm:effectClrLst/>
    <dgm:txLinClrLst/>
    <dgm:txFillClrLst/>
    <dgm:txEffectClrLst/>
  </dgm:styleLbl>
  <dgm:styleLbl name="lnNode1">
    <dgm:fillClrLst meth="repeat">
      <a:srgbClr val="5B9BD5"/>
    </dgm:fillClrLst>
    <dgm:linClrLst meth="repeat">
      <a:srgbClr val="FFFFFF"/>
    </dgm:linClrLst>
    <dgm:effectClrLst/>
    <dgm:txLinClrLst/>
    <dgm:txFillClrLst/>
    <dgm:txEffectClrLst/>
  </dgm:styleLbl>
  <dgm:styleLbl name="node0">
    <dgm:fillClrLst meth="repeat">
      <a:srgbClr val="5B9BD5"/>
    </dgm:fillClrLst>
    <dgm:linClrLst meth="repeat">
      <a:srgbClr val="FFFFFF"/>
    </dgm:linClrLst>
    <dgm:effectClrLst/>
    <dgm:txLinClrLst/>
    <dgm:txFillClrLst/>
    <dgm:txEffectClrLst/>
  </dgm:styleLbl>
  <dgm:styleLbl name="node1">
    <dgm:fillClrLst meth="repeat">
      <a:srgbClr val="5B9BD5"/>
    </dgm:fillClrLst>
    <dgm:linClrLst meth="repeat">
      <a:srgbClr val="FFFFFF"/>
    </dgm:linClrLst>
    <dgm:effectClrLst/>
    <dgm:txLinClrLst/>
    <dgm:txFillClrLst/>
    <dgm:txEffectClrLst/>
  </dgm:styleLbl>
  <dgm:styleLbl name="node2">
    <dgm:fillClrLst meth="repeat">
      <a:srgbClr val="5B9BD5"/>
    </dgm:fillClrLst>
    <dgm:linClrLst meth="repeat">
      <a:srgbClr val="FFFFFF"/>
    </dgm:linClrLst>
    <dgm:effectClrLst/>
    <dgm:txLinClrLst/>
    <dgm:txFillClrLst/>
    <dgm:txEffectClrLst/>
  </dgm:styleLbl>
  <dgm:styleLbl name="node3">
    <dgm:fillClrLst meth="repeat">
      <a:srgbClr val="5B9BD5"/>
    </dgm:fillClrLst>
    <dgm:linClrLst meth="repeat">
      <a:srgbClr val="FFFFFF"/>
    </dgm:linClrLst>
    <dgm:effectClrLst/>
    <dgm:txLinClrLst/>
    <dgm:txFillClrLst/>
    <dgm:txEffectClrLst/>
  </dgm:styleLbl>
  <dgm:styleLbl name="node4">
    <dgm:fillClrLst meth="repeat">
      <a:srgbClr val="5B9BD5"/>
    </dgm:fillClrLst>
    <dgm:linClrLst meth="repeat">
      <a:srgbClr val="FFFFFF"/>
    </dgm:linClrLst>
    <dgm:effectClrLst/>
    <dgm:txLinClrLst/>
    <dgm:txFillClrLst/>
    <dgm:txEffectClrLst/>
  </dgm:styleLbl>
  <dgm:styleLbl name="parChTrans1D1">
    <dgm:fillClrLst meth="repeat">
      <a:srgbClr val="5B9BD5"/>
    </dgm:fillClrLst>
    <dgm:linClrLst meth="repeat">
      <a:srgbClr val="477BA9">
        <a:shade val="60000"/>
      </a:srgbClr>
    </dgm:linClrLst>
    <dgm:effectClrLst/>
    <dgm:txLinClrLst/>
    <dgm:txFillClrLst meth="repeat">
      <a:srgbClr val="000000"/>
    </dgm:txFillClrLst>
    <dgm:txEffectClrLst/>
  </dgm:styleLbl>
  <dgm:styleLbl name="parChTrans1D2">
    <dgm:fillClrLst meth="repeat">
      <a:srgbClr val="5B9BD5"/>
    </dgm:fillClrLst>
    <dgm:linClrLst meth="repeat">
      <a:srgbClr val="477BA9">
        <a:shade val="60000"/>
      </a:srgbClr>
    </dgm:linClrLst>
    <dgm:effectClrLst/>
    <dgm:txLinClrLst/>
    <dgm:txFillClrLst meth="repeat">
      <a:srgbClr val="000000"/>
    </dgm:txFillClrLst>
    <dgm:txEffectClrLst/>
  </dgm:styleLbl>
  <dgm:styleLbl name="parChTrans1D3">
    <dgm:fillClrLst meth="repeat">
      <a:srgbClr val="5B9BD5"/>
    </dgm:fillClrLst>
    <dgm:linClrLst meth="repeat">
      <a:srgbClr val="528CC1">
        <a:shade val="80000"/>
      </a:srgbClr>
    </dgm:linClrLst>
    <dgm:effectClrLst/>
    <dgm:txLinClrLst/>
    <dgm:txFillClrLst meth="repeat">
      <a:srgbClr val="000000"/>
    </dgm:txFillClrLst>
    <dgm:txEffectClrLst/>
  </dgm:styleLbl>
  <dgm:styleLbl name="parChTrans1D4">
    <dgm:fillClrLst meth="repeat">
      <a:srgbClr val="5B9BD5"/>
    </dgm:fillClrLst>
    <dgm:linClrLst meth="repeat">
      <a:srgbClr val="528CC1">
        <a:shade val="80000"/>
      </a:srgbClr>
    </dgm:linClrLst>
    <dgm:effectClrLst/>
    <dgm:txLinClrLst/>
    <dgm:txFillClrLst meth="repeat">
      <a:srgbClr val="000000"/>
    </dgm:txFillClrLst>
    <dgm:txEffectClrLst/>
  </dgm:styleLbl>
  <dgm:styleLbl name="parChTrans2D1">
    <dgm:fillClrLst meth="repeat">
      <a:srgbClr val="B5CBE7">
        <a:tint val="60000"/>
      </a:srgbClr>
    </dgm:fillClrLst>
    <dgm:linClrLst meth="repeat">
      <a:srgbClr val="B5CBE7">
        <a:tint val="60000"/>
      </a:srgbClr>
    </dgm:linClrLst>
    <dgm:effectClrLst/>
    <dgm:txLinClrLst/>
    <dgm:txFillClrLst meth="repeat">
      <a:srgbClr val="FFFFFF"/>
    </dgm:txFillClrLst>
    <dgm:txEffectClrLst/>
  </dgm:styleLbl>
  <dgm:styleLbl name="parChTrans2D2">
    <dgm:fillClrLst meth="repeat">
      <a:srgbClr val="5B9BD5"/>
    </dgm:fillClrLst>
    <dgm:linClrLst meth="repeat">
      <a:srgbClr val="5B9BD5"/>
    </dgm:linClrLst>
    <dgm:effectClrLst/>
    <dgm:txLinClrLst/>
    <dgm:txFillClrLst meth="repeat">
      <a:srgbClr val="FFFFFF"/>
    </dgm:txFillClrLst>
    <dgm:txEffectClrLst/>
  </dgm:styleLbl>
  <dgm:styleLbl name="parChTrans2D3">
    <dgm:fillClrLst meth="repeat">
      <a:srgbClr val="5B9BD5"/>
    </dgm:fillClrLst>
    <dgm:linClrLst meth="repeat">
      <a:srgbClr val="5B9BD5"/>
    </dgm:linClrLst>
    <dgm:effectClrLst/>
    <dgm:txLinClrLst/>
    <dgm:txFillClrLst meth="repeat">
      <a:srgbClr val="FFFFFF"/>
    </dgm:txFillClrLst>
    <dgm:txEffectClrLst/>
  </dgm:styleLbl>
  <dgm:styleLbl name="parChTrans2D4">
    <dgm:fillClrLst meth="repeat">
      <a:srgbClr val="5B9BD5"/>
    </dgm:fillClrLst>
    <dgm:linClrLst meth="repeat">
      <a:srgbClr val="5B9BD5"/>
    </dgm:linClrLst>
    <dgm:effectClrLst/>
    <dgm:txLinClrLst/>
    <dgm:txFillClrLst meth="repeat">
      <a:srgbClr val="FFFFFF"/>
    </dgm:txFillClrLst>
    <dgm:txEffectClrLst/>
  </dgm:styleLbl>
  <dgm:styleLbl name="revTx">
    <dgm:fillClrLst meth="repeat">
      <a:srgbClr val="FFFFFF">
        <a:alpha val="0"/>
      </a:srgbClr>
    </dgm:fillClrLst>
    <dgm:linClrLst meth="repeat">
      <a:srgbClr val="000000">
        <a:alpha val="0"/>
      </a:srgbClr>
    </dgm:linClrLst>
    <dgm:effectClrLst/>
    <dgm:txLinClrLst/>
    <dgm:txFillClrLst meth="repeat">
      <a:srgbClr val="000000"/>
    </dgm:txFillClrLst>
    <dgm:txEffectClrLst/>
  </dgm:styleLbl>
  <dgm:styleLbl name="sibTrans1D1">
    <dgm:fillClrLst meth="repeat">
      <a:srgbClr val="5B9BD5"/>
    </dgm:fillClrLst>
    <dgm:linClrLst meth="repeat">
      <a:srgbClr val="5B9BD5"/>
    </dgm:linClrLst>
    <dgm:effectClrLst/>
    <dgm:txLinClrLst/>
    <dgm:txFillClrLst meth="repeat">
      <a:srgbClr val="000000"/>
    </dgm:txFillClrLst>
    <dgm:txEffectClrLst/>
  </dgm:styleLbl>
  <dgm:styleLbl name="sibTrans2D1">
    <dgm:fillClrLst meth="repeat">
      <a:srgbClr val="B5CBE7">
        <a:tint val="60000"/>
      </a:srgbClr>
    </dgm:fillClrLst>
    <dgm:linClrLst meth="repeat">
      <a:srgbClr val="B5CBE7">
        <a:tint val="60000"/>
      </a:srgbClr>
    </dgm:linClrLst>
    <dgm:effectClrLst/>
    <dgm:txLinClrLst/>
    <dgm:txFillClrLst/>
    <dgm:txEffectClrLst/>
  </dgm:styleLbl>
  <dgm:styleLbl name="solidAlignAcc1">
    <dgm:fillClrLst meth="repeat">
      <a:srgbClr val="FFFFFF"/>
    </dgm:fillClrLst>
    <dgm:linClrLst meth="repeat">
      <a:srgbClr val="5B9BD5"/>
    </dgm:linClrLst>
    <dgm:effectClrLst/>
    <dgm:txLinClrLst/>
    <dgm:txFillClrLst meth="repeat">
      <a:srgbClr val="000000"/>
    </dgm:txFillClrLst>
    <dgm:txEffectClrLst/>
  </dgm:styleLbl>
  <dgm:styleLbl name="solidBgAcc1">
    <dgm:fillClrLst meth="repeat">
      <a:srgbClr val="FFFFFF"/>
    </dgm:fillClrLst>
    <dgm:linClrLst meth="repeat">
      <a:srgbClr val="5B9BD5"/>
    </dgm:linClrLst>
    <dgm:effectClrLst/>
    <dgm:txLinClrLst/>
    <dgm:txFillClrLst meth="repeat">
      <a:srgbClr val="000000"/>
    </dgm:txFillClrLst>
    <dgm:txEffectClrLst/>
  </dgm:styleLbl>
  <dgm:styleLbl name="solidFgAcc1">
    <dgm:fillClrLst meth="repeat">
      <a:srgbClr val="FFFFFF"/>
    </dgm:fillClrLst>
    <dgm:linClrLst meth="repeat">
      <a:srgbClr val="5B9BD5"/>
    </dgm:linClrLst>
    <dgm:effectClrLst/>
    <dgm:txLinClrLst/>
    <dgm:txFillClrLst meth="repeat">
      <a:srgbClr val="000000"/>
    </dgm:txFillClrLst>
    <dgm:txEffectClrLst/>
  </dgm:styleLbl>
  <dgm:styleLbl name="trAlignAcc1">
    <dgm:fillClrLst meth="repeat">
      <a:srgbClr val="FFFFFF">
        <a:alpha val="40000"/>
      </a:srgbClr>
    </dgm:fillClrLst>
    <dgm:linClrLst meth="repeat">
      <a:srgbClr val="5B9BD5"/>
    </dgm:linClrLst>
    <dgm:effectClrLst/>
    <dgm:txLinClrLst/>
    <dgm:txFillClrLst meth="repeat">
      <a:srgbClr val="000000"/>
    </dgm:txFillClrLst>
    <dgm:txEffectClrLst/>
  </dgm:styleLbl>
  <dgm:styleLbl name="trBgShp">
    <dgm:fillClrLst meth="repeat">
      <a:srgbClr val="C4D5EB">
        <a:tint val="50000"/>
        <a:alpha val="40000"/>
      </a:srgbClr>
    </dgm:fillClrLst>
    <dgm:linClrLst meth="repeat">
      <a:srgbClr val="5B9BD5"/>
    </dgm:linClrLst>
    <dgm:effectClrLst/>
    <dgm:txLinClrLst/>
    <dgm:txFillClrLst meth="repeat">
      <a:srgbClr val="FFFFFF"/>
    </dgm:txFillClrLst>
    <dgm:txEffectClrLst/>
  </dgm:styleLbl>
  <dgm:styleLbl name="vennNode1">
    <dgm:fillClrLst meth="repeat">
      <a:srgbClr val="5B9BD5">
        <a:alpha val="50000"/>
      </a:srgbClr>
    </dgm:fillClrLst>
    <dgm:linClrLst meth="repeat">
      <a:srgbClr val="FFFFFF"/>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E18474BA-5555-4BC1-9444-3F1910F9FB6E}" type="doc">
      <dgm:prSet loTypeId="urn:microsoft.com/office/officeart/2005/8/layout/venn1" loCatId="relationship" qsTypeId="urn:microsoft.com/office/officeart/2005/8/quickstyle/simple3#1" qsCatId="simple" csTypeId="urn:microsoft.com/office/officeart/2005/8/colors/accent1_2#1" csCatId="accent1" phldr="1"/>
      <dgm:spPr/>
    </dgm:pt>
    <dgm:pt modelId="{52CEBADC-F84B-4395-8606-1CF075D05736}">
      <dgm:prSet phldrT="[Текст]"/>
      <dgm:spPr/>
      <dgm:t>
        <a:bodyPr/>
        <a:lstStyle/>
        <a:p>
          <a:r>
            <a:rPr lang="en-US" b="0" i="1"/>
            <a:t>Мемлекет </a:t>
          </a:r>
          <a:endParaRPr lang="ru-RU" b="0" i="1"/>
        </a:p>
      </dgm:t>
    </dgm:pt>
    <dgm:pt modelId="{042661D0-76ED-469F-838B-DE7487891957}" type="parTrans" cxnId="{123D0E29-A860-47A2-8EB8-B71222C265CD}">
      <dgm:prSet/>
      <dgm:spPr/>
      <dgm:t>
        <a:bodyPr/>
        <a:lstStyle/>
        <a:p>
          <a:endParaRPr lang="ru-RU"/>
        </a:p>
      </dgm:t>
    </dgm:pt>
    <dgm:pt modelId="{DAB07BDA-FF4F-4104-A025-E5EA0569C568}" type="sibTrans" cxnId="{123D0E29-A860-47A2-8EB8-B71222C265CD}">
      <dgm:prSet/>
      <dgm:spPr/>
      <dgm:t>
        <a:bodyPr/>
        <a:lstStyle/>
        <a:p>
          <a:endParaRPr lang="ru-RU"/>
        </a:p>
      </dgm:t>
    </dgm:pt>
    <dgm:pt modelId="{F76C0585-7236-4E53-AB4E-9CAF4BA27D3C}">
      <dgm:prSet phldrT="[Текст]"/>
      <dgm:spPr/>
      <dgm:t>
        <a:bodyPr/>
        <a:lstStyle/>
        <a:p>
          <a:r>
            <a:rPr lang="en-US" b="0" i="1">
              <a:latin typeface="Times New Roman" panose="02020603050405020304" charset="0"/>
              <a:cs typeface="Times New Roman" panose="02020603050405020304" charset="0"/>
            </a:rPr>
            <a:t>Академиялық орта</a:t>
          </a:r>
          <a:endParaRPr lang="ru-RU" b="0" i="1">
            <a:latin typeface="Times New Roman" panose="02020603050405020304" charset="0"/>
            <a:cs typeface="Times New Roman" panose="02020603050405020304" charset="0"/>
          </a:endParaRPr>
        </a:p>
      </dgm:t>
    </dgm:pt>
    <dgm:pt modelId="{E5FEB473-9C5C-420C-9802-0F25AC1468E5}" type="parTrans" cxnId="{3D435CAD-0AA7-4FB4-A08C-DED3EB945BB8}">
      <dgm:prSet/>
      <dgm:spPr/>
      <dgm:t>
        <a:bodyPr/>
        <a:lstStyle/>
        <a:p>
          <a:endParaRPr lang="ru-RU"/>
        </a:p>
      </dgm:t>
    </dgm:pt>
    <dgm:pt modelId="{91F6F577-12D9-49E0-BBB3-479F8DE49EF1}" type="sibTrans" cxnId="{3D435CAD-0AA7-4FB4-A08C-DED3EB945BB8}">
      <dgm:prSet/>
      <dgm:spPr/>
      <dgm:t>
        <a:bodyPr/>
        <a:lstStyle/>
        <a:p>
          <a:endParaRPr lang="ru-RU"/>
        </a:p>
      </dgm:t>
    </dgm:pt>
    <dgm:pt modelId="{7B12D341-B995-4A7E-A725-1153091E14A3}">
      <dgm:prSet phldrT="[Текст]"/>
      <dgm:spPr/>
      <dgm:t>
        <a:bodyPr/>
        <a:lstStyle/>
        <a:p>
          <a:r>
            <a:rPr lang="en-US" b="0" i="1"/>
            <a:t>Өнеркәсіп</a:t>
          </a:r>
          <a:endParaRPr lang="ru-RU" b="0" i="1"/>
        </a:p>
      </dgm:t>
    </dgm:pt>
    <dgm:pt modelId="{61A26F42-7F50-4C34-B2F5-59B9DDD2F767}" type="parTrans" cxnId="{CDFCF97D-F4D3-4BE7-A8D6-36D6E523FB03}">
      <dgm:prSet/>
      <dgm:spPr/>
      <dgm:t>
        <a:bodyPr/>
        <a:lstStyle/>
        <a:p>
          <a:endParaRPr lang="ru-RU"/>
        </a:p>
      </dgm:t>
    </dgm:pt>
    <dgm:pt modelId="{736117AB-5A6C-4DB8-AAA9-C2D3FCC81073}" type="sibTrans" cxnId="{CDFCF97D-F4D3-4BE7-A8D6-36D6E523FB03}">
      <dgm:prSet/>
      <dgm:spPr/>
      <dgm:t>
        <a:bodyPr/>
        <a:lstStyle/>
        <a:p>
          <a:endParaRPr lang="ru-RU"/>
        </a:p>
      </dgm:t>
    </dgm:pt>
    <dgm:pt modelId="{4852E3E7-619C-4F31-B3AF-2B78F625BA29}" type="pres">
      <dgm:prSet presAssocID="{E18474BA-5555-4BC1-9444-3F1910F9FB6E}" presName="compositeShape" presStyleCnt="0">
        <dgm:presLayoutVars>
          <dgm:chMax val="7"/>
          <dgm:dir/>
          <dgm:resizeHandles val="exact"/>
        </dgm:presLayoutVars>
      </dgm:prSet>
      <dgm:spPr/>
    </dgm:pt>
    <dgm:pt modelId="{00A32395-BBE0-443C-B5DC-2BA41B210C32}" type="pres">
      <dgm:prSet presAssocID="{52CEBADC-F84B-4395-8606-1CF075D05736}" presName="circ1" presStyleLbl="vennNode1" presStyleIdx="0" presStyleCnt="3"/>
      <dgm:spPr/>
      <dgm:t>
        <a:bodyPr/>
        <a:lstStyle/>
        <a:p>
          <a:endParaRPr lang="ru-RU"/>
        </a:p>
      </dgm:t>
    </dgm:pt>
    <dgm:pt modelId="{5FB0AD00-DC43-4FE4-A90F-EF1AF5B23B17}" type="pres">
      <dgm:prSet presAssocID="{52CEBADC-F84B-4395-8606-1CF075D05736}" presName="circ1Tx" presStyleLbl="revTx" presStyleIdx="0" presStyleCnt="0">
        <dgm:presLayoutVars>
          <dgm:chMax val="0"/>
          <dgm:chPref val="0"/>
          <dgm:bulletEnabled val="1"/>
        </dgm:presLayoutVars>
      </dgm:prSet>
      <dgm:spPr/>
      <dgm:t>
        <a:bodyPr/>
        <a:lstStyle/>
        <a:p>
          <a:endParaRPr lang="ru-RU"/>
        </a:p>
      </dgm:t>
    </dgm:pt>
    <dgm:pt modelId="{E3516D98-034C-4BA8-9B16-EDB15B3FDE17}" type="pres">
      <dgm:prSet presAssocID="{F76C0585-7236-4E53-AB4E-9CAF4BA27D3C}" presName="circ2" presStyleLbl="vennNode1" presStyleIdx="1" presStyleCnt="3"/>
      <dgm:spPr/>
      <dgm:t>
        <a:bodyPr/>
        <a:lstStyle/>
        <a:p>
          <a:endParaRPr lang="ru-RU"/>
        </a:p>
      </dgm:t>
    </dgm:pt>
    <dgm:pt modelId="{1B15EE46-823F-4E54-9DFC-B5D1299EDDC5}" type="pres">
      <dgm:prSet presAssocID="{F76C0585-7236-4E53-AB4E-9CAF4BA27D3C}" presName="circ2Tx" presStyleLbl="revTx" presStyleIdx="0" presStyleCnt="0">
        <dgm:presLayoutVars>
          <dgm:chMax val="0"/>
          <dgm:chPref val="0"/>
          <dgm:bulletEnabled val="1"/>
        </dgm:presLayoutVars>
      </dgm:prSet>
      <dgm:spPr/>
      <dgm:t>
        <a:bodyPr/>
        <a:lstStyle/>
        <a:p>
          <a:endParaRPr lang="ru-RU"/>
        </a:p>
      </dgm:t>
    </dgm:pt>
    <dgm:pt modelId="{7CAC9A34-F3ED-4DBF-BDAF-A4EBD083D13B}" type="pres">
      <dgm:prSet presAssocID="{7B12D341-B995-4A7E-A725-1153091E14A3}" presName="circ3" presStyleLbl="vennNode1" presStyleIdx="2" presStyleCnt="3"/>
      <dgm:spPr/>
      <dgm:t>
        <a:bodyPr/>
        <a:lstStyle/>
        <a:p>
          <a:endParaRPr lang="ru-RU"/>
        </a:p>
      </dgm:t>
    </dgm:pt>
    <dgm:pt modelId="{C3C92216-FBEA-46D0-9820-7A02C063E6D5}" type="pres">
      <dgm:prSet presAssocID="{7B12D341-B995-4A7E-A725-1153091E14A3}" presName="circ3Tx" presStyleLbl="revTx" presStyleIdx="0" presStyleCnt="0">
        <dgm:presLayoutVars>
          <dgm:chMax val="0"/>
          <dgm:chPref val="0"/>
          <dgm:bulletEnabled val="1"/>
        </dgm:presLayoutVars>
      </dgm:prSet>
      <dgm:spPr/>
      <dgm:t>
        <a:bodyPr/>
        <a:lstStyle/>
        <a:p>
          <a:endParaRPr lang="ru-RU"/>
        </a:p>
      </dgm:t>
    </dgm:pt>
  </dgm:ptLst>
  <dgm:cxnLst>
    <dgm:cxn modelId="{CDFCF97D-F4D3-4BE7-A8D6-36D6E523FB03}" srcId="{E18474BA-5555-4BC1-9444-3F1910F9FB6E}" destId="{7B12D341-B995-4A7E-A725-1153091E14A3}" srcOrd="2" destOrd="0" parTransId="{61A26F42-7F50-4C34-B2F5-59B9DDD2F767}" sibTransId="{736117AB-5A6C-4DB8-AAA9-C2D3FCC81073}"/>
    <dgm:cxn modelId="{123D0E29-A860-47A2-8EB8-B71222C265CD}" srcId="{E18474BA-5555-4BC1-9444-3F1910F9FB6E}" destId="{52CEBADC-F84B-4395-8606-1CF075D05736}" srcOrd="0" destOrd="0" parTransId="{042661D0-76ED-469F-838B-DE7487891957}" sibTransId="{DAB07BDA-FF4F-4104-A025-E5EA0569C568}"/>
    <dgm:cxn modelId="{01C2B2E4-F3B5-4E30-BCC7-F66183B01606}" type="presOf" srcId="{F76C0585-7236-4E53-AB4E-9CAF4BA27D3C}" destId="{E3516D98-034C-4BA8-9B16-EDB15B3FDE17}" srcOrd="0" destOrd="0" presId="urn:microsoft.com/office/officeart/2005/8/layout/venn1"/>
    <dgm:cxn modelId="{8926B55C-4E8C-4392-92AD-18EBD1BE0D90}" type="presOf" srcId="{F76C0585-7236-4E53-AB4E-9CAF4BA27D3C}" destId="{1B15EE46-823F-4E54-9DFC-B5D1299EDDC5}" srcOrd="1" destOrd="0" presId="urn:microsoft.com/office/officeart/2005/8/layout/venn1"/>
    <dgm:cxn modelId="{CB4DC34B-8F9C-4A42-A587-733F4ACC5A1D}" type="presOf" srcId="{E18474BA-5555-4BC1-9444-3F1910F9FB6E}" destId="{4852E3E7-619C-4F31-B3AF-2B78F625BA29}" srcOrd="0" destOrd="0" presId="urn:microsoft.com/office/officeart/2005/8/layout/venn1"/>
    <dgm:cxn modelId="{A8250C31-29A9-41F7-87EB-8FEF9FCE3D8A}" type="presOf" srcId="{7B12D341-B995-4A7E-A725-1153091E14A3}" destId="{C3C92216-FBEA-46D0-9820-7A02C063E6D5}" srcOrd="1" destOrd="0" presId="urn:microsoft.com/office/officeart/2005/8/layout/venn1"/>
    <dgm:cxn modelId="{9E03E95C-27CE-40FC-B237-92B10FA8C7F5}" type="presOf" srcId="{52CEBADC-F84B-4395-8606-1CF075D05736}" destId="{00A32395-BBE0-443C-B5DC-2BA41B210C32}" srcOrd="0" destOrd="0" presId="urn:microsoft.com/office/officeart/2005/8/layout/venn1"/>
    <dgm:cxn modelId="{C2D26BF2-8C63-4127-9713-99F215F7B7F9}" type="presOf" srcId="{52CEBADC-F84B-4395-8606-1CF075D05736}" destId="{5FB0AD00-DC43-4FE4-A90F-EF1AF5B23B17}" srcOrd="1" destOrd="0" presId="urn:microsoft.com/office/officeart/2005/8/layout/venn1"/>
    <dgm:cxn modelId="{B0DFF920-388D-4397-B6B9-87270965F9FB}" type="presOf" srcId="{7B12D341-B995-4A7E-A725-1153091E14A3}" destId="{7CAC9A34-F3ED-4DBF-BDAF-A4EBD083D13B}" srcOrd="0" destOrd="0" presId="urn:microsoft.com/office/officeart/2005/8/layout/venn1"/>
    <dgm:cxn modelId="{3D435CAD-0AA7-4FB4-A08C-DED3EB945BB8}" srcId="{E18474BA-5555-4BC1-9444-3F1910F9FB6E}" destId="{F76C0585-7236-4E53-AB4E-9CAF4BA27D3C}" srcOrd="1" destOrd="0" parTransId="{E5FEB473-9C5C-420C-9802-0F25AC1468E5}" sibTransId="{91F6F577-12D9-49E0-BBB3-479F8DE49EF1}"/>
    <dgm:cxn modelId="{6235B366-0EEB-47DE-A86D-65A60106F6E4}" type="presParOf" srcId="{4852E3E7-619C-4F31-B3AF-2B78F625BA29}" destId="{00A32395-BBE0-443C-B5DC-2BA41B210C32}" srcOrd="0" destOrd="0" presId="urn:microsoft.com/office/officeart/2005/8/layout/venn1"/>
    <dgm:cxn modelId="{5959E600-A3FA-46CB-86E0-D4EA0D8646B4}" type="presParOf" srcId="{4852E3E7-619C-4F31-B3AF-2B78F625BA29}" destId="{5FB0AD00-DC43-4FE4-A90F-EF1AF5B23B17}" srcOrd="1" destOrd="0" presId="urn:microsoft.com/office/officeart/2005/8/layout/venn1"/>
    <dgm:cxn modelId="{56E61653-7DF8-4A23-889A-6EFDCD767988}" type="presParOf" srcId="{4852E3E7-619C-4F31-B3AF-2B78F625BA29}" destId="{E3516D98-034C-4BA8-9B16-EDB15B3FDE17}" srcOrd="2" destOrd="0" presId="urn:microsoft.com/office/officeart/2005/8/layout/venn1"/>
    <dgm:cxn modelId="{122A5E36-7877-4BB6-87F3-AA800EEDDC4C}" type="presParOf" srcId="{4852E3E7-619C-4F31-B3AF-2B78F625BA29}" destId="{1B15EE46-823F-4E54-9DFC-B5D1299EDDC5}" srcOrd="3" destOrd="0" presId="urn:microsoft.com/office/officeart/2005/8/layout/venn1"/>
    <dgm:cxn modelId="{C24F9151-31F3-4D37-85C8-7165AB4038D4}" type="presParOf" srcId="{4852E3E7-619C-4F31-B3AF-2B78F625BA29}" destId="{7CAC9A34-F3ED-4DBF-BDAF-A4EBD083D13B}" srcOrd="4" destOrd="0" presId="urn:microsoft.com/office/officeart/2005/8/layout/venn1"/>
    <dgm:cxn modelId="{D23950E0-A453-4E06-A1E4-9A3223A8AE67}" type="presParOf" srcId="{4852E3E7-619C-4F31-B3AF-2B78F625BA29}" destId="{C3C92216-FBEA-46D0-9820-7A02C063E6D5}" srcOrd="5" destOrd="0" presId="urn:microsoft.com/office/officeart/2005/8/layout/ven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3E82D9-8A43-46E0-BDD6-2AE3C69BC1B9}" type="doc">
      <dgm:prSet loTypeId="urn:microsoft.com/office/officeart/2005/8/layout/funnel1" loCatId="relationship" qsTypeId="urn:microsoft.com/office/officeart/2005/8/quickstyle/simple1#1" qsCatId="simple" csTypeId="urn:microsoft.com/office/officeart/2005/8/colors/accent1_2#2" csCatId="accent1" phldr="1"/>
      <dgm:spPr/>
      <dgm:t>
        <a:bodyPr/>
        <a:lstStyle/>
        <a:p>
          <a:endParaRPr lang="ru-RU"/>
        </a:p>
      </dgm:t>
    </dgm:pt>
    <dgm:pt modelId="{2CCB4DA5-5B3C-47E5-B8BD-DD5C8D26B687}">
      <dgm:prSet phldrT="[Текст]" custT="1"/>
      <dgm:spPr/>
      <dgm:t>
        <a:bodyPr/>
        <a:lstStyle/>
        <a:p>
          <a:r>
            <a:rPr lang="en-US" sz="1300" b="0" i="1">
              <a:solidFill>
                <a:srgbClr val="000000"/>
              </a:solidFill>
              <a:latin typeface="Times New Roman" panose="02020603050405020304" charset="0"/>
              <a:cs typeface="Times New Roman" panose="02020603050405020304" charset="0"/>
            </a:rPr>
            <a:t>Талант</a:t>
          </a:r>
          <a:endParaRPr lang="ru-RU" sz="1300" b="0" i="1">
            <a:solidFill>
              <a:srgbClr val="000000"/>
            </a:solidFill>
            <a:latin typeface="Times New Roman" panose="02020603050405020304" charset="0"/>
            <a:cs typeface="Times New Roman" panose="02020603050405020304" charset="0"/>
          </a:endParaRPr>
        </a:p>
      </dgm:t>
    </dgm:pt>
    <dgm:pt modelId="{8E164B8F-0160-4EC3-90A3-8CD34F9F647A}" type="parTrans" cxnId="{260E85CD-ECFA-4B50-AE43-C12483F1BFA0}">
      <dgm:prSet/>
      <dgm:spPr/>
      <dgm:t>
        <a:bodyPr/>
        <a:lstStyle/>
        <a:p>
          <a:endParaRPr lang="ru-RU"/>
        </a:p>
      </dgm:t>
    </dgm:pt>
    <dgm:pt modelId="{B04EC9FC-DA58-46CA-A297-286E58A051BF}" type="sibTrans" cxnId="{260E85CD-ECFA-4B50-AE43-C12483F1BFA0}">
      <dgm:prSet/>
      <dgm:spPr/>
      <dgm:t>
        <a:bodyPr/>
        <a:lstStyle/>
        <a:p>
          <a:endParaRPr lang="ru-RU"/>
        </a:p>
      </dgm:t>
    </dgm:pt>
    <dgm:pt modelId="{418FE11E-43A7-4D7D-AA4B-A44338310819}">
      <dgm:prSet phldrT="[Текст]"/>
      <dgm:spPr/>
      <dgm:t>
        <a:bodyPr/>
        <a:lstStyle/>
        <a:p>
          <a:r>
            <a:rPr lang="en-US" b="1">
              <a:solidFill>
                <a:srgbClr val="000000"/>
              </a:solidFill>
              <a:latin typeface="Times New Roman" panose="02020603050405020304" charset="0"/>
              <a:cs typeface="Times New Roman" panose="02020603050405020304" charset="0"/>
            </a:rPr>
            <a:t>Қор</a:t>
          </a:r>
          <a:endParaRPr lang="ru-RU" b="1">
            <a:solidFill>
              <a:srgbClr val="000000"/>
            </a:solidFill>
            <a:latin typeface="Times New Roman" panose="02020603050405020304" charset="0"/>
            <a:cs typeface="Times New Roman" panose="02020603050405020304" charset="0"/>
          </a:endParaRPr>
        </a:p>
      </dgm:t>
    </dgm:pt>
    <dgm:pt modelId="{B5DA651D-2CAD-4519-815F-66FEA75569A6}" type="parTrans" cxnId="{349B7CCE-7281-4826-9F1E-83145715CF42}">
      <dgm:prSet/>
      <dgm:spPr/>
      <dgm:t>
        <a:bodyPr/>
        <a:lstStyle/>
        <a:p>
          <a:endParaRPr lang="ru-RU"/>
        </a:p>
      </dgm:t>
    </dgm:pt>
    <dgm:pt modelId="{244EF469-4926-44EC-A936-54917A223F0B}" type="sibTrans" cxnId="{349B7CCE-7281-4826-9F1E-83145715CF42}">
      <dgm:prSet/>
      <dgm:spPr/>
      <dgm:t>
        <a:bodyPr/>
        <a:lstStyle/>
        <a:p>
          <a:endParaRPr lang="ru-RU"/>
        </a:p>
      </dgm:t>
    </dgm:pt>
    <dgm:pt modelId="{AA0BB82B-C63E-4D38-A680-FA1A08AC3B7F}">
      <dgm:prSet phldrT="[Текст]" custT="1"/>
      <dgm:spPr/>
      <dgm:t>
        <a:bodyPr/>
        <a:lstStyle/>
        <a:p>
          <a:r>
            <a:rPr lang="en-US" sz="1200">
              <a:latin typeface="Times New Roman" panose="02020603050405020304" charset="0"/>
              <a:cs typeface="Times New Roman" panose="02020603050405020304" charset="0"/>
            </a:rPr>
            <a:t>Білім мен инновацияларды интеграциялау Кеңесі біріктіретін ресурстар</a:t>
          </a:r>
          <a:endParaRPr lang="ru-RU" sz="1200">
            <a:latin typeface="Times New Roman" panose="02020603050405020304" charset="0"/>
            <a:cs typeface="Times New Roman" panose="02020603050405020304" charset="0"/>
          </a:endParaRPr>
        </a:p>
      </dgm:t>
    </dgm:pt>
    <dgm:pt modelId="{AF323388-5AED-4CC4-AF04-D67E9E63D1CB}" type="parTrans" cxnId="{4D32DBBC-068D-445B-8E29-995DA624CD31}">
      <dgm:prSet/>
      <dgm:spPr/>
      <dgm:t>
        <a:bodyPr/>
        <a:lstStyle/>
        <a:p>
          <a:endParaRPr lang="ru-RU"/>
        </a:p>
      </dgm:t>
    </dgm:pt>
    <dgm:pt modelId="{62FC2B6A-E9CB-4E0F-828B-6D37CA450D38}" type="sibTrans" cxnId="{4D32DBBC-068D-445B-8E29-995DA624CD31}">
      <dgm:prSet/>
      <dgm:spPr/>
      <dgm:t>
        <a:bodyPr/>
        <a:lstStyle/>
        <a:p>
          <a:endParaRPr lang="ru-RU"/>
        </a:p>
      </dgm:t>
    </dgm:pt>
    <dgm:pt modelId="{EE4EBFD5-28B3-42E4-9379-E05B788E242D}">
      <dgm:prSet phldrT="[Текст]"/>
      <dgm:spPr/>
      <dgm:t>
        <a:bodyPr/>
        <a:lstStyle/>
        <a:p>
          <a:r>
            <a:rPr lang="en-US" b="0" i="1">
              <a:solidFill>
                <a:srgbClr val="000000"/>
              </a:solidFill>
              <a:latin typeface="Times New Roman" panose="02020603050405020304" charset="0"/>
              <a:cs typeface="Times New Roman" panose="02020603050405020304" charset="0"/>
            </a:rPr>
            <a:t>Ақпарат</a:t>
          </a:r>
          <a:endParaRPr lang="ru-RU" b="0" i="1">
            <a:solidFill>
              <a:srgbClr val="000000"/>
            </a:solidFill>
            <a:latin typeface="Times New Roman" panose="02020603050405020304" charset="0"/>
            <a:cs typeface="Times New Roman" panose="02020603050405020304" charset="0"/>
          </a:endParaRPr>
        </a:p>
      </dgm:t>
    </dgm:pt>
    <dgm:pt modelId="{AEB4F1F8-D5F4-4B51-9620-6905A2B9B65F}" type="sibTrans" cxnId="{4B975670-B476-45B2-A9A1-3D6273A81648}">
      <dgm:prSet/>
      <dgm:spPr/>
      <dgm:t>
        <a:bodyPr/>
        <a:lstStyle/>
        <a:p>
          <a:endParaRPr lang="ru-RU"/>
        </a:p>
      </dgm:t>
    </dgm:pt>
    <dgm:pt modelId="{1679B326-876D-4766-AC7E-8A4259763288}" type="parTrans" cxnId="{4B975670-B476-45B2-A9A1-3D6273A81648}">
      <dgm:prSet/>
      <dgm:spPr/>
      <dgm:t>
        <a:bodyPr/>
        <a:lstStyle/>
        <a:p>
          <a:endParaRPr lang="ru-RU"/>
        </a:p>
      </dgm:t>
    </dgm:pt>
    <dgm:pt modelId="{DE5E13D7-CCC2-4E30-A908-F9139386D41E}" type="pres">
      <dgm:prSet presAssocID="{2F3E82D9-8A43-46E0-BDD6-2AE3C69BC1B9}" presName="Name0" presStyleCnt="0">
        <dgm:presLayoutVars>
          <dgm:chMax val="4"/>
          <dgm:resizeHandles val="exact"/>
        </dgm:presLayoutVars>
      </dgm:prSet>
      <dgm:spPr/>
      <dgm:t>
        <a:bodyPr/>
        <a:lstStyle/>
        <a:p>
          <a:endParaRPr lang="ru-RU"/>
        </a:p>
      </dgm:t>
    </dgm:pt>
    <dgm:pt modelId="{7D972898-6EC4-4000-A1D0-0AB8CD9F8752}" type="pres">
      <dgm:prSet presAssocID="{2F3E82D9-8A43-46E0-BDD6-2AE3C69BC1B9}" presName="ellipse" presStyleLbl="trBgShp" presStyleIdx="0" presStyleCnt="1"/>
      <dgm:spPr/>
    </dgm:pt>
    <dgm:pt modelId="{D216D938-B0C7-4ABB-AC0E-FA302642F4AC}" type="pres">
      <dgm:prSet presAssocID="{2F3E82D9-8A43-46E0-BDD6-2AE3C69BC1B9}" presName="arrow1" presStyleLbl="fgShp" presStyleIdx="0" presStyleCnt="1"/>
      <dgm:spPr/>
    </dgm:pt>
    <dgm:pt modelId="{E3DCAB09-A227-4394-8494-D63D55FC17E1}" type="pres">
      <dgm:prSet presAssocID="{2F3E82D9-8A43-46E0-BDD6-2AE3C69BC1B9}" presName="rectangle" presStyleLbl="revTx" presStyleIdx="0" presStyleCnt="1">
        <dgm:presLayoutVars>
          <dgm:bulletEnabled val="1"/>
        </dgm:presLayoutVars>
      </dgm:prSet>
      <dgm:spPr/>
      <dgm:t>
        <a:bodyPr/>
        <a:lstStyle/>
        <a:p>
          <a:endParaRPr lang="ru-RU"/>
        </a:p>
      </dgm:t>
    </dgm:pt>
    <dgm:pt modelId="{589FD688-B2FD-4357-8451-EE61AD47A1CB}" type="pres">
      <dgm:prSet presAssocID="{EE4EBFD5-28B3-42E4-9379-E05B788E242D}" presName="item1" presStyleLbl="node1" presStyleIdx="0" presStyleCnt="3">
        <dgm:presLayoutVars>
          <dgm:bulletEnabled val="1"/>
        </dgm:presLayoutVars>
      </dgm:prSet>
      <dgm:spPr/>
      <dgm:t>
        <a:bodyPr/>
        <a:lstStyle/>
        <a:p>
          <a:endParaRPr lang="ru-RU"/>
        </a:p>
      </dgm:t>
    </dgm:pt>
    <dgm:pt modelId="{B21FA5BC-BDC5-4447-8664-CC1497B3421F}" type="pres">
      <dgm:prSet presAssocID="{418FE11E-43A7-4D7D-AA4B-A44338310819}" presName="item2" presStyleLbl="node1" presStyleIdx="1" presStyleCnt="3">
        <dgm:presLayoutVars>
          <dgm:bulletEnabled val="1"/>
        </dgm:presLayoutVars>
      </dgm:prSet>
      <dgm:spPr/>
      <dgm:t>
        <a:bodyPr/>
        <a:lstStyle/>
        <a:p>
          <a:endParaRPr lang="ru-RU"/>
        </a:p>
      </dgm:t>
    </dgm:pt>
    <dgm:pt modelId="{DC000D4E-18E3-467B-871E-8DDE96ABB22B}" type="pres">
      <dgm:prSet presAssocID="{AA0BB82B-C63E-4D38-A680-FA1A08AC3B7F}" presName="item3" presStyleLbl="node1" presStyleIdx="2" presStyleCnt="3">
        <dgm:presLayoutVars>
          <dgm:bulletEnabled val="1"/>
        </dgm:presLayoutVars>
      </dgm:prSet>
      <dgm:spPr/>
      <dgm:t>
        <a:bodyPr/>
        <a:lstStyle/>
        <a:p>
          <a:endParaRPr lang="ru-RU"/>
        </a:p>
      </dgm:t>
    </dgm:pt>
    <dgm:pt modelId="{F7DC161B-F255-46C5-A3A6-352C88DC7EB3}" type="pres">
      <dgm:prSet presAssocID="{2F3E82D9-8A43-46E0-BDD6-2AE3C69BC1B9}" presName="funnel" presStyleLbl="trAlignAcc1" presStyleIdx="0" presStyleCnt="1" custLinFactNeighborX="594" custLinFactNeighborY="1855"/>
      <dgm:spPr/>
    </dgm:pt>
  </dgm:ptLst>
  <dgm:cxnLst>
    <dgm:cxn modelId="{349B7CCE-7281-4826-9F1E-83145715CF42}" srcId="{2F3E82D9-8A43-46E0-BDD6-2AE3C69BC1B9}" destId="{418FE11E-43A7-4D7D-AA4B-A44338310819}" srcOrd="2" destOrd="0" parTransId="{B5DA651D-2CAD-4519-815F-66FEA75569A6}" sibTransId="{244EF469-4926-44EC-A936-54917A223F0B}"/>
    <dgm:cxn modelId="{FAB4619E-9413-484F-8C77-8C9156016CCE}" type="presOf" srcId="{AA0BB82B-C63E-4D38-A680-FA1A08AC3B7F}" destId="{E3DCAB09-A227-4394-8494-D63D55FC17E1}" srcOrd="0" destOrd="0" presId="urn:microsoft.com/office/officeart/2005/8/layout/funnel1"/>
    <dgm:cxn modelId="{260E85CD-ECFA-4B50-AE43-C12483F1BFA0}" srcId="{2F3E82D9-8A43-46E0-BDD6-2AE3C69BC1B9}" destId="{2CCB4DA5-5B3C-47E5-B8BD-DD5C8D26B687}" srcOrd="0" destOrd="0" parTransId="{8E164B8F-0160-4EC3-90A3-8CD34F9F647A}" sibTransId="{B04EC9FC-DA58-46CA-A297-286E58A051BF}"/>
    <dgm:cxn modelId="{AD22880A-36BA-418B-BE13-B3E56AFD0C0C}" type="presOf" srcId="{2CCB4DA5-5B3C-47E5-B8BD-DD5C8D26B687}" destId="{DC000D4E-18E3-467B-871E-8DDE96ABB22B}" srcOrd="0" destOrd="0" presId="urn:microsoft.com/office/officeart/2005/8/layout/funnel1"/>
    <dgm:cxn modelId="{100422CA-D268-4AE9-9316-1023C5572138}" type="presOf" srcId="{2F3E82D9-8A43-46E0-BDD6-2AE3C69BC1B9}" destId="{DE5E13D7-CCC2-4E30-A908-F9139386D41E}" srcOrd="0" destOrd="0" presId="urn:microsoft.com/office/officeart/2005/8/layout/funnel1"/>
    <dgm:cxn modelId="{8D9E9140-0671-403F-BBED-CFF5C71CE4D0}" type="presOf" srcId="{418FE11E-43A7-4D7D-AA4B-A44338310819}" destId="{589FD688-B2FD-4357-8451-EE61AD47A1CB}" srcOrd="0" destOrd="0" presId="urn:microsoft.com/office/officeart/2005/8/layout/funnel1"/>
    <dgm:cxn modelId="{4B975670-B476-45B2-A9A1-3D6273A81648}" srcId="{2F3E82D9-8A43-46E0-BDD6-2AE3C69BC1B9}" destId="{EE4EBFD5-28B3-42E4-9379-E05B788E242D}" srcOrd="1" destOrd="0" parTransId="{1679B326-876D-4766-AC7E-8A4259763288}" sibTransId="{AEB4F1F8-D5F4-4B51-9620-6905A2B9B65F}"/>
    <dgm:cxn modelId="{5FBE48E9-C87C-4F43-AE18-4A77D9C92B19}" type="presOf" srcId="{EE4EBFD5-28B3-42E4-9379-E05B788E242D}" destId="{B21FA5BC-BDC5-4447-8664-CC1497B3421F}" srcOrd="0" destOrd="0" presId="urn:microsoft.com/office/officeart/2005/8/layout/funnel1"/>
    <dgm:cxn modelId="{4D32DBBC-068D-445B-8E29-995DA624CD31}" srcId="{2F3E82D9-8A43-46E0-BDD6-2AE3C69BC1B9}" destId="{AA0BB82B-C63E-4D38-A680-FA1A08AC3B7F}" srcOrd="3" destOrd="0" parTransId="{AF323388-5AED-4CC4-AF04-D67E9E63D1CB}" sibTransId="{62FC2B6A-E9CB-4E0F-828B-6D37CA450D38}"/>
    <dgm:cxn modelId="{EC5854B6-8BA9-46C9-841C-D4104C6064CB}" type="presParOf" srcId="{DE5E13D7-CCC2-4E30-A908-F9139386D41E}" destId="{7D972898-6EC4-4000-A1D0-0AB8CD9F8752}" srcOrd="0" destOrd="0" presId="urn:microsoft.com/office/officeart/2005/8/layout/funnel1"/>
    <dgm:cxn modelId="{D5158085-E24B-4E21-A6E2-8ADEAEF5C90D}" type="presParOf" srcId="{DE5E13D7-CCC2-4E30-A908-F9139386D41E}" destId="{D216D938-B0C7-4ABB-AC0E-FA302642F4AC}" srcOrd="1" destOrd="0" presId="urn:microsoft.com/office/officeart/2005/8/layout/funnel1"/>
    <dgm:cxn modelId="{58769FEC-6FE9-44DB-827D-CA90D13BE089}" type="presParOf" srcId="{DE5E13D7-CCC2-4E30-A908-F9139386D41E}" destId="{E3DCAB09-A227-4394-8494-D63D55FC17E1}" srcOrd="2" destOrd="0" presId="urn:microsoft.com/office/officeart/2005/8/layout/funnel1"/>
    <dgm:cxn modelId="{086C9C7F-4E44-4043-B9C0-9FBD04D49270}" type="presParOf" srcId="{DE5E13D7-CCC2-4E30-A908-F9139386D41E}" destId="{589FD688-B2FD-4357-8451-EE61AD47A1CB}" srcOrd="3" destOrd="0" presId="urn:microsoft.com/office/officeart/2005/8/layout/funnel1"/>
    <dgm:cxn modelId="{318360CA-ABC7-4C7B-A62D-FA0F888D2038}" type="presParOf" srcId="{DE5E13D7-CCC2-4E30-A908-F9139386D41E}" destId="{B21FA5BC-BDC5-4447-8664-CC1497B3421F}" srcOrd="4" destOrd="0" presId="urn:microsoft.com/office/officeart/2005/8/layout/funnel1"/>
    <dgm:cxn modelId="{CD38BFBC-468A-46DB-B8ED-A6F0530BEF59}" type="presParOf" srcId="{DE5E13D7-CCC2-4E30-A908-F9139386D41E}" destId="{DC000D4E-18E3-467B-871E-8DDE96ABB22B}" srcOrd="5" destOrd="0" presId="urn:microsoft.com/office/officeart/2005/8/layout/funnel1"/>
    <dgm:cxn modelId="{3404A78F-2258-4F13-96BE-EA0E3AC5B113}" type="presParOf" srcId="{DE5E13D7-CCC2-4E30-A908-F9139386D41E}" destId="{F7DC161B-F255-46C5-A3A6-352C88DC7EB3}" srcOrd="6" destOrd="0" presId="urn:microsoft.com/office/officeart/2005/8/layout/funnel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32395-BBE0-443C-B5DC-2BA41B210C32}">
      <dsp:nvSpPr>
        <dsp:cNvPr id="0" name=""/>
        <dsp:cNvSpPr/>
      </dsp:nvSpPr>
      <dsp:spPr>
        <a:xfrm>
          <a:off x="1722119" y="34607"/>
          <a:ext cx="1661160" cy="1661160"/>
        </a:xfrm>
        <a:prstGeom prst="ellipse">
          <a:avLst/>
        </a:prstGeo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rgbClr val="000000"/>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b="0" i="1" kern="1200"/>
            <a:t>Мемлекет </a:t>
          </a:r>
          <a:endParaRPr lang="ru-RU" sz="1300" b="0" i="1" kern="1200"/>
        </a:p>
      </dsp:txBody>
      <dsp:txXfrm>
        <a:off x="1943608" y="325310"/>
        <a:ext cx="1218184" cy="747522"/>
      </dsp:txXfrm>
    </dsp:sp>
    <dsp:sp modelId="{E3516D98-034C-4BA8-9B16-EDB15B3FDE17}">
      <dsp:nvSpPr>
        <dsp:cNvPr id="0" name=""/>
        <dsp:cNvSpPr/>
      </dsp:nvSpPr>
      <dsp:spPr>
        <a:xfrm>
          <a:off x="2321521" y="1072832"/>
          <a:ext cx="1661160" cy="1661160"/>
        </a:xfrm>
        <a:prstGeom prst="ellipse">
          <a:avLst/>
        </a:prstGeo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rgbClr val="000000"/>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b="0" i="1" kern="1200">
              <a:latin typeface="Times New Roman" panose="02020603050405020304" charset="0"/>
              <a:cs typeface="Times New Roman" panose="02020603050405020304" charset="0"/>
            </a:rPr>
            <a:t>Академиялық орта</a:t>
          </a:r>
          <a:endParaRPr lang="ru-RU" sz="1300" b="0" i="1" kern="1200">
            <a:latin typeface="Times New Roman" panose="02020603050405020304" charset="0"/>
            <a:cs typeface="Times New Roman" panose="02020603050405020304" charset="0"/>
          </a:endParaRPr>
        </a:p>
      </dsp:txBody>
      <dsp:txXfrm>
        <a:off x="2829560" y="1501965"/>
        <a:ext cx="996696" cy="913638"/>
      </dsp:txXfrm>
    </dsp:sp>
    <dsp:sp modelId="{7CAC9A34-F3ED-4DBF-BDAF-A4EBD083D13B}">
      <dsp:nvSpPr>
        <dsp:cNvPr id="0" name=""/>
        <dsp:cNvSpPr/>
      </dsp:nvSpPr>
      <dsp:spPr>
        <a:xfrm>
          <a:off x="1122718" y="1072832"/>
          <a:ext cx="1661160" cy="1661160"/>
        </a:xfrm>
        <a:prstGeom prst="ellipse">
          <a:avLst/>
        </a:prstGeom>
        <a:gradFill rotWithShape="0">
          <a:gsLst>
            <a:gs pos="0">
              <a:srgbClr val="5B9BD5">
                <a:alpha val="50000"/>
                <a:hueOff val="0"/>
                <a:satOff val="0"/>
                <a:lumOff val="0"/>
                <a:alphaOff val="0"/>
                <a:lumMod val="110000"/>
                <a:satMod val="105000"/>
                <a:tint val="67000"/>
              </a:srgbClr>
            </a:gs>
            <a:gs pos="50000">
              <a:srgbClr val="5B9BD5">
                <a:alpha val="50000"/>
                <a:hueOff val="0"/>
                <a:satOff val="0"/>
                <a:lumOff val="0"/>
                <a:alphaOff val="0"/>
                <a:lumMod val="105000"/>
                <a:satMod val="103000"/>
                <a:tint val="73000"/>
              </a:srgbClr>
            </a:gs>
            <a:gs pos="100000">
              <a:srgbClr val="5B9BD5">
                <a:alpha val="50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rgbClr val="000000"/>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US" sz="1300" b="0" i="1" kern="1200"/>
            <a:t>Өнеркәсіп</a:t>
          </a:r>
          <a:endParaRPr lang="ru-RU" sz="1300" b="0" i="1" kern="1200"/>
        </a:p>
      </dsp:txBody>
      <dsp:txXfrm>
        <a:off x="1279144" y="1501965"/>
        <a:ext cx="996696" cy="9136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972898-6EC4-4000-A1D0-0AB8CD9F8752}">
      <dsp:nvSpPr>
        <dsp:cNvPr id="0" name=""/>
        <dsp:cNvSpPr/>
      </dsp:nvSpPr>
      <dsp:spPr>
        <a:xfrm>
          <a:off x="1449038" y="130016"/>
          <a:ext cx="2580322" cy="896112"/>
        </a:xfrm>
        <a:prstGeom prst="ellipse">
          <a:avLst/>
        </a:prstGeom>
        <a:solidFill>
          <a:srgbClr val="C4D5EB">
            <a:tint val="50000"/>
            <a:alpha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216D938-B0C7-4ABB-AC0E-FA302642F4AC}">
      <dsp:nvSpPr>
        <dsp:cNvPr id="0" name=""/>
        <dsp:cNvSpPr/>
      </dsp:nvSpPr>
      <dsp:spPr>
        <a:xfrm>
          <a:off x="2493168" y="2324290"/>
          <a:ext cx="500062" cy="320040"/>
        </a:xfrm>
        <a:prstGeom prst="downArrow">
          <a:avLst/>
        </a:prstGeom>
        <a:solidFill>
          <a:srgbClr val="B5CBE7">
            <a:tint val="60000"/>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E3DCAB09-A227-4394-8494-D63D55FC17E1}">
      <dsp:nvSpPr>
        <dsp:cNvPr id="0" name=""/>
        <dsp:cNvSpPr/>
      </dsp:nvSpPr>
      <dsp:spPr>
        <a:xfrm>
          <a:off x="1543049" y="2580322"/>
          <a:ext cx="2400300" cy="6000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charset="0"/>
              <a:cs typeface="Times New Roman" panose="02020603050405020304" charset="0"/>
            </a:rPr>
            <a:t>Білім мен инновацияларды интеграциялау Кеңесі біріктіретін ресурстар</a:t>
          </a:r>
          <a:endParaRPr lang="ru-RU" sz="1200" kern="1200">
            <a:latin typeface="Times New Roman" panose="02020603050405020304" charset="0"/>
            <a:cs typeface="Times New Roman" panose="02020603050405020304" charset="0"/>
          </a:endParaRPr>
        </a:p>
      </dsp:txBody>
      <dsp:txXfrm>
        <a:off x="1543049" y="2580322"/>
        <a:ext cx="2400300" cy="600075"/>
      </dsp:txXfrm>
    </dsp:sp>
    <dsp:sp modelId="{589FD688-B2FD-4357-8451-EE61AD47A1CB}">
      <dsp:nvSpPr>
        <dsp:cNvPr id="0" name=""/>
        <dsp:cNvSpPr/>
      </dsp:nvSpPr>
      <dsp:spPr>
        <a:xfrm>
          <a:off x="2387155" y="1095336"/>
          <a:ext cx="900112" cy="900112"/>
        </a:xfrm>
        <a:prstGeom prst="ellipse">
          <a:avLst/>
        </a:prstGeom>
        <a:solidFill>
          <a:srgbClr val="5B9BD5">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rgbClr val="000000"/>
              </a:solidFill>
              <a:latin typeface="Times New Roman" panose="02020603050405020304" charset="0"/>
              <a:cs typeface="Times New Roman" panose="02020603050405020304" charset="0"/>
            </a:rPr>
            <a:t>Қор</a:t>
          </a:r>
          <a:endParaRPr lang="ru-RU" sz="1200" b="1" kern="1200">
            <a:solidFill>
              <a:srgbClr val="000000"/>
            </a:solidFill>
            <a:latin typeface="Times New Roman" panose="02020603050405020304" charset="0"/>
            <a:cs typeface="Times New Roman" panose="02020603050405020304" charset="0"/>
          </a:endParaRPr>
        </a:p>
      </dsp:txBody>
      <dsp:txXfrm>
        <a:off x="2518973" y="1227154"/>
        <a:ext cx="636476" cy="636476"/>
      </dsp:txXfrm>
    </dsp:sp>
    <dsp:sp modelId="{B21FA5BC-BDC5-4447-8664-CC1497B3421F}">
      <dsp:nvSpPr>
        <dsp:cNvPr id="0" name=""/>
        <dsp:cNvSpPr/>
      </dsp:nvSpPr>
      <dsp:spPr>
        <a:xfrm>
          <a:off x="1743075" y="420052"/>
          <a:ext cx="900112" cy="900112"/>
        </a:xfrm>
        <a:prstGeom prst="ellipse">
          <a:avLst/>
        </a:prstGeom>
        <a:solidFill>
          <a:srgbClr val="5B9BD5">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i="1" kern="1200">
              <a:solidFill>
                <a:srgbClr val="000000"/>
              </a:solidFill>
              <a:latin typeface="Times New Roman" panose="02020603050405020304" charset="0"/>
              <a:cs typeface="Times New Roman" panose="02020603050405020304" charset="0"/>
            </a:rPr>
            <a:t>Ақпарат</a:t>
          </a:r>
          <a:endParaRPr lang="ru-RU" sz="1200" b="0" i="1" kern="1200">
            <a:solidFill>
              <a:srgbClr val="000000"/>
            </a:solidFill>
            <a:latin typeface="Times New Roman" panose="02020603050405020304" charset="0"/>
            <a:cs typeface="Times New Roman" panose="02020603050405020304" charset="0"/>
          </a:endParaRPr>
        </a:p>
      </dsp:txBody>
      <dsp:txXfrm>
        <a:off x="1874893" y="551870"/>
        <a:ext cx="636476" cy="636476"/>
      </dsp:txXfrm>
    </dsp:sp>
    <dsp:sp modelId="{DC000D4E-18E3-467B-871E-8DDE96ABB22B}">
      <dsp:nvSpPr>
        <dsp:cNvPr id="0" name=""/>
        <dsp:cNvSpPr/>
      </dsp:nvSpPr>
      <dsp:spPr>
        <a:xfrm>
          <a:off x="2663190" y="202425"/>
          <a:ext cx="900112" cy="900112"/>
        </a:xfrm>
        <a:prstGeom prst="ellipse">
          <a:avLst/>
        </a:prstGeom>
        <a:solidFill>
          <a:srgbClr val="5B9BD5">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rgbClr val="FFFFFF"/>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b="0" i="1" kern="1200">
              <a:solidFill>
                <a:srgbClr val="000000"/>
              </a:solidFill>
              <a:latin typeface="Times New Roman" panose="02020603050405020304" charset="0"/>
              <a:cs typeface="Times New Roman" panose="02020603050405020304" charset="0"/>
            </a:rPr>
            <a:t>Талант</a:t>
          </a:r>
          <a:endParaRPr lang="ru-RU" sz="1300" b="0" i="1" kern="1200">
            <a:solidFill>
              <a:srgbClr val="000000"/>
            </a:solidFill>
            <a:latin typeface="Times New Roman" panose="02020603050405020304" charset="0"/>
            <a:cs typeface="Times New Roman" panose="02020603050405020304" charset="0"/>
          </a:endParaRPr>
        </a:p>
      </dsp:txBody>
      <dsp:txXfrm>
        <a:off x="2795008" y="334243"/>
        <a:ext cx="636476" cy="636476"/>
      </dsp:txXfrm>
    </dsp:sp>
    <dsp:sp modelId="{F7DC161B-F255-46C5-A3A6-352C88DC7EB3}">
      <dsp:nvSpPr>
        <dsp:cNvPr id="0" name=""/>
        <dsp:cNvSpPr/>
      </dsp:nvSpPr>
      <dsp:spPr>
        <a:xfrm>
          <a:off x="1359659" y="61559"/>
          <a:ext cx="2800350" cy="2240280"/>
        </a:xfrm>
        <a:prstGeom prst="funnel">
          <a:avLst/>
        </a:prstGeom>
        <a:solidFill>
          <a:srgbClr val="FFFFFF">
            <a:alpha val="40000"/>
            <a:hueOff val="0"/>
            <a:satOff val="0"/>
            <a:lumOff val="0"/>
            <a:alphaOff val="0"/>
          </a:srgb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rgbClr val="000000"/>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rgbClr val="000000"/>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rgbClr val="000000"/>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rgbClr val="000000"/>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rgbClr val="000000"/>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rgbClr val="FFFFFF"/>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rgbClr val="FFFFFF"/>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rgbClr val="000000"/>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rgbClr val="FFFFFF"/>
      </a:solidFill>
      <a:gradFill rotWithShape="1">
        <a:gsLst>
          <a:gs pos="0">
            <a:srgbClr val="FFFFFF">
              <a:lumMod val="110000"/>
              <a:satMod val="105000"/>
              <a:tint val="67000"/>
            </a:srgbClr>
          </a:gs>
          <a:gs pos="50000">
            <a:srgbClr val="FFFFFF">
              <a:lumMod val="105000"/>
              <a:satMod val="103000"/>
              <a:tint val="73000"/>
            </a:srgbClr>
          </a:gs>
          <a:gs pos="100000">
            <a:srgbClr val="FFFFFF">
              <a:lumMod val="105000"/>
              <a:satMod val="109000"/>
              <a:tint val="81000"/>
            </a:srgbClr>
          </a:gs>
        </a:gsLst>
        <a:lin ang="5400000" scaled="0"/>
      </a:gradFill>
      <a:gradFill rotWithShape="1">
        <a:gsLst>
          <a:gs pos="0">
            <a:srgbClr val="FFFFFF">
              <a:satMod val="103000"/>
              <a:lumMod val="102000"/>
              <a:tint val="94000"/>
            </a:srgbClr>
          </a:gs>
          <a:gs pos="50000">
            <a:srgbClr val="FFFFFF">
              <a:satMod val="110000"/>
              <a:lumMod val="100000"/>
              <a:shade val="100000"/>
            </a:srgbClr>
          </a:gs>
          <a:gs pos="100000">
            <a:srgbClr val="E2E2E2">
              <a:lumMod val="99000"/>
              <a:satMod val="120000"/>
              <a:shade val="78000"/>
            </a:srgbClr>
          </a:gs>
        </a:gsLst>
        <a:lin ang="5400000" scaled="0"/>
      </a:gradFill>
    </a:fillStyleLst>
    <a:lnStyleLst>
      <a:ln w="6350" cap="flat" cmpd="sng" algn="ctr">
        <a:solidFill>
          <a:srgbClr val="FFFFFF"/>
        </a:solidFill>
        <a:prstDash val="solid"/>
        <a:miter lim="800000"/>
      </a:ln>
      <a:ln w="12700" cap="flat" cmpd="sng" algn="ctr">
        <a:solidFill>
          <a:srgbClr val="FFFFFF"/>
        </a:solidFill>
        <a:prstDash val="solid"/>
        <a:miter lim="800000"/>
      </a:ln>
      <a:ln w="19050" cap="flat" cmpd="sng" algn="ctr">
        <a:solidFill>
          <a:srgbClr val="FFFFFF"/>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rgbClr val="FFFFFF"/>
      </a:solidFill>
      <a:solidFill>
        <a:srgbClr val="FFFFFF">
          <a:tint val="95000"/>
          <a:satMod val="170000"/>
        </a:srgbClr>
      </a:solidFill>
      <a:gradFill rotWithShape="1">
        <a:gsLst>
          <a:gs pos="0">
            <a:srgbClr val="FFFFFF">
              <a:tint val="93000"/>
              <a:satMod val="150000"/>
              <a:shade val="98000"/>
              <a:lumMod val="102000"/>
            </a:srgbClr>
          </a:gs>
          <a:gs pos="50000">
            <a:srgbClr val="FBFBFB">
              <a:tint val="98000"/>
              <a:satMod val="130000"/>
              <a:shade val="90000"/>
              <a:lumMod val="103000"/>
            </a:srgbClr>
          </a:gs>
          <a:gs pos="100000">
            <a:srgbClr val="D0D0D0">
              <a:shade val="63000"/>
              <a:satMod val="120000"/>
            </a:srgb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59270</Words>
  <Characters>337842</Characters>
  <Application>Microsoft Office Word</Application>
  <DocSecurity>0</DocSecurity>
  <Lines>2815</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2026-03-04T02:36:00Z</cp:lastPrinted>
  <dcterms:created xsi:type="dcterms:W3CDTF">2026-04-14T13:25:00Z</dcterms:created>
  <dcterms:modified xsi:type="dcterms:W3CDTF">2026-04-14T13:25:00Z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C1CF6DCF415E4AB5964F35F0873CF0FC_12</vt:lpwstr>
  </property>
</Properties>
</file>